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957647" w14:textId="664F3B55" w:rsidR="00865A27" w:rsidRPr="009B783C" w:rsidRDefault="00AE3C17">
      <w:pPr>
        <w:pStyle w:val="Covertitle"/>
        <w:rPr>
          <w:rFonts w:cs="Segoe UI"/>
          <w:b/>
          <w:color w:val="00264D"/>
          <w:sz w:val="64"/>
          <w:szCs w:val="64"/>
        </w:rPr>
      </w:pPr>
      <w:bookmarkStart w:id="0" w:name="_Hlk179962123"/>
      <w:bookmarkEnd w:id="0"/>
      <w:r w:rsidRPr="009B783C">
        <w:rPr>
          <w:rFonts w:cs="Segoe UI"/>
          <w:b/>
          <w:noProof/>
          <w:color w:val="FF0000"/>
          <w:sz w:val="64"/>
          <w:szCs w:val="64"/>
        </w:rPr>
        <w:drawing>
          <wp:anchor distT="0" distB="0" distL="114300" distR="114300" simplePos="0" relativeHeight="251658242" behindDoc="1" locked="0" layoutInCell="1" allowOverlap="1" wp14:anchorId="4F8ECB3C" wp14:editId="7D297E3E">
            <wp:simplePos x="0" y="0"/>
            <wp:positionH relativeFrom="page">
              <wp:posOffset>0</wp:posOffset>
            </wp:positionH>
            <wp:positionV relativeFrom="page">
              <wp:posOffset>1</wp:posOffset>
            </wp:positionV>
            <wp:extent cx="7559998" cy="10693739"/>
            <wp:effectExtent l="0" t="0" r="3175" b="0"/>
            <wp:wrapNone/>
            <wp:docPr id="505" name="Picture 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Picture 56">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7559998" cy="10693739"/>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Ref179974320"/>
      <w:bookmarkEnd w:id="1"/>
      <w:sdt>
        <w:sdtPr>
          <w:rPr>
            <w:rFonts w:cs="Segoe UI"/>
            <w:b/>
            <w:color w:val="FFFFFF" w:themeColor="background1"/>
            <w:sz w:val="64"/>
            <w:szCs w:val="64"/>
          </w:rPr>
          <w:id w:val="803730555"/>
          <w:docPartObj>
            <w:docPartGallery w:val="Cover Pages"/>
            <w:docPartUnique/>
          </w:docPartObj>
        </w:sdtPr>
        <w:sdtEndPr>
          <w:rPr>
            <w:color w:val="00264D"/>
            <w:sz w:val="36"/>
            <w:szCs w:val="36"/>
          </w:rPr>
        </w:sdtEndPr>
        <w:sdtContent>
          <w:sdt>
            <w:sdtPr>
              <w:rPr>
                <w:rFonts w:cs="Segoe UI"/>
                <w:b/>
                <w:color w:val="00264D" w:themeColor="background2"/>
                <w:sz w:val="64"/>
                <w:szCs w:val="64"/>
              </w:rPr>
              <w:alias w:val="Title"/>
              <w:tag w:val=""/>
              <w:id w:val="-1850469689"/>
              <w:dataBinding w:prefixMappings="xmlns:ns0='http://purl.org/dc/elements/1.1/' xmlns:ns1='http://schemas.openxmlformats.org/package/2006/metadata/core-properties' " w:xpath="/ns1:coreProperties[1]/ns0:title[1]" w:storeItemID="{6C3C8BC8-F283-45AE-878A-BAB7291924A1}"/>
              <w:text/>
            </w:sdtPr>
            <w:sdtContent>
              <w:r w:rsidR="002140DC">
                <w:rPr>
                  <w:rFonts w:cs="Segoe UI"/>
                  <w:b/>
                  <w:color w:val="00264D" w:themeColor="background2"/>
                  <w:sz w:val="64"/>
                  <w:szCs w:val="64"/>
                </w:rPr>
                <w:t>Evaluation of the Medicare Urgent Care Clinics: Interim Evaluation Report</w:t>
              </w:r>
            </w:sdtContent>
          </w:sdt>
        </w:sdtContent>
      </w:sdt>
    </w:p>
    <w:p w14:paraId="10E76D2B" w14:textId="11EAEA0D" w:rsidR="00865A27" w:rsidRPr="009B783C" w:rsidRDefault="00000000">
      <w:pPr>
        <w:pStyle w:val="CoverPage-Client"/>
        <w:spacing w:before="360"/>
        <w:rPr>
          <w:rFonts w:cs="Segoe UI"/>
          <w:color w:val="F8981D" w:themeColor="accent3"/>
        </w:rPr>
      </w:pPr>
      <w:sdt>
        <w:sdtPr>
          <w:rPr>
            <w:rStyle w:val="CoverPage-ClientChar"/>
            <w:rFonts w:cs="Segoe UI"/>
            <w:color w:val="00264D" w:themeColor="background2"/>
          </w:rPr>
          <w:alias w:val="Subject"/>
          <w:tag w:val=""/>
          <w:id w:val="-1755584571"/>
          <w:dataBinding w:prefixMappings="xmlns:ns0='http://purl.org/dc/elements/1.1/' xmlns:ns1='http://schemas.openxmlformats.org/package/2006/metadata/core-properties' " w:xpath="/ns1:coreProperties[1]/ns0:subject[1]" w:storeItemID="{6C3C8BC8-F283-45AE-878A-BAB7291924A1}"/>
          <w:text/>
        </w:sdtPr>
        <w:sdtContent>
          <w:r w:rsidR="00ED1544">
            <w:rPr>
              <w:rStyle w:val="CoverPage-ClientChar"/>
              <w:rFonts w:cs="Segoe UI"/>
              <w:color w:val="00264D" w:themeColor="background2"/>
            </w:rPr>
            <w:t xml:space="preserve">Medicare Urgent Care Clinics </w:t>
          </w:r>
        </w:sdtContent>
      </w:sdt>
    </w:p>
    <w:p w14:paraId="1953C944" w14:textId="2F269F28" w:rsidR="00865A27" w:rsidRPr="009B783C" w:rsidRDefault="00000000">
      <w:pPr>
        <w:pStyle w:val="CoverPage-Date"/>
        <w:spacing w:before="240"/>
        <w:rPr>
          <w:color w:val="FFFFFF" w:themeColor="background1"/>
        </w:rPr>
      </w:pPr>
      <w:sdt>
        <w:sdtPr>
          <w:rPr>
            <w:rStyle w:val="CoverPage-DateChar"/>
            <w:rFonts w:cs="Segoe UI"/>
            <w:sz w:val="21"/>
            <w:szCs w:val="21"/>
          </w:rPr>
          <w:alias w:val="Publish Date"/>
          <w:tag w:val=""/>
          <w:id w:val="-443608997"/>
          <w:dataBinding w:prefixMappings="xmlns:ns0='http://schemas.microsoft.com/office/2006/coverPageProps' " w:xpath="/ns0:CoverPageProperties[1]/ns0:PublishDate[1]" w:storeItemID="{55AF091B-3C7A-41E3-B477-F2FDAA23CFDA}"/>
          <w:date w:fullDate="2025-01-28T00:00:00Z">
            <w:dateFormat w:val="d MMMM yyyy"/>
            <w:lid w:val="en-AU"/>
            <w:storeMappedDataAs w:val="dateTime"/>
            <w:calendar w:val="gregorian"/>
          </w:date>
        </w:sdtPr>
        <w:sdtEndPr>
          <w:rPr>
            <w:rStyle w:val="DefaultParagraphFont"/>
            <w:rFonts w:cs="Times New Roman"/>
          </w:rPr>
        </w:sdtEndPr>
        <w:sdtContent>
          <w:r w:rsidR="00682C0B" w:rsidRPr="009B783C">
            <w:rPr>
              <w:rStyle w:val="CoverPage-DateChar"/>
              <w:rFonts w:cs="Segoe UI"/>
              <w:sz w:val="21"/>
              <w:szCs w:val="21"/>
            </w:rPr>
            <w:t>28 January 2025</w:t>
          </w:r>
        </w:sdtContent>
      </w:sdt>
    </w:p>
    <w:p w14:paraId="3E5CE37C" w14:textId="65BBCD1A" w:rsidR="00865A27" w:rsidRPr="009B783C" w:rsidRDefault="00865A27" w:rsidP="004A073F">
      <w:pPr>
        <w:sectPr w:rsidR="00865A27" w:rsidRPr="009B783C" w:rsidSect="00523564">
          <w:headerReference w:type="default" r:id="rId13"/>
          <w:footerReference w:type="default" r:id="rId14"/>
          <w:headerReference w:type="first" r:id="rId15"/>
          <w:footerReference w:type="first" r:id="rId16"/>
          <w:pgSz w:w="11907" w:h="16839" w:code="9"/>
          <w:pgMar w:top="4820" w:right="1418" w:bottom="1701" w:left="1559" w:header="737" w:footer="567" w:gutter="0"/>
          <w:pgNumType w:start="0"/>
          <w:cols w:space="720"/>
          <w:titlePg/>
          <w:docGrid w:linePitch="360"/>
        </w:sectPr>
      </w:pPr>
    </w:p>
    <w:p w14:paraId="0C8FE537" w14:textId="5DAF1491" w:rsidR="00C76C1E" w:rsidRPr="009B783C" w:rsidRDefault="00A07BF1" w:rsidP="00ED1544">
      <w:pPr>
        <w:rPr>
          <w:rFonts w:asciiTheme="minorHAnsi" w:hAnsiTheme="minorHAnsi" w:cstheme="minorHAnsi"/>
          <w:sz w:val="23"/>
          <w:szCs w:val="23"/>
        </w:rPr>
      </w:pPr>
      <w:r w:rsidRPr="009B783C">
        <w:rPr>
          <w:rFonts w:cs="Segoe UI Semibold"/>
          <w:i/>
          <w:noProof/>
          <w:sz w:val="16"/>
          <w:szCs w:val="16"/>
        </w:rPr>
        <w:lastRenderedPageBreak/>
        <w:drawing>
          <wp:anchor distT="0" distB="0" distL="114300" distR="114300" simplePos="0" relativeHeight="251658243" behindDoc="1" locked="0" layoutInCell="1" allowOverlap="1" wp14:anchorId="57F02C04" wp14:editId="46A8CBB3">
            <wp:simplePos x="0" y="0"/>
            <wp:positionH relativeFrom="page">
              <wp:posOffset>-635</wp:posOffset>
            </wp:positionH>
            <wp:positionV relativeFrom="page">
              <wp:posOffset>116205</wp:posOffset>
            </wp:positionV>
            <wp:extent cx="7559675" cy="9608185"/>
            <wp:effectExtent l="0" t="0" r="3175" b="0"/>
            <wp:wrapNone/>
            <wp:docPr id="806" name="Picture 80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 name="Picture 806">
                      <a:extLst>
                        <a:ext uri="{C183D7F6-B498-43B3-948B-1728B52AA6E4}">
                          <adec:decorative xmlns:adec="http://schemas.microsoft.com/office/drawing/2017/decorative" val="1"/>
                        </a:ext>
                      </a:extLst>
                    </pic:cNvPr>
                    <pic:cNvPicPr/>
                  </pic:nvPicPr>
                  <pic:blipFill>
                    <a:blip r:embed="rId17">
                      <a:extLst>
                        <a:ext uri="{28A0092B-C50C-407E-A947-70E740481C1C}">
                          <a14:useLocalDpi xmlns:a14="http://schemas.microsoft.com/office/drawing/2010/main" val="0"/>
                        </a:ext>
                      </a:extLst>
                    </a:blip>
                    <a:stretch>
                      <a:fillRect/>
                    </a:stretch>
                  </pic:blipFill>
                  <pic:spPr>
                    <a:xfrm>
                      <a:off x="0" y="0"/>
                      <a:ext cx="7559675" cy="9608185"/>
                    </a:xfrm>
                    <a:prstGeom prst="rect">
                      <a:avLst/>
                    </a:prstGeom>
                  </pic:spPr>
                </pic:pic>
              </a:graphicData>
            </a:graphic>
            <wp14:sizeRelH relativeFrom="margin">
              <wp14:pctWidth>0</wp14:pctWidth>
            </wp14:sizeRelH>
            <wp14:sizeRelV relativeFrom="margin">
              <wp14:pctHeight>0</wp14:pctHeight>
            </wp14:sizeRelV>
          </wp:anchor>
        </w:drawing>
      </w:r>
      <w:r w:rsidR="00C76C1E" w:rsidRPr="009B783C">
        <w:rPr>
          <w:rFonts w:asciiTheme="minorHAnsi" w:hAnsiTheme="minorHAnsi" w:cstheme="minorHAnsi"/>
          <w:b/>
          <w:bCs/>
          <w:sz w:val="23"/>
          <w:szCs w:val="23"/>
        </w:rPr>
        <w:t>Nous Group</w:t>
      </w:r>
      <w:r w:rsidR="00C76C1E" w:rsidRPr="009B783C">
        <w:rPr>
          <w:sz w:val="23"/>
          <w:szCs w:val="23"/>
        </w:rPr>
        <w:t xml:space="preserve"> </w:t>
      </w:r>
      <w:r w:rsidR="00C76C1E" w:rsidRPr="009B783C">
        <w:rPr>
          <w:rFonts w:asciiTheme="minorHAnsi" w:hAnsiTheme="minorHAnsi" w:cstheme="minorHAnsi"/>
          <w:sz w:val="23"/>
          <w:szCs w:val="23"/>
        </w:rPr>
        <w:t>acknowledges Aboriginal and Torres Strait Islander peoples as the First Australians and the Traditional Custodians of country throughout Australia. We pay our respect to Elders past, present and emerging, who maintain their culture, country and spiritual connection to the land, sea and community.</w:t>
      </w:r>
    </w:p>
    <w:p w14:paraId="0759284E" w14:textId="179B5B5C" w:rsidR="00C76C1E" w:rsidRPr="009B783C" w:rsidRDefault="00C76C1E" w:rsidP="00746DA5">
      <w:pPr>
        <w:pBdr>
          <w:bottom w:val="single" w:sz="12" w:space="1" w:color="auto"/>
        </w:pBdr>
        <w:spacing w:before="480" w:after="360"/>
        <w:ind w:right="2268"/>
        <w:rPr>
          <w:sz w:val="18"/>
          <w:szCs w:val="18"/>
          <w:lang w:eastAsia="en-AU"/>
        </w:rPr>
      </w:pPr>
      <w:r w:rsidRPr="009B783C">
        <w:rPr>
          <w:szCs w:val="21"/>
          <w:lang w:eastAsia="en-AU"/>
        </w:rPr>
        <w:t>This artwork was developed by Marcus Lee Design to reflect Nous Group’s Reconciliation Action Plan and our aspirations for respectful and productive engagement with Aboriginal and Torres Strait Islander peoples and communities</w:t>
      </w:r>
      <w:r w:rsidRPr="009B783C">
        <w:rPr>
          <w:sz w:val="18"/>
          <w:szCs w:val="18"/>
          <w:lang w:eastAsia="en-AU"/>
        </w:rPr>
        <w:t>.</w:t>
      </w:r>
    </w:p>
    <w:p w14:paraId="026BEA18" w14:textId="77777777" w:rsidR="00C76C1E" w:rsidRPr="009B783C" w:rsidRDefault="00C76C1E" w:rsidP="00746DA5">
      <w:pPr>
        <w:spacing w:before="720" w:after="240"/>
        <w:rPr>
          <w:rFonts w:ascii="Segoe UI Semibold" w:hAnsi="Segoe UI Semibold" w:cs="Segoe UI Semibold"/>
          <w:i/>
          <w:szCs w:val="21"/>
        </w:rPr>
      </w:pPr>
      <w:r w:rsidRPr="009B783C">
        <w:rPr>
          <w:rFonts w:ascii="Segoe UI Semibold" w:hAnsi="Segoe UI Semibold" w:cs="Segoe UI Semibold"/>
          <w:i/>
          <w:szCs w:val="21"/>
        </w:rPr>
        <w:t>Disclaimer:</w:t>
      </w:r>
    </w:p>
    <w:p w14:paraId="01003F37" w14:textId="0BF44DA8" w:rsidR="00C76C1E" w:rsidRPr="009B783C" w:rsidRDefault="00C76C1E" w:rsidP="00C76C1E">
      <w:pPr>
        <w:ind w:right="-1"/>
        <w:rPr>
          <w:i/>
          <w:szCs w:val="21"/>
        </w:rPr>
      </w:pPr>
      <w:r w:rsidRPr="009B783C">
        <w:rPr>
          <w:i/>
          <w:szCs w:val="21"/>
        </w:rPr>
        <w:t>Nous Group (</w:t>
      </w:r>
      <w:r w:rsidRPr="009B783C">
        <w:rPr>
          <w:b/>
          <w:i/>
          <w:szCs w:val="21"/>
        </w:rPr>
        <w:t>Nous</w:t>
      </w:r>
      <w:r w:rsidRPr="009B783C">
        <w:rPr>
          <w:i/>
          <w:szCs w:val="21"/>
        </w:rPr>
        <w:t xml:space="preserve">) has prepared this report for the benefit of </w:t>
      </w:r>
      <w:r w:rsidR="00533863" w:rsidRPr="009B783C">
        <w:rPr>
          <w:i/>
          <w:szCs w:val="21"/>
        </w:rPr>
        <w:t>The Department of Health and Aged Care</w:t>
      </w:r>
      <w:r w:rsidRPr="009B783C">
        <w:rPr>
          <w:i/>
          <w:szCs w:val="21"/>
        </w:rPr>
        <w:t xml:space="preserve"> (the </w:t>
      </w:r>
      <w:r w:rsidRPr="009B783C">
        <w:rPr>
          <w:b/>
          <w:i/>
          <w:szCs w:val="21"/>
        </w:rPr>
        <w:t>Client</w:t>
      </w:r>
      <w:r w:rsidRPr="009B783C">
        <w:rPr>
          <w:i/>
          <w:szCs w:val="21"/>
        </w:rPr>
        <w:t>).</w:t>
      </w:r>
    </w:p>
    <w:p w14:paraId="0185BFB5" w14:textId="77777777" w:rsidR="00C76C1E" w:rsidRPr="009B783C" w:rsidRDefault="00C76C1E" w:rsidP="00C76C1E">
      <w:pPr>
        <w:rPr>
          <w:i/>
          <w:sz w:val="16"/>
          <w:szCs w:val="16"/>
        </w:rPr>
      </w:pPr>
      <w:r w:rsidRPr="009B783C">
        <w:rPr>
          <w:i/>
          <w:szCs w:val="21"/>
        </w:rPr>
        <w:t>The report should not be used or relied upon for any purpose other than as an expression of the conclusions and recommendations of Nous to the Client as to the matters within the scope of the report. Nous and its officers and employees expressly disclaim any liability to any person other than the Client who relies or purports to rely on the report for any other purpose</w:t>
      </w:r>
      <w:r w:rsidRPr="009B783C">
        <w:rPr>
          <w:i/>
          <w:sz w:val="16"/>
          <w:szCs w:val="16"/>
        </w:rPr>
        <w:t>.</w:t>
      </w:r>
    </w:p>
    <w:p w14:paraId="03183900" w14:textId="77777777" w:rsidR="00C76C1E" w:rsidRPr="009B783C" w:rsidRDefault="00C76C1E" w:rsidP="00C76C1E">
      <w:pPr>
        <w:rPr>
          <w:i/>
          <w:sz w:val="16"/>
          <w:szCs w:val="16"/>
        </w:rPr>
      </w:pPr>
      <w:r w:rsidRPr="009B783C">
        <w:rPr>
          <w:noProof/>
          <w:szCs w:val="21"/>
          <w:lang w:eastAsia="en-AU"/>
        </w:rPr>
        <mc:AlternateContent>
          <mc:Choice Requires="wps">
            <w:drawing>
              <wp:anchor distT="0" distB="0" distL="114300" distR="114300" simplePos="0" relativeHeight="251658240" behindDoc="0" locked="0" layoutInCell="0" allowOverlap="1" wp14:anchorId="21CFF73E" wp14:editId="424CCDAE">
                <wp:simplePos x="0" y="0"/>
                <wp:positionH relativeFrom="margin">
                  <wp:align>left</wp:align>
                </wp:positionH>
                <wp:positionV relativeFrom="bottomMargin">
                  <wp:posOffset>-426361</wp:posOffset>
                </wp:positionV>
                <wp:extent cx="1720800" cy="313200"/>
                <wp:effectExtent l="0" t="0" r="0" b="0"/>
                <wp:wrapNone/>
                <wp:docPr id="805" name="Text Box 805"/>
                <wp:cNvGraphicFramePr/>
                <a:graphic xmlns:a="http://schemas.openxmlformats.org/drawingml/2006/main">
                  <a:graphicData uri="http://schemas.microsoft.com/office/word/2010/wordprocessingShape">
                    <wps:wsp>
                      <wps:cNvSpPr txBox="1"/>
                      <wps:spPr>
                        <a:xfrm>
                          <a:off x="0" y="0"/>
                          <a:ext cx="1720800" cy="313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55ACBD" w14:textId="77777777" w:rsidR="00C76C1E" w:rsidRPr="009B783C" w:rsidRDefault="00C76C1E" w:rsidP="00C76C1E">
                            <w:pPr>
                              <w:rPr>
                                <w:color w:val="808080" w:themeColor="background1" w:themeShade="80"/>
                              </w:rPr>
                            </w:pPr>
                            <w:r w:rsidRPr="009B783C">
                              <w:rPr>
                                <w:color w:val="808080" w:themeColor="background1" w:themeShade="80"/>
                              </w:rPr>
                              <w:t>© Nous Group</w:t>
                            </w:r>
                          </w:p>
                        </w:txbxContent>
                      </wps:txbx>
                      <wps:bodyPr rot="0" spcFirstLastPara="0" vertOverflow="overflow" horzOverflow="overflow" vert="horz" wrap="square" lIns="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CFF73E" id="_x0000_t202" coordsize="21600,21600" o:spt="202" path="m,l,21600r21600,l21600,xe">
                <v:stroke joinstyle="miter"/>
                <v:path gradientshapeok="t" o:connecttype="rect"/>
              </v:shapetype>
              <v:shape id="Text Box 805" o:spid="_x0000_s1026" type="#_x0000_t202" style="position:absolute;margin-left:0;margin-top:-33.55pt;width:135.5pt;height:24.6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" o:allowincell="f" filled="f" stroked="f" strokeweight=".5pt">
                <v:textbox inset="0">
                  <w:txbxContent>
                    <w:p w14:paraId="1655ACBD" w14:textId="77777777" w:rsidR="00C76C1E" w:rsidRPr="009B783C" w:rsidRDefault="00C76C1E" w:rsidP="00C76C1E">
                      <w:pPr>
                        <w:rPr>
                          <w:color w:val="808080" w:themeColor="background1" w:themeShade="80"/>
                        </w:rPr>
                      </w:pPr>
                      <w:r w:rsidRPr="009B783C">
                        <w:rPr>
                          <w:color w:val="808080" w:themeColor="background1" w:themeShade="80"/>
                        </w:rPr>
                        <w:t>© Nous Group</w:t>
                      </w:r>
                    </w:p>
                  </w:txbxContent>
                </v:textbox>
                <w10:wrap anchorx="margin" anchory="margin"/>
              </v:shape>
            </w:pict>
          </mc:Fallback>
        </mc:AlternateContent>
      </w:r>
      <w:r w:rsidRPr="009B783C">
        <w:rPr>
          <w:i/>
          <w:szCs w:val="21"/>
        </w:rPr>
        <w:t>Nous has prepared the report with care and diligence. The conclusions and recommendations given by Nous in the report are given in good faith and in the reasonable belief that they are correct and not misleading. The report has been prepared by Nous based on information provided by the Client and by other persons. Nous has relied on that information and has not independently verified or audited that information</w:t>
      </w:r>
      <w:r w:rsidRPr="009B783C">
        <w:rPr>
          <w:i/>
          <w:sz w:val="16"/>
          <w:szCs w:val="16"/>
        </w:rPr>
        <w:t>.</w:t>
      </w:r>
      <w:r w:rsidRPr="009B783C">
        <w:rPr>
          <w:i/>
          <w:sz w:val="16"/>
          <w:szCs w:val="16"/>
        </w:rPr>
        <w:br w:type="page"/>
      </w:r>
    </w:p>
    <w:p w14:paraId="534F68D5" w14:textId="77777777" w:rsidR="00FD4AB1" w:rsidRPr="009B783C" w:rsidRDefault="00FD4AB1" w:rsidP="00C76C1E">
      <w:pPr>
        <w:ind w:right="-1"/>
        <w:rPr>
          <w:sz w:val="16"/>
          <w:szCs w:val="16"/>
        </w:rPr>
        <w:sectPr w:rsidR="00FD4AB1" w:rsidRPr="009B783C" w:rsidSect="00243FFC">
          <w:headerReference w:type="even" r:id="rId18"/>
          <w:headerReference w:type="default" r:id="rId19"/>
          <w:footerReference w:type="default" r:id="rId20"/>
          <w:headerReference w:type="first" r:id="rId21"/>
          <w:pgSz w:w="11907" w:h="16839" w:code="9"/>
          <w:pgMar w:top="5954" w:right="1418" w:bottom="1701" w:left="1559" w:header="737" w:footer="720" w:gutter="0"/>
          <w:pgNumType w:start="1"/>
          <w:cols w:space="720"/>
          <w:docGrid w:linePitch="360"/>
        </w:sectPr>
      </w:pPr>
    </w:p>
    <w:p w14:paraId="7C1A8030" w14:textId="62DA4795" w:rsidR="00AE38F0" w:rsidRPr="009B783C" w:rsidRDefault="008218C2" w:rsidP="00AE38F0">
      <w:pPr>
        <w:pStyle w:val="Heading1"/>
        <w:numPr>
          <w:ilvl w:val="0"/>
          <w:numId w:val="0"/>
        </w:numPr>
      </w:pPr>
      <w:bookmarkStart w:id="2" w:name="_Toc189639203"/>
      <w:bookmarkStart w:id="3" w:name="_Toc189771999"/>
      <w:r w:rsidRPr="009B783C">
        <w:lastRenderedPageBreak/>
        <w:t xml:space="preserve">Note </w:t>
      </w:r>
      <w:r w:rsidR="005A7A6F" w:rsidRPr="009B783C">
        <w:t xml:space="preserve">on </w:t>
      </w:r>
      <w:r w:rsidR="00AA271B" w:rsidRPr="009B783C">
        <w:t xml:space="preserve">limitations </w:t>
      </w:r>
      <w:r w:rsidR="00C960BE" w:rsidRPr="009B783C">
        <w:t>of this Interim Report</w:t>
      </w:r>
      <w:bookmarkEnd w:id="2"/>
      <w:bookmarkEnd w:id="3"/>
    </w:p>
    <w:p w14:paraId="2FFB7503" w14:textId="024BAFC7" w:rsidR="00E31A44" w:rsidRPr="009B783C" w:rsidRDefault="00E31A44" w:rsidP="00D36BE9">
      <w:pPr>
        <w:rPr>
          <w:szCs w:val="21"/>
        </w:rPr>
      </w:pPr>
      <w:r w:rsidRPr="009B783C">
        <w:rPr>
          <w:szCs w:val="21"/>
        </w:rPr>
        <w:t xml:space="preserve">This report of the Interim Evaluation of the Medicare Urgent Care Clinics (UCCs) program has been developed by the Nous Group </w:t>
      </w:r>
      <w:r w:rsidR="00F07EF6" w:rsidRPr="009B783C">
        <w:rPr>
          <w:szCs w:val="21"/>
        </w:rPr>
        <w:t xml:space="preserve">(Nous) </w:t>
      </w:r>
      <w:r w:rsidRPr="009B783C">
        <w:rPr>
          <w:szCs w:val="21"/>
        </w:rPr>
        <w:t xml:space="preserve">as the first of three reports that will progressively evaluate this program through to 2026. Interim </w:t>
      </w:r>
      <w:r w:rsidR="00F07EF6" w:rsidRPr="009B783C">
        <w:rPr>
          <w:szCs w:val="21"/>
        </w:rPr>
        <w:t>Evaluation</w:t>
      </w:r>
      <w:r w:rsidRPr="009B783C">
        <w:rPr>
          <w:szCs w:val="21"/>
        </w:rPr>
        <w:t xml:space="preserve"> Report 2 is due in late 2025 and the Final </w:t>
      </w:r>
      <w:r w:rsidR="00F07EF6" w:rsidRPr="009B783C">
        <w:rPr>
          <w:szCs w:val="21"/>
        </w:rPr>
        <w:t xml:space="preserve">Evaluation </w:t>
      </w:r>
      <w:r w:rsidRPr="009B783C">
        <w:rPr>
          <w:szCs w:val="21"/>
        </w:rPr>
        <w:t xml:space="preserve">Report in 2026. This report is based on information available from the establishment of the first clinics </w:t>
      </w:r>
      <w:r w:rsidR="003029C9" w:rsidRPr="009B783C">
        <w:rPr>
          <w:szCs w:val="21"/>
        </w:rPr>
        <w:t>o</w:t>
      </w:r>
      <w:r w:rsidRPr="009B783C">
        <w:rPr>
          <w:szCs w:val="21"/>
        </w:rPr>
        <w:t xml:space="preserve">n </w:t>
      </w:r>
      <w:r w:rsidR="003029C9" w:rsidRPr="009B783C">
        <w:rPr>
          <w:szCs w:val="21"/>
        </w:rPr>
        <w:t xml:space="preserve">30 </w:t>
      </w:r>
      <w:r w:rsidRPr="009B783C">
        <w:rPr>
          <w:szCs w:val="21"/>
        </w:rPr>
        <w:t xml:space="preserve">June 2023 through to </w:t>
      </w:r>
      <w:r w:rsidR="003029C9" w:rsidRPr="009B783C">
        <w:rPr>
          <w:szCs w:val="21"/>
        </w:rPr>
        <w:t xml:space="preserve">30 </w:t>
      </w:r>
      <w:r w:rsidRPr="009B783C">
        <w:rPr>
          <w:szCs w:val="21"/>
        </w:rPr>
        <w:t xml:space="preserve">September 2024, at which time 75 of the proposed 87 clinics had been established. Given the program is still in implementation stage, </w:t>
      </w:r>
      <w:r w:rsidR="00654BEE" w:rsidRPr="009B783C">
        <w:rPr>
          <w:szCs w:val="21"/>
        </w:rPr>
        <w:t>the report</w:t>
      </w:r>
      <w:r w:rsidRPr="009B783C">
        <w:rPr>
          <w:szCs w:val="21"/>
        </w:rPr>
        <w:t xml:space="preserve"> does not contain any final evaluation findings.</w:t>
      </w:r>
      <w:r w:rsidR="009F59C3" w:rsidRPr="009B783C">
        <w:rPr>
          <w:szCs w:val="21"/>
        </w:rPr>
        <w:t xml:space="preserve"> </w:t>
      </w:r>
    </w:p>
    <w:p w14:paraId="5CC4D053" w14:textId="77777777" w:rsidR="00E31A44" w:rsidRPr="009B783C" w:rsidRDefault="00E31A44" w:rsidP="00D36BE9">
      <w:pPr>
        <w:rPr>
          <w:szCs w:val="21"/>
        </w:rPr>
      </w:pPr>
      <w:r w:rsidRPr="009B783C">
        <w:rPr>
          <w:szCs w:val="21"/>
        </w:rPr>
        <w:t xml:space="preserve">The interim findings outlined in this report should be read </w:t>
      </w:r>
      <w:proofErr w:type="gramStart"/>
      <w:r w:rsidRPr="009B783C">
        <w:rPr>
          <w:szCs w:val="21"/>
        </w:rPr>
        <w:t>in light of</w:t>
      </w:r>
      <w:proofErr w:type="gramEnd"/>
      <w:r w:rsidRPr="009B783C">
        <w:rPr>
          <w:szCs w:val="21"/>
        </w:rPr>
        <w:t xml:space="preserve"> limitations in the evidence base for this initial phase of the evaluation. These are:</w:t>
      </w:r>
    </w:p>
    <w:p w14:paraId="6DB8FB8E" w14:textId="350CE302" w:rsidR="00FA478A" w:rsidRPr="009B783C" w:rsidRDefault="00FA478A" w:rsidP="00D36BE9">
      <w:pPr>
        <w:pStyle w:val="Bullet"/>
        <w:rPr>
          <w:szCs w:val="21"/>
        </w:rPr>
      </w:pPr>
      <w:r w:rsidRPr="009B783C">
        <w:rPr>
          <w:szCs w:val="21"/>
        </w:rPr>
        <w:t xml:space="preserve">The data available for assessing the impact of Medicare UCCs on </w:t>
      </w:r>
      <w:r w:rsidR="00654BEE" w:rsidRPr="009B783C">
        <w:rPr>
          <w:szCs w:val="21"/>
        </w:rPr>
        <w:t>E</w:t>
      </w:r>
      <w:r w:rsidR="00204F72" w:rsidRPr="009B783C">
        <w:rPr>
          <w:szCs w:val="21"/>
        </w:rPr>
        <w:t xml:space="preserve">mergency </w:t>
      </w:r>
      <w:r w:rsidR="00654BEE" w:rsidRPr="009B783C">
        <w:rPr>
          <w:szCs w:val="21"/>
        </w:rPr>
        <w:t>D</w:t>
      </w:r>
      <w:r w:rsidR="00204F72" w:rsidRPr="009B783C">
        <w:rPr>
          <w:szCs w:val="21"/>
        </w:rPr>
        <w:t>epartment (</w:t>
      </w:r>
      <w:r w:rsidRPr="009B783C">
        <w:rPr>
          <w:szCs w:val="21"/>
        </w:rPr>
        <w:t>ED</w:t>
      </w:r>
      <w:r w:rsidR="00204F72" w:rsidRPr="009B783C">
        <w:rPr>
          <w:szCs w:val="21"/>
        </w:rPr>
        <w:t>)</w:t>
      </w:r>
      <w:r w:rsidRPr="009B783C">
        <w:rPr>
          <w:szCs w:val="21"/>
        </w:rPr>
        <w:t xml:space="preserve"> presentations was largely limited to data reported by the Medicare UCCs on where patients would have sought treatment if the Medicare UCC was not available. This data has limitations and needs to be triangulated with analyses of ED presentations. The ED data that was publicly available for this report </w:t>
      </w:r>
      <w:r w:rsidR="00654BEE" w:rsidRPr="009B783C">
        <w:rPr>
          <w:szCs w:val="21"/>
        </w:rPr>
        <w:t xml:space="preserve">does not have sufficient </w:t>
      </w:r>
      <w:r w:rsidRPr="009B783C">
        <w:rPr>
          <w:szCs w:val="21"/>
        </w:rPr>
        <w:t xml:space="preserve">observations post-implementation of the Medicare UCCs to validly assess their impact on ED activity and waiting times. Additionally, </w:t>
      </w:r>
      <w:r w:rsidR="00E724D0" w:rsidRPr="009B783C">
        <w:rPr>
          <w:szCs w:val="21"/>
        </w:rPr>
        <w:t>due to granularity of the available data</w:t>
      </w:r>
      <w:r w:rsidRPr="009B783C">
        <w:rPr>
          <w:szCs w:val="21"/>
        </w:rPr>
        <w:t xml:space="preserve"> it was not feasible to isolate the impact on urgent care-equivalent presentations among triage category four and five ED presentations</w:t>
      </w:r>
      <w:r w:rsidR="004131A1" w:rsidRPr="009B783C">
        <w:rPr>
          <w:szCs w:val="21"/>
        </w:rPr>
        <w:t xml:space="preserve"> – which requires consideration of</w:t>
      </w:r>
      <w:r w:rsidR="00AD3408" w:rsidRPr="009B783C">
        <w:rPr>
          <w:szCs w:val="21"/>
        </w:rPr>
        <w:t xml:space="preserve"> the arrival </w:t>
      </w:r>
      <w:r w:rsidR="003638B4" w:rsidRPr="009B783C">
        <w:rPr>
          <w:szCs w:val="21"/>
        </w:rPr>
        <w:t xml:space="preserve">mode and </w:t>
      </w:r>
      <w:r w:rsidR="00F901B5" w:rsidRPr="009B783C">
        <w:rPr>
          <w:szCs w:val="21"/>
        </w:rPr>
        <w:t>episode</w:t>
      </w:r>
      <w:r w:rsidR="00E6356A" w:rsidRPr="009B783C">
        <w:rPr>
          <w:szCs w:val="21"/>
        </w:rPr>
        <w:t xml:space="preserve"> end status </w:t>
      </w:r>
      <w:r w:rsidR="004E062B" w:rsidRPr="009B783C">
        <w:rPr>
          <w:szCs w:val="21"/>
        </w:rPr>
        <w:t>–</w:t>
      </w:r>
      <w:r w:rsidR="00894C20" w:rsidRPr="009B783C">
        <w:rPr>
          <w:szCs w:val="21"/>
        </w:rPr>
        <w:t xml:space="preserve"> </w:t>
      </w:r>
      <w:r w:rsidRPr="009B783C">
        <w:rPr>
          <w:szCs w:val="21"/>
        </w:rPr>
        <w:t xml:space="preserve">nor to assess the impact </w:t>
      </w:r>
      <w:r w:rsidR="00DD76B4" w:rsidRPr="009B783C">
        <w:rPr>
          <w:szCs w:val="21"/>
        </w:rPr>
        <w:t xml:space="preserve">specifically </w:t>
      </w:r>
      <w:r w:rsidR="00435F49" w:rsidRPr="009B783C">
        <w:rPr>
          <w:szCs w:val="21"/>
        </w:rPr>
        <w:t xml:space="preserve">for the </w:t>
      </w:r>
      <w:r w:rsidRPr="009B783C">
        <w:rPr>
          <w:szCs w:val="21"/>
        </w:rPr>
        <w:t>catchment populations</w:t>
      </w:r>
      <w:r w:rsidR="00435F49" w:rsidRPr="009B783C">
        <w:rPr>
          <w:szCs w:val="21"/>
        </w:rPr>
        <w:t xml:space="preserve"> of the Medicare UCCs</w:t>
      </w:r>
      <w:r w:rsidR="005F662D" w:rsidRPr="009B783C">
        <w:rPr>
          <w:szCs w:val="21"/>
        </w:rPr>
        <w:t xml:space="preserve"> which</w:t>
      </w:r>
      <w:r w:rsidR="00E16F8F" w:rsidRPr="009B783C">
        <w:rPr>
          <w:szCs w:val="21"/>
        </w:rPr>
        <w:t xml:space="preserve"> are </w:t>
      </w:r>
      <w:r w:rsidR="000B0074" w:rsidRPr="009B783C">
        <w:rPr>
          <w:szCs w:val="21"/>
        </w:rPr>
        <w:t xml:space="preserve">usually </w:t>
      </w:r>
      <w:r w:rsidR="00E16F8F" w:rsidRPr="009B783C">
        <w:rPr>
          <w:szCs w:val="21"/>
        </w:rPr>
        <w:t xml:space="preserve">different to the broader </w:t>
      </w:r>
      <w:r w:rsidR="00A9178E" w:rsidRPr="009B783C">
        <w:rPr>
          <w:szCs w:val="21"/>
        </w:rPr>
        <w:t>catchments</w:t>
      </w:r>
      <w:r w:rsidR="00E16F8F" w:rsidRPr="009B783C">
        <w:rPr>
          <w:szCs w:val="21"/>
        </w:rPr>
        <w:t xml:space="preserve"> of partner hospitals</w:t>
      </w:r>
      <w:r w:rsidRPr="009B783C">
        <w:rPr>
          <w:szCs w:val="21"/>
        </w:rPr>
        <w:t xml:space="preserve"> These gaps will be addressed in the next two Evaluation Reports.</w:t>
      </w:r>
    </w:p>
    <w:p w14:paraId="08B80084" w14:textId="4A6DA40C" w:rsidR="00FA478A" w:rsidRPr="009B783C" w:rsidRDefault="00FA478A" w:rsidP="00D36BE9">
      <w:pPr>
        <w:pStyle w:val="Bullet"/>
        <w:rPr>
          <w:szCs w:val="21"/>
        </w:rPr>
      </w:pPr>
      <w:r w:rsidRPr="009B783C">
        <w:rPr>
          <w:szCs w:val="21"/>
        </w:rPr>
        <w:t>Stakeholder engagement was limited to commissioners of all Medicare UCCs, the executive of the Consumers Health Forum (CHF), staff representatives from three Medicare UCCs and a meeting of the Medicare UCC Operational Advisory Group. The evaluation team was not able to directly engage with patients or other consumers, staff of the Medicare UCCs beyond those mentioned, staff of partner hospital EDs, or local GPs in the areas where the Medicare UCCs are located. As outlined in the report, the next phase of the evaluation will include more extensive stakeholder engagement. Planned activities include surveys of Medicare UCC patients and staff, as well as consultations with other GPs</w:t>
      </w:r>
      <w:r w:rsidR="00B170D3" w:rsidRPr="009B783C">
        <w:rPr>
          <w:szCs w:val="21"/>
        </w:rPr>
        <w:t xml:space="preserve"> </w:t>
      </w:r>
      <w:r w:rsidR="00DC153A" w:rsidRPr="009B783C">
        <w:rPr>
          <w:szCs w:val="21"/>
        </w:rPr>
        <w:t xml:space="preserve">and GP </w:t>
      </w:r>
      <w:r w:rsidR="00B170D3" w:rsidRPr="009B783C">
        <w:rPr>
          <w:szCs w:val="21"/>
        </w:rPr>
        <w:t>representatives</w:t>
      </w:r>
      <w:r w:rsidRPr="009B783C">
        <w:rPr>
          <w:szCs w:val="21"/>
        </w:rPr>
        <w:t>, ED staff and stakeholders in the local health ecosystem.</w:t>
      </w:r>
    </w:p>
    <w:p w14:paraId="15F86D0C" w14:textId="27E57EDC" w:rsidR="00FA478A" w:rsidRPr="009B783C" w:rsidRDefault="00FA478A" w:rsidP="00D36BE9">
      <w:pPr>
        <w:pStyle w:val="Bullet"/>
        <w:rPr>
          <w:szCs w:val="21"/>
        </w:rPr>
      </w:pPr>
      <w:r w:rsidRPr="009B783C">
        <w:rPr>
          <w:szCs w:val="21"/>
        </w:rPr>
        <w:t xml:space="preserve">Many of the Medicare UCCs had been operating for less than 12 months at the cut-off date for analysis for this report (30 September 2024) and 12 Medicare UCCs were yet to implement arrangements to supply data to the Department of Health and Aged Care </w:t>
      </w:r>
      <w:r w:rsidR="00204F72" w:rsidRPr="009B783C">
        <w:rPr>
          <w:szCs w:val="21"/>
        </w:rPr>
        <w:t>(the Department)</w:t>
      </w:r>
      <w:r w:rsidRPr="009B783C">
        <w:rPr>
          <w:szCs w:val="21"/>
        </w:rPr>
        <w:t xml:space="preserve"> for the evaluation. </w:t>
      </w:r>
    </w:p>
    <w:p w14:paraId="3EDA41AB" w14:textId="77777777" w:rsidR="00AE38F0" w:rsidRPr="009B783C" w:rsidRDefault="00AE38F0" w:rsidP="00D36BE9">
      <w:pPr>
        <w:spacing w:after="480"/>
        <w:rPr>
          <w:szCs w:val="21"/>
        </w:rPr>
      </w:pPr>
      <w:r w:rsidRPr="009B783C">
        <w:rPr>
          <w:szCs w:val="21"/>
        </w:rPr>
        <w:t>Data issues are discussed more fully in the body of the report.</w:t>
      </w:r>
    </w:p>
    <w:p w14:paraId="25D668BA" w14:textId="4D2D41EB" w:rsidR="00AE38F0" w:rsidRPr="009B783C" w:rsidRDefault="00AE38F0" w:rsidP="00D36BE9">
      <w:pPr>
        <w:rPr>
          <w:szCs w:val="21"/>
        </w:rPr>
      </w:pPr>
      <w:r w:rsidRPr="009B783C">
        <w:rPr>
          <w:szCs w:val="21"/>
        </w:rPr>
        <w:t xml:space="preserve">Nous Group, </w:t>
      </w:r>
      <w:r w:rsidR="00663E5B" w:rsidRPr="009B783C">
        <w:rPr>
          <w:szCs w:val="21"/>
        </w:rPr>
        <w:t xml:space="preserve">January </w:t>
      </w:r>
      <w:r w:rsidRPr="009B783C">
        <w:rPr>
          <w:szCs w:val="21"/>
        </w:rPr>
        <w:t>202</w:t>
      </w:r>
      <w:r w:rsidR="00663E5B" w:rsidRPr="009B783C">
        <w:rPr>
          <w:szCs w:val="21"/>
        </w:rPr>
        <w:t>5</w:t>
      </w:r>
      <w:r w:rsidRPr="009B783C">
        <w:rPr>
          <w:szCs w:val="21"/>
        </w:rPr>
        <w:t>.</w:t>
      </w:r>
    </w:p>
    <w:p w14:paraId="24E0F86A" w14:textId="77777777" w:rsidR="00AE38F0" w:rsidRPr="00606C34" w:rsidRDefault="00AE38F0" w:rsidP="00606C34">
      <w:r w:rsidRPr="00606C34">
        <w:br w:type="page"/>
      </w:r>
    </w:p>
    <w:p w14:paraId="28758962" w14:textId="77777777" w:rsidR="00CF7BA0" w:rsidRDefault="00CF7BA0" w:rsidP="00610E40">
      <w:pPr>
        <w:rPr>
          <w:b/>
          <w:color w:val="00264D" w:themeColor="background2"/>
          <w:sz w:val="36"/>
          <w:szCs w:val="36"/>
        </w:rPr>
      </w:pPr>
      <w:r w:rsidRPr="009B783C">
        <w:rPr>
          <w:b/>
          <w:color w:val="00264D" w:themeColor="background2"/>
          <w:sz w:val="36"/>
          <w:szCs w:val="36"/>
        </w:rPr>
        <w:lastRenderedPageBreak/>
        <w:t>Contents</w:t>
      </w:r>
    </w:p>
    <w:p w14:paraId="5EE14CE9" w14:textId="58040738" w:rsidR="00965160" w:rsidRDefault="00BE2C3F">
      <w:pPr>
        <w:pStyle w:val="TOC1"/>
        <w:rPr>
          <w:rFonts w:asciiTheme="minorHAnsi" w:eastAsiaTheme="minorEastAsia" w:hAnsiTheme="minorHAnsi"/>
          <w:noProof/>
          <w:kern w:val="2"/>
          <w:sz w:val="24"/>
          <w:szCs w:val="24"/>
          <w:lang w:eastAsia="en-AU"/>
          <w14:ligatures w14:val="standardContextual"/>
        </w:rPr>
      </w:pPr>
      <w:r w:rsidRPr="009B783C">
        <w:rPr>
          <w:b/>
          <w:sz w:val="19"/>
        </w:rPr>
        <w:fldChar w:fldCharType="begin"/>
      </w:r>
      <w:r w:rsidRPr="009B783C">
        <w:rPr>
          <w:b/>
        </w:rPr>
        <w:instrText xml:space="preserve"> TOC \o "1-2" \h \z </w:instrText>
      </w:r>
      <w:r w:rsidRPr="009B783C">
        <w:rPr>
          <w:b/>
          <w:sz w:val="19"/>
        </w:rPr>
        <w:fldChar w:fldCharType="separate"/>
      </w:r>
      <w:hyperlink w:anchor="_Toc189771999" w:history="1">
        <w:r w:rsidR="00965160" w:rsidRPr="006B5494">
          <w:rPr>
            <w:rStyle w:val="Hyperlink"/>
            <w:noProof/>
          </w:rPr>
          <w:t>Note on limitations of this Interim Report</w:t>
        </w:r>
        <w:r w:rsidR="00965160">
          <w:rPr>
            <w:noProof/>
            <w:webHidden/>
          </w:rPr>
          <w:tab/>
        </w:r>
        <w:r w:rsidR="00965160">
          <w:rPr>
            <w:noProof/>
            <w:webHidden/>
          </w:rPr>
          <w:fldChar w:fldCharType="begin"/>
        </w:r>
        <w:r w:rsidR="00965160">
          <w:rPr>
            <w:noProof/>
            <w:webHidden/>
          </w:rPr>
          <w:instrText xml:space="preserve"> PAGEREF _Toc189771999 \h </w:instrText>
        </w:r>
        <w:r w:rsidR="00965160">
          <w:rPr>
            <w:noProof/>
            <w:webHidden/>
          </w:rPr>
        </w:r>
        <w:r w:rsidR="00965160">
          <w:rPr>
            <w:noProof/>
            <w:webHidden/>
          </w:rPr>
          <w:fldChar w:fldCharType="separate"/>
        </w:r>
        <w:r w:rsidR="00FC6A0A">
          <w:rPr>
            <w:noProof/>
            <w:webHidden/>
          </w:rPr>
          <w:t>2</w:t>
        </w:r>
        <w:r w:rsidR="00965160">
          <w:rPr>
            <w:noProof/>
            <w:webHidden/>
          </w:rPr>
          <w:fldChar w:fldCharType="end"/>
        </w:r>
      </w:hyperlink>
    </w:p>
    <w:p w14:paraId="045080EE" w14:textId="25492F4F"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00" w:history="1">
        <w:r w:rsidRPr="006B5494">
          <w:rPr>
            <w:rStyle w:val="Hyperlink"/>
            <w:noProof/>
          </w:rPr>
          <w:t>Abbreviations</w:t>
        </w:r>
        <w:r>
          <w:rPr>
            <w:noProof/>
            <w:webHidden/>
          </w:rPr>
          <w:tab/>
        </w:r>
        <w:r>
          <w:rPr>
            <w:noProof/>
            <w:webHidden/>
          </w:rPr>
          <w:fldChar w:fldCharType="begin"/>
        </w:r>
        <w:r>
          <w:rPr>
            <w:noProof/>
            <w:webHidden/>
          </w:rPr>
          <w:instrText xml:space="preserve"> PAGEREF _Toc189772000 \h </w:instrText>
        </w:r>
        <w:r>
          <w:rPr>
            <w:noProof/>
            <w:webHidden/>
          </w:rPr>
        </w:r>
        <w:r>
          <w:rPr>
            <w:noProof/>
            <w:webHidden/>
          </w:rPr>
          <w:fldChar w:fldCharType="separate"/>
        </w:r>
        <w:r w:rsidR="00FC6A0A">
          <w:rPr>
            <w:noProof/>
            <w:webHidden/>
          </w:rPr>
          <w:t>5</w:t>
        </w:r>
        <w:r>
          <w:rPr>
            <w:noProof/>
            <w:webHidden/>
          </w:rPr>
          <w:fldChar w:fldCharType="end"/>
        </w:r>
      </w:hyperlink>
    </w:p>
    <w:p w14:paraId="1F6EEEB9" w14:textId="5EF91E1B"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01" w:history="1">
        <w:r w:rsidRPr="006B5494">
          <w:rPr>
            <w:rStyle w:val="Hyperlink"/>
            <w:rFonts w:cstheme="minorHAnsi"/>
            <w:noProof/>
          </w:rPr>
          <w:t>Executive summary</w:t>
        </w:r>
        <w:r>
          <w:rPr>
            <w:noProof/>
            <w:webHidden/>
          </w:rPr>
          <w:tab/>
        </w:r>
        <w:r>
          <w:rPr>
            <w:noProof/>
            <w:webHidden/>
          </w:rPr>
          <w:fldChar w:fldCharType="begin"/>
        </w:r>
        <w:r>
          <w:rPr>
            <w:noProof/>
            <w:webHidden/>
          </w:rPr>
          <w:instrText xml:space="preserve"> PAGEREF _Toc189772001 \h </w:instrText>
        </w:r>
        <w:r>
          <w:rPr>
            <w:noProof/>
            <w:webHidden/>
          </w:rPr>
        </w:r>
        <w:r>
          <w:rPr>
            <w:noProof/>
            <w:webHidden/>
          </w:rPr>
          <w:fldChar w:fldCharType="separate"/>
        </w:r>
        <w:r w:rsidR="00FC6A0A">
          <w:rPr>
            <w:noProof/>
            <w:webHidden/>
          </w:rPr>
          <w:t>7</w:t>
        </w:r>
        <w:r>
          <w:rPr>
            <w:noProof/>
            <w:webHidden/>
          </w:rPr>
          <w:fldChar w:fldCharType="end"/>
        </w:r>
      </w:hyperlink>
    </w:p>
    <w:p w14:paraId="7DC8F4E3" w14:textId="28F2354B" w:rsidR="00965160" w:rsidRDefault="00965160">
      <w:pPr>
        <w:pStyle w:val="TOC2"/>
        <w:rPr>
          <w:rFonts w:eastAsiaTheme="minorEastAsia" w:cstheme="minorBidi"/>
          <w:kern w:val="2"/>
          <w:sz w:val="24"/>
          <w:szCs w:val="24"/>
          <w14:ligatures w14:val="standardContextual"/>
        </w:rPr>
      </w:pPr>
      <w:hyperlink w:anchor="_Toc189772002" w:history="1">
        <w:r w:rsidRPr="006B5494">
          <w:rPr>
            <w:rStyle w:val="Hyperlink"/>
          </w:rPr>
          <w:t>The Medicare UCC Program – what was intended</w:t>
        </w:r>
        <w:r>
          <w:rPr>
            <w:webHidden/>
          </w:rPr>
          <w:tab/>
        </w:r>
        <w:r>
          <w:rPr>
            <w:webHidden/>
          </w:rPr>
          <w:fldChar w:fldCharType="begin"/>
        </w:r>
        <w:r>
          <w:rPr>
            <w:webHidden/>
          </w:rPr>
          <w:instrText xml:space="preserve"> PAGEREF _Toc189772002 \h </w:instrText>
        </w:r>
        <w:r>
          <w:rPr>
            <w:webHidden/>
          </w:rPr>
        </w:r>
        <w:r>
          <w:rPr>
            <w:webHidden/>
          </w:rPr>
          <w:fldChar w:fldCharType="separate"/>
        </w:r>
        <w:r w:rsidR="00FC6A0A">
          <w:rPr>
            <w:webHidden/>
          </w:rPr>
          <w:t>7</w:t>
        </w:r>
        <w:r>
          <w:rPr>
            <w:webHidden/>
          </w:rPr>
          <w:fldChar w:fldCharType="end"/>
        </w:r>
      </w:hyperlink>
    </w:p>
    <w:p w14:paraId="2167A5D2" w14:textId="28812C08" w:rsidR="00965160" w:rsidRDefault="00965160">
      <w:pPr>
        <w:pStyle w:val="TOC2"/>
        <w:rPr>
          <w:rFonts w:eastAsiaTheme="minorEastAsia" w:cstheme="minorBidi"/>
          <w:kern w:val="2"/>
          <w:sz w:val="24"/>
          <w:szCs w:val="24"/>
          <w14:ligatures w14:val="standardContextual"/>
        </w:rPr>
      </w:pPr>
      <w:hyperlink w:anchor="_Toc189772003" w:history="1">
        <w:r w:rsidRPr="006B5494">
          <w:rPr>
            <w:rStyle w:val="Hyperlink"/>
          </w:rPr>
          <w:t>The evaluation</w:t>
        </w:r>
        <w:r>
          <w:rPr>
            <w:webHidden/>
          </w:rPr>
          <w:tab/>
        </w:r>
        <w:r>
          <w:rPr>
            <w:webHidden/>
          </w:rPr>
          <w:fldChar w:fldCharType="begin"/>
        </w:r>
        <w:r>
          <w:rPr>
            <w:webHidden/>
          </w:rPr>
          <w:instrText xml:space="preserve"> PAGEREF _Toc189772003 \h </w:instrText>
        </w:r>
        <w:r>
          <w:rPr>
            <w:webHidden/>
          </w:rPr>
        </w:r>
        <w:r>
          <w:rPr>
            <w:webHidden/>
          </w:rPr>
          <w:fldChar w:fldCharType="separate"/>
        </w:r>
        <w:r w:rsidR="00FC6A0A">
          <w:rPr>
            <w:webHidden/>
          </w:rPr>
          <w:t>8</w:t>
        </w:r>
        <w:r>
          <w:rPr>
            <w:webHidden/>
          </w:rPr>
          <w:fldChar w:fldCharType="end"/>
        </w:r>
      </w:hyperlink>
    </w:p>
    <w:p w14:paraId="20513EC9" w14:textId="5C820895" w:rsidR="00965160" w:rsidRDefault="00965160">
      <w:pPr>
        <w:pStyle w:val="TOC2"/>
        <w:rPr>
          <w:rFonts w:eastAsiaTheme="minorEastAsia" w:cstheme="minorBidi"/>
          <w:kern w:val="2"/>
          <w:sz w:val="24"/>
          <w:szCs w:val="24"/>
          <w14:ligatures w14:val="standardContextual"/>
        </w:rPr>
      </w:pPr>
      <w:hyperlink w:anchor="_Toc189772004" w:history="1">
        <w:r w:rsidRPr="006B5494">
          <w:rPr>
            <w:rStyle w:val="Hyperlink"/>
          </w:rPr>
          <w:t>Implementation progress</w:t>
        </w:r>
        <w:r>
          <w:rPr>
            <w:webHidden/>
          </w:rPr>
          <w:tab/>
        </w:r>
        <w:r>
          <w:rPr>
            <w:webHidden/>
          </w:rPr>
          <w:fldChar w:fldCharType="begin"/>
        </w:r>
        <w:r>
          <w:rPr>
            <w:webHidden/>
          </w:rPr>
          <w:instrText xml:space="preserve"> PAGEREF _Toc189772004 \h </w:instrText>
        </w:r>
        <w:r>
          <w:rPr>
            <w:webHidden/>
          </w:rPr>
        </w:r>
        <w:r>
          <w:rPr>
            <w:webHidden/>
          </w:rPr>
          <w:fldChar w:fldCharType="separate"/>
        </w:r>
        <w:r w:rsidR="00FC6A0A">
          <w:rPr>
            <w:webHidden/>
          </w:rPr>
          <w:t>8</w:t>
        </w:r>
        <w:r>
          <w:rPr>
            <w:webHidden/>
          </w:rPr>
          <w:fldChar w:fldCharType="end"/>
        </w:r>
      </w:hyperlink>
    </w:p>
    <w:p w14:paraId="67E26229" w14:textId="6EF663DB" w:rsidR="00965160" w:rsidRDefault="00965160">
      <w:pPr>
        <w:pStyle w:val="TOC2"/>
        <w:rPr>
          <w:rFonts w:eastAsiaTheme="minorEastAsia" w:cstheme="minorBidi"/>
          <w:kern w:val="2"/>
          <w:sz w:val="24"/>
          <w:szCs w:val="24"/>
          <w14:ligatures w14:val="standardContextual"/>
        </w:rPr>
      </w:pPr>
      <w:hyperlink w:anchor="_Toc189772005" w:history="1">
        <w:r w:rsidRPr="006B5494">
          <w:rPr>
            <w:rStyle w:val="Hyperlink"/>
          </w:rPr>
          <w:t>Interim evaluation against the nine Measures of Success</w:t>
        </w:r>
        <w:r>
          <w:rPr>
            <w:webHidden/>
          </w:rPr>
          <w:tab/>
        </w:r>
        <w:r>
          <w:rPr>
            <w:webHidden/>
          </w:rPr>
          <w:fldChar w:fldCharType="begin"/>
        </w:r>
        <w:r>
          <w:rPr>
            <w:webHidden/>
          </w:rPr>
          <w:instrText xml:space="preserve"> PAGEREF _Toc189772005 \h </w:instrText>
        </w:r>
        <w:r>
          <w:rPr>
            <w:webHidden/>
          </w:rPr>
        </w:r>
        <w:r>
          <w:rPr>
            <w:webHidden/>
          </w:rPr>
          <w:fldChar w:fldCharType="separate"/>
        </w:r>
        <w:r w:rsidR="00FC6A0A">
          <w:rPr>
            <w:webHidden/>
          </w:rPr>
          <w:t>9</w:t>
        </w:r>
        <w:r>
          <w:rPr>
            <w:webHidden/>
          </w:rPr>
          <w:fldChar w:fldCharType="end"/>
        </w:r>
      </w:hyperlink>
    </w:p>
    <w:p w14:paraId="72DCA11F" w14:textId="47921D2E"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06" w:history="1">
        <w:r w:rsidRPr="006B5494">
          <w:rPr>
            <w:rStyle w:val="Hyperlink"/>
            <w:noProof/>
          </w:rPr>
          <w:t>1</w:t>
        </w:r>
        <w:r>
          <w:rPr>
            <w:rFonts w:asciiTheme="minorHAnsi" w:eastAsiaTheme="minorEastAsia" w:hAnsiTheme="minorHAnsi"/>
            <w:noProof/>
            <w:kern w:val="2"/>
            <w:sz w:val="24"/>
            <w:szCs w:val="24"/>
            <w:lang w:eastAsia="en-AU"/>
            <w14:ligatures w14:val="standardContextual"/>
          </w:rPr>
          <w:tab/>
        </w:r>
        <w:r w:rsidRPr="006B5494">
          <w:rPr>
            <w:rStyle w:val="Hyperlink"/>
            <w:noProof/>
          </w:rPr>
          <w:t>Interim Evaluation Report 1</w:t>
        </w:r>
        <w:r>
          <w:rPr>
            <w:noProof/>
            <w:webHidden/>
          </w:rPr>
          <w:tab/>
        </w:r>
        <w:r>
          <w:rPr>
            <w:noProof/>
            <w:webHidden/>
          </w:rPr>
          <w:fldChar w:fldCharType="begin"/>
        </w:r>
        <w:r>
          <w:rPr>
            <w:noProof/>
            <w:webHidden/>
          </w:rPr>
          <w:instrText xml:space="preserve"> PAGEREF _Toc189772006 \h </w:instrText>
        </w:r>
        <w:r>
          <w:rPr>
            <w:noProof/>
            <w:webHidden/>
          </w:rPr>
        </w:r>
        <w:r>
          <w:rPr>
            <w:noProof/>
            <w:webHidden/>
          </w:rPr>
          <w:fldChar w:fldCharType="separate"/>
        </w:r>
        <w:r w:rsidR="00FC6A0A">
          <w:rPr>
            <w:noProof/>
            <w:webHidden/>
          </w:rPr>
          <w:t>16</w:t>
        </w:r>
        <w:r>
          <w:rPr>
            <w:noProof/>
            <w:webHidden/>
          </w:rPr>
          <w:fldChar w:fldCharType="end"/>
        </w:r>
      </w:hyperlink>
    </w:p>
    <w:p w14:paraId="151E277D" w14:textId="2A32FED9" w:rsidR="00965160" w:rsidRDefault="00965160">
      <w:pPr>
        <w:pStyle w:val="TOC2"/>
        <w:rPr>
          <w:rFonts w:eastAsiaTheme="minorEastAsia" w:cstheme="minorBidi"/>
          <w:kern w:val="2"/>
          <w:sz w:val="24"/>
          <w:szCs w:val="24"/>
          <w14:ligatures w14:val="standardContextual"/>
        </w:rPr>
      </w:pPr>
      <w:hyperlink w:anchor="_Toc189772007" w:history="1">
        <w:r w:rsidRPr="006B5494">
          <w:rPr>
            <w:rStyle w:val="Hyperlink"/>
          </w:rPr>
          <w:t>1.1</w:t>
        </w:r>
        <w:r>
          <w:rPr>
            <w:rFonts w:eastAsiaTheme="minorEastAsia" w:cstheme="minorBidi"/>
            <w:kern w:val="2"/>
            <w:sz w:val="24"/>
            <w:szCs w:val="24"/>
            <w14:ligatures w14:val="standardContextual"/>
          </w:rPr>
          <w:tab/>
        </w:r>
        <w:r w:rsidRPr="006B5494">
          <w:rPr>
            <w:rStyle w:val="Hyperlink"/>
          </w:rPr>
          <w:t>Introduction</w:t>
        </w:r>
        <w:r>
          <w:rPr>
            <w:webHidden/>
          </w:rPr>
          <w:tab/>
        </w:r>
        <w:r>
          <w:rPr>
            <w:webHidden/>
          </w:rPr>
          <w:fldChar w:fldCharType="begin"/>
        </w:r>
        <w:r>
          <w:rPr>
            <w:webHidden/>
          </w:rPr>
          <w:instrText xml:space="preserve"> PAGEREF _Toc189772007 \h </w:instrText>
        </w:r>
        <w:r>
          <w:rPr>
            <w:webHidden/>
          </w:rPr>
        </w:r>
        <w:r>
          <w:rPr>
            <w:webHidden/>
          </w:rPr>
          <w:fldChar w:fldCharType="separate"/>
        </w:r>
        <w:r w:rsidR="00FC6A0A">
          <w:rPr>
            <w:webHidden/>
          </w:rPr>
          <w:t>16</w:t>
        </w:r>
        <w:r>
          <w:rPr>
            <w:webHidden/>
          </w:rPr>
          <w:fldChar w:fldCharType="end"/>
        </w:r>
      </w:hyperlink>
    </w:p>
    <w:p w14:paraId="40DD9863" w14:textId="7AB6346F" w:rsidR="00965160" w:rsidRDefault="00965160">
      <w:pPr>
        <w:pStyle w:val="TOC2"/>
        <w:rPr>
          <w:rFonts w:eastAsiaTheme="minorEastAsia" w:cstheme="minorBidi"/>
          <w:kern w:val="2"/>
          <w:sz w:val="24"/>
          <w:szCs w:val="24"/>
          <w14:ligatures w14:val="standardContextual"/>
        </w:rPr>
      </w:pPr>
      <w:hyperlink w:anchor="_Toc189772008" w:history="1">
        <w:r w:rsidRPr="006B5494">
          <w:rPr>
            <w:rStyle w:val="Hyperlink"/>
          </w:rPr>
          <w:t>1.2</w:t>
        </w:r>
        <w:r>
          <w:rPr>
            <w:rFonts w:eastAsiaTheme="minorEastAsia" w:cstheme="minorBidi"/>
            <w:kern w:val="2"/>
            <w:sz w:val="24"/>
            <w:szCs w:val="24"/>
            <w14:ligatures w14:val="standardContextual"/>
          </w:rPr>
          <w:tab/>
        </w:r>
        <w:r w:rsidRPr="006B5494">
          <w:rPr>
            <w:rStyle w:val="Hyperlink"/>
          </w:rPr>
          <w:t>What is urgent care?</w:t>
        </w:r>
        <w:r>
          <w:rPr>
            <w:webHidden/>
          </w:rPr>
          <w:tab/>
        </w:r>
        <w:r>
          <w:rPr>
            <w:webHidden/>
          </w:rPr>
          <w:fldChar w:fldCharType="begin"/>
        </w:r>
        <w:r>
          <w:rPr>
            <w:webHidden/>
          </w:rPr>
          <w:instrText xml:space="preserve"> PAGEREF _Toc189772008 \h </w:instrText>
        </w:r>
        <w:r>
          <w:rPr>
            <w:webHidden/>
          </w:rPr>
        </w:r>
        <w:r>
          <w:rPr>
            <w:webHidden/>
          </w:rPr>
          <w:fldChar w:fldCharType="separate"/>
        </w:r>
        <w:r w:rsidR="00FC6A0A">
          <w:rPr>
            <w:webHidden/>
          </w:rPr>
          <w:t>17</w:t>
        </w:r>
        <w:r>
          <w:rPr>
            <w:webHidden/>
          </w:rPr>
          <w:fldChar w:fldCharType="end"/>
        </w:r>
      </w:hyperlink>
    </w:p>
    <w:p w14:paraId="102BEDBA" w14:textId="2F94638F" w:rsidR="00965160" w:rsidRDefault="00965160">
      <w:pPr>
        <w:pStyle w:val="TOC2"/>
        <w:rPr>
          <w:rFonts w:eastAsiaTheme="minorEastAsia" w:cstheme="minorBidi"/>
          <w:kern w:val="2"/>
          <w:sz w:val="24"/>
          <w:szCs w:val="24"/>
          <w14:ligatures w14:val="standardContextual"/>
        </w:rPr>
      </w:pPr>
      <w:hyperlink w:anchor="_Toc189772009" w:history="1">
        <w:r w:rsidRPr="006B5494">
          <w:rPr>
            <w:rStyle w:val="Hyperlink"/>
          </w:rPr>
          <w:t>1.3</w:t>
        </w:r>
        <w:r>
          <w:rPr>
            <w:rFonts w:eastAsiaTheme="minorEastAsia" w:cstheme="minorBidi"/>
            <w:kern w:val="2"/>
            <w:sz w:val="24"/>
            <w:szCs w:val="24"/>
            <w14:ligatures w14:val="standardContextual"/>
          </w:rPr>
          <w:tab/>
        </w:r>
        <w:r w:rsidRPr="006B5494">
          <w:rPr>
            <w:rStyle w:val="Hyperlink"/>
          </w:rPr>
          <w:t>The policy context</w:t>
        </w:r>
        <w:r>
          <w:rPr>
            <w:webHidden/>
          </w:rPr>
          <w:tab/>
        </w:r>
        <w:r>
          <w:rPr>
            <w:webHidden/>
          </w:rPr>
          <w:fldChar w:fldCharType="begin"/>
        </w:r>
        <w:r>
          <w:rPr>
            <w:webHidden/>
          </w:rPr>
          <w:instrText xml:space="preserve"> PAGEREF _Toc189772009 \h </w:instrText>
        </w:r>
        <w:r>
          <w:rPr>
            <w:webHidden/>
          </w:rPr>
        </w:r>
        <w:r>
          <w:rPr>
            <w:webHidden/>
          </w:rPr>
          <w:fldChar w:fldCharType="separate"/>
        </w:r>
        <w:r w:rsidR="00FC6A0A">
          <w:rPr>
            <w:webHidden/>
          </w:rPr>
          <w:t>18</w:t>
        </w:r>
        <w:r>
          <w:rPr>
            <w:webHidden/>
          </w:rPr>
          <w:fldChar w:fldCharType="end"/>
        </w:r>
      </w:hyperlink>
    </w:p>
    <w:p w14:paraId="004BB14C" w14:textId="4937EC12"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10" w:history="1">
        <w:r w:rsidRPr="006B5494">
          <w:rPr>
            <w:rStyle w:val="Hyperlink"/>
            <w:noProof/>
          </w:rPr>
          <w:t>2</w:t>
        </w:r>
        <w:r>
          <w:rPr>
            <w:rFonts w:asciiTheme="minorHAnsi" w:eastAsiaTheme="minorEastAsia" w:hAnsiTheme="minorHAnsi"/>
            <w:noProof/>
            <w:kern w:val="2"/>
            <w:sz w:val="24"/>
            <w:szCs w:val="24"/>
            <w:lang w:eastAsia="en-AU"/>
            <w14:ligatures w14:val="standardContextual"/>
          </w:rPr>
          <w:tab/>
        </w:r>
        <w:r w:rsidRPr="006B5494">
          <w:rPr>
            <w:rStyle w:val="Hyperlink"/>
            <w:noProof/>
          </w:rPr>
          <w:t>Brief overview of the Program</w:t>
        </w:r>
        <w:r>
          <w:rPr>
            <w:noProof/>
            <w:webHidden/>
          </w:rPr>
          <w:tab/>
        </w:r>
        <w:r>
          <w:rPr>
            <w:noProof/>
            <w:webHidden/>
          </w:rPr>
          <w:fldChar w:fldCharType="begin"/>
        </w:r>
        <w:r>
          <w:rPr>
            <w:noProof/>
            <w:webHidden/>
          </w:rPr>
          <w:instrText xml:space="preserve"> PAGEREF _Toc189772010 \h </w:instrText>
        </w:r>
        <w:r>
          <w:rPr>
            <w:noProof/>
            <w:webHidden/>
          </w:rPr>
        </w:r>
        <w:r>
          <w:rPr>
            <w:noProof/>
            <w:webHidden/>
          </w:rPr>
          <w:fldChar w:fldCharType="separate"/>
        </w:r>
        <w:r w:rsidR="00FC6A0A">
          <w:rPr>
            <w:noProof/>
            <w:webHidden/>
          </w:rPr>
          <w:t>22</w:t>
        </w:r>
        <w:r>
          <w:rPr>
            <w:noProof/>
            <w:webHidden/>
          </w:rPr>
          <w:fldChar w:fldCharType="end"/>
        </w:r>
      </w:hyperlink>
    </w:p>
    <w:p w14:paraId="72DD50FA" w14:textId="202B7283" w:rsidR="00965160" w:rsidRDefault="00965160">
      <w:pPr>
        <w:pStyle w:val="TOC2"/>
        <w:rPr>
          <w:rFonts w:eastAsiaTheme="minorEastAsia" w:cstheme="minorBidi"/>
          <w:kern w:val="2"/>
          <w:sz w:val="24"/>
          <w:szCs w:val="24"/>
          <w14:ligatures w14:val="standardContextual"/>
        </w:rPr>
      </w:pPr>
      <w:hyperlink w:anchor="_Toc189772011" w:history="1">
        <w:r w:rsidRPr="006B5494">
          <w:rPr>
            <w:rStyle w:val="Hyperlink"/>
          </w:rPr>
          <w:t>2.1</w:t>
        </w:r>
        <w:r>
          <w:rPr>
            <w:rFonts w:eastAsiaTheme="minorEastAsia" w:cstheme="minorBidi"/>
            <w:kern w:val="2"/>
            <w:sz w:val="24"/>
            <w:szCs w:val="24"/>
            <w14:ligatures w14:val="standardContextual"/>
          </w:rPr>
          <w:tab/>
        </w:r>
        <w:r w:rsidRPr="006B5494">
          <w:rPr>
            <w:rStyle w:val="Hyperlink"/>
          </w:rPr>
          <w:t>What is a Medicare UCC?</w:t>
        </w:r>
        <w:r>
          <w:rPr>
            <w:webHidden/>
          </w:rPr>
          <w:tab/>
        </w:r>
        <w:r>
          <w:rPr>
            <w:webHidden/>
          </w:rPr>
          <w:fldChar w:fldCharType="begin"/>
        </w:r>
        <w:r>
          <w:rPr>
            <w:webHidden/>
          </w:rPr>
          <w:instrText xml:space="preserve"> PAGEREF _Toc189772011 \h </w:instrText>
        </w:r>
        <w:r>
          <w:rPr>
            <w:webHidden/>
          </w:rPr>
        </w:r>
        <w:r>
          <w:rPr>
            <w:webHidden/>
          </w:rPr>
          <w:fldChar w:fldCharType="separate"/>
        </w:r>
        <w:r w:rsidR="00FC6A0A">
          <w:rPr>
            <w:webHidden/>
          </w:rPr>
          <w:t>22</w:t>
        </w:r>
        <w:r>
          <w:rPr>
            <w:webHidden/>
          </w:rPr>
          <w:fldChar w:fldCharType="end"/>
        </w:r>
      </w:hyperlink>
    </w:p>
    <w:p w14:paraId="2F7872A5" w14:textId="76CE2207" w:rsidR="00965160" w:rsidRDefault="00965160">
      <w:pPr>
        <w:pStyle w:val="TOC2"/>
        <w:rPr>
          <w:rFonts w:eastAsiaTheme="minorEastAsia" w:cstheme="minorBidi"/>
          <w:kern w:val="2"/>
          <w:sz w:val="24"/>
          <w:szCs w:val="24"/>
          <w14:ligatures w14:val="standardContextual"/>
        </w:rPr>
      </w:pPr>
      <w:hyperlink w:anchor="_Toc189772012" w:history="1">
        <w:r w:rsidRPr="006B5494">
          <w:rPr>
            <w:rStyle w:val="Hyperlink"/>
          </w:rPr>
          <w:t>2.2</w:t>
        </w:r>
        <w:r>
          <w:rPr>
            <w:rFonts w:eastAsiaTheme="minorEastAsia" w:cstheme="minorBidi"/>
            <w:kern w:val="2"/>
            <w:sz w:val="24"/>
            <w:szCs w:val="24"/>
            <w14:ligatures w14:val="standardContextual"/>
          </w:rPr>
          <w:tab/>
        </w:r>
        <w:r w:rsidRPr="006B5494">
          <w:rPr>
            <w:rStyle w:val="Hyperlink"/>
          </w:rPr>
          <w:t>Where were they to be located?</w:t>
        </w:r>
        <w:r>
          <w:rPr>
            <w:webHidden/>
          </w:rPr>
          <w:tab/>
        </w:r>
        <w:r>
          <w:rPr>
            <w:webHidden/>
          </w:rPr>
          <w:fldChar w:fldCharType="begin"/>
        </w:r>
        <w:r>
          <w:rPr>
            <w:webHidden/>
          </w:rPr>
          <w:instrText xml:space="preserve"> PAGEREF _Toc189772012 \h </w:instrText>
        </w:r>
        <w:r>
          <w:rPr>
            <w:webHidden/>
          </w:rPr>
        </w:r>
        <w:r>
          <w:rPr>
            <w:webHidden/>
          </w:rPr>
          <w:fldChar w:fldCharType="separate"/>
        </w:r>
        <w:r w:rsidR="00FC6A0A">
          <w:rPr>
            <w:webHidden/>
          </w:rPr>
          <w:t>24</w:t>
        </w:r>
        <w:r>
          <w:rPr>
            <w:webHidden/>
          </w:rPr>
          <w:fldChar w:fldCharType="end"/>
        </w:r>
      </w:hyperlink>
    </w:p>
    <w:p w14:paraId="3AD2F47D" w14:textId="1E33BE84" w:rsidR="00965160" w:rsidRDefault="00965160">
      <w:pPr>
        <w:pStyle w:val="TOC2"/>
        <w:rPr>
          <w:rFonts w:eastAsiaTheme="minorEastAsia" w:cstheme="minorBidi"/>
          <w:kern w:val="2"/>
          <w:sz w:val="24"/>
          <w:szCs w:val="24"/>
          <w14:ligatures w14:val="standardContextual"/>
        </w:rPr>
      </w:pPr>
      <w:hyperlink w:anchor="_Toc189772013" w:history="1">
        <w:r w:rsidRPr="006B5494">
          <w:rPr>
            <w:rStyle w:val="Hyperlink"/>
          </w:rPr>
          <w:t>2.3</w:t>
        </w:r>
        <w:r>
          <w:rPr>
            <w:rFonts w:eastAsiaTheme="minorEastAsia" w:cstheme="minorBidi"/>
            <w:kern w:val="2"/>
            <w:sz w:val="24"/>
            <w:szCs w:val="24"/>
            <w14:ligatures w14:val="standardContextual"/>
          </w:rPr>
          <w:tab/>
        </w:r>
        <w:r w:rsidRPr="006B5494">
          <w:rPr>
            <w:rStyle w:val="Hyperlink"/>
          </w:rPr>
          <w:t>What governance arrangements were put in place?</w:t>
        </w:r>
        <w:r>
          <w:rPr>
            <w:webHidden/>
          </w:rPr>
          <w:tab/>
        </w:r>
        <w:r>
          <w:rPr>
            <w:webHidden/>
          </w:rPr>
          <w:fldChar w:fldCharType="begin"/>
        </w:r>
        <w:r>
          <w:rPr>
            <w:webHidden/>
          </w:rPr>
          <w:instrText xml:space="preserve"> PAGEREF _Toc189772013 \h </w:instrText>
        </w:r>
        <w:r>
          <w:rPr>
            <w:webHidden/>
          </w:rPr>
        </w:r>
        <w:r>
          <w:rPr>
            <w:webHidden/>
          </w:rPr>
          <w:fldChar w:fldCharType="separate"/>
        </w:r>
        <w:r w:rsidR="00FC6A0A">
          <w:rPr>
            <w:webHidden/>
          </w:rPr>
          <w:t>24</w:t>
        </w:r>
        <w:r>
          <w:rPr>
            <w:webHidden/>
          </w:rPr>
          <w:fldChar w:fldCharType="end"/>
        </w:r>
      </w:hyperlink>
    </w:p>
    <w:p w14:paraId="49FA435D" w14:textId="0E50D5C2"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14" w:history="1">
        <w:r w:rsidRPr="006B5494">
          <w:rPr>
            <w:rStyle w:val="Hyperlink"/>
            <w:noProof/>
          </w:rPr>
          <w:t>3</w:t>
        </w:r>
        <w:r>
          <w:rPr>
            <w:rFonts w:asciiTheme="minorHAnsi" w:eastAsiaTheme="minorEastAsia" w:hAnsiTheme="minorHAnsi"/>
            <w:noProof/>
            <w:kern w:val="2"/>
            <w:sz w:val="24"/>
            <w:szCs w:val="24"/>
            <w:lang w:eastAsia="en-AU"/>
            <w14:ligatures w14:val="standardContextual"/>
          </w:rPr>
          <w:tab/>
        </w:r>
        <w:r w:rsidRPr="006B5494">
          <w:rPr>
            <w:rStyle w:val="Hyperlink"/>
            <w:noProof/>
          </w:rPr>
          <w:t>Evaluation design and methodology</w:t>
        </w:r>
        <w:r>
          <w:rPr>
            <w:noProof/>
            <w:webHidden/>
          </w:rPr>
          <w:tab/>
        </w:r>
        <w:r>
          <w:rPr>
            <w:noProof/>
            <w:webHidden/>
          </w:rPr>
          <w:fldChar w:fldCharType="begin"/>
        </w:r>
        <w:r>
          <w:rPr>
            <w:noProof/>
            <w:webHidden/>
          </w:rPr>
          <w:instrText xml:space="preserve"> PAGEREF _Toc189772014 \h </w:instrText>
        </w:r>
        <w:r>
          <w:rPr>
            <w:noProof/>
            <w:webHidden/>
          </w:rPr>
        </w:r>
        <w:r>
          <w:rPr>
            <w:noProof/>
            <w:webHidden/>
          </w:rPr>
          <w:fldChar w:fldCharType="separate"/>
        </w:r>
        <w:r w:rsidR="00FC6A0A">
          <w:rPr>
            <w:noProof/>
            <w:webHidden/>
          </w:rPr>
          <w:t>25</w:t>
        </w:r>
        <w:r>
          <w:rPr>
            <w:noProof/>
            <w:webHidden/>
          </w:rPr>
          <w:fldChar w:fldCharType="end"/>
        </w:r>
      </w:hyperlink>
    </w:p>
    <w:p w14:paraId="20F72C77" w14:textId="757F3E03" w:rsidR="00965160" w:rsidRDefault="00965160">
      <w:pPr>
        <w:pStyle w:val="TOC2"/>
        <w:rPr>
          <w:rFonts w:eastAsiaTheme="minorEastAsia" w:cstheme="minorBidi"/>
          <w:kern w:val="2"/>
          <w:sz w:val="24"/>
          <w:szCs w:val="24"/>
          <w14:ligatures w14:val="standardContextual"/>
        </w:rPr>
      </w:pPr>
      <w:hyperlink w:anchor="_Toc189772015" w:history="1">
        <w:r w:rsidRPr="006B5494">
          <w:rPr>
            <w:rStyle w:val="Hyperlink"/>
          </w:rPr>
          <w:t>3.1</w:t>
        </w:r>
        <w:r>
          <w:rPr>
            <w:rFonts w:eastAsiaTheme="minorEastAsia" w:cstheme="minorBidi"/>
            <w:kern w:val="2"/>
            <w:sz w:val="24"/>
            <w:szCs w:val="24"/>
            <w14:ligatures w14:val="standardContextual"/>
          </w:rPr>
          <w:tab/>
        </w:r>
        <w:r w:rsidRPr="006B5494">
          <w:rPr>
            <w:rStyle w:val="Hyperlink"/>
          </w:rPr>
          <w:t>Nationally agreed Measures of Success for the Medicare UCC Program</w:t>
        </w:r>
        <w:r>
          <w:rPr>
            <w:webHidden/>
          </w:rPr>
          <w:tab/>
        </w:r>
        <w:r>
          <w:rPr>
            <w:webHidden/>
          </w:rPr>
          <w:fldChar w:fldCharType="begin"/>
        </w:r>
        <w:r>
          <w:rPr>
            <w:webHidden/>
          </w:rPr>
          <w:instrText xml:space="preserve"> PAGEREF _Toc189772015 \h </w:instrText>
        </w:r>
        <w:r>
          <w:rPr>
            <w:webHidden/>
          </w:rPr>
        </w:r>
        <w:r>
          <w:rPr>
            <w:webHidden/>
          </w:rPr>
          <w:fldChar w:fldCharType="separate"/>
        </w:r>
        <w:r w:rsidR="00FC6A0A">
          <w:rPr>
            <w:webHidden/>
          </w:rPr>
          <w:t>25</w:t>
        </w:r>
        <w:r>
          <w:rPr>
            <w:webHidden/>
          </w:rPr>
          <w:fldChar w:fldCharType="end"/>
        </w:r>
      </w:hyperlink>
    </w:p>
    <w:p w14:paraId="4571975D" w14:textId="0BF23C23" w:rsidR="00965160" w:rsidRDefault="00965160">
      <w:pPr>
        <w:pStyle w:val="TOC2"/>
        <w:rPr>
          <w:rFonts w:eastAsiaTheme="minorEastAsia" w:cstheme="minorBidi"/>
          <w:kern w:val="2"/>
          <w:sz w:val="24"/>
          <w:szCs w:val="24"/>
          <w14:ligatures w14:val="standardContextual"/>
        </w:rPr>
      </w:pPr>
      <w:hyperlink w:anchor="_Toc189772016" w:history="1">
        <w:r w:rsidRPr="006B5494">
          <w:rPr>
            <w:rStyle w:val="Hyperlink"/>
          </w:rPr>
          <w:t>3.2</w:t>
        </w:r>
        <w:r>
          <w:rPr>
            <w:rFonts w:eastAsiaTheme="minorEastAsia" w:cstheme="minorBidi"/>
            <w:kern w:val="2"/>
            <w:sz w:val="24"/>
            <w:szCs w:val="24"/>
            <w14:ligatures w14:val="standardContextual"/>
          </w:rPr>
          <w:tab/>
        </w:r>
        <w:r w:rsidRPr="006B5494">
          <w:rPr>
            <w:rStyle w:val="Hyperlink"/>
          </w:rPr>
          <w:t>Evaluation phases</w:t>
        </w:r>
        <w:r>
          <w:rPr>
            <w:webHidden/>
          </w:rPr>
          <w:tab/>
        </w:r>
        <w:r>
          <w:rPr>
            <w:webHidden/>
          </w:rPr>
          <w:fldChar w:fldCharType="begin"/>
        </w:r>
        <w:r>
          <w:rPr>
            <w:webHidden/>
          </w:rPr>
          <w:instrText xml:space="preserve"> PAGEREF _Toc189772016 \h </w:instrText>
        </w:r>
        <w:r>
          <w:rPr>
            <w:webHidden/>
          </w:rPr>
        </w:r>
        <w:r>
          <w:rPr>
            <w:webHidden/>
          </w:rPr>
          <w:fldChar w:fldCharType="separate"/>
        </w:r>
        <w:r w:rsidR="00FC6A0A">
          <w:rPr>
            <w:webHidden/>
          </w:rPr>
          <w:t>25</w:t>
        </w:r>
        <w:r>
          <w:rPr>
            <w:webHidden/>
          </w:rPr>
          <w:fldChar w:fldCharType="end"/>
        </w:r>
      </w:hyperlink>
    </w:p>
    <w:p w14:paraId="31C8A53A" w14:textId="3D84367C" w:rsidR="00965160" w:rsidRDefault="00965160">
      <w:pPr>
        <w:pStyle w:val="TOC2"/>
        <w:rPr>
          <w:rFonts w:eastAsiaTheme="minorEastAsia" w:cstheme="minorBidi"/>
          <w:kern w:val="2"/>
          <w:sz w:val="24"/>
          <w:szCs w:val="24"/>
          <w14:ligatures w14:val="standardContextual"/>
        </w:rPr>
      </w:pPr>
      <w:hyperlink w:anchor="_Toc189772017" w:history="1">
        <w:r w:rsidRPr="006B5494">
          <w:rPr>
            <w:rStyle w:val="Hyperlink"/>
          </w:rPr>
          <w:t>3.3</w:t>
        </w:r>
        <w:r>
          <w:rPr>
            <w:rFonts w:eastAsiaTheme="minorEastAsia" w:cstheme="minorBidi"/>
            <w:kern w:val="2"/>
            <w:sz w:val="24"/>
            <w:szCs w:val="24"/>
            <w14:ligatures w14:val="standardContextual"/>
          </w:rPr>
          <w:tab/>
        </w:r>
        <w:r w:rsidRPr="006B5494">
          <w:rPr>
            <w:rStyle w:val="Hyperlink"/>
          </w:rPr>
          <w:t>Data sources</w:t>
        </w:r>
        <w:r>
          <w:rPr>
            <w:webHidden/>
          </w:rPr>
          <w:tab/>
        </w:r>
        <w:r>
          <w:rPr>
            <w:webHidden/>
          </w:rPr>
          <w:fldChar w:fldCharType="begin"/>
        </w:r>
        <w:r>
          <w:rPr>
            <w:webHidden/>
          </w:rPr>
          <w:instrText xml:space="preserve"> PAGEREF _Toc189772017 \h </w:instrText>
        </w:r>
        <w:r>
          <w:rPr>
            <w:webHidden/>
          </w:rPr>
        </w:r>
        <w:r>
          <w:rPr>
            <w:webHidden/>
          </w:rPr>
          <w:fldChar w:fldCharType="separate"/>
        </w:r>
        <w:r w:rsidR="00FC6A0A">
          <w:rPr>
            <w:webHidden/>
          </w:rPr>
          <w:t>26</w:t>
        </w:r>
        <w:r>
          <w:rPr>
            <w:webHidden/>
          </w:rPr>
          <w:fldChar w:fldCharType="end"/>
        </w:r>
      </w:hyperlink>
    </w:p>
    <w:p w14:paraId="79775EC2" w14:textId="488E070A" w:rsidR="00965160" w:rsidRDefault="00965160">
      <w:pPr>
        <w:pStyle w:val="TOC2"/>
        <w:rPr>
          <w:rFonts w:eastAsiaTheme="minorEastAsia" w:cstheme="minorBidi"/>
          <w:kern w:val="2"/>
          <w:sz w:val="24"/>
          <w:szCs w:val="24"/>
          <w14:ligatures w14:val="standardContextual"/>
        </w:rPr>
      </w:pPr>
      <w:hyperlink w:anchor="_Toc189772018" w:history="1">
        <w:r w:rsidRPr="006B5494">
          <w:rPr>
            <w:rStyle w:val="Hyperlink"/>
          </w:rPr>
          <w:t>3.4</w:t>
        </w:r>
        <w:r>
          <w:rPr>
            <w:rFonts w:eastAsiaTheme="minorEastAsia" w:cstheme="minorBidi"/>
            <w:kern w:val="2"/>
            <w:sz w:val="24"/>
            <w:szCs w:val="24"/>
            <w14:ligatures w14:val="standardContextual"/>
          </w:rPr>
          <w:tab/>
        </w:r>
        <w:r w:rsidRPr="006B5494">
          <w:rPr>
            <w:rStyle w:val="Hyperlink"/>
          </w:rPr>
          <w:t>Data limitations</w:t>
        </w:r>
        <w:r>
          <w:rPr>
            <w:webHidden/>
          </w:rPr>
          <w:tab/>
        </w:r>
        <w:r>
          <w:rPr>
            <w:webHidden/>
          </w:rPr>
          <w:fldChar w:fldCharType="begin"/>
        </w:r>
        <w:r>
          <w:rPr>
            <w:webHidden/>
          </w:rPr>
          <w:instrText xml:space="preserve"> PAGEREF _Toc189772018 \h </w:instrText>
        </w:r>
        <w:r>
          <w:rPr>
            <w:webHidden/>
          </w:rPr>
        </w:r>
        <w:r>
          <w:rPr>
            <w:webHidden/>
          </w:rPr>
          <w:fldChar w:fldCharType="separate"/>
        </w:r>
        <w:r w:rsidR="00FC6A0A">
          <w:rPr>
            <w:webHidden/>
          </w:rPr>
          <w:t>28</w:t>
        </w:r>
        <w:r>
          <w:rPr>
            <w:webHidden/>
          </w:rPr>
          <w:fldChar w:fldCharType="end"/>
        </w:r>
      </w:hyperlink>
    </w:p>
    <w:p w14:paraId="737B3D9F" w14:textId="2930B106"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19" w:history="1">
        <w:r w:rsidRPr="006B5494">
          <w:rPr>
            <w:rStyle w:val="Hyperlink"/>
            <w:noProof/>
          </w:rPr>
          <w:t>4</w:t>
        </w:r>
        <w:r>
          <w:rPr>
            <w:rFonts w:asciiTheme="minorHAnsi" w:eastAsiaTheme="minorEastAsia" w:hAnsiTheme="minorHAnsi"/>
            <w:noProof/>
            <w:kern w:val="2"/>
            <w:sz w:val="24"/>
            <w:szCs w:val="24"/>
            <w:lang w:eastAsia="en-AU"/>
            <w14:ligatures w14:val="standardContextual"/>
          </w:rPr>
          <w:tab/>
        </w:r>
        <w:r w:rsidRPr="006B5494">
          <w:rPr>
            <w:rStyle w:val="Hyperlink"/>
            <w:noProof/>
          </w:rPr>
          <w:t>Implementation: what has been implemented so far?</w:t>
        </w:r>
        <w:r>
          <w:rPr>
            <w:noProof/>
            <w:webHidden/>
          </w:rPr>
          <w:tab/>
        </w:r>
        <w:r>
          <w:rPr>
            <w:noProof/>
            <w:webHidden/>
          </w:rPr>
          <w:fldChar w:fldCharType="begin"/>
        </w:r>
        <w:r>
          <w:rPr>
            <w:noProof/>
            <w:webHidden/>
          </w:rPr>
          <w:instrText xml:space="preserve"> PAGEREF _Toc189772019 \h </w:instrText>
        </w:r>
        <w:r>
          <w:rPr>
            <w:noProof/>
            <w:webHidden/>
          </w:rPr>
        </w:r>
        <w:r>
          <w:rPr>
            <w:noProof/>
            <w:webHidden/>
          </w:rPr>
          <w:fldChar w:fldCharType="separate"/>
        </w:r>
        <w:r w:rsidR="00FC6A0A">
          <w:rPr>
            <w:noProof/>
            <w:webHidden/>
          </w:rPr>
          <w:t>31</w:t>
        </w:r>
        <w:r>
          <w:rPr>
            <w:noProof/>
            <w:webHidden/>
          </w:rPr>
          <w:fldChar w:fldCharType="end"/>
        </w:r>
      </w:hyperlink>
    </w:p>
    <w:p w14:paraId="59F7F46C" w14:textId="76387CFD" w:rsidR="00965160" w:rsidRDefault="00965160">
      <w:pPr>
        <w:pStyle w:val="TOC2"/>
        <w:rPr>
          <w:rFonts w:eastAsiaTheme="minorEastAsia" w:cstheme="minorBidi"/>
          <w:kern w:val="2"/>
          <w:sz w:val="24"/>
          <w:szCs w:val="24"/>
          <w14:ligatures w14:val="standardContextual"/>
        </w:rPr>
      </w:pPr>
      <w:hyperlink w:anchor="_Toc189772020" w:history="1">
        <w:r w:rsidRPr="006B5494">
          <w:rPr>
            <w:rStyle w:val="Hyperlink"/>
          </w:rPr>
          <w:t>4.1</w:t>
        </w:r>
        <w:r>
          <w:rPr>
            <w:rFonts w:eastAsiaTheme="minorEastAsia" w:cstheme="minorBidi"/>
            <w:kern w:val="2"/>
            <w:sz w:val="24"/>
            <w:szCs w:val="24"/>
            <w14:ligatures w14:val="standardContextual"/>
          </w:rPr>
          <w:tab/>
        </w:r>
        <w:r w:rsidRPr="006B5494">
          <w:rPr>
            <w:rStyle w:val="Hyperlink"/>
          </w:rPr>
          <w:t>Number of Medicare UCCs</w:t>
        </w:r>
        <w:r>
          <w:rPr>
            <w:webHidden/>
          </w:rPr>
          <w:tab/>
        </w:r>
        <w:r>
          <w:rPr>
            <w:webHidden/>
          </w:rPr>
          <w:fldChar w:fldCharType="begin"/>
        </w:r>
        <w:r>
          <w:rPr>
            <w:webHidden/>
          </w:rPr>
          <w:instrText xml:space="preserve"> PAGEREF _Toc189772020 \h </w:instrText>
        </w:r>
        <w:r>
          <w:rPr>
            <w:webHidden/>
          </w:rPr>
        </w:r>
        <w:r>
          <w:rPr>
            <w:webHidden/>
          </w:rPr>
          <w:fldChar w:fldCharType="separate"/>
        </w:r>
        <w:r w:rsidR="00FC6A0A">
          <w:rPr>
            <w:webHidden/>
          </w:rPr>
          <w:t>31</w:t>
        </w:r>
        <w:r>
          <w:rPr>
            <w:webHidden/>
          </w:rPr>
          <w:fldChar w:fldCharType="end"/>
        </w:r>
      </w:hyperlink>
    </w:p>
    <w:p w14:paraId="1868B039" w14:textId="765808E7" w:rsidR="00965160" w:rsidRDefault="00965160">
      <w:pPr>
        <w:pStyle w:val="TOC2"/>
        <w:rPr>
          <w:rFonts w:eastAsiaTheme="minorEastAsia" w:cstheme="minorBidi"/>
          <w:kern w:val="2"/>
          <w:sz w:val="24"/>
          <w:szCs w:val="24"/>
          <w14:ligatures w14:val="standardContextual"/>
        </w:rPr>
      </w:pPr>
      <w:hyperlink w:anchor="_Toc189772021" w:history="1">
        <w:r w:rsidRPr="006B5494">
          <w:rPr>
            <w:rStyle w:val="Hyperlink"/>
          </w:rPr>
          <w:t>4.2</w:t>
        </w:r>
        <w:r>
          <w:rPr>
            <w:rFonts w:eastAsiaTheme="minorEastAsia" w:cstheme="minorBidi"/>
            <w:kern w:val="2"/>
            <w:sz w:val="24"/>
            <w:szCs w:val="24"/>
            <w14:ligatures w14:val="standardContextual"/>
          </w:rPr>
          <w:tab/>
        </w:r>
        <w:r w:rsidRPr="006B5494">
          <w:rPr>
            <w:rStyle w:val="Hyperlink"/>
          </w:rPr>
          <w:t>Locations of Medicare UCCs</w:t>
        </w:r>
        <w:r>
          <w:rPr>
            <w:webHidden/>
          </w:rPr>
          <w:tab/>
        </w:r>
        <w:r>
          <w:rPr>
            <w:webHidden/>
          </w:rPr>
          <w:fldChar w:fldCharType="begin"/>
        </w:r>
        <w:r>
          <w:rPr>
            <w:webHidden/>
          </w:rPr>
          <w:instrText xml:space="preserve"> PAGEREF _Toc189772021 \h </w:instrText>
        </w:r>
        <w:r>
          <w:rPr>
            <w:webHidden/>
          </w:rPr>
        </w:r>
        <w:r>
          <w:rPr>
            <w:webHidden/>
          </w:rPr>
          <w:fldChar w:fldCharType="separate"/>
        </w:r>
        <w:r w:rsidR="00FC6A0A">
          <w:rPr>
            <w:webHidden/>
          </w:rPr>
          <w:t>31</w:t>
        </w:r>
        <w:r>
          <w:rPr>
            <w:webHidden/>
          </w:rPr>
          <w:fldChar w:fldCharType="end"/>
        </w:r>
      </w:hyperlink>
    </w:p>
    <w:p w14:paraId="033D3E26" w14:textId="12AEF8D1" w:rsidR="00965160" w:rsidRDefault="00965160">
      <w:pPr>
        <w:pStyle w:val="TOC2"/>
        <w:rPr>
          <w:rFonts w:eastAsiaTheme="minorEastAsia" w:cstheme="minorBidi"/>
          <w:kern w:val="2"/>
          <w:sz w:val="24"/>
          <w:szCs w:val="24"/>
          <w14:ligatures w14:val="standardContextual"/>
        </w:rPr>
      </w:pPr>
      <w:hyperlink w:anchor="_Toc189772022" w:history="1">
        <w:r w:rsidRPr="006B5494">
          <w:rPr>
            <w:rStyle w:val="Hyperlink"/>
          </w:rPr>
          <w:t>4.3</w:t>
        </w:r>
        <w:r>
          <w:rPr>
            <w:rFonts w:eastAsiaTheme="minorEastAsia" w:cstheme="minorBidi"/>
            <w:kern w:val="2"/>
            <w:sz w:val="24"/>
            <w:szCs w:val="24"/>
            <w14:ligatures w14:val="standardContextual"/>
          </w:rPr>
          <w:tab/>
        </w:r>
        <w:r w:rsidRPr="006B5494">
          <w:rPr>
            <w:rStyle w:val="Hyperlink"/>
          </w:rPr>
          <w:t>Accessibility of Medicare UCCs</w:t>
        </w:r>
        <w:r>
          <w:rPr>
            <w:webHidden/>
          </w:rPr>
          <w:tab/>
        </w:r>
        <w:r>
          <w:rPr>
            <w:webHidden/>
          </w:rPr>
          <w:fldChar w:fldCharType="begin"/>
        </w:r>
        <w:r>
          <w:rPr>
            <w:webHidden/>
          </w:rPr>
          <w:instrText xml:space="preserve"> PAGEREF _Toc189772022 \h </w:instrText>
        </w:r>
        <w:r>
          <w:rPr>
            <w:webHidden/>
          </w:rPr>
        </w:r>
        <w:r>
          <w:rPr>
            <w:webHidden/>
          </w:rPr>
          <w:fldChar w:fldCharType="separate"/>
        </w:r>
        <w:r w:rsidR="00FC6A0A">
          <w:rPr>
            <w:webHidden/>
          </w:rPr>
          <w:t>34</w:t>
        </w:r>
        <w:r>
          <w:rPr>
            <w:webHidden/>
          </w:rPr>
          <w:fldChar w:fldCharType="end"/>
        </w:r>
      </w:hyperlink>
    </w:p>
    <w:p w14:paraId="5F85D733" w14:textId="3FADF67C" w:rsidR="00965160" w:rsidRDefault="00965160">
      <w:pPr>
        <w:pStyle w:val="TOC2"/>
        <w:rPr>
          <w:rFonts w:eastAsiaTheme="minorEastAsia" w:cstheme="minorBidi"/>
          <w:kern w:val="2"/>
          <w:sz w:val="24"/>
          <w:szCs w:val="24"/>
          <w14:ligatures w14:val="standardContextual"/>
        </w:rPr>
      </w:pPr>
      <w:hyperlink w:anchor="_Toc189772023" w:history="1">
        <w:r w:rsidRPr="006B5494">
          <w:rPr>
            <w:rStyle w:val="Hyperlink"/>
          </w:rPr>
          <w:t>4.4</w:t>
        </w:r>
        <w:r>
          <w:rPr>
            <w:rFonts w:eastAsiaTheme="minorEastAsia" w:cstheme="minorBidi"/>
            <w:kern w:val="2"/>
            <w:sz w:val="24"/>
            <w:szCs w:val="24"/>
            <w14:ligatures w14:val="standardContextual"/>
          </w:rPr>
          <w:tab/>
        </w:r>
        <w:r w:rsidRPr="006B5494">
          <w:rPr>
            <w:rStyle w:val="Hyperlink"/>
          </w:rPr>
          <w:t>Medicare UCC workforce</w:t>
        </w:r>
        <w:r>
          <w:rPr>
            <w:webHidden/>
          </w:rPr>
          <w:tab/>
        </w:r>
        <w:r>
          <w:rPr>
            <w:webHidden/>
          </w:rPr>
          <w:fldChar w:fldCharType="begin"/>
        </w:r>
        <w:r>
          <w:rPr>
            <w:webHidden/>
          </w:rPr>
          <w:instrText xml:space="preserve"> PAGEREF _Toc189772023 \h </w:instrText>
        </w:r>
        <w:r>
          <w:rPr>
            <w:webHidden/>
          </w:rPr>
        </w:r>
        <w:r>
          <w:rPr>
            <w:webHidden/>
          </w:rPr>
          <w:fldChar w:fldCharType="separate"/>
        </w:r>
        <w:r w:rsidR="00FC6A0A">
          <w:rPr>
            <w:webHidden/>
          </w:rPr>
          <w:t>47</w:t>
        </w:r>
        <w:r>
          <w:rPr>
            <w:webHidden/>
          </w:rPr>
          <w:fldChar w:fldCharType="end"/>
        </w:r>
      </w:hyperlink>
    </w:p>
    <w:p w14:paraId="2C9D9D7E" w14:textId="524B26A2" w:rsidR="00965160" w:rsidRDefault="00965160">
      <w:pPr>
        <w:pStyle w:val="TOC2"/>
        <w:rPr>
          <w:rFonts w:eastAsiaTheme="minorEastAsia" w:cstheme="minorBidi"/>
          <w:kern w:val="2"/>
          <w:sz w:val="24"/>
          <w:szCs w:val="24"/>
          <w14:ligatures w14:val="standardContextual"/>
        </w:rPr>
      </w:pPr>
      <w:hyperlink w:anchor="_Toc189772024" w:history="1">
        <w:r w:rsidRPr="006B5494">
          <w:rPr>
            <w:rStyle w:val="Hyperlink"/>
          </w:rPr>
          <w:t>4.5</w:t>
        </w:r>
        <w:r>
          <w:rPr>
            <w:rFonts w:eastAsiaTheme="minorEastAsia" w:cstheme="minorBidi"/>
            <w:kern w:val="2"/>
            <w:sz w:val="24"/>
            <w:szCs w:val="24"/>
            <w14:ligatures w14:val="standardContextual"/>
          </w:rPr>
          <w:tab/>
        </w:r>
        <w:r w:rsidRPr="006B5494">
          <w:rPr>
            <w:rStyle w:val="Hyperlink"/>
          </w:rPr>
          <w:t>Presentations to Medicare UCCs</w:t>
        </w:r>
        <w:r>
          <w:rPr>
            <w:webHidden/>
          </w:rPr>
          <w:tab/>
        </w:r>
        <w:r>
          <w:rPr>
            <w:webHidden/>
          </w:rPr>
          <w:fldChar w:fldCharType="begin"/>
        </w:r>
        <w:r>
          <w:rPr>
            <w:webHidden/>
          </w:rPr>
          <w:instrText xml:space="preserve"> PAGEREF _Toc189772024 \h </w:instrText>
        </w:r>
        <w:r>
          <w:rPr>
            <w:webHidden/>
          </w:rPr>
        </w:r>
        <w:r>
          <w:rPr>
            <w:webHidden/>
          </w:rPr>
          <w:fldChar w:fldCharType="separate"/>
        </w:r>
        <w:r w:rsidR="00FC6A0A">
          <w:rPr>
            <w:webHidden/>
          </w:rPr>
          <w:t>48</w:t>
        </w:r>
        <w:r>
          <w:rPr>
            <w:webHidden/>
          </w:rPr>
          <w:fldChar w:fldCharType="end"/>
        </w:r>
      </w:hyperlink>
    </w:p>
    <w:p w14:paraId="35AFACB6" w14:textId="6C9F6774" w:rsidR="00965160" w:rsidRDefault="00965160">
      <w:pPr>
        <w:pStyle w:val="TOC2"/>
        <w:rPr>
          <w:rFonts w:eastAsiaTheme="minorEastAsia" w:cstheme="minorBidi"/>
          <w:kern w:val="2"/>
          <w:sz w:val="24"/>
          <w:szCs w:val="24"/>
          <w14:ligatures w14:val="standardContextual"/>
        </w:rPr>
      </w:pPr>
      <w:hyperlink w:anchor="_Toc189772025" w:history="1">
        <w:r w:rsidRPr="006B5494">
          <w:rPr>
            <w:rStyle w:val="Hyperlink"/>
          </w:rPr>
          <w:t>4.6</w:t>
        </w:r>
        <w:r>
          <w:rPr>
            <w:rFonts w:eastAsiaTheme="minorEastAsia" w:cstheme="minorBidi"/>
            <w:kern w:val="2"/>
            <w:sz w:val="24"/>
            <w:szCs w:val="24"/>
            <w14:ligatures w14:val="standardContextual"/>
          </w:rPr>
          <w:tab/>
        </w:r>
        <w:r w:rsidRPr="006B5494">
          <w:rPr>
            <w:rStyle w:val="Hyperlink"/>
          </w:rPr>
          <w:t>Comparison of characteristics of patients attending Medicare UCCs with ED patients</w:t>
        </w:r>
        <w:r>
          <w:rPr>
            <w:webHidden/>
          </w:rPr>
          <w:tab/>
        </w:r>
        <w:r>
          <w:rPr>
            <w:webHidden/>
          </w:rPr>
          <w:fldChar w:fldCharType="begin"/>
        </w:r>
        <w:r>
          <w:rPr>
            <w:webHidden/>
          </w:rPr>
          <w:instrText xml:space="preserve"> PAGEREF _Toc189772025 \h </w:instrText>
        </w:r>
        <w:r>
          <w:rPr>
            <w:webHidden/>
          </w:rPr>
        </w:r>
        <w:r>
          <w:rPr>
            <w:webHidden/>
          </w:rPr>
          <w:fldChar w:fldCharType="separate"/>
        </w:r>
        <w:r w:rsidR="00FC6A0A">
          <w:rPr>
            <w:webHidden/>
          </w:rPr>
          <w:t>54</w:t>
        </w:r>
        <w:r>
          <w:rPr>
            <w:webHidden/>
          </w:rPr>
          <w:fldChar w:fldCharType="end"/>
        </w:r>
      </w:hyperlink>
    </w:p>
    <w:p w14:paraId="2F8195F7" w14:textId="5C62088A"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26" w:history="1">
        <w:r w:rsidRPr="006B5494">
          <w:rPr>
            <w:rStyle w:val="Hyperlink"/>
            <w:noProof/>
          </w:rPr>
          <w:t>5</w:t>
        </w:r>
        <w:r>
          <w:rPr>
            <w:rFonts w:asciiTheme="minorHAnsi" w:eastAsiaTheme="minorEastAsia" w:hAnsiTheme="minorHAnsi"/>
            <w:noProof/>
            <w:kern w:val="2"/>
            <w:sz w:val="24"/>
            <w:szCs w:val="24"/>
            <w:lang w:eastAsia="en-AU"/>
            <w14:ligatures w14:val="standardContextual"/>
          </w:rPr>
          <w:tab/>
        </w:r>
        <w:r w:rsidRPr="006B5494">
          <w:rPr>
            <w:rStyle w:val="Hyperlink"/>
            <w:noProof/>
          </w:rPr>
          <w:t>Interim evaluation against the nine Measures of Success</w:t>
        </w:r>
        <w:r>
          <w:rPr>
            <w:noProof/>
            <w:webHidden/>
          </w:rPr>
          <w:tab/>
        </w:r>
        <w:r>
          <w:rPr>
            <w:noProof/>
            <w:webHidden/>
          </w:rPr>
          <w:fldChar w:fldCharType="begin"/>
        </w:r>
        <w:r>
          <w:rPr>
            <w:noProof/>
            <w:webHidden/>
          </w:rPr>
          <w:instrText xml:space="preserve"> PAGEREF _Toc189772026 \h </w:instrText>
        </w:r>
        <w:r>
          <w:rPr>
            <w:noProof/>
            <w:webHidden/>
          </w:rPr>
        </w:r>
        <w:r>
          <w:rPr>
            <w:noProof/>
            <w:webHidden/>
          </w:rPr>
          <w:fldChar w:fldCharType="separate"/>
        </w:r>
        <w:r w:rsidR="00FC6A0A">
          <w:rPr>
            <w:noProof/>
            <w:webHidden/>
          </w:rPr>
          <w:t>59</w:t>
        </w:r>
        <w:r>
          <w:rPr>
            <w:noProof/>
            <w:webHidden/>
          </w:rPr>
          <w:fldChar w:fldCharType="end"/>
        </w:r>
      </w:hyperlink>
    </w:p>
    <w:p w14:paraId="1962E206" w14:textId="43162421" w:rsidR="00965160" w:rsidRDefault="00965160">
      <w:pPr>
        <w:pStyle w:val="TOC2"/>
        <w:rPr>
          <w:rFonts w:eastAsiaTheme="minorEastAsia" w:cstheme="minorBidi"/>
          <w:kern w:val="2"/>
          <w:sz w:val="24"/>
          <w:szCs w:val="24"/>
          <w14:ligatures w14:val="standardContextual"/>
        </w:rPr>
      </w:pPr>
      <w:hyperlink w:anchor="_Toc189772027" w:history="1">
        <w:r w:rsidRPr="006B5494">
          <w:rPr>
            <w:rStyle w:val="Hyperlink"/>
          </w:rPr>
          <w:t>5.1</w:t>
        </w:r>
        <w:r>
          <w:rPr>
            <w:rFonts w:eastAsiaTheme="minorEastAsia" w:cstheme="minorBidi"/>
            <w:kern w:val="2"/>
            <w:sz w:val="24"/>
            <w:szCs w:val="24"/>
            <w14:ligatures w14:val="standardContextual"/>
          </w:rPr>
          <w:tab/>
        </w:r>
        <w:r w:rsidRPr="006B5494">
          <w:rPr>
            <w:rStyle w:val="Hyperlink"/>
          </w:rPr>
          <w:t>Timely treatment</w:t>
        </w:r>
        <w:r>
          <w:rPr>
            <w:webHidden/>
          </w:rPr>
          <w:tab/>
        </w:r>
        <w:r>
          <w:rPr>
            <w:webHidden/>
          </w:rPr>
          <w:fldChar w:fldCharType="begin"/>
        </w:r>
        <w:r>
          <w:rPr>
            <w:webHidden/>
          </w:rPr>
          <w:instrText xml:space="preserve"> PAGEREF _Toc189772027 \h </w:instrText>
        </w:r>
        <w:r>
          <w:rPr>
            <w:webHidden/>
          </w:rPr>
        </w:r>
        <w:r>
          <w:rPr>
            <w:webHidden/>
          </w:rPr>
          <w:fldChar w:fldCharType="separate"/>
        </w:r>
        <w:r w:rsidR="00FC6A0A">
          <w:rPr>
            <w:webHidden/>
          </w:rPr>
          <w:t>59</w:t>
        </w:r>
        <w:r>
          <w:rPr>
            <w:webHidden/>
          </w:rPr>
          <w:fldChar w:fldCharType="end"/>
        </w:r>
      </w:hyperlink>
    </w:p>
    <w:p w14:paraId="0185C9FD" w14:textId="413F5174" w:rsidR="00965160" w:rsidRDefault="00965160">
      <w:pPr>
        <w:pStyle w:val="TOC2"/>
        <w:rPr>
          <w:rFonts w:eastAsiaTheme="minorEastAsia" w:cstheme="minorBidi"/>
          <w:kern w:val="2"/>
          <w:sz w:val="24"/>
          <w:szCs w:val="24"/>
          <w14:ligatures w14:val="standardContextual"/>
        </w:rPr>
      </w:pPr>
      <w:hyperlink w:anchor="_Toc189772028" w:history="1">
        <w:r w:rsidRPr="006B5494">
          <w:rPr>
            <w:rStyle w:val="Hyperlink"/>
          </w:rPr>
          <w:t>5.2</w:t>
        </w:r>
        <w:r>
          <w:rPr>
            <w:rFonts w:eastAsiaTheme="minorEastAsia" w:cstheme="minorBidi"/>
            <w:kern w:val="2"/>
            <w:sz w:val="24"/>
            <w:szCs w:val="24"/>
            <w14:ligatures w14:val="standardContextual"/>
          </w:rPr>
          <w:tab/>
        </w:r>
        <w:r w:rsidRPr="006B5494">
          <w:rPr>
            <w:rStyle w:val="Hyperlink"/>
          </w:rPr>
          <w:t>Safe and quality treatment</w:t>
        </w:r>
        <w:r>
          <w:rPr>
            <w:webHidden/>
          </w:rPr>
          <w:tab/>
        </w:r>
        <w:r>
          <w:rPr>
            <w:webHidden/>
          </w:rPr>
          <w:fldChar w:fldCharType="begin"/>
        </w:r>
        <w:r>
          <w:rPr>
            <w:webHidden/>
          </w:rPr>
          <w:instrText xml:space="preserve"> PAGEREF _Toc189772028 \h </w:instrText>
        </w:r>
        <w:r>
          <w:rPr>
            <w:webHidden/>
          </w:rPr>
        </w:r>
        <w:r>
          <w:rPr>
            <w:webHidden/>
          </w:rPr>
          <w:fldChar w:fldCharType="separate"/>
        </w:r>
        <w:r w:rsidR="00FC6A0A">
          <w:rPr>
            <w:webHidden/>
          </w:rPr>
          <w:t>63</w:t>
        </w:r>
        <w:r>
          <w:rPr>
            <w:webHidden/>
          </w:rPr>
          <w:fldChar w:fldCharType="end"/>
        </w:r>
      </w:hyperlink>
    </w:p>
    <w:p w14:paraId="04A29F2B" w14:textId="07BC00DB" w:rsidR="00965160" w:rsidRDefault="00965160">
      <w:pPr>
        <w:pStyle w:val="TOC2"/>
        <w:rPr>
          <w:rFonts w:eastAsiaTheme="minorEastAsia" w:cstheme="minorBidi"/>
          <w:kern w:val="2"/>
          <w:sz w:val="24"/>
          <w:szCs w:val="24"/>
          <w14:ligatures w14:val="standardContextual"/>
        </w:rPr>
      </w:pPr>
      <w:hyperlink w:anchor="_Toc189772029" w:history="1">
        <w:r w:rsidRPr="006B5494">
          <w:rPr>
            <w:rStyle w:val="Hyperlink"/>
          </w:rPr>
          <w:t>5.3</w:t>
        </w:r>
        <w:r>
          <w:rPr>
            <w:rFonts w:eastAsiaTheme="minorEastAsia" w:cstheme="minorBidi"/>
            <w:kern w:val="2"/>
            <w:sz w:val="24"/>
            <w:szCs w:val="24"/>
            <w14:ligatures w14:val="standardContextual"/>
          </w:rPr>
          <w:tab/>
        </w:r>
        <w:r w:rsidRPr="006B5494">
          <w:rPr>
            <w:rStyle w:val="Hyperlink"/>
          </w:rPr>
          <w:t>Coordinated care</w:t>
        </w:r>
        <w:r>
          <w:rPr>
            <w:webHidden/>
          </w:rPr>
          <w:tab/>
        </w:r>
        <w:r>
          <w:rPr>
            <w:webHidden/>
          </w:rPr>
          <w:fldChar w:fldCharType="begin"/>
        </w:r>
        <w:r>
          <w:rPr>
            <w:webHidden/>
          </w:rPr>
          <w:instrText xml:space="preserve"> PAGEREF _Toc189772029 \h </w:instrText>
        </w:r>
        <w:r>
          <w:rPr>
            <w:webHidden/>
          </w:rPr>
        </w:r>
        <w:r>
          <w:rPr>
            <w:webHidden/>
          </w:rPr>
          <w:fldChar w:fldCharType="separate"/>
        </w:r>
        <w:r w:rsidR="00FC6A0A">
          <w:rPr>
            <w:webHidden/>
          </w:rPr>
          <w:t>71</w:t>
        </w:r>
        <w:r>
          <w:rPr>
            <w:webHidden/>
          </w:rPr>
          <w:fldChar w:fldCharType="end"/>
        </w:r>
      </w:hyperlink>
    </w:p>
    <w:p w14:paraId="6DC0E732" w14:textId="4F33C211" w:rsidR="00965160" w:rsidRDefault="00965160">
      <w:pPr>
        <w:pStyle w:val="TOC2"/>
        <w:rPr>
          <w:rFonts w:eastAsiaTheme="minorEastAsia" w:cstheme="minorBidi"/>
          <w:kern w:val="2"/>
          <w:sz w:val="24"/>
          <w:szCs w:val="24"/>
          <w14:ligatures w14:val="standardContextual"/>
        </w:rPr>
      </w:pPr>
      <w:hyperlink w:anchor="_Toc189772030" w:history="1">
        <w:r w:rsidRPr="006B5494">
          <w:rPr>
            <w:rStyle w:val="Hyperlink"/>
          </w:rPr>
          <w:t>5.4</w:t>
        </w:r>
        <w:r>
          <w:rPr>
            <w:rFonts w:eastAsiaTheme="minorEastAsia" w:cstheme="minorBidi"/>
            <w:kern w:val="2"/>
            <w:sz w:val="24"/>
            <w:szCs w:val="24"/>
            <w14:ligatures w14:val="standardContextual"/>
          </w:rPr>
          <w:tab/>
        </w:r>
        <w:r w:rsidRPr="006B5494">
          <w:rPr>
            <w:rStyle w:val="Hyperlink"/>
          </w:rPr>
          <w:t>Patient and carer experience</w:t>
        </w:r>
        <w:r>
          <w:rPr>
            <w:webHidden/>
          </w:rPr>
          <w:tab/>
        </w:r>
        <w:r>
          <w:rPr>
            <w:webHidden/>
          </w:rPr>
          <w:fldChar w:fldCharType="begin"/>
        </w:r>
        <w:r>
          <w:rPr>
            <w:webHidden/>
          </w:rPr>
          <w:instrText xml:space="preserve"> PAGEREF _Toc189772030 \h </w:instrText>
        </w:r>
        <w:r>
          <w:rPr>
            <w:webHidden/>
          </w:rPr>
        </w:r>
        <w:r>
          <w:rPr>
            <w:webHidden/>
          </w:rPr>
          <w:fldChar w:fldCharType="separate"/>
        </w:r>
        <w:r w:rsidR="00FC6A0A">
          <w:rPr>
            <w:webHidden/>
          </w:rPr>
          <w:t>77</w:t>
        </w:r>
        <w:r>
          <w:rPr>
            <w:webHidden/>
          </w:rPr>
          <w:fldChar w:fldCharType="end"/>
        </w:r>
      </w:hyperlink>
    </w:p>
    <w:p w14:paraId="1C7265CE" w14:textId="60301B45" w:rsidR="00965160" w:rsidRDefault="00965160">
      <w:pPr>
        <w:pStyle w:val="TOC2"/>
        <w:rPr>
          <w:rFonts w:eastAsiaTheme="minorEastAsia" w:cstheme="minorBidi"/>
          <w:kern w:val="2"/>
          <w:sz w:val="24"/>
          <w:szCs w:val="24"/>
          <w14:ligatures w14:val="standardContextual"/>
        </w:rPr>
      </w:pPr>
      <w:hyperlink w:anchor="_Toc189772031" w:history="1">
        <w:r w:rsidRPr="006B5494">
          <w:rPr>
            <w:rStyle w:val="Hyperlink"/>
          </w:rPr>
          <w:t>5.5</w:t>
        </w:r>
        <w:r>
          <w:rPr>
            <w:rFonts w:eastAsiaTheme="minorEastAsia" w:cstheme="minorBidi"/>
            <w:kern w:val="2"/>
            <w:sz w:val="24"/>
            <w:szCs w:val="24"/>
            <w14:ligatures w14:val="standardContextual"/>
          </w:rPr>
          <w:tab/>
        </w:r>
        <w:r w:rsidRPr="006B5494">
          <w:rPr>
            <w:rStyle w:val="Hyperlink"/>
          </w:rPr>
          <w:t>Experience for providers at Medicare UCCs, partner hospital EDs and local GP practices</w:t>
        </w:r>
        <w:r>
          <w:rPr>
            <w:webHidden/>
          </w:rPr>
          <w:tab/>
        </w:r>
        <w:r>
          <w:rPr>
            <w:webHidden/>
          </w:rPr>
          <w:fldChar w:fldCharType="begin"/>
        </w:r>
        <w:r>
          <w:rPr>
            <w:webHidden/>
          </w:rPr>
          <w:instrText xml:space="preserve"> PAGEREF _Toc189772031 \h </w:instrText>
        </w:r>
        <w:r>
          <w:rPr>
            <w:webHidden/>
          </w:rPr>
        </w:r>
        <w:r>
          <w:rPr>
            <w:webHidden/>
          </w:rPr>
          <w:fldChar w:fldCharType="separate"/>
        </w:r>
        <w:r w:rsidR="00FC6A0A">
          <w:rPr>
            <w:webHidden/>
          </w:rPr>
          <w:t>82</w:t>
        </w:r>
        <w:r>
          <w:rPr>
            <w:webHidden/>
          </w:rPr>
          <w:fldChar w:fldCharType="end"/>
        </w:r>
      </w:hyperlink>
    </w:p>
    <w:p w14:paraId="6BB854FE" w14:textId="4FCC6FE3" w:rsidR="00965160" w:rsidRDefault="00965160">
      <w:pPr>
        <w:pStyle w:val="TOC2"/>
        <w:rPr>
          <w:rFonts w:eastAsiaTheme="minorEastAsia" w:cstheme="minorBidi"/>
          <w:kern w:val="2"/>
          <w:sz w:val="24"/>
          <w:szCs w:val="24"/>
          <w14:ligatures w14:val="standardContextual"/>
        </w:rPr>
      </w:pPr>
      <w:hyperlink w:anchor="_Toc189772032" w:history="1">
        <w:r w:rsidRPr="006B5494">
          <w:rPr>
            <w:rStyle w:val="Hyperlink"/>
          </w:rPr>
          <w:t>5.6</w:t>
        </w:r>
        <w:r>
          <w:rPr>
            <w:rFonts w:eastAsiaTheme="minorEastAsia" w:cstheme="minorBidi"/>
            <w:kern w:val="2"/>
            <w:sz w:val="24"/>
            <w:szCs w:val="24"/>
            <w14:ligatures w14:val="standardContextual"/>
          </w:rPr>
          <w:tab/>
        </w:r>
        <w:r w:rsidRPr="006B5494">
          <w:rPr>
            <w:rStyle w:val="Hyperlink"/>
          </w:rPr>
          <w:t>ED presentations at partner hospitals</w:t>
        </w:r>
        <w:r>
          <w:rPr>
            <w:webHidden/>
          </w:rPr>
          <w:tab/>
        </w:r>
        <w:r>
          <w:rPr>
            <w:webHidden/>
          </w:rPr>
          <w:fldChar w:fldCharType="begin"/>
        </w:r>
        <w:r>
          <w:rPr>
            <w:webHidden/>
          </w:rPr>
          <w:instrText xml:space="preserve"> PAGEREF _Toc189772032 \h </w:instrText>
        </w:r>
        <w:r>
          <w:rPr>
            <w:webHidden/>
          </w:rPr>
        </w:r>
        <w:r>
          <w:rPr>
            <w:webHidden/>
          </w:rPr>
          <w:fldChar w:fldCharType="separate"/>
        </w:r>
        <w:r w:rsidR="00FC6A0A">
          <w:rPr>
            <w:webHidden/>
          </w:rPr>
          <w:t>91</w:t>
        </w:r>
        <w:r>
          <w:rPr>
            <w:webHidden/>
          </w:rPr>
          <w:fldChar w:fldCharType="end"/>
        </w:r>
      </w:hyperlink>
    </w:p>
    <w:p w14:paraId="19A18737" w14:textId="5E901D4B" w:rsidR="00965160" w:rsidRDefault="00965160">
      <w:pPr>
        <w:pStyle w:val="TOC2"/>
        <w:rPr>
          <w:rFonts w:eastAsiaTheme="minorEastAsia" w:cstheme="minorBidi"/>
          <w:kern w:val="2"/>
          <w:sz w:val="24"/>
          <w:szCs w:val="24"/>
          <w14:ligatures w14:val="standardContextual"/>
        </w:rPr>
      </w:pPr>
      <w:hyperlink w:anchor="_Toc189772033" w:history="1">
        <w:r w:rsidRPr="006B5494">
          <w:rPr>
            <w:rStyle w:val="Hyperlink"/>
          </w:rPr>
          <w:t>5.7</w:t>
        </w:r>
        <w:r>
          <w:rPr>
            <w:rFonts w:eastAsiaTheme="minorEastAsia" w:cstheme="minorBidi"/>
            <w:kern w:val="2"/>
            <w:sz w:val="24"/>
            <w:szCs w:val="24"/>
            <w14:ligatures w14:val="standardContextual"/>
          </w:rPr>
          <w:tab/>
        </w:r>
        <w:r w:rsidRPr="006B5494">
          <w:rPr>
            <w:rStyle w:val="Hyperlink"/>
          </w:rPr>
          <w:t>Consumer behaviour</w:t>
        </w:r>
        <w:r>
          <w:rPr>
            <w:webHidden/>
          </w:rPr>
          <w:tab/>
        </w:r>
        <w:r>
          <w:rPr>
            <w:webHidden/>
          </w:rPr>
          <w:fldChar w:fldCharType="begin"/>
        </w:r>
        <w:r>
          <w:rPr>
            <w:webHidden/>
          </w:rPr>
          <w:instrText xml:space="preserve"> PAGEREF _Toc189772033 \h </w:instrText>
        </w:r>
        <w:r>
          <w:rPr>
            <w:webHidden/>
          </w:rPr>
        </w:r>
        <w:r>
          <w:rPr>
            <w:webHidden/>
          </w:rPr>
          <w:fldChar w:fldCharType="separate"/>
        </w:r>
        <w:r w:rsidR="00FC6A0A">
          <w:rPr>
            <w:webHidden/>
          </w:rPr>
          <w:t>107</w:t>
        </w:r>
        <w:r>
          <w:rPr>
            <w:webHidden/>
          </w:rPr>
          <w:fldChar w:fldCharType="end"/>
        </w:r>
      </w:hyperlink>
    </w:p>
    <w:p w14:paraId="64CD1508" w14:textId="3ED0CE80" w:rsidR="00965160" w:rsidRDefault="00965160">
      <w:pPr>
        <w:pStyle w:val="TOC2"/>
        <w:rPr>
          <w:rFonts w:eastAsiaTheme="minorEastAsia" w:cstheme="minorBidi"/>
          <w:kern w:val="2"/>
          <w:sz w:val="24"/>
          <w:szCs w:val="24"/>
          <w14:ligatures w14:val="standardContextual"/>
        </w:rPr>
      </w:pPr>
      <w:hyperlink w:anchor="_Toc189772034" w:history="1">
        <w:r w:rsidRPr="006B5494">
          <w:rPr>
            <w:rStyle w:val="Hyperlink"/>
          </w:rPr>
          <w:t>5.8</w:t>
        </w:r>
        <w:r>
          <w:rPr>
            <w:rFonts w:eastAsiaTheme="minorEastAsia" w:cstheme="minorBidi"/>
            <w:kern w:val="2"/>
            <w:sz w:val="24"/>
            <w:szCs w:val="24"/>
            <w14:ligatures w14:val="standardContextual"/>
          </w:rPr>
          <w:tab/>
        </w:r>
        <w:r w:rsidRPr="006B5494">
          <w:rPr>
            <w:rStyle w:val="Hyperlink"/>
          </w:rPr>
          <w:t>Coordinated care within the health ecosystem</w:t>
        </w:r>
        <w:r>
          <w:rPr>
            <w:webHidden/>
          </w:rPr>
          <w:tab/>
        </w:r>
        <w:r>
          <w:rPr>
            <w:webHidden/>
          </w:rPr>
          <w:fldChar w:fldCharType="begin"/>
        </w:r>
        <w:r>
          <w:rPr>
            <w:webHidden/>
          </w:rPr>
          <w:instrText xml:space="preserve"> PAGEREF _Toc189772034 \h </w:instrText>
        </w:r>
        <w:r>
          <w:rPr>
            <w:webHidden/>
          </w:rPr>
        </w:r>
        <w:r>
          <w:rPr>
            <w:webHidden/>
          </w:rPr>
          <w:fldChar w:fldCharType="separate"/>
        </w:r>
        <w:r w:rsidR="00FC6A0A">
          <w:rPr>
            <w:webHidden/>
          </w:rPr>
          <w:t>117</w:t>
        </w:r>
        <w:r>
          <w:rPr>
            <w:webHidden/>
          </w:rPr>
          <w:fldChar w:fldCharType="end"/>
        </w:r>
      </w:hyperlink>
    </w:p>
    <w:p w14:paraId="2AACBBC2" w14:textId="118CEE24" w:rsidR="00965160" w:rsidRDefault="00965160">
      <w:pPr>
        <w:pStyle w:val="TOC2"/>
        <w:rPr>
          <w:rFonts w:eastAsiaTheme="minorEastAsia" w:cstheme="minorBidi"/>
          <w:kern w:val="2"/>
          <w:sz w:val="24"/>
          <w:szCs w:val="24"/>
          <w14:ligatures w14:val="standardContextual"/>
        </w:rPr>
      </w:pPr>
      <w:hyperlink w:anchor="_Toc189772035" w:history="1">
        <w:r w:rsidRPr="006B5494">
          <w:rPr>
            <w:rStyle w:val="Hyperlink"/>
          </w:rPr>
          <w:t>5.9</w:t>
        </w:r>
        <w:r>
          <w:rPr>
            <w:rFonts w:eastAsiaTheme="minorEastAsia" w:cstheme="minorBidi"/>
            <w:kern w:val="2"/>
            <w:sz w:val="24"/>
            <w:szCs w:val="24"/>
            <w14:ligatures w14:val="standardContextual"/>
          </w:rPr>
          <w:tab/>
        </w:r>
        <w:r w:rsidRPr="006B5494">
          <w:rPr>
            <w:rStyle w:val="Hyperlink"/>
          </w:rPr>
          <w:t>Cost effectiveness</w:t>
        </w:r>
        <w:r>
          <w:rPr>
            <w:webHidden/>
          </w:rPr>
          <w:tab/>
        </w:r>
        <w:r>
          <w:rPr>
            <w:webHidden/>
          </w:rPr>
          <w:fldChar w:fldCharType="begin"/>
        </w:r>
        <w:r>
          <w:rPr>
            <w:webHidden/>
          </w:rPr>
          <w:instrText xml:space="preserve"> PAGEREF _Toc189772035 \h </w:instrText>
        </w:r>
        <w:r>
          <w:rPr>
            <w:webHidden/>
          </w:rPr>
        </w:r>
        <w:r>
          <w:rPr>
            <w:webHidden/>
          </w:rPr>
          <w:fldChar w:fldCharType="separate"/>
        </w:r>
        <w:r w:rsidR="00FC6A0A">
          <w:rPr>
            <w:webHidden/>
          </w:rPr>
          <w:t>124</w:t>
        </w:r>
        <w:r>
          <w:rPr>
            <w:webHidden/>
          </w:rPr>
          <w:fldChar w:fldCharType="end"/>
        </w:r>
      </w:hyperlink>
    </w:p>
    <w:p w14:paraId="3FABD1E0" w14:textId="78A0B876"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36" w:history="1">
        <w:r w:rsidRPr="006B5494">
          <w:rPr>
            <w:rStyle w:val="Hyperlink"/>
            <w:noProof/>
          </w:rPr>
          <w:t>6</w:t>
        </w:r>
        <w:r>
          <w:rPr>
            <w:rFonts w:asciiTheme="minorHAnsi" w:eastAsiaTheme="minorEastAsia" w:hAnsiTheme="minorHAnsi"/>
            <w:noProof/>
            <w:kern w:val="2"/>
            <w:sz w:val="24"/>
            <w:szCs w:val="24"/>
            <w:lang w:eastAsia="en-AU"/>
            <w14:ligatures w14:val="standardContextual"/>
          </w:rPr>
          <w:tab/>
        </w:r>
        <w:r w:rsidRPr="006B5494">
          <w:rPr>
            <w:rStyle w:val="Hyperlink"/>
            <w:noProof/>
          </w:rPr>
          <w:t>Improvement opportunities</w:t>
        </w:r>
        <w:r>
          <w:rPr>
            <w:noProof/>
            <w:webHidden/>
          </w:rPr>
          <w:tab/>
        </w:r>
        <w:r>
          <w:rPr>
            <w:noProof/>
            <w:webHidden/>
          </w:rPr>
          <w:fldChar w:fldCharType="begin"/>
        </w:r>
        <w:r>
          <w:rPr>
            <w:noProof/>
            <w:webHidden/>
          </w:rPr>
          <w:instrText xml:space="preserve"> PAGEREF _Toc189772036 \h </w:instrText>
        </w:r>
        <w:r>
          <w:rPr>
            <w:noProof/>
            <w:webHidden/>
          </w:rPr>
        </w:r>
        <w:r>
          <w:rPr>
            <w:noProof/>
            <w:webHidden/>
          </w:rPr>
          <w:fldChar w:fldCharType="separate"/>
        </w:r>
        <w:r w:rsidR="00FC6A0A">
          <w:rPr>
            <w:noProof/>
            <w:webHidden/>
          </w:rPr>
          <w:t>134</w:t>
        </w:r>
        <w:r>
          <w:rPr>
            <w:noProof/>
            <w:webHidden/>
          </w:rPr>
          <w:fldChar w:fldCharType="end"/>
        </w:r>
      </w:hyperlink>
    </w:p>
    <w:p w14:paraId="3D9F5465" w14:textId="7C9E5741" w:rsidR="00965160" w:rsidRDefault="00965160">
      <w:pPr>
        <w:pStyle w:val="TOC1"/>
        <w:tabs>
          <w:tab w:val="left" w:pos="1440"/>
        </w:tabs>
        <w:rPr>
          <w:rFonts w:asciiTheme="minorHAnsi" w:eastAsiaTheme="minorEastAsia" w:hAnsiTheme="minorHAnsi"/>
          <w:noProof/>
          <w:kern w:val="2"/>
          <w:sz w:val="24"/>
          <w:szCs w:val="24"/>
          <w:lang w:eastAsia="en-AU"/>
          <w14:ligatures w14:val="standardContextual"/>
        </w:rPr>
      </w:pPr>
      <w:hyperlink w:anchor="_Toc189772037" w:history="1">
        <w:r w:rsidRPr="006B5494">
          <w:rPr>
            <w:rStyle w:val="Hyperlink"/>
            <w:noProof/>
          </w:rPr>
          <w:t>Appendix A</w:t>
        </w:r>
        <w:r>
          <w:rPr>
            <w:rFonts w:asciiTheme="minorHAnsi" w:eastAsiaTheme="minorEastAsia" w:hAnsiTheme="minorHAnsi"/>
            <w:noProof/>
            <w:kern w:val="2"/>
            <w:sz w:val="24"/>
            <w:szCs w:val="24"/>
            <w:lang w:eastAsia="en-AU"/>
            <w14:ligatures w14:val="standardContextual"/>
          </w:rPr>
          <w:tab/>
        </w:r>
        <w:r w:rsidRPr="006B5494">
          <w:rPr>
            <w:rStyle w:val="Hyperlink"/>
            <w:noProof/>
          </w:rPr>
          <w:t>Logic model</w:t>
        </w:r>
        <w:r>
          <w:rPr>
            <w:noProof/>
            <w:webHidden/>
          </w:rPr>
          <w:tab/>
        </w:r>
        <w:r>
          <w:rPr>
            <w:noProof/>
            <w:webHidden/>
          </w:rPr>
          <w:fldChar w:fldCharType="begin"/>
        </w:r>
        <w:r>
          <w:rPr>
            <w:noProof/>
            <w:webHidden/>
          </w:rPr>
          <w:instrText xml:space="preserve"> PAGEREF _Toc189772037 \h </w:instrText>
        </w:r>
        <w:r>
          <w:rPr>
            <w:noProof/>
            <w:webHidden/>
          </w:rPr>
        </w:r>
        <w:r>
          <w:rPr>
            <w:noProof/>
            <w:webHidden/>
          </w:rPr>
          <w:fldChar w:fldCharType="separate"/>
        </w:r>
        <w:r w:rsidR="00FC6A0A">
          <w:rPr>
            <w:noProof/>
            <w:webHidden/>
          </w:rPr>
          <w:t>138</w:t>
        </w:r>
        <w:r>
          <w:rPr>
            <w:noProof/>
            <w:webHidden/>
          </w:rPr>
          <w:fldChar w:fldCharType="end"/>
        </w:r>
      </w:hyperlink>
    </w:p>
    <w:p w14:paraId="24756E40" w14:textId="4EA59CBF" w:rsidR="00965160" w:rsidRDefault="00965160">
      <w:pPr>
        <w:pStyle w:val="TOC1"/>
        <w:tabs>
          <w:tab w:val="left" w:pos="1200"/>
        </w:tabs>
        <w:rPr>
          <w:rFonts w:asciiTheme="minorHAnsi" w:eastAsiaTheme="minorEastAsia" w:hAnsiTheme="minorHAnsi"/>
          <w:noProof/>
          <w:kern w:val="2"/>
          <w:sz w:val="24"/>
          <w:szCs w:val="24"/>
          <w:lang w:eastAsia="en-AU"/>
          <w14:ligatures w14:val="standardContextual"/>
        </w:rPr>
      </w:pPr>
      <w:hyperlink w:anchor="_Toc189772038" w:history="1">
        <w:r w:rsidRPr="006B5494">
          <w:rPr>
            <w:rStyle w:val="Hyperlink"/>
            <w:noProof/>
          </w:rPr>
          <w:t>Appendix B</w:t>
        </w:r>
        <w:r>
          <w:rPr>
            <w:rFonts w:asciiTheme="minorHAnsi" w:eastAsiaTheme="minorEastAsia" w:hAnsiTheme="minorHAnsi"/>
            <w:noProof/>
            <w:kern w:val="2"/>
            <w:sz w:val="24"/>
            <w:szCs w:val="24"/>
            <w:lang w:eastAsia="en-AU"/>
            <w14:ligatures w14:val="standardContextual"/>
          </w:rPr>
          <w:tab/>
        </w:r>
        <w:r w:rsidRPr="006B5494">
          <w:rPr>
            <w:rStyle w:val="Hyperlink"/>
            <w:noProof/>
          </w:rPr>
          <w:t>Medicare UCC data sources and analysis methodology</w:t>
        </w:r>
        <w:r>
          <w:rPr>
            <w:noProof/>
            <w:webHidden/>
          </w:rPr>
          <w:tab/>
        </w:r>
        <w:r>
          <w:rPr>
            <w:noProof/>
            <w:webHidden/>
          </w:rPr>
          <w:fldChar w:fldCharType="begin"/>
        </w:r>
        <w:r>
          <w:rPr>
            <w:noProof/>
            <w:webHidden/>
          </w:rPr>
          <w:instrText xml:space="preserve"> PAGEREF _Toc189772038 \h </w:instrText>
        </w:r>
        <w:r>
          <w:rPr>
            <w:noProof/>
            <w:webHidden/>
          </w:rPr>
        </w:r>
        <w:r>
          <w:rPr>
            <w:noProof/>
            <w:webHidden/>
          </w:rPr>
          <w:fldChar w:fldCharType="separate"/>
        </w:r>
        <w:r w:rsidR="00FC6A0A">
          <w:rPr>
            <w:noProof/>
            <w:webHidden/>
          </w:rPr>
          <w:t>142</w:t>
        </w:r>
        <w:r>
          <w:rPr>
            <w:noProof/>
            <w:webHidden/>
          </w:rPr>
          <w:fldChar w:fldCharType="end"/>
        </w:r>
      </w:hyperlink>
    </w:p>
    <w:p w14:paraId="481352A2" w14:textId="7549295C" w:rsidR="00965160" w:rsidRDefault="00965160">
      <w:pPr>
        <w:pStyle w:val="TOC2"/>
        <w:rPr>
          <w:rFonts w:eastAsiaTheme="minorEastAsia" w:cstheme="minorBidi"/>
          <w:kern w:val="2"/>
          <w:sz w:val="24"/>
          <w:szCs w:val="24"/>
          <w14:ligatures w14:val="standardContextual"/>
        </w:rPr>
      </w:pPr>
      <w:hyperlink w:anchor="_Toc189772039" w:history="1">
        <w:r w:rsidRPr="006B5494">
          <w:rPr>
            <w:rStyle w:val="Hyperlink"/>
          </w:rPr>
          <w:t>B.1</w:t>
        </w:r>
        <w:r>
          <w:rPr>
            <w:rFonts w:eastAsiaTheme="minorEastAsia" w:cstheme="minorBidi"/>
            <w:kern w:val="2"/>
            <w:sz w:val="24"/>
            <w:szCs w:val="24"/>
            <w14:ligatures w14:val="standardContextual"/>
          </w:rPr>
          <w:tab/>
        </w:r>
        <w:r w:rsidRPr="006B5494">
          <w:rPr>
            <w:rStyle w:val="Hyperlink"/>
          </w:rPr>
          <w:t>Data sources</w:t>
        </w:r>
        <w:r>
          <w:rPr>
            <w:webHidden/>
          </w:rPr>
          <w:tab/>
        </w:r>
        <w:r>
          <w:rPr>
            <w:webHidden/>
          </w:rPr>
          <w:fldChar w:fldCharType="begin"/>
        </w:r>
        <w:r>
          <w:rPr>
            <w:webHidden/>
          </w:rPr>
          <w:instrText xml:space="preserve"> PAGEREF _Toc189772039 \h </w:instrText>
        </w:r>
        <w:r>
          <w:rPr>
            <w:webHidden/>
          </w:rPr>
        </w:r>
        <w:r>
          <w:rPr>
            <w:webHidden/>
          </w:rPr>
          <w:fldChar w:fldCharType="separate"/>
        </w:r>
        <w:r w:rsidR="00FC6A0A">
          <w:rPr>
            <w:webHidden/>
          </w:rPr>
          <w:t>142</w:t>
        </w:r>
        <w:r>
          <w:rPr>
            <w:webHidden/>
          </w:rPr>
          <w:fldChar w:fldCharType="end"/>
        </w:r>
      </w:hyperlink>
    </w:p>
    <w:p w14:paraId="2855F256" w14:textId="2F57C0A3" w:rsidR="00965160" w:rsidRDefault="00965160">
      <w:pPr>
        <w:pStyle w:val="TOC2"/>
        <w:rPr>
          <w:rFonts w:eastAsiaTheme="minorEastAsia" w:cstheme="minorBidi"/>
          <w:kern w:val="2"/>
          <w:sz w:val="24"/>
          <w:szCs w:val="24"/>
          <w14:ligatures w14:val="standardContextual"/>
        </w:rPr>
      </w:pPr>
      <w:hyperlink w:anchor="_Toc189772040" w:history="1">
        <w:r w:rsidRPr="006B5494">
          <w:rPr>
            <w:rStyle w:val="Hyperlink"/>
          </w:rPr>
          <w:t>B.2</w:t>
        </w:r>
        <w:r>
          <w:rPr>
            <w:rFonts w:eastAsiaTheme="minorEastAsia" w:cstheme="minorBidi"/>
            <w:kern w:val="2"/>
            <w:sz w:val="24"/>
            <w:szCs w:val="24"/>
            <w14:ligatures w14:val="standardContextual"/>
          </w:rPr>
          <w:tab/>
        </w:r>
        <w:r w:rsidRPr="006B5494">
          <w:rPr>
            <w:rStyle w:val="Hyperlink"/>
          </w:rPr>
          <w:t>Publicly available data</w:t>
        </w:r>
        <w:r>
          <w:rPr>
            <w:webHidden/>
          </w:rPr>
          <w:tab/>
        </w:r>
        <w:r>
          <w:rPr>
            <w:webHidden/>
          </w:rPr>
          <w:fldChar w:fldCharType="begin"/>
        </w:r>
        <w:r>
          <w:rPr>
            <w:webHidden/>
          </w:rPr>
          <w:instrText xml:space="preserve"> PAGEREF _Toc189772040 \h </w:instrText>
        </w:r>
        <w:r>
          <w:rPr>
            <w:webHidden/>
          </w:rPr>
        </w:r>
        <w:r>
          <w:rPr>
            <w:webHidden/>
          </w:rPr>
          <w:fldChar w:fldCharType="separate"/>
        </w:r>
        <w:r w:rsidR="00FC6A0A">
          <w:rPr>
            <w:webHidden/>
          </w:rPr>
          <w:t>147</w:t>
        </w:r>
        <w:r>
          <w:rPr>
            <w:webHidden/>
          </w:rPr>
          <w:fldChar w:fldCharType="end"/>
        </w:r>
      </w:hyperlink>
    </w:p>
    <w:p w14:paraId="043E8CC9" w14:textId="63B512E4" w:rsidR="00965160" w:rsidRDefault="00965160">
      <w:pPr>
        <w:pStyle w:val="TOC1"/>
        <w:tabs>
          <w:tab w:val="left" w:pos="1440"/>
        </w:tabs>
        <w:rPr>
          <w:rFonts w:asciiTheme="minorHAnsi" w:eastAsiaTheme="minorEastAsia" w:hAnsiTheme="minorHAnsi"/>
          <w:noProof/>
          <w:kern w:val="2"/>
          <w:sz w:val="24"/>
          <w:szCs w:val="24"/>
          <w:lang w:eastAsia="en-AU"/>
          <w14:ligatures w14:val="standardContextual"/>
        </w:rPr>
      </w:pPr>
      <w:hyperlink w:anchor="_Toc189772041" w:history="1">
        <w:r w:rsidRPr="006B5494">
          <w:rPr>
            <w:rStyle w:val="Hyperlink"/>
            <w:noProof/>
          </w:rPr>
          <w:t>Appendix C</w:t>
        </w:r>
        <w:r>
          <w:rPr>
            <w:rFonts w:asciiTheme="minorHAnsi" w:eastAsiaTheme="minorEastAsia" w:hAnsiTheme="minorHAnsi"/>
            <w:noProof/>
            <w:kern w:val="2"/>
            <w:sz w:val="24"/>
            <w:szCs w:val="24"/>
            <w:lang w:eastAsia="en-AU"/>
            <w14:ligatures w14:val="standardContextual"/>
          </w:rPr>
          <w:tab/>
        </w:r>
        <w:r w:rsidRPr="006B5494">
          <w:rPr>
            <w:rStyle w:val="Hyperlink"/>
            <w:noProof/>
          </w:rPr>
          <w:t>Stakeholders consulted</w:t>
        </w:r>
        <w:r>
          <w:rPr>
            <w:noProof/>
            <w:webHidden/>
          </w:rPr>
          <w:tab/>
        </w:r>
        <w:r>
          <w:rPr>
            <w:noProof/>
            <w:webHidden/>
          </w:rPr>
          <w:fldChar w:fldCharType="begin"/>
        </w:r>
        <w:r>
          <w:rPr>
            <w:noProof/>
            <w:webHidden/>
          </w:rPr>
          <w:instrText xml:space="preserve"> PAGEREF _Toc189772041 \h </w:instrText>
        </w:r>
        <w:r>
          <w:rPr>
            <w:noProof/>
            <w:webHidden/>
          </w:rPr>
        </w:r>
        <w:r>
          <w:rPr>
            <w:noProof/>
            <w:webHidden/>
          </w:rPr>
          <w:fldChar w:fldCharType="separate"/>
        </w:r>
        <w:r w:rsidR="00FC6A0A">
          <w:rPr>
            <w:noProof/>
            <w:webHidden/>
          </w:rPr>
          <w:t>149</w:t>
        </w:r>
        <w:r>
          <w:rPr>
            <w:noProof/>
            <w:webHidden/>
          </w:rPr>
          <w:fldChar w:fldCharType="end"/>
        </w:r>
      </w:hyperlink>
    </w:p>
    <w:p w14:paraId="6EABAFB1" w14:textId="73A8DC2A" w:rsidR="00965160" w:rsidRDefault="00965160">
      <w:pPr>
        <w:pStyle w:val="TOC1"/>
        <w:tabs>
          <w:tab w:val="left" w:pos="1440"/>
        </w:tabs>
        <w:rPr>
          <w:rFonts w:asciiTheme="minorHAnsi" w:eastAsiaTheme="minorEastAsia" w:hAnsiTheme="minorHAnsi"/>
          <w:noProof/>
          <w:kern w:val="2"/>
          <w:sz w:val="24"/>
          <w:szCs w:val="24"/>
          <w:lang w:eastAsia="en-AU"/>
          <w14:ligatures w14:val="standardContextual"/>
        </w:rPr>
      </w:pPr>
      <w:hyperlink w:anchor="_Toc189772042" w:history="1">
        <w:r w:rsidRPr="006B5494">
          <w:rPr>
            <w:rStyle w:val="Hyperlink"/>
            <w:noProof/>
          </w:rPr>
          <w:t>Appendix D</w:t>
        </w:r>
        <w:r>
          <w:rPr>
            <w:rFonts w:asciiTheme="minorHAnsi" w:eastAsiaTheme="minorEastAsia" w:hAnsiTheme="minorHAnsi"/>
            <w:noProof/>
            <w:kern w:val="2"/>
            <w:sz w:val="24"/>
            <w:szCs w:val="24"/>
            <w:lang w:eastAsia="en-AU"/>
            <w14:ligatures w14:val="standardContextual"/>
          </w:rPr>
          <w:tab/>
        </w:r>
        <w:r w:rsidRPr="006B5494">
          <w:rPr>
            <w:rStyle w:val="Hyperlink"/>
            <w:noProof/>
          </w:rPr>
          <w:t>Methodology for cost effectiveness analysis</w:t>
        </w:r>
        <w:r>
          <w:rPr>
            <w:noProof/>
            <w:webHidden/>
          </w:rPr>
          <w:tab/>
        </w:r>
        <w:r>
          <w:rPr>
            <w:noProof/>
            <w:webHidden/>
          </w:rPr>
          <w:fldChar w:fldCharType="begin"/>
        </w:r>
        <w:r>
          <w:rPr>
            <w:noProof/>
            <w:webHidden/>
          </w:rPr>
          <w:instrText xml:space="preserve"> PAGEREF _Toc189772042 \h </w:instrText>
        </w:r>
        <w:r>
          <w:rPr>
            <w:noProof/>
            <w:webHidden/>
          </w:rPr>
        </w:r>
        <w:r>
          <w:rPr>
            <w:noProof/>
            <w:webHidden/>
          </w:rPr>
          <w:fldChar w:fldCharType="separate"/>
        </w:r>
        <w:r w:rsidR="00FC6A0A">
          <w:rPr>
            <w:noProof/>
            <w:webHidden/>
          </w:rPr>
          <w:t>152</w:t>
        </w:r>
        <w:r>
          <w:rPr>
            <w:noProof/>
            <w:webHidden/>
          </w:rPr>
          <w:fldChar w:fldCharType="end"/>
        </w:r>
      </w:hyperlink>
    </w:p>
    <w:p w14:paraId="4B800DBD" w14:textId="2381167C" w:rsidR="00965160" w:rsidRDefault="00965160">
      <w:pPr>
        <w:pStyle w:val="TOC2"/>
        <w:rPr>
          <w:rFonts w:eastAsiaTheme="minorEastAsia" w:cstheme="minorBidi"/>
          <w:kern w:val="2"/>
          <w:sz w:val="24"/>
          <w:szCs w:val="24"/>
          <w14:ligatures w14:val="standardContextual"/>
        </w:rPr>
      </w:pPr>
      <w:hyperlink w:anchor="_Toc189772043" w:history="1">
        <w:r w:rsidRPr="006B5494">
          <w:rPr>
            <w:rStyle w:val="Hyperlink"/>
          </w:rPr>
          <w:t>Overview of methods</w:t>
        </w:r>
        <w:r>
          <w:rPr>
            <w:webHidden/>
          </w:rPr>
          <w:tab/>
        </w:r>
        <w:r>
          <w:rPr>
            <w:webHidden/>
          </w:rPr>
          <w:fldChar w:fldCharType="begin"/>
        </w:r>
        <w:r>
          <w:rPr>
            <w:webHidden/>
          </w:rPr>
          <w:instrText xml:space="preserve"> PAGEREF _Toc189772043 \h </w:instrText>
        </w:r>
        <w:r>
          <w:rPr>
            <w:webHidden/>
          </w:rPr>
        </w:r>
        <w:r>
          <w:rPr>
            <w:webHidden/>
          </w:rPr>
          <w:fldChar w:fldCharType="separate"/>
        </w:r>
        <w:r w:rsidR="00FC6A0A">
          <w:rPr>
            <w:webHidden/>
          </w:rPr>
          <w:t>152</w:t>
        </w:r>
        <w:r>
          <w:rPr>
            <w:webHidden/>
          </w:rPr>
          <w:fldChar w:fldCharType="end"/>
        </w:r>
      </w:hyperlink>
    </w:p>
    <w:p w14:paraId="0A9BEFFE" w14:textId="2FE99E15" w:rsidR="00965160" w:rsidRDefault="00965160">
      <w:pPr>
        <w:pStyle w:val="TOC1"/>
        <w:tabs>
          <w:tab w:val="left" w:pos="1200"/>
        </w:tabs>
        <w:rPr>
          <w:rFonts w:asciiTheme="minorHAnsi" w:eastAsiaTheme="minorEastAsia" w:hAnsiTheme="minorHAnsi"/>
          <w:noProof/>
          <w:kern w:val="2"/>
          <w:sz w:val="24"/>
          <w:szCs w:val="24"/>
          <w:lang w:eastAsia="en-AU"/>
          <w14:ligatures w14:val="standardContextual"/>
        </w:rPr>
      </w:pPr>
      <w:hyperlink w:anchor="_Toc189772044" w:history="1">
        <w:r w:rsidRPr="006B5494">
          <w:rPr>
            <w:rStyle w:val="Hyperlink"/>
            <w:noProof/>
          </w:rPr>
          <w:t>Appendix E</w:t>
        </w:r>
        <w:r>
          <w:rPr>
            <w:rFonts w:asciiTheme="minorHAnsi" w:eastAsiaTheme="minorEastAsia" w:hAnsiTheme="minorHAnsi"/>
            <w:noProof/>
            <w:kern w:val="2"/>
            <w:sz w:val="24"/>
            <w:szCs w:val="24"/>
            <w:lang w:eastAsia="en-AU"/>
            <w14:ligatures w14:val="standardContextual"/>
          </w:rPr>
          <w:tab/>
        </w:r>
        <w:r w:rsidRPr="006B5494">
          <w:rPr>
            <w:rStyle w:val="Hyperlink"/>
            <w:noProof/>
          </w:rPr>
          <w:t>ED measures for partner and other public hospitals 2020-21 to 2023-24</w:t>
        </w:r>
        <w:r>
          <w:rPr>
            <w:noProof/>
            <w:webHidden/>
          </w:rPr>
          <w:tab/>
        </w:r>
        <w:r>
          <w:rPr>
            <w:noProof/>
            <w:webHidden/>
          </w:rPr>
          <w:fldChar w:fldCharType="begin"/>
        </w:r>
        <w:r>
          <w:rPr>
            <w:noProof/>
            <w:webHidden/>
          </w:rPr>
          <w:instrText xml:space="preserve"> PAGEREF _Toc189772044 \h </w:instrText>
        </w:r>
        <w:r>
          <w:rPr>
            <w:noProof/>
            <w:webHidden/>
          </w:rPr>
        </w:r>
        <w:r>
          <w:rPr>
            <w:noProof/>
            <w:webHidden/>
          </w:rPr>
          <w:fldChar w:fldCharType="separate"/>
        </w:r>
        <w:r w:rsidR="00FC6A0A">
          <w:rPr>
            <w:noProof/>
            <w:webHidden/>
          </w:rPr>
          <w:t>161</w:t>
        </w:r>
        <w:r>
          <w:rPr>
            <w:noProof/>
            <w:webHidden/>
          </w:rPr>
          <w:fldChar w:fldCharType="end"/>
        </w:r>
      </w:hyperlink>
    </w:p>
    <w:p w14:paraId="1B529F12" w14:textId="4FDB1E8E" w:rsidR="00965160" w:rsidRDefault="00965160">
      <w:pPr>
        <w:pStyle w:val="TOC1"/>
        <w:rPr>
          <w:rFonts w:asciiTheme="minorHAnsi" w:eastAsiaTheme="minorEastAsia" w:hAnsiTheme="minorHAnsi"/>
          <w:noProof/>
          <w:kern w:val="2"/>
          <w:sz w:val="24"/>
          <w:szCs w:val="24"/>
          <w:lang w:eastAsia="en-AU"/>
          <w14:ligatures w14:val="standardContextual"/>
        </w:rPr>
      </w:pPr>
      <w:hyperlink w:anchor="_Toc189772045" w:history="1">
        <w:r w:rsidRPr="006B5494">
          <w:rPr>
            <w:rStyle w:val="Hyperlink"/>
            <w:noProof/>
          </w:rPr>
          <w:t>References</w:t>
        </w:r>
        <w:r>
          <w:rPr>
            <w:noProof/>
            <w:webHidden/>
          </w:rPr>
          <w:tab/>
        </w:r>
        <w:r>
          <w:rPr>
            <w:noProof/>
            <w:webHidden/>
          </w:rPr>
          <w:fldChar w:fldCharType="begin"/>
        </w:r>
        <w:r>
          <w:rPr>
            <w:noProof/>
            <w:webHidden/>
          </w:rPr>
          <w:instrText xml:space="preserve"> PAGEREF _Toc189772045 \h </w:instrText>
        </w:r>
        <w:r>
          <w:rPr>
            <w:noProof/>
            <w:webHidden/>
          </w:rPr>
        </w:r>
        <w:r>
          <w:rPr>
            <w:noProof/>
            <w:webHidden/>
          </w:rPr>
          <w:fldChar w:fldCharType="separate"/>
        </w:r>
        <w:r w:rsidR="00FC6A0A">
          <w:rPr>
            <w:noProof/>
            <w:webHidden/>
          </w:rPr>
          <w:t>165</w:t>
        </w:r>
        <w:r>
          <w:rPr>
            <w:noProof/>
            <w:webHidden/>
          </w:rPr>
          <w:fldChar w:fldCharType="end"/>
        </w:r>
      </w:hyperlink>
    </w:p>
    <w:p w14:paraId="44631D9B" w14:textId="4BAD2711" w:rsidR="004158A9" w:rsidRPr="00606C34" w:rsidRDefault="00BE2C3F" w:rsidP="00606C34">
      <w:r w:rsidRPr="009B783C">
        <w:rPr>
          <w:b/>
          <w:szCs w:val="21"/>
        </w:rPr>
        <w:fldChar w:fldCharType="end"/>
      </w:r>
    </w:p>
    <w:p w14:paraId="53636C59" w14:textId="77777777" w:rsidR="00DA026D" w:rsidRPr="00606C34" w:rsidRDefault="00DA026D" w:rsidP="00606C34"/>
    <w:p w14:paraId="50066904" w14:textId="14776D08" w:rsidR="004158A9" w:rsidRPr="009B783C" w:rsidRDefault="004158A9" w:rsidP="00BE2C3F">
      <w:pPr>
        <w:rPr>
          <w:szCs w:val="21"/>
          <w:lang w:eastAsia="en-AU"/>
        </w:rPr>
        <w:sectPr w:rsidR="004158A9" w:rsidRPr="009B783C" w:rsidSect="00044C7D">
          <w:pgSz w:w="11907" w:h="16839" w:code="9"/>
          <w:pgMar w:top="1247" w:right="1418" w:bottom="1134" w:left="1559" w:header="720" w:footer="720" w:gutter="0"/>
          <w:cols w:space="720"/>
          <w:docGrid w:linePitch="360"/>
        </w:sectPr>
      </w:pPr>
    </w:p>
    <w:p w14:paraId="0DC0D04D" w14:textId="7875B486" w:rsidR="00ED5CC2" w:rsidRPr="009B783C" w:rsidRDefault="00ED5CC2" w:rsidP="00783662">
      <w:pPr>
        <w:pStyle w:val="Heading1"/>
        <w:numPr>
          <w:ilvl w:val="0"/>
          <w:numId w:val="0"/>
        </w:numPr>
        <w:ind w:left="567" w:hanging="567"/>
      </w:pPr>
      <w:bookmarkStart w:id="4" w:name="_Toc189639204"/>
      <w:bookmarkStart w:id="5" w:name="_Toc189772000"/>
      <w:r w:rsidRPr="009B783C">
        <w:lastRenderedPageBreak/>
        <w:t>Abbreviations</w:t>
      </w:r>
      <w:bookmarkEnd w:id="4"/>
      <w:bookmarkEnd w:id="5"/>
    </w:p>
    <w:tbl>
      <w:tblPr>
        <w:tblStyle w:val="NOUSSideHeader1"/>
        <w:tblW w:w="0" w:type="auto"/>
        <w:tblLook w:val="04A0" w:firstRow="1" w:lastRow="0" w:firstColumn="1" w:lastColumn="0" w:noHBand="0" w:noVBand="1"/>
      </w:tblPr>
      <w:tblGrid>
        <w:gridCol w:w="2324"/>
        <w:gridCol w:w="6606"/>
      </w:tblGrid>
      <w:tr w:rsidR="002D1FE8" w:rsidRPr="009B783C" w14:paraId="0A9364BE" w14:textId="77777777" w:rsidTr="00421461">
        <w:trPr>
          <w:cnfStyle w:val="100000000000" w:firstRow="1" w:lastRow="0" w:firstColumn="0" w:lastColumn="0" w:oddVBand="0" w:evenVBand="0" w:oddHBand="0" w:evenHBand="0" w:firstRowFirstColumn="0" w:firstRowLastColumn="0" w:lastRowFirstColumn="0" w:lastRowLastColumn="0"/>
        </w:trPr>
        <w:tc>
          <w:tcPr>
            <w:tcW w:w="2324" w:type="dxa"/>
            <w:tcBorders>
              <w:top w:val="single" w:sz="2" w:space="0" w:color="00264D" w:themeColor="background2"/>
              <w:bottom w:val="single" w:sz="4" w:space="0" w:color="00264D" w:themeColor="background2"/>
            </w:tcBorders>
            <w:shd w:val="clear" w:color="auto" w:fill="00264D" w:themeFill="background2"/>
          </w:tcPr>
          <w:p w14:paraId="3F096C4B" w14:textId="27E6CA0F" w:rsidR="0067124B" w:rsidRPr="009B783C" w:rsidRDefault="00C404B7" w:rsidP="00786482">
            <w:pPr>
              <w:pStyle w:val="TableNheader"/>
            </w:pPr>
            <w:r w:rsidRPr="009B783C">
              <w:t>Abbreviation</w:t>
            </w:r>
          </w:p>
        </w:tc>
        <w:tc>
          <w:tcPr>
            <w:tcW w:w="6606" w:type="dxa"/>
            <w:tcBorders>
              <w:top w:val="single" w:sz="2" w:space="0" w:color="00264D" w:themeColor="background2"/>
              <w:bottom w:val="single" w:sz="4" w:space="0" w:color="00264D" w:themeColor="background2"/>
            </w:tcBorders>
            <w:shd w:val="clear" w:color="auto" w:fill="00264D" w:themeFill="background2"/>
          </w:tcPr>
          <w:p w14:paraId="678C4080" w14:textId="32674A29" w:rsidR="0067124B" w:rsidRPr="009B783C" w:rsidRDefault="00C404B7" w:rsidP="00786482">
            <w:pPr>
              <w:pStyle w:val="TableNheader"/>
            </w:pPr>
            <w:r w:rsidRPr="009B783C">
              <w:t>Meaning</w:t>
            </w:r>
          </w:p>
        </w:tc>
      </w:tr>
      <w:tr w:rsidR="001731DD" w:rsidRPr="009B783C" w14:paraId="0816E3CC"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B74C9C" w14:textId="02B06796" w:rsidR="001731DD" w:rsidRPr="00606C34" w:rsidRDefault="001731DD" w:rsidP="00606C34">
            <w:pPr>
              <w:pStyle w:val="TableNText"/>
            </w:pPr>
            <w:r w:rsidRPr="00606C34">
              <w:t>ABS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02EBA5" w14:textId="6C35E150" w:rsidR="001731DD" w:rsidRPr="00606C34" w:rsidRDefault="001731DD" w:rsidP="00606C34">
            <w:pPr>
              <w:pStyle w:val="TableNText"/>
            </w:pPr>
            <w:r w:rsidRPr="00606C34">
              <w:t>Australian Bureau of Statistics</w:t>
            </w:r>
          </w:p>
        </w:tc>
      </w:tr>
      <w:tr w:rsidR="00987905" w:rsidRPr="009B783C" w14:paraId="73A20670"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0A33683" w14:textId="24B66DC3" w:rsidR="00987905" w:rsidRPr="00606C34" w:rsidRDefault="00987905" w:rsidP="00606C34">
            <w:pPr>
              <w:pStyle w:val="TableNText"/>
            </w:pPr>
            <w:r w:rsidRPr="00606C34">
              <w:t>ACCHO</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06F29C3" w14:textId="6B5ED671" w:rsidR="00987905" w:rsidRPr="00606C34" w:rsidRDefault="00987905" w:rsidP="00606C34">
            <w:pPr>
              <w:pStyle w:val="TableNText"/>
            </w:pPr>
            <w:r w:rsidRPr="00606C34">
              <w:t xml:space="preserve">Aboriginal Community Controlled Health Organisation </w:t>
            </w:r>
          </w:p>
        </w:tc>
      </w:tr>
      <w:tr w:rsidR="0067124B" w:rsidRPr="009B783C" w14:paraId="31415A26"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38C7243" w14:textId="2799C6CF" w:rsidR="0067124B" w:rsidRPr="00606C34" w:rsidRDefault="0067124B" w:rsidP="00606C34">
            <w:pPr>
              <w:pStyle w:val="TableNText"/>
            </w:pPr>
            <w:r w:rsidRPr="00606C34">
              <w:t>ACCHS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E0858BE" w14:textId="53ACE534" w:rsidR="0067124B" w:rsidRPr="00606C34" w:rsidRDefault="0067124B" w:rsidP="00606C34">
            <w:pPr>
              <w:pStyle w:val="TableNText"/>
            </w:pPr>
            <w:r w:rsidRPr="00606C34">
              <w:t>Aboriginal Community Controlled Health Services</w:t>
            </w:r>
          </w:p>
        </w:tc>
      </w:tr>
      <w:tr w:rsidR="003A6997" w:rsidRPr="009B783C" w14:paraId="27830A83"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17641A4" w14:textId="02D765CB" w:rsidR="003A6997" w:rsidRPr="00606C34" w:rsidRDefault="00EA6A40" w:rsidP="00606C34">
            <w:pPr>
              <w:pStyle w:val="TableNText"/>
            </w:pPr>
            <w:r w:rsidRPr="00606C34">
              <w:t>ACT</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0C10254" w14:textId="5106BEC1" w:rsidR="003A6997" w:rsidRPr="00606C34" w:rsidRDefault="00EA6A40" w:rsidP="00606C34">
            <w:pPr>
              <w:pStyle w:val="TableNText"/>
            </w:pPr>
            <w:r w:rsidRPr="00606C34">
              <w:t>Australian Capital Territory</w:t>
            </w:r>
          </w:p>
        </w:tc>
      </w:tr>
      <w:tr w:rsidR="00C94452" w:rsidRPr="009B783C" w14:paraId="5875C71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9161E98" w14:textId="51EEFCD4" w:rsidR="00C94452" w:rsidRPr="00606C34" w:rsidRDefault="00C94452" w:rsidP="00606C34">
            <w:pPr>
              <w:pStyle w:val="TableNText"/>
            </w:pPr>
            <w:r w:rsidRPr="00606C34">
              <w:t>AECC</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0A080B0" w14:textId="7CF8769D" w:rsidR="00C94452" w:rsidRPr="00606C34" w:rsidRDefault="00C94452" w:rsidP="00606C34">
            <w:pPr>
              <w:pStyle w:val="TableNText"/>
            </w:pPr>
            <w:r w:rsidRPr="00606C34">
              <w:t>Australian Emergency Care Classification</w:t>
            </w:r>
          </w:p>
        </w:tc>
      </w:tr>
      <w:tr w:rsidR="00F600E3" w:rsidRPr="009B783C" w14:paraId="3012EF84"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7153E6A" w14:textId="6A27C894" w:rsidR="00F600E3" w:rsidRPr="00606C34" w:rsidRDefault="00F600E3" w:rsidP="00606C34">
            <w:pPr>
              <w:pStyle w:val="TableNText"/>
            </w:pPr>
            <w:r w:rsidRPr="00606C34">
              <w:t>AIHW</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508723B" w14:textId="35A72CA6" w:rsidR="00F600E3" w:rsidRPr="00606C34" w:rsidRDefault="00F600E3" w:rsidP="00606C34">
            <w:pPr>
              <w:pStyle w:val="TableNText"/>
            </w:pPr>
            <w:r w:rsidRPr="00606C34">
              <w:t>Australian Institute of Health and Welfare</w:t>
            </w:r>
          </w:p>
        </w:tc>
      </w:tr>
      <w:tr w:rsidR="002843A1" w:rsidRPr="009B783C" w14:paraId="5BB04FD4"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EC267FF" w14:textId="7033BDC9" w:rsidR="002843A1" w:rsidRPr="00606C34" w:rsidRDefault="002843A1" w:rsidP="00606C34">
            <w:pPr>
              <w:pStyle w:val="TableNText"/>
            </w:pPr>
            <w:r w:rsidRPr="00606C34">
              <w:t>AMI</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31C9C98" w14:textId="0C9440B3" w:rsidR="002843A1" w:rsidRPr="00606C34" w:rsidRDefault="002843A1" w:rsidP="00606C34">
            <w:pPr>
              <w:pStyle w:val="TableNText"/>
            </w:pPr>
            <w:r w:rsidRPr="00606C34">
              <w:t>Acute myocardial infarction</w:t>
            </w:r>
          </w:p>
        </w:tc>
      </w:tr>
      <w:tr w:rsidR="00D87862" w:rsidRPr="009B783C" w14:paraId="2E6DAD28"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41D95B2" w14:textId="48B3BBA9" w:rsidR="00D87862" w:rsidRPr="00606C34" w:rsidRDefault="00D87862" w:rsidP="00606C34">
            <w:pPr>
              <w:pStyle w:val="TableNText"/>
            </w:pPr>
            <w:r w:rsidRPr="00606C34">
              <w:t>AMSANT</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E0484F7" w14:textId="57658920" w:rsidR="00D87862" w:rsidRPr="00606C34" w:rsidRDefault="00D87862" w:rsidP="00606C34">
            <w:pPr>
              <w:pStyle w:val="TableNText"/>
            </w:pPr>
            <w:r w:rsidRPr="00606C34">
              <w:t>Aboriginal Medical Services Alliance Northern Territory</w:t>
            </w:r>
          </w:p>
        </w:tc>
      </w:tr>
      <w:tr w:rsidR="00EA6A40" w:rsidRPr="009B783C" w14:paraId="1E395EAA"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0114BF3" w14:textId="0709BE26" w:rsidR="00EA6A40" w:rsidRPr="00606C34" w:rsidRDefault="00EA6A40" w:rsidP="00606C34">
            <w:pPr>
              <w:pStyle w:val="TableNText"/>
            </w:pPr>
            <w:r w:rsidRPr="00606C34">
              <w:t>ATS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29B6333" w14:textId="1BD078C5" w:rsidR="00EA6A40" w:rsidRPr="00606C34" w:rsidRDefault="00EA6A40" w:rsidP="00606C34">
            <w:pPr>
              <w:pStyle w:val="TableNText"/>
            </w:pPr>
            <w:r w:rsidRPr="00606C34">
              <w:t>Australasian Triage Scale</w:t>
            </w:r>
          </w:p>
        </w:tc>
      </w:tr>
      <w:tr w:rsidR="00EA6A40" w:rsidRPr="009B783C" w14:paraId="7780A1FA"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5410A12" w14:textId="27CC0B0C" w:rsidR="00EA6A40" w:rsidRPr="00606C34" w:rsidRDefault="00EA6A40" w:rsidP="00606C34">
            <w:pPr>
              <w:pStyle w:val="TableNText"/>
            </w:pPr>
            <w:r w:rsidRPr="00606C34">
              <w:t>CALD</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B2C247D" w14:textId="1B80DD6D" w:rsidR="00EA6A40" w:rsidRPr="00606C34" w:rsidRDefault="00EA6A40" w:rsidP="00606C34">
            <w:pPr>
              <w:pStyle w:val="TableNText"/>
            </w:pPr>
            <w:r w:rsidRPr="00606C34">
              <w:t>Culturally and linguistically diverse</w:t>
            </w:r>
          </w:p>
        </w:tc>
      </w:tr>
      <w:tr w:rsidR="00031E1C" w:rsidRPr="009B783C" w14:paraId="4943D1E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FBC1E79" w14:textId="1BB9395C" w:rsidR="00031E1C" w:rsidRPr="00606C34" w:rsidRDefault="00031E1C" w:rsidP="00606C34">
            <w:pPr>
              <w:pStyle w:val="TableNText"/>
            </w:pPr>
            <w:r w:rsidRPr="00606C34">
              <w:t>CHF</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EE9C552" w14:textId="1BC94D41" w:rsidR="00031E1C" w:rsidRPr="00606C34" w:rsidRDefault="00031E1C" w:rsidP="00606C34">
            <w:pPr>
              <w:pStyle w:val="TableNText"/>
            </w:pPr>
            <w:r w:rsidRPr="00606C34">
              <w:t>Consumers Health Forum</w:t>
            </w:r>
          </w:p>
        </w:tc>
      </w:tr>
      <w:tr w:rsidR="00AC166B" w:rsidRPr="009B783C" w14:paraId="514F6F0D"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6A8DD21" w14:textId="45F1DB0C" w:rsidR="00AC166B" w:rsidRPr="00606C34" w:rsidRDefault="00AC166B" w:rsidP="00606C34">
            <w:pPr>
              <w:pStyle w:val="TableNText"/>
            </w:pPr>
            <w:r w:rsidRPr="00606C34">
              <w:t>CHS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7382E27" w14:textId="6FBA7461" w:rsidR="00AC166B" w:rsidRPr="00606C34" w:rsidRDefault="00AC166B" w:rsidP="00606C34">
            <w:pPr>
              <w:pStyle w:val="TableNText"/>
            </w:pPr>
            <w:r w:rsidRPr="00606C34">
              <w:t>Canberra Health Service</w:t>
            </w:r>
            <w:r w:rsidR="00733B5F" w:rsidRPr="00606C34">
              <w:t>s</w:t>
            </w:r>
          </w:p>
        </w:tc>
      </w:tr>
      <w:tr w:rsidR="00FE401C" w:rsidRPr="009B783C" w14:paraId="45AB443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54D05CE" w14:textId="64CE9371" w:rsidR="00FE401C" w:rsidRPr="00606C34" w:rsidRDefault="00FE401C" w:rsidP="00606C34">
            <w:pPr>
              <w:pStyle w:val="TableNText"/>
            </w:pPr>
            <w:r w:rsidRPr="00606C34">
              <w:t>CoP</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6E476B8" w14:textId="3C82DCC0" w:rsidR="00FE401C" w:rsidRPr="00606C34" w:rsidRDefault="00FE401C" w:rsidP="00606C34">
            <w:pPr>
              <w:pStyle w:val="TableNText"/>
            </w:pPr>
            <w:r w:rsidRPr="00606C34">
              <w:t>Community of practice</w:t>
            </w:r>
          </w:p>
        </w:tc>
      </w:tr>
      <w:tr w:rsidR="009E54AA" w:rsidRPr="009B783C" w14:paraId="6384EA1A"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8634F2" w14:textId="154AC492" w:rsidR="009E54AA" w:rsidRPr="00606C34" w:rsidRDefault="009E54AA" w:rsidP="00606C34">
            <w:pPr>
              <w:pStyle w:val="TableNText"/>
            </w:pPr>
            <w:proofErr w:type="spellStart"/>
            <w:r w:rsidRPr="00606C34">
              <w:t>DiD</w:t>
            </w:r>
            <w:proofErr w:type="spellEnd"/>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1AA0B6C" w14:textId="749DB805" w:rsidR="009E54AA" w:rsidRPr="00606C34" w:rsidRDefault="009E54AA" w:rsidP="00606C34">
            <w:pPr>
              <w:pStyle w:val="TableNText"/>
            </w:pPr>
            <w:r w:rsidRPr="00606C34">
              <w:t>Difference-in-differences</w:t>
            </w:r>
          </w:p>
        </w:tc>
      </w:tr>
      <w:tr w:rsidR="00F0065A" w:rsidRPr="009B783C" w14:paraId="517C1ECC"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06A293" w14:textId="6888E6EC" w:rsidR="00F0065A" w:rsidRPr="00606C34" w:rsidRDefault="00F0065A" w:rsidP="00606C34">
            <w:pPr>
              <w:pStyle w:val="TableNText"/>
            </w:pPr>
            <w:r w:rsidRPr="00606C34">
              <w:t>DMO</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6979D59" w14:textId="33A2F2EC" w:rsidR="00F0065A" w:rsidRPr="00606C34" w:rsidRDefault="00F0065A" w:rsidP="00606C34">
            <w:pPr>
              <w:pStyle w:val="TableNText"/>
            </w:pPr>
            <w:r w:rsidRPr="00606C34">
              <w:t>District Medical Officer</w:t>
            </w:r>
          </w:p>
        </w:tc>
      </w:tr>
      <w:tr w:rsidR="00EA6A40" w:rsidRPr="009B783C" w14:paraId="7FE74347"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32C3793" w14:textId="36B9E29F" w:rsidR="00EA6A40" w:rsidRPr="00606C34" w:rsidRDefault="00EA6A40" w:rsidP="00606C34">
            <w:pPr>
              <w:pStyle w:val="TableNText"/>
            </w:pPr>
            <w:r w:rsidRPr="00606C34">
              <w:t>ED</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5CDF17" w14:textId="395EC2B9" w:rsidR="00EA6A40" w:rsidRPr="00606C34" w:rsidRDefault="00EA6A40" w:rsidP="00606C34">
            <w:pPr>
              <w:pStyle w:val="TableNText"/>
            </w:pPr>
            <w:r w:rsidRPr="00606C34">
              <w:t>Emergency department</w:t>
            </w:r>
          </w:p>
        </w:tc>
      </w:tr>
      <w:tr w:rsidR="00EA6A40" w:rsidRPr="009B783C" w14:paraId="04863DC2"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40F9D00" w14:textId="4C4F57B6" w:rsidR="00EA6A40" w:rsidRPr="00606C34" w:rsidRDefault="00EA6A40" w:rsidP="00606C34">
            <w:pPr>
              <w:pStyle w:val="TableNText"/>
            </w:pPr>
            <w:r w:rsidRPr="00606C34">
              <w:t>FTE</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606F8DD" w14:textId="39BC1D73" w:rsidR="00EA6A40" w:rsidRPr="00606C34" w:rsidRDefault="00EA6A40" w:rsidP="00606C34">
            <w:pPr>
              <w:pStyle w:val="TableNText"/>
            </w:pPr>
            <w:r w:rsidRPr="00606C34">
              <w:t>Full time equivalent</w:t>
            </w:r>
          </w:p>
        </w:tc>
      </w:tr>
      <w:tr w:rsidR="00EA6A40" w:rsidRPr="009B783C" w14:paraId="1D63E736"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0CF766" w14:textId="3D669539" w:rsidR="00EA6A40" w:rsidRPr="00606C34" w:rsidRDefault="00EA6A40" w:rsidP="00606C34">
            <w:pPr>
              <w:pStyle w:val="TableNText"/>
            </w:pPr>
            <w:r w:rsidRPr="00606C34">
              <w:t>GP</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A7BE098" w14:textId="38543FAD" w:rsidR="00EA6A40" w:rsidRPr="00606C34" w:rsidRDefault="00EA6A40" w:rsidP="00606C34">
            <w:pPr>
              <w:pStyle w:val="TableNText"/>
            </w:pPr>
            <w:r w:rsidRPr="00606C34">
              <w:t>General practitioner</w:t>
            </w:r>
          </w:p>
        </w:tc>
      </w:tr>
      <w:tr w:rsidR="0064049F" w:rsidRPr="009B783C" w14:paraId="6D51CBBA"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4627073" w14:textId="3E5FC050" w:rsidR="0064049F" w:rsidRPr="00606C34" w:rsidRDefault="0064049F" w:rsidP="00606C34">
            <w:pPr>
              <w:pStyle w:val="TableNText"/>
            </w:pPr>
            <w:r w:rsidRPr="00606C34">
              <w:t>HPA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F80DAAB" w14:textId="5CA3656E" w:rsidR="0064049F" w:rsidRPr="00606C34" w:rsidRDefault="0064049F" w:rsidP="00606C34">
            <w:pPr>
              <w:pStyle w:val="TableNText"/>
            </w:pPr>
            <w:r w:rsidRPr="00606C34">
              <w:t>Health Policy Analysis</w:t>
            </w:r>
          </w:p>
        </w:tc>
      </w:tr>
      <w:tr w:rsidR="008C297D" w:rsidRPr="009B783C" w14:paraId="4F66C3A1"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AF6A3B7" w14:textId="090A3C20" w:rsidR="008C297D" w:rsidRPr="00606C34" w:rsidRDefault="008C297D" w:rsidP="00606C34">
            <w:pPr>
              <w:pStyle w:val="TableNText"/>
            </w:pPr>
            <w:r w:rsidRPr="00606C34">
              <w:t>IHACPA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2F36B44" w14:textId="1840C8A1" w:rsidR="008C297D" w:rsidRPr="00606C34" w:rsidRDefault="008C297D" w:rsidP="00606C34">
            <w:pPr>
              <w:pStyle w:val="TableNText"/>
            </w:pPr>
            <w:r w:rsidRPr="00606C34">
              <w:t>Independent Health and Aged Care Pricing Authority</w:t>
            </w:r>
          </w:p>
        </w:tc>
      </w:tr>
      <w:tr w:rsidR="00EA6A40" w:rsidRPr="009B783C" w14:paraId="4FD4E42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ABCA18E" w14:textId="238981CE" w:rsidR="00EA6A40" w:rsidRPr="00606C34" w:rsidRDefault="00EA6A40" w:rsidP="00606C34">
            <w:pPr>
              <w:pStyle w:val="TableNText"/>
            </w:pPr>
            <w:r w:rsidRPr="00606C34">
              <w:t>IRSD</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18E6C14" w14:textId="5BA65E51" w:rsidR="00EA6A40" w:rsidRPr="00606C34" w:rsidRDefault="00EA6A40" w:rsidP="00606C34">
            <w:pPr>
              <w:pStyle w:val="TableNText"/>
            </w:pPr>
            <w:r w:rsidRPr="00606C34">
              <w:t>Index of relative socio-economic disadvantage</w:t>
            </w:r>
          </w:p>
        </w:tc>
      </w:tr>
      <w:tr w:rsidR="00A56B03" w:rsidRPr="009B783C" w14:paraId="7AA15C88"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2D96AEA" w14:textId="72EDCEF7" w:rsidR="00A56B03" w:rsidRPr="00606C34" w:rsidRDefault="00A56B03" w:rsidP="00606C34">
            <w:pPr>
              <w:pStyle w:val="TableNText"/>
            </w:pPr>
            <w:r w:rsidRPr="00606C34">
              <w:t>ITS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9E7547F" w14:textId="29DE6BA4" w:rsidR="00A56B03" w:rsidRPr="00606C34" w:rsidRDefault="00A56B03" w:rsidP="00606C34">
            <w:pPr>
              <w:pStyle w:val="TableNText"/>
            </w:pPr>
            <w:r w:rsidRPr="00606C34">
              <w:t>Interrupted time series</w:t>
            </w:r>
          </w:p>
        </w:tc>
      </w:tr>
      <w:tr w:rsidR="00B521FB" w:rsidRPr="009B783C" w14:paraId="4D62A22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FF5261" w14:textId="00B207A2" w:rsidR="00B521FB" w:rsidRPr="00606C34" w:rsidRDefault="00B521FB" w:rsidP="00606C34">
            <w:pPr>
              <w:pStyle w:val="TableNText"/>
            </w:pPr>
            <w:r w:rsidRPr="00606C34">
              <w:t>LHN</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8083192" w14:textId="10B0D411" w:rsidR="00B521FB" w:rsidRPr="00606C34" w:rsidRDefault="00B521FB" w:rsidP="00606C34">
            <w:pPr>
              <w:pStyle w:val="TableNText"/>
            </w:pPr>
            <w:r w:rsidRPr="00606C34">
              <w:t xml:space="preserve">Local </w:t>
            </w:r>
            <w:r w:rsidR="00A64D93" w:rsidRPr="00606C34">
              <w:t>Hospital Network</w:t>
            </w:r>
          </w:p>
        </w:tc>
      </w:tr>
      <w:tr w:rsidR="00EA6A40" w:rsidRPr="009B783C" w14:paraId="2B79E2F1"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CA9BABE" w14:textId="1E42D731" w:rsidR="00EA6A40" w:rsidRPr="00606C34" w:rsidRDefault="00EA6A40" w:rsidP="00606C34">
            <w:pPr>
              <w:pStyle w:val="TableNText"/>
            </w:pPr>
            <w:r w:rsidRPr="00606C34">
              <w:lastRenderedPageBreak/>
              <w:t>UCC</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66DC060" w14:textId="0546345E" w:rsidR="00EA6A40" w:rsidRPr="00606C34" w:rsidRDefault="00EA6A40" w:rsidP="00606C34">
            <w:pPr>
              <w:pStyle w:val="TableNText"/>
            </w:pPr>
            <w:r w:rsidRPr="00606C34">
              <w:t>Urgent Care Clinic</w:t>
            </w:r>
          </w:p>
        </w:tc>
      </w:tr>
      <w:tr w:rsidR="008D1A25" w:rsidRPr="009B783C" w14:paraId="453D23EB"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B04A405" w14:textId="6CF2CEC6" w:rsidR="008D1A25" w:rsidRPr="00606C34" w:rsidRDefault="008D1A25" w:rsidP="00606C34">
            <w:pPr>
              <w:pStyle w:val="TableNText"/>
            </w:pPr>
            <w:r w:rsidRPr="00606C34">
              <w:t>MBS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C15391F" w14:textId="2EAFECD1" w:rsidR="008D1A25" w:rsidRPr="00606C34" w:rsidRDefault="00E83148" w:rsidP="00606C34">
            <w:pPr>
              <w:pStyle w:val="TableNText"/>
            </w:pPr>
            <w:r w:rsidRPr="00606C34">
              <w:t>Medicare Benefits Schedule</w:t>
            </w:r>
          </w:p>
        </w:tc>
      </w:tr>
      <w:tr w:rsidR="00EA6A40" w:rsidRPr="009B783C" w14:paraId="6D475D7F"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E03F6A3" w14:textId="5BDDBA3F" w:rsidR="00EA6A40" w:rsidRPr="00606C34" w:rsidRDefault="00EA6A40" w:rsidP="00606C34">
            <w:pPr>
              <w:pStyle w:val="TableNText"/>
            </w:pPr>
            <w:r w:rsidRPr="00606C34">
              <w:t>MMM</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919C92B" w14:textId="643ED887" w:rsidR="00EA6A40" w:rsidRPr="00606C34" w:rsidRDefault="00EA6A40" w:rsidP="00606C34">
            <w:pPr>
              <w:pStyle w:val="TableNText"/>
            </w:pPr>
            <w:r w:rsidRPr="00606C34">
              <w:t>Modified Monash Model</w:t>
            </w:r>
          </w:p>
        </w:tc>
      </w:tr>
      <w:tr w:rsidR="00EA6A40" w:rsidRPr="009B783C" w14:paraId="34D7CAF3"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5DABA1C" w14:textId="5A05A47C" w:rsidR="00EA6A40" w:rsidRPr="00606C34" w:rsidRDefault="00EA6A40" w:rsidP="00606C34">
            <w:pPr>
              <w:pStyle w:val="TableNText"/>
            </w:pPr>
            <w:r w:rsidRPr="00606C34">
              <w:t>MyHR</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322B072" w14:textId="2584030A" w:rsidR="00EA6A40" w:rsidRPr="00606C34" w:rsidRDefault="00EA6A40" w:rsidP="00606C34">
            <w:pPr>
              <w:pStyle w:val="TableNText"/>
            </w:pPr>
            <w:r w:rsidRPr="00606C34">
              <w:t>My Health Record</w:t>
            </w:r>
          </w:p>
        </w:tc>
      </w:tr>
      <w:tr w:rsidR="00980150" w:rsidRPr="009B783C" w14:paraId="2916E613"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945D830" w14:textId="6AA75FEA" w:rsidR="00980150" w:rsidRPr="00606C34" w:rsidRDefault="00980150" w:rsidP="00606C34">
            <w:pPr>
              <w:pStyle w:val="TableNText"/>
            </w:pPr>
            <w:r w:rsidRPr="00606C34">
              <w:t>NEP</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7837472" w14:textId="209E0EB8" w:rsidR="00980150" w:rsidRPr="00606C34" w:rsidRDefault="00980150" w:rsidP="00606C34">
            <w:pPr>
              <w:pStyle w:val="TableNText"/>
            </w:pPr>
            <w:r w:rsidRPr="00606C34">
              <w:t>National Efficient Price</w:t>
            </w:r>
          </w:p>
        </w:tc>
      </w:tr>
      <w:tr w:rsidR="00EA6A40" w:rsidRPr="009B783C" w14:paraId="09EBB363"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5A49DF4" w14:textId="398916A0" w:rsidR="00EA6A40" w:rsidRPr="00606C34" w:rsidRDefault="00EA6A40" w:rsidP="00606C34">
            <w:pPr>
              <w:pStyle w:val="TableNText"/>
            </w:pPr>
            <w:r w:rsidRPr="00606C34">
              <w:t>NSW</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74C6C83" w14:textId="44AF15DF" w:rsidR="00EA6A40" w:rsidRPr="00606C34" w:rsidRDefault="00EA6A40" w:rsidP="00606C34">
            <w:pPr>
              <w:pStyle w:val="TableNText"/>
            </w:pPr>
            <w:r w:rsidRPr="00606C34">
              <w:t>New South Wales</w:t>
            </w:r>
          </w:p>
        </w:tc>
      </w:tr>
      <w:tr w:rsidR="00EA6A40" w:rsidRPr="009B783C" w14:paraId="7B577CB4"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68E84A1" w14:textId="35708960" w:rsidR="00EA6A40" w:rsidRPr="00606C34" w:rsidRDefault="00EA6A40" w:rsidP="00606C34">
            <w:pPr>
              <w:pStyle w:val="TableNText"/>
            </w:pPr>
            <w:r w:rsidRPr="00606C34">
              <w:t>NT</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482DCA6" w14:textId="395306F6" w:rsidR="00EA6A40" w:rsidRPr="00606C34" w:rsidRDefault="00EA6A40" w:rsidP="00606C34">
            <w:pPr>
              <w:pStyle w:val="TableNText"/>
            </w:pPr>
            <w:r w:rsidRPr="00606C34">
              <w:t>Northern Territory</w:t>
            </w:r>
          </w:p>
        </w:tc>
      </w:tr>
      <w:tr w:rsidR="00E515ED" w:rsidRPr="009B783C" w14:paraId="261CAB06"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34C06AC" w14:textId="5075BC8E" w:rsidR="00E515ED" w:rsidRPr="00606C34" w:rsidRDefault="00E515ED" w:rsidP="00606C34">
            <w:pPr>
              <w:pStyle w:val="TableNText"/>
            </w:pPr>
            <w:r w:rsidRPr="00606C34">
              <w:t>NWAU</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6A8D5BE" w14:textId="3975E6F9" w:rsidR="00E515ED" w:rsidRPr="00606C34" w:rsidRDefault="00E515ED" w:rsidP="00606C34">
            <w:pPr>
              <w:pStyle w:val="TableNText"/>
            </w:pPr>
            <w:r w:rsidRPr="00606C34">
              <w:t>National Weighted Activity Unit</w:t>
            </w:r>
          </w:p>
        </w:tc>
      </w:tr>
      <w:tr w:rsidR="00A940D5" w:rsidRPr="009B783C" w14:paraId="34833A5F"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59F713E" w14:textId="3680B2EB" w:rsidR="00A940D5" w:rsidRPr="00606C34" w:rsidRDefault="00A940D5" w:rsidP="00606C34">
            <w:pPr>
              <w:pStyle w:val="TableNText"/>
            </w:pPr>
            <w:r w:rsidRPr="00606C34">
              <w:t>NZ</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0C80562" w14:textId="0F02F00F" w:rsidR="00A940D5" w:rsidRPr="00606C34" w:rsidRDefault="00A940D5" w:rsidP="00606C34">
            <w:pPr>
              <w:pStyle w:val="TableNText"/>
            </w:pPr>
            <w:r w:rsidRPr="00606C34">
              <w:t>New Zealand</w:t>
            </w:r>
          </w:p>
        </w:tc>
      </w:tr>
      <w:tr w:rsidR="00D87862" w:rsidRPr="009B783C" w14:paraId="1205D3C3"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F267D92" w14:textId="3267FCCB" w:rsidR="00D87862" w:rsidRPr="00606C34" w:rsidRDefault="00D87862" w:rsidP="00606C34">
            <w:pPr>
              <w:pStyle w:val="TableNText"/>
            </w:pPr>
            <w:r w:rsidRPr="00606C34">
              <w:t>PCP</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2AC2B4C" w14:textId="58762161" w:rsidR="00D87862" w:rsidRPr="00606C34" w:rsidRDefault="00D87862" w:rsidP="00606C34">
            <w:pPr>
              <w:pStyle w:val="TableNText"/>
            </w:pPr>
            <w:r w:rsidRPr="00606C34">
              <w:t>Primary Care Pilot</w:t>
            </w:r>
          </w:p>
        </w:tc>
      </w:tr>
      <w:tr w:rsidR="00EA6A40" w:rsidRPr="009B783C" w14:paraId="159978EC"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5919555" w14:textId="54754FE1" w:rsidR="00EA6A40" w:rsidRPr="00606C34" w:rsidRDefault="00EA6A40" w:rsidP="00606C34">
            <w:pPr>
              <w:pStyle w:val="TableNText"/>
            </w:pPr>
            <w:r w:rsidRPr="00606C34">
              <w:t>PHN</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D1ABB8A" w14:textId="33863BE3" w:rsidR="00EA6A40" w:rsidRPr="00606C34" w:rsidRDefault="00EA6A40" w:rsidP="00606C34">
            <w:pPr>
              <w:pStyle w:val="TableNText"/>
            </w:pPr>
            <w:r w:rsidRPr="00606C34">
              <w:t>Primary Health Network</w:t>
            </w:r>
          </w:p>
        </w:tc>
      </w:tr>
      <w:tr w:rsidR="007A1F08" w:rsidRPr="009B783C" w14:paraId="4BA3D12B"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C26BA73" w14:textId="11EACA78" w:rsidR="007A1F08" w:rsidRPr="00606C34" w:rsidRDefault="007A1F08" w:rsidP="00606C34">
            <w:pPr>
              <w:pStyle w:val="TableNText"/>
            </w:pPr>
            <w:r w:rsidRPr="00606C34">
              <w:t>PREM</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4CBDB2A" w14:textId="2AF31D9A" w:rsidR="007A1F08" w:rsidRPr="00606C34" w:rsidRDefault="007A1F08" w:rsidP="00606C34">
            <w:pPr>
              <w:pStyle w:val="TableNText"/>
            </w:pPr>
            <w:r w:rsidRPr="00606C34">
              <w:t>Patient reported experience measure</w:t>
            </w:r>
          </w:p>
        </w:tc>
      </w:tr>
      <w:tr w:rsidR="00FE401C" w:rsidRPr="009B783C" w14:paraId="34962B68"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ACEFEDC" w14:textId="7F37E9DA" w:rsidR="00FE401C" w:rsidRPr="00606C34" w:rsidRDefault="00FE401C" w:rsidP="00606C34">
            <w:pPr>
              <w:pStyle w:val="TableNText"/>
            </w:pPr>
            <w:r w:rsidRPr="00606C34">
              <w:t>RAN</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21401CE" w14:textId="12154BDA" w:rsidR="00FE401C" w:rsidRPr="00606C34" w:rsidRDefault="00FE401C" w:rsidP="00606C34">
            <w:pPr>
              <w:pStyle w:val="TableNText"/>
            </w:pPr>
            <w:r w:rsidRPr="00606C34">
              <w:t>Remote Area Nurse</w:t>
            </w:r>
          </w:p>
        </w:tc>
      </w:tr>
      <w:tr w:rsidR="009B61A8" w:rsidRPr="009B783C" w14:paraId="34AFD73C"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6B5827F" w14:textId="123B40A6" w:rsidR="009B61A8" w:rsidRPr="00606C34" w:rsidRDefault="00601C0B" w:rsidP="00606C34">
            <w:pPr>
              <w:pStyle w:val="TableNText"/>
            </w:pPr>
            <w:r w:rsidRPr="00606C34">
              <w:t>QLD</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C5C1C20" w14:textId="49689A3D" w:rsidR="009B61A8" w:rsidRPr="00606C34" w:rsidRDefault="009B61A8" w:rsidP="00606C34">
            <w:pPr>
              <w:pStyle w:val="TableNText"/>
            </w:pPr>
            <w:r w:rsidRPr="00606C34">
              <w:t>Queensland</w:t>
            </w:r>
          </w:p>
        </w:tc>
      </w:tr>
      <w:tr w:rsidR="00E87F83" w:rsidRPr="009B783C" w14:paraId="2DAA9A11"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F9FC04" w14:textId="40F0CAA8" w:rsidR="00E87F83" w:rsidRPr="00606C34" w:rsidRDefault="00E87F83" w:rsidP="00606C34">
            <w:pPr>
              <w:pStyle w:val="TableNText"/>
            </w:pPr>
            <w:r w:rsidRPr="00606C34">
              <w:t>QPA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E45FA93" w14:textId="4EC4C1E2" w:rsidR="00E87F83" w:rsidRPr="00606C34" w:rsidRDefault="00E87F83" w:rsidP="00606C34">
            <w:pPr>
              <w:pStyle w:val="TableNText"/>
            </w:pPr>
            <w:r w:rsidRPr="00606C34">
              <w:t>Quality Practice Accreditation</w:t>
            </w:r>
          </w:p>
        </w:tc>
      </w:tr>
      <w:tr w:rsidR="00EA6A40" w:rsidRPr="009B783C" w14:paraId="161EDE17"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0C1158B" w14:textId="5C544067" w:rsidR="00EA6A40" w:rsidRPr="00606C34" w:rsidRDefault="00EA6A40" w:rsidP="00606C34">
            <w:pPr>
              <w:pStyle w:val="TableNText"/>
            </w:pPr>
            <w:r w:rsidRPr="00606C34">
              <w:t>SA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A645508" w14:textId="31264FA1" w:rsidR="00EA6A40" w:rsidRPr="00606C34" w:rsidRDefault="00EA6A40" w:rsidP="00606C34">
            <w:pPr>
              <w:pStyle w:val="TableNText"/>
            </w:pPr>
            <w:r w:rsidRPr="00606C34">
              <w:t>South Australia</w:t>
            </w:r>
          </w:p>
        </w:tc>
      </w:tr>
      <w:tr w:rsidR="00EA6A40" w:rsidRPr="009B783C" w14:paraId="44AECD5A"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FEEDE08" w14:textId="62A25B8A" w:rsidR="00EA6A40" w:rsidRPr="00606C34" w:rsidRDefault="00601C0B" w:rsidP="00606C34">
            <w:pPr>
              <w:pStyle w:val="TableNText"/>
            </w:pPr>
            <w:r w:rsidRPr="00606C34">
              <w:t>TAS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9C8BAB1" w14:textId="2A1E5327" w:rsidR="00EA6A40" w:rsidRPr="00606C34" w:rsidRDefault="009B61A8" w:rsidP="00606C34">
            <w:pPr>
              <w:pStyle w:val="TableNText"/>
            </w:pPr>
            <w:r w:rsidRPr="00606C34">
              <w:t>Tasmania</w:t>
            </w:r>
          </w:p>
        </w:tc>
      </w:tr>
      <w:tr w:rsidR="00145678" w:rsidRPr="009B783C" w14:paraId="023F6BAD"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01E7D6" w14:textId="33900963" w:rsidR="00145678" w:rsidRPr="00606C34" w:rsidRDefault="00145678" w:rsidP="00606C34">
            <w:pPr>
              <w:pStyle w:val="TableNText"/>
            </w:pPr>
            <w:r w:rsidRPr="00606C34">
              <w:t>TIS</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227F719" w14:textId="44E15CC0" w:rsidR="00145678" w:rsidRPr="00606C34" w:rsidRDefault="00145678" w:rsidP="00606C34">
            <w:pPr>
              <w:pStyle w:val="TableNText"/>
            </w:pPr>
            <w:r w:rsidRPr="00606C34">
              <w:t>Translation and Interpreting Service</w:t>
            </w:r>
          </w:p>
        </w:tc>
      </w:tr>
      <w:tr w:rsidR="00A940D5" w:rsidRPr="009B783C" w14:paraId="39D9213C" w14:textId="77777777" w:rsidTr="00421461">
        <w:trPr>
          <w:cnfStyle w:val="000000010000" w:firstRow="0" w:lastRow="0" w:firstColumn="0" w:lastColumn="0" w:oddVBand="0" w:evenVBand="0" w:oddHBand="0" w:evenHBand="1"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9FFF6C7" w14:textId="5D6A63FD" w:rsidR="00A940D5" w:rsidRPr="00606C34" w:rsidRDefault="00A940D5" w:rsidP="00606C34">
            <w:pPr>
              <w:pStyle w:val="TableNText"/>
            </w:pPr>
            <w:r w:rsidRPr="00606C34">
              <w:t>UK</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BAAFDD9" w14:textId="5F829AE3" w:rsidR="00A940D5" w:rsidRPr="00606C34" w:rsidRDefault="00A940D5" w:rsidP="00606C34">
            <w:pPr>
              <w:pStyle w:val="TableNText"/>
            </w:pPr>
            <w:r w:rsidRPr="00606C34">
              <w:t>United Kingdom</w:t>
            </w:r>
          </w:p>
        </w:tc>
      </w:tr>
      <w:tr w:rsidR="00EA6A40" w:rsidRPr="009B783C" w14:paraId="5C0FBA33" w14:textId="77777777" w:rsidTr="00421461">
        <w:trPr>
          <w:cnfStyle w:val="000000100000" w:firstRow="0" w:lastRow="0" w:firstColumn="0" w:lastColumn="0" w:oddVBand="0" w:evenVBand="0" w:oddHBand="1" w:evenHBand="0" w:firstRowFirstColumn="0" w:firstRowLastColumn="0" w:lastRowFirstColumn="0" w:lastRowLastColumn="0"/>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5590210" w14:textId="5F90FA75" w:rsidR="00EA6A40" w:rsidRPr="00606C34" w:rsidRDefault="00601C0B" w:rsidP="00606C34">
            <w:pPr>
              <w:pStyle w:val="TableNText"/>
            </w:pPr>
            <w:r w:rsidRPr="00606C34">
              <w:t>VIC</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2B104BF" w14:textId="7B4D6D3B" w:rsidR="00EA6A40" w:rsidRPr="00606C34" w:rsidRDefault="009B61A8" w:rsidP="00606C34">
            <w:pPr>
              <w:pStyle w:val="TableNText"/>
            </w:pPr>
            <w:r w:rsidRPr="00606C34">
              <w:t>Victoria</w:t>
            </w:r>
          </w:p>
        </w:tc>
      </w:tr>
      <w:tr w:rsidR="00EA6A40" w:rsidRPr="009B783C" w14:paraId="78C7BB38" w14:textId="77777777" w:rsidTr="00421461">
        <w:trPr>
          <w:cnfStyle w:val="000000010000" w:firstRow="0" w:lastRow="0" w:firstColumn="0" w:lastColumn="0" w:oddVBand="0" w:evenVBand="0" w:oddHBand="0" w:evenHBand="1" w:firstRowFirstColumn="0" w:firstRowLastColumn="0" w:lastRowFirstColumn="0" w:lastRowLastColumn="0"/>
          <w:trHeight w:val="274"/>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A518FA9" w14:textId="0AD63728" w:rsidR="00EA6A40" w:rsidRPr="00606C34" w:rsidRDefault="00EA6A40" w:rsidP="00606C34">
            <w:pPr>
              <w:pStyle w:val="TableNText"/>
            </w:pPr>
            <w:r w:rsidRPr="00606C34">
              <w:t>WA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6013E82" w14:textId="3166E6D0" w:rsidR="00EA6A40" w:rsidRPr="00606C34" w:rsidRDefault="00EA6A40" w:rsidP="00606C34">
            <w:pPr>
              <w:pStyle w:val="TableNText"/>
            </w:pPr>
            <w:r w:rsidRPr="00606C34">
              <w:t>Western Australia</w:t>
            </w:r>
          </w:p>
        </w:tc>
      </w:tr>
      <w:tr w:rsidR="002C6FA4" w:rsidRPr="009B783C" w14:paraId="18D1A4BC" w14:textId="77777777" w:rsidTr="00421461">
        <w:trPr>
          <w:cnfStyle w:val="000000100000" w:firstRow="0" w:lastRow="0" w:firstColumn="0" w:lastColumn="0" w:oddVBand="0" w:evenVBand="0" w:oddHBand="1" w:evenHBand="0" w:firstRowFirstColumn="0" w:firstRowLastColumn="0" w:lastRowFirstColumn="0" w:lastRowLastColumn="0"/>
          <w:trHeight w:val="274"/>
        </w:trPr>
        <w:tc>
          <w:tcPr>
            <w:tcW w:w="232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49404B3" w14:textId="69245A06" w:rsidR="002C6FA4" w:rsidRPr="00606C34" w:rsidRDefault="002C6FA4" w:rsidP="00606C34">
            <w:pPr>
              <w:pStyle w:val="TableNText"/>
            </w:pPr>
            <w:r w:rsidRPr="00606C34">
              <w:t>WAPHA</w:t>
            </w:r>
          </w:p>
        </w:tc>
        <w:tc>
          <w:tcPr>
            <w:tcW w:w="660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D852B0F" w14:textId="41985C0C" w:rsidR="002C6FA4" w:rsidRPr="00606C34" w:rsidRDefault="00937840" w:rsidP="00606C34">
            <w:pPr>
              <w:pStyle w:val="TableNText"/>
            </w:pPr>
            <w:r w:rsidRPr="00606C34">
              <w:t>WA Primary Health Alliance</w:t>
            </w:r>
          </w:p>
        </w:tc>
      </w:tr>
    </w:tbl>
    <w:p w14:paraId="2FCA323C" w14:textId="77777777" w:rsidR="00E87555" w:rsidRPr="009B783C" w:rsidRDefault="002D403F" w:rsidP="00E87555">
      <w:pPr>
        <w:pStyle w:val="Heading1"/>
        <w:numPr>
          <w:ilvl w:val="0"/>
          <w:numId w:val="0"/>
        </w:numPr>
        <w:ind w:left="567" w:hanging="567"/>
      </w:pPr>
      <w:bookmarkStart w:id="6" w:name="_Toc189639205"/>
      <w:bookmarkStart w:id="7" w:name="_Toc189772001"/>
      <w:r w:rsidRPr="009B783C">
        <w:rPr>
          <w:rFonts w:asciiTheme="minorHAnsi" w:hAnsiTheme="minorHAnsi" w:cstheme="minorHAnsi"/>
        </w:rPr>
        <w:lastRenderedPageBreak/>
        <w:t xml:space="preserve">Executive </w:t>
      </w:r>
      <w:r w:rsidR="00315F6D" w:rsidRPr="009B783C">
        <w:rPr>
          <w:rFonts w:asciiTheme="minorHAnsi" w:hAnsiTheme="minorHAnsi" w:cstheme="minorHAnsi"/>
        </w:rPr>
        <w:t>s</w:t>
      </w:r>
      <w:r w:rsidRPr="009B783C">
        <w:rPr>
          <w:rFonts w:asciiTheme="minorHAnsi" w:hAnsiTheme="minorHAnsi" w:cstheme="minorHAnsi"/>
        </w:rPr>
        <w:t>ummary</w:t>
      </w:r>
      <w:bookmarkEnd w:id="6"/>
      <w:bookmarkEnd w:id="7"/>
    </w:p>
    <w:p w14:paraId="7AF607B4" w14:textId="0DE1A309" w:rsidR="00C17381" w:rsidRPr="009B783C" w:rsidRDefault="00C17381" w:rsidP="002E2EEF">
      <w:pPr>
        <w:rPr>
          <w:szCs w:val="21"/>
        </w:rPr>
      </w:pPr>
      <w:r w:rsidRPr="009B783C">
        <w:rPr>
          <w:szCs w:val="21"/>
          <w:lang w:eastAsia="en-AU"/>
        </w:rPr>
        <w:t>This report provides the first interim evaluation of the Medicare UCC pilot program, based on program implementation from 30 June 2023 to 30 September 2024</w:t>
      </w:r>
      <w:r w:rsidR="00085B3C" w:rsidRPr="009B783C">
        <w:rPr>
          <w:szCs w:val="21"/>
          <w:lang w:eastAsia="en-AU"/>
        </w:rPr>
        <w:t xml:space="preserve"> (the cut-off date for analysis for this </w:t>
      </w:r>
      <w:r w:rsidR="00782A71" w:rsidRPr="009B783C">
        <w:rPr>
          <w:szCs w:val="21"/>
          <w:lang w:eastAsia="en-AU"/>
        </w:rPr>
        <w:t>report)</w:t>
      </w:r>
      <w:r w:rsidRPr="009B783C">
        <w:rPr>
          <w:szCs w:val="21"/>
          <w:lang w:eastAsia="en-AU"/>
        </w:rPr>
        <w:t>.</w:t>
      </w:r>
      <w:r w:rsidRPr="009B783C">
        <w:rPr>
          <w:szCs w:val="21"/>
        </w:rPr>
        <w:t xml:space="preserve"> The evaluation, being undertaken by Nous, will provide two further reports</w:t>
      </w:r>
      <w:r w:rsidR="00160D2A" w:rsidRPr="009B783C" w:rsidDel="006E43D5">
        <w:rPr>
          <w:rFonts w:cs="Segoe UI"/>
          <w:szCs w:val="21"/>
        </w:rPr>
        <w:t xml:space="preserve"> – </w:t>
      </w:r>
      <w:r w:rsidRPr="009B783C">
        <w:rPr>
          <w:szCs w:val="21"/>
        </w:rPr>
        <w:t xml:space="preserve">at the end of 2025 and in 2026. </w:t>
      </w:r>
    </w:p>
    <w:p w14:paraId="4B927169" w14:textId="77777777" w:rsidR="00C17381" w:rsidRPr="009B783C" w:rsidRDefault="00C17381" w:rsidP="00950D18">
      <w:pPr>
        <w:pStyle w:val="Heading2"/>
        <w:numPr>
          <w:ilvl w:val="0"/>
          <w:numId w:val="0"/>
        </w:numPr>
        <w:ind w:left="576" w:hanging="576"/>
      </w:pPr>
      <w:bookmarkStart w:id="8" w:name="_Toc189772002"/>
      <w:r w:rsidRPr="009B783C">
        <w:t>The Medicare UCC Program – what was intended</w:t>
      </w:r>
      <w:bookmarkEnd w:id="8"/>
    </w:p>
    <w:p w14:paraId="4C15AE13" w14:textId="662AA57E" w:rsidR="006F3F80" w:rsidRPr="009B783C" w:rsidRDefault="00B2359F" w:rsidP="002E2EEF">
      <w:pPr>
        <w:rPr>
          <w:szCs w:val="21"/>
        </w:rPr>
      </w:pPr>
      <w:r w:rsidRPr="009B783C">
        <w:rPr>
          <w:szCs w:val="21"/>
        </w:rPr>
        <w:t xml:space="preserve">The Australian Government </w:t>
      </w:r>
      <w:r w:rsidR="00C17381" w:rsidRPr="009B783C">
        <w:rPr>
          <w:szCs w:val="21"/>
        </w:rPr>
        <w:t>is investing</w:t>
      </w:r>
      <w:r w:rsidRPr="009B783C">
        <w:rPr>
          <w:szCs w:val="21"/>
        </w:rPr>
        <w:t xml:space="preserve"> $759.9 million over five years from 2022</w:t>
      </w:r>
      <w:r w:rsidR="00160D2A" w:rsidRPr="009B783C" w:rsidDel="006E43D5">
        <w:rPr>
          <w:szCs w:val="21"/>
        </w:rPr>
        <w:t>-</w:t>
      </w:r>
      <w:r w:rsidRPr="009B783C">
        <w:rPr>
          <w:szCs w:val="21"/>
        </w:rPr>
        <w:t xml:space="preserve">23 </w:t>
      </w:r>
      <w:r w:rsidR="009C0E0B" w:rsidRPr="009B783C">
        <w:rPr>
          <w:szCs w:val="21"/>
        </w:rPr>
        <w:t>for the implementation and operations of 87</w:t>
      </w:r>
      <w:r w:rsidRPr="009B783C">
        <w:rPr>
          <w:szCs w:val="21"/>
        </w:rPr>
        <w:t xml:space="preserve"> Medicare UCC</w:t>
      </w:r>
      <w:r w:rsidR="00841753" w:rsidRPr="009B783C">
        <w:rPr>
          <w:szCs w:val="21"/>
        </w:rPr>
        <w:t xml:space="preserve">s across Australia. </w:t>
      </w:r>
      <w:r w:rsidRPr="009B783C">
        <w:rPr>
          <w:szCs w:val="21"/>
        </w:rPr>
        <w:t>Of these, 58 clinics were implemented by 31 December 2023, with a further 29 clinics being implemented progressively from 1 July 2024</w:t>
      </w:r>
      <w:r w:rsidRPr="009B783C" w:rsidDel="007F2E3E">
        <w:rPr>
          <w:szCs w:val="21"/>
        </w:rPr>
        <w:t>.</w:t>
      </w:r>
      <w:r w:rsidRPr="009B783C">
        <w:rPr>
          <w:szCs w:val="21"/>
        </w:rPr>
        <w:t xml:space="preserve"> By 30 September 2024 </w:t>
      </w:r>
      <w:r w:rsidR="00491AAB" w:rsidRPr="009B783C">
        <w:rPr>
          <w:szCs w:val="21"/>
        </w:rPr>
        <w:t>(the cut-off date for analysis of clinic data for this evaluation report)</w:t>
      </w:r>
      <w:r w:rsidR="00A10CE5" w:rsidRPr="009B783C">
        <w:rPr>
          <w:szCs w:val="21"/>
        </w:rPr>
        <w:t xml:space="preserve">, </w:t>
      </w:r>
      <w:r w:rsidRPr="009B783C">
        <w:rPr>
          <w:szCs w:val="21"/>
        </w:rPr>
        <w:t>75 Medicare UCCs had</w:t>
      </w:r>
      <w:r w:rsidR="004832EA" w:rsidRPr="009B783C">
        <w:rPr>
          <w:szCs w:val="21"/>
        </w:rPr>
        <w:t xml:space="preserve"> </w:t>
      </w:r>
      <w:r w:rsidR="00284855" w:rsidRPr="009B783C">
        <w:rPr>
          <w:szCs w:val="21"/>
        </w:rPr>
        <w:t>opened</w:t>
      </w:r>
      <w:r w:rsidRPr="009B783C">
        <w:rPr>
          <w:szCs w:val="21"/>
        </w:rPr>
        <w:t>.</w:t>
      </w:r>
    </w:p>
    <w:p w14:paraId="76C3DC13" w14:textId="2BADFFA5" w:rsidR="00E87555" w:rsidRPr="009B783C" w:rsidRDefault="00E87555" w:rsidP="002E2EEF">
      <w:pPr>
        <w:rPr>
          <w:szCs w:val="21"/>
          <w:lang w:eastAsia="en-AU"/>
        </w:rPr>
      </w:pPr>
      <w:r w:rsidRPr="009B783C">
        <w:rPr>
          <w:szCs w:val="21"/>
          <w:lang w:eastAsia="en-AU"/>
        </w:rPr>
        <w:t xml:space="preserve">The program was launched by the Australian Government in 2023 with the aim of </w:t>
      </w:r>
      <w:r w:rsidRPr="009B783C">
        <w:rPr>
          <w:szCs w:val="21"/>
        </w:rPr>
        <w:t xml:space="preserve">alleviating pressure on hospital </w:t>
      </w:r>
      <w:r w:rsidR="00AA61AE" w:rsidRPr="009B783C">
        <w:rPr>
          <w:szCs w:val="21"/>
        </w:rPr>
        <w:t>emergency departments (</w:t>
      </w:r>
      <w:r w:rsidRPr="009B783C">
        <w:rPr>
          <w:szCs w:val="21"/>
        </w:rPr>
        <w:t>EDs</w:t>
      </w:r>
      <w:r w:rsidR="00AA61AE" w:rsidRPr="009B783C">
        <w:rPr>
          <w:szCs w:val="21"/>
        </w:rPr>
        <w:t>)</w:t>
      </w:r>
      <w:r w:rsidR="00E97F5D" w:rsidRPr="009B783C">
        <w:rPr>
          <w:szCs w:val="21"/>
        </w:rPr>
        <w:t>,</w:t>
      </w:r>
      <w:r w:rsidRPr="009B783C">
        <w:rPr>
          <w:szCs w:val="21"/>
        </w:rPr>
        <w:t xml:space="preserve"> by offering short-term, episodic care for </w:t>
      </w:r>
      <w:r w:rsidRPr="009B783C">
        <w:rPr>
          <w:i/>
          <w:szCs w:val="21"/>
        </w:rPr>
        <w:t>urgent but non-life-threatening conditions</w:t>
      </w:r>
      <w:r w:rsidRPr="009B783C">
        <w:rPr>
          <w:szCs w:val="21"/>
        </w:rPr>
        <w:t>. The program was part of the</w:t>
      </w:r>
      <w:r w:rsidR="00160D2A" w:rsidRPr="009B783C">
        <w:rPr>
          <w:szCs w:val="21"/>
          <w:lang w:eastAsia="en-AU"/>
        </w:rPr>
        <w:t xml:space="preserve"> Australian</w:t>
      </w:r>
      <w:r w:rsidRPr="009B783C">
        <w:rPr>
          <w:szCs w:val="21"/>
        </w:rPr>
        <w:t xml:space="preserve"> Government’s broader response to recommendations of the Strengthening Medicare Taskforce and was launched </w:t>
      </w:r>
      <w:r w:rsidRPr="009B783C">
        <w:rPr>
          <w:szCs w:val="21"/>
          <w:lang w:eastAsia="en-AU"/>
        </w:rPr>
        <w:t>as a pilot through to 2026.</w:t>
      </w:r>
      <w:r w:rsidR="00C17381" w:rsidRPr="009B783C">
        <w:rPr>
          <w:szCs w:val="21"/>
          <w:lang w:eastAsia="en-AU"/>
        </w:rPr>
        <w:t xml:space="preserve"> </w:t>
      </w:r>
    </w:p>
    <w:p w14:paraId="52DEC88D" w14:textId="5480BB4F" w:rsidR="00C17381" w:rsidRPr="009B783C" w:rsidRDefault="00C17381" w:rsidP="002E2EEF">
      <w:pPr>
        <w:rPr>
          <w:szCs w:val="21"/>
        </w:rPr>
      </w:pPr>
      <w:r w:rsidRPr="009B783C">
        <w:rPr>
          <w:szCs w:val="21"/>
        </w:rPr>
        <w:t xml:space="preserve">The Medicare UCC Operational Guidance was developed by the Department, in consultation with state and territory governments. The Operational Guidance outlines the minimum standards and expectations in relation to scope, accessibility, referrals, </w:t>
      </w:r>
      <w:r w:rsidRPr="009B783C">
        <w:rPr>
          <w:szCs w:val="21"/>
          <w:lang w:eastAsia="en-AU"/>
        </w:rPr>
        <w:t>activity, infrastructure and staffing at the Medicare UCCs</w:t>
      </w:r>
      <w:r w:rsidRPr="009B783C">
        <w:rPr>
          <w:szCs w:val="21"/>
        </w:rPr>
        <w:t xml:space="preserve">. </w:t>
      </w:r>
    </w:p>
    <w:p w14:paraId="47C0A89B" w14:textId="2430D949" w:rsidR="00E87555" w:rsidRPr="009B783C" w:rsidRDefault="00E87555" w:rsidP="002E2EEF">
      <w:pPr>
        <w:rPr>
          <w:szCs w:val="21"/>
        </w:rPr>
      </w:pPr>
      <w:r w:rsidRPr="009B783C">
        <w:rPr>
          <w:szCs w:val="21"/>
        </w:rPr>
        <w:t xml:space="preserve">Medicare UCCs are </w:t>
      </w:r>
      <w:r w:rsidR="00515780" w:rsidRPr="009B783C">
        <w:rPr>
          <w:szCs w:val="21"/>
        </w:rPr>
        <w:t>intended to be GP</w:t>
      </w:r>
      <w:r w:rsidR="00A81341" w:rsidRPr="009B783C">
        <w:rPr>
          <w:szCs w:val="21"/>
        </w:rPr>
        <w:t>-</w:t>
      </w:r>
      <w:r w:rsidR="00515780" w:rsidRPr="009B783C">
        <w:rPr>
          <w:szCs w:val="21"/>
        </w:rPr>
        <w:t>led</w:t>
      </w:r>
      <w:r w:rsidR="00C17381" w:rsidRPr="009B783C">
        <w:rPr>
          <w:szCs w:val="21"/>
        </w:rPr>
        <w:t xml:space="preserve"> (unless specifically exempted)</w:t>
      </w:r>
      <w:r w:rsidR="00515780" w:rsidRPr="009B783C">
        <w:rPr>
          <w:szCs w:val="21"/>
        </w:rPr>
        <w:t xml:space="preserve"> and are </w:t>
      </w:r>
      <w:r w:rsidRPr="009B783C">
        <w:rPr>
          <w:szCs w:val="21"/>
        </w:rPr>
        <w:t xml:space="preserve">staffed and equipped to provide treatment for urgent non-life-threatening conditions, including access to diagnostic services. They are </w:t>
      </w:r>
      <w:r w:rsidR="00830DB8" w:rsidRPr="009B783C">
        <w:rPr>
          <w:szCs w:val="21"/>
        </w:rPr>
        <w:t>expected to be</w:t>
      </w:r>
      <w:r w:rsidRPr="009B783C">
        <w:rPr>
          <w:szCs w:val="21"/>
        </w:rPr>
        <w:t xml:space="preserve"> open for extended hours, offer walk-in services without the need for appointments and provide care with no out-of-pocket cost</w:t>
      </w:r>
      <w:r w:rsidR="009877E6" w:rsidRPr="009B783C">
        <w:rPr>
          <w:szCs w:val="21"/>
        </w:rPr>
        <w:t>s</w:t>
      </w:r>
      <w:r w:rsidRPr="009B783C">
        <w:rPr>
          <w:szCs w:val="21"/>
        </w:rPr>
        <w:t xml:space="preserve"> for patients.</w:t>
      </w:r>
    </w:p>
    <w:p w14:paraId="451124EA" w14:textId="0D1BC9D7" w:rsidR="00E87555" w:rsidRPr="009B783C" w:rsidRDefault="00E87555" w:rsidP="002E2EEF">
      <w:pPr>
        <w:rPr>
          <w:szCs w:val="21"/>
        </w:rPr>
      </w:pPr>
      <w:r w:rsidRPr="009B783C">
        <w:rPr>
          <w:szCs w:val="21"/>
        </w:rPr>
        <w:t xml:space="preserve">The clinics </w:t>
      </w:r>
      <w:r w:rsidR="00830DB8" w:rsidRPr="009B783C">
        <w:rPr>
          <w:szCs w:val="21"/>
        </w:rPr>
        <w:t>can be</w:t>
      </w:r>
      <w:r w:rsidRPr="009B783C">
        <w:rPr>
          <w:szCs w:val="21"/>
        </w:rPr>
        <w:t xml:space="preserve"> </w:t>
      </w:r>
      <w:r w:rsidR="00D829C6" w:rsidRPr="009B783C">
        <w:rPr>
          <w:szCs w:val="21"/>
        </w:rPr>
        <w:t xml:space="preserve">co-located with </w:t>
      </w:r>
      <w:r w:rsidRPr="009B783C">
        <w:rPr>
          <w:szCs w:val="21"/>
        </w:rPr>
        <w:t xml:space="preserve">existing general practices, Aboriginal Community Controlled Health Services (ACCHS) and other community health services. Each Medicare UCC </w:t>
      </w:r>
      <w:r w:rsidR="00830DB8" w:rsidRPr="009B783C">
        <w:rPr>
          <w:szCs w:val="21"/>
        </w:rPr>
        <w:t>must have</w:t>
      </w:r>
      <w:r w:rsidRPr="009B783C">
        <w:rPr>
          <w:szCs w:val="21"/>
        </w:rPr>
        <w:t xml:space="preserve"> a local partner public hospital ED and is expected to integrate with local health services. </w:t>
      </w:r>
    </w:p>
    <w:p w14:paraId="569419EB" w14:textId="065923AC" w:rsidR="00C17381" w:rsidRPr="009B783C" w:rsidRDefault="00C17381" w:rsidP="002E2EEF">
      <w:pPr>
        <w:rPr>
          <w:szCs w:val="21"/>
        </w:rPr>
      </w:pPr>
      <w:r w:rsidRPr="009B783C">
        <w:rPr>
          <w:szCs w:val="21"/>
        </w:rPr>
        <w:t>Medicare UCCs are expected to refer patients to their usual primary care provider for follow up care and where presentations are out of scope of the Medicare UCC and can be safely and more appropriately managed by the usual primary care provider.</w:t>
      </w:r>
      <w:r w:rsidR="005042EC" w:rsidRPr="009B783C">
        <w:rPr>
          <w:szCs w:val="21"/>
        </w:rPr>
        <w:t xml:space="preserve"> </w:t>
      </w:r>
      <w:r w:rsidRPr="009B783C">
        <w:rPr>
          <w:szCs w:val="21"/>
        </w:rPr>
        <w:t xml:space="preserve">If a patient's condition is assessed as an emergency, they are to be transferred to an ED for appropriate care. </w:t>
      </w:r>
    </w:p>
    <w:p w14:paraId="0AB32012" w14:textId="12706442" w:rsidR="00E87555" w:rsidRPr="009B783C" w:rsidRDefault="00E87555" w:rsidP="002E2EEF">
      <w:pPr>
        <w:rPr>
          <w:szCs w:val="21"/>
        </w:rPr>
      </w:pPr>
      <w:r w:rsidRPr="009B783C">
        <w:rPr>
          <w:szCs w:val="21"/>
        </w:rPr>
        <w:t xml:space="preserve">Patients attending Medicare UCCs can access the clinics directly or be referred from various services, including EDs, GPs, ambulances, the Healthdirect telephone health advice line, or other providers. </w:t>
      </w:r>
    </w:p>
    <w:p w14:paraId="14E201E6" w14:textId="77777777" w:rsidR="00E87555" w:rsidRPr="009B783C" w:rsidRDefault="00EF469C" w:rsidP="00950D18">
      <w:pPr>
        <w:pStyle w:val="Heading2"/>
        <w:numPr>
          <w:ilvl w:val="0"/>
          <w:numId w:val="0"/>
        </w:numPr>
        <w:ind w:left="576" w:hanging="576"/>
      </w:pPr>
      <w:bookmarkStart w:id="9" w:name="_Toc189772003"/>
      <w:r w:rsidRPr="009B783C">
        <w:lastRenderedPageBreak/>
        <w:t>The evaluation</w:t>
      </w:r>
      <w:bookmarkEnd w:id="9"/>
    </w:p>
    <w:p w14:paraId="3D6F803D" w14:textId="5E3B71D2" w:rsidR="00C17381" w:rsidRPr="009B783C" w:rsidRDefault="00EE72D6" w:rsidP="002E2EEF">
      <w:pPr>
        <w:rPr>
          <w:szCs w:val="21"/>
        </w:rPr>
      </w:pPr>
      <w:r w:rsidRPr="009B783C">
        <w:rPr>
          <w:szCs w:val="21"/>
          <w:lang w:eastAsia="en-AU"/>
        </w:rPr>
        <w:t>Th</w:t>
      </w:r>
      <w:r w:rsidR="00392EB7" w:rsidRPr="009B783C">
        <w:rPr>
          <w:szCs w:val="21"/>
          <w:lang w:eastAsia="en-AU"/>
        </w:rPr>
        <w:t>is</w:t>
      </w:r>
      <w:r w:rsidR="00C17381" w:rsidRPr="009B783C">
        <w:rPr>
          <w:szCs w:val="21"/>
          <w:lang w:eastAsia="en-AU"/>
        </w:rPr>
        <w:t xml:space="preserve"> evaluation </w:t>
      </w:r>
      <w:r w:rsidR="00392EB7" w:rsidRPr="009B783C">
        <w:rPr>
          <w:szCs w:val="21"/>
          <w:lang w:eastAsia="en-AU"/>
        </w:rPr>
        <w:t>addresses the nine Measures of Success</w:t>
      </w:r>
      <w:r w:rsidR="00564300" w:rsidRPr="009B783C">
        <w:rPr>
          <w:szCs w:val="21"/>
          <w:lang w:eastAsia="en-AU"/>
        </w:rPr>
        <w:t xml:space="preserve"> that </w:t>
      </w:r>
      <w:r w:rsidR="00C17381" w:rsidRPr="009B783C">
        <w:rPr>
          <w:szCs w:val="21"/>
          <w:lang w:eastAsia="en-AU"/>
        </w:rPr>
        <w:t xml:space="preserve">were agreed by the </w:t>
      </w:r>
      <w:r w:rsidR="00C17381" w:rsidRPr="009B783C">
        <w:rPr>
          <w:szCs w:val="21"/>
        </w:rPr>
        <w:t>Australian, and state and territory governments</w:t>
      </w:r>
      <w:r w:rsidR="00B343ED" w:rsidRPr="009B783C">
        <w:rPr>
          <w:szCs w:val="21"/>
        </w:rPr>
        <w:t>. T</w:t>
      </w:r>
      <w:r w:rsidR="006E4F13" w:rsidRPr="009B783C">
        <w:rPr>
          <w:szCs w:val="21"/>
        </w:rPr>
        <w:t>hese measures have informed</w:t>
      </w:r>
      <w:r w:rsidR="00C17381" w:rsidRPr="009B783C">
        <w:rPr>
          <w:szCs w:val="21"/>
          <w:lang w:eastAsia="en-AU"/>
        </w:rPr>
        <w:t xml:space="preserve"> the </w:t>
      </w:r>
      <w:r w:rsidR="00564300" w:rsidRPr="009B783C">
        <w:rPr>
          <w:szCs w:val="21"/>
          <w:lang w:eastAsia="en-AU"/>
        </w:rPr>
        <w:t>key questions to be</w:t>
      </w:r>
      <w:r w:rsidR="00D70B38" w:rsidRPr="009B783C">
        <w:rPr>
          <w:szCs w:val="21"/>
          <w:lang w:eastAsia="en-AU"/>
        </w:rPr>
        <w:t xml:space="preserve"> considered for this evaluation</w:t>
      </w:r>
      <w:r w:rsidR="00C17381" w:rsidRPr="009B783C">
        <w:rPr>
          <w:szCs w:val="21"/>
          <w:lang w:eastAsia="en-AU"/>
        </w:rPr>
        <w:t xml:space="preserve">. The Measures of Success </w:t>
      </w:r>
      <w:r w:rsidR="00C17381" w:rsidRPr="009B783C">
        <w:rPr>
          <w:szCs w:val="21"/>
        </w:rPr>
        <w:t xml:space="preserve">were designed to assess the quality of care, accessibility of services and cost-efficiency in Medicare UCCs, as well as their impact on consumer behaviour and the alleviation of demand pressures on partner hospital </w:t>
      </w:r>
      <w:proofErr w:type="spellStart"/>
      <w:r w:rsidR="00C17381" w:rsidRPr="009B783C">
        <w:rPr>
          <w:szCs w:val="21"/>
        </w:rPr>
        <w:t>EDs.</w:t>
      </w:r>
      <w:proofErr w:type="spellEnd"/>
      <w:r w:rsidR="00C17381" w:rsidRPr="009B783C">
        <w:rPr>
          <w:szCs w:val="21"/>
        </w:rPr>
        <w:t xml:space="preserve"> The measures acknowledge the necessity for Medicare UCCs to be effectively integrated into the broader health ecosystem. This includes seamless connections with local GPs and other primary care services, and partner EDs, ensuring a comprehensive and coordinated approach to patient care.</w:t>
      </w:r>
      <w:r w:rsidR="00C17381" w:rsidRPr="009B783C">
        <w:rPr>
          <w:rFonts w:eastAsia="Times New Roman" w:cs="Calibri"/>
          <w:szCs w:val="21"/>
        </w:rPr>
        <w:t xml:space="preserve"> </w:t>
      </w:r>
      <w:r w:rsidR="00C17381" w:rsidRPr="009B783C">
        <w:rPr>
          <w:szCs w:val="21"/>
        </w:rPr>
        <w:t>This Interim Evaluation Report 1 focuses on initial insights into the nine Measures of Success for the period 30 June 2023 to 30 September 2024, to inform program improvement.</w:t>
      </w:r>
    </w:p>
    <w:p w14:paraId="05216A19" w14:textId="4E8CC39D" w:rsidR="00CD3AAC" w:rsidRPr="009B783C" w:rsidRDefault="00C17381" w:rsidP="002E2EEF">
      <w:pPr>
        <w:rPr>
          <w:szCs w:val="21"/>
        </w:rPr>
      </w:pPr>
      <w:r w:rsidRPr="009B783C">
        <w:rPr>
          <w:szCs w:val="21"/>
        </w:rPr>
        <w:t>Interim Evaluation Report 1 will be followed by an Interim Evaluation Report 2 in late 2025 and a Final Evaluation Report in 2026. Across its three phases, the evaluation is using a mixed-methods approach drawing on a range of data sources</w:t>
      </w:r>
      <w:r w:rsidR="000260B4" w:rsidRPr="009B783C">
        <w:rPr>
          <w:szCs w:val="21"/>
        </w:rPr>
        <w:t>, which are discussed</w:t>
      </w:r>
      <w:r w:rsidR="00B327FC" w:rsidRPr="009B783C">
        <w:rPr>
          <w:szCs w:val="21"/>
        </w:rPr>
        <w:t xml:space="preserve"> in depth in the </w:t>
      </w:r>
      <w:r w:rsidR="00B279C0" w:rsidRPr="009B783C">
        <w:rPr>
          <w:szCs w:val="21"/>
        </w:rPr>
        <w:t>report</w:t>
      </w:r>
      <w:r w:rsidRPr="009B783C">
        <w:rPr>
          <w:szCs w:val="21"/>
        </w:rPr>
        <w:t xml:space="preserve">. </w:t>
      </w:r>
    </w:p>
    <w:p w14:paraId="79977A06" w14:textId="71982338" w:rsidR="00C17381" w:rsidRPr="009B783C" w:rsidRDefault="00053EF6" w:rsidP="002E2EEF">
      <w:pPr>
        <w:rPr>
          <w:szCs w:val="21"/>
        </w:rPr>
      </w:pPr>
      <w:r w:rsidRPr="009B783C">
        <w:rPr>
          <w:szCs w:val="21"/>
          <w:lang w:eastAsia="en-AU"/>
        </w:rPr>
        <w:t>As noted elsewhere,</w:t>
      </w:r>
      <w:r w:rsidR="00C17381" w:rsidRPr="009B783C">
        <w:rPr>
          <w:szCs w:val="21"/>
          <w:lang w:eastAsia="en-AU"/>
        </w:rPr>
        <w:t xml:space="preserve"> </w:t>
      </w:r>
      <w:r w:rsidR="00660222" w:rsidRPr="009B783C">
        <w:rPr>
          <w:szCs w:val="21"/>
          <w:lang w:eastAsia="en-AU"/>
        </w:rPr>
        <w:t xml:space="preserve">very </w:t>
      </w:r>
      <w:r w:rsidR="00350931" w:rsidRPr="009B783C">
        <w:rPr>
          <w:szCs w:val="21"/>
          <w:lang w:eastAsia="en-AU"/>
        </w:rPr>
        <w:t xml:space="preserve">limited </w:t>
      </w:r>
      <w:r w:rsidR="00C17381" w:rsidRPr="009B783C">
        <w:rPr>
          <w:szCs w:val="21"/>
          <w:lang w:eastAsia="en-AU"/>
        </w:rPr>
        <w:t xml:space="preserve">stakeholder engagement was </w:t>
      </w:r>
      <w:r w:rsidR="00747D09" w:rsidRPr="009B783C">
        <w:rPr>
          <w:szCs w:val="21"/>
          <w:lang w:eastAsia="en-AU"/>
        </w:rPr>
        <w:t>conducted for this evaluation report, given the early implementation phase of the program</w:t>
      </w:r>
      <w:r w:rsidR="003A447A" w:rsidRPr="009B783C">
        <w:rPr>
          <w:szCs w:val="21"/>
          <w:lang w:eastAsia="en-AU"/>
        </w:rPr>
        <w:t xml:space="preserve">. This </w:t>
      </w:r>
      <w:r w:rsidR="00325432" w:rsidRPr="009B783C">
        <w:rPr>
          <w:szCs w:val="21"/>
          <w:lang w:eastAsia="en-AU"/>
        </w:rPr>
        <w:t>include</w:t>
      </w:r>
      <w:r w:rsidR="003A447A" w:rsidRPr="009B783C">
        <w:rPr>
          <w:szCs w:val="21"/>
          <w:lang w:eastAsia="en-AU"/>
        </w:rPr>
        <w:t>d</w:t>
      </w:r>
      <w:r w:rsidR="00325432" w:rsidRPr="009B783C">
        <w:rPr>
          <w:szCs w:val="21"/>
          <w:lang w:eastAsia="en-AU"/>
        </w:rPr>
        <w:t xml:space="preserve"> all</w:t>
      </w:r>
      <w:r w:rsidR="00C17381" w:rsidRPr="009B783C">
        <w:rPr>
          <w:szCs w:val="21"/>
          <w:lang w:eastAsia="en-AU"/>
        </w:rPr>
        <w:t xml:space="preserve"> Medicare UCC commissioners</w:t>
      </w:r>
      <w:r w:rsidR="00325432" w:rsidRPr="009B783C">
        <w:rPr>
          <w:szCs w:val="21"/>
          <w:lang w:eastAsia="en-AU"/>
        </w:rPr>
        <w:t xml:space="preserve"> (including some </w:t>
      </w:r>
      <w:r w:rsidR="00DD508D" w:rsidRPr="009B783C">
        <w:rPr>
          <w:szCs w:val="21"/>
          <w:lang w:eastAsia="en-AU"/>
        </w:rPr>
        <w:t>jurisdictions</w:t>
      </w:r>
      <w:r w:rsidR="00325432" w:rsidRPr="009B783C">
        <w:rPr>
          <w:szCs w:val="21"/>
          <w:lang w:eastAsia="en-AU"/>
        </w:rPr>
        <w:t xml:space="preserve"> and some </w:t>
      </w:r>
      <w:r w:rsidR="00212328" w:rsidRPr="009B783C">
        <w:rPr>
          <w:szCs w:val="21"/>
          <w:lang w:eastAsia="en-AU"/>
        </w:rPr>
        <w:t>Primary Health Networks (</w:t>
      </w:r>
      <w:r w:rsidR="00325432" w:rsidRPr="009B783C">
        <w:rPr>
          <w:szCs w:val="21"/>
          <w:lang w:eastAsia="en-AU"/>
        </w:rPr>
        <w:t>PHNs</w:t>
      </w:r>
      <w:r w:rsidR="00212328" w:rsidRPr="009B783C">
        <w:rPr>
          <w:szCs w:val="21"/>
          <w:lang w:eastAsia="en-AU"/>
        </w:rPr>
        <w:t>)</w:t>
      </w:r>
      <w:r w:rsidR="00325432" w:rsidRPr="009B783C">
        <w:rPr>
          <w:szCs w:val="21"/>
          <w:lang w:eastAsia="en-AU"/>
        </w:rPr>
        <w:t>)</w:t>
      </w:r>
      <w:r w:rsidR="00C17381" w:rsidRPr="009B783C">
        <w:rPr>
          <w:szCs w:val="21"/>
          <w:lang w:eastAsia="en-AU"/>
        </w:rPr>
        <w:t xml:space="preserve">, </w:t>
      </w:r>
      <w:r w:rsidR="00DD508D" w:rsidRPr="009B783C">
        <w:rPr>
          <w:szCs w:val="21"/>
          <w:lang w:eastAsia="en-AU"/>
        </w:rPr>
        <w:t>the executive of the</w:t>
      </w:r>
      <w:r w:rsidR="00C17381" w:rsidRPr="009B783C">
        <w:rPr>
          <w:szCs w:val="21"/>
          <w:lang w:eastAsia="en-AU"/>
        </w:rPr>
        <w:t xml:space="preserve"> </w:t>
      </w:r>
      <w:r w:rsidR="00B91793" w:rsidRPr="009B783C">
        <w:rPr>
          <w:szCs w:val="21"/>
          <w:lang w:eastAsia="en-AU"/>
        </w:rPr>
        <w:t>CHF</w:t>
      </w:r>
      <w:r w:rsidR="00C17381" w:rsidRPr="009B783C">
        <w:rPr>
          <w:szCs w:val="21"/>
          <w:lang w:eastAsia="en-AU"/>
        </w:rPr>
        <w:t xml:space="preserve"> </w:t>
      </w:r>
      <w:r w:rsidRPr="009B783C">
        <w:rPr>
          <w:szCs w:val="21"/>
          <w:lang w:eastAsia="en-AU"/>
        </w:rPr>
        <w:t>and three Medicare UCCs.</w:t>
      </w:r>
      <w:r w:rsidR="00C17381" w:rsidRPr="009B783C">
        <w:rPr>
          <w:szCs w:val="21"/>
          <w:lang w:eastAsia="en-AU"/>
        </w:rPr>
        <w:t xml:space="preserve"> The remaining two phases of the evaluation will be based on more comprehensive engagement, including </w:t>
      </w:r>
      <w:r w:rsidR="00C17381" w:rsidRPr="009B783C">
        <w:rPr>
          <w:szCs w:val="21"/>
        </w:rPr>
        <w:t xml:space="preserve">surveys of Medicare UCC staff and patients, and greater engagement with non-UCC GPs and </w:t>
      </w:r>
      <w:proofErr w:type="spellStart"/>
      <w:r w:rsidR="00C17381" w:rsidRPr="009B783C">
        <w:rPr>
          <w:szCs w:val="21"/>
        </w:rPr>
        <w:t>EDs.</w:t>
      </w:r>
      <w:proofErr w:type="spellEnd"/>
    </w:p>
    <w:p w14:paraId="43313E87" w14:textId="5D03EED2" w:rsidR="00560A68" w:rsidRPr="009B783C" w:rsidRDefault="003C66C3" w:rsidP="002E2EEF">
      <w:pPr>
        <w:rPr>
          <w:szCs w:val="21"/>
        </w:rPr>
      </w:pPr>
      <w:r w:rsidRPr="009B783C">
        <w:rPr>
          <w:szCs w:val="21"/>
          <w:lang w:eastAsia="en-AU"/>
        </w:rPr>
        <w:t xml:space="preserve">There were </w:t>
      </w:r>
      <w:r w:rsidR="00983643" w:rsidRPr="009B783C">
        <w:rPr>
          <w:szCs w:val="21"/>
          <w:lang w:eastAsia="en-AU"/>
        </w:rPr>
        <w:t>also several</w:t>
      </w:r>
      <w:r w:rsidRPr="009B783C">
        <w:rPr>
          <w:szCs w:val="21"/>
          <w:lang w:eastAsia="en-AU"/>
        </w:rPr>
        <w:t xml:space="preserve"> </w:t>
      </w:r>
      <w:r w:rsidR="006A1D0D" w:rsidRPr="009B783C">
        <w:rPr>
          <w:szCs w:val="21"/>
          <w:lang w:eastAsia="en-AU"/>
        </w:rPr>
        <w:t xml:space="preserve">limitations </w:t>
      </w:r>
      <w:r w:rsidRPr="009B783C">
        <w:rPr>
          <w:szCs w:val="21"/>
          <w:lang w:eastAsia="en-AU"/>
        </w:rPr>
        <w:t xml:space="preserve">with the </w:t>
      </w:r>
      <w:r w:rsidR="00F92A0B" w:rsidRPr="009B783C">
        <w:rPr>
          <w:szCs w:val="21"/>
          <w:lang w:eastAsia="en-AU"/>
        </w:rPr>
        <w:t>Medicare UCC</w:t>
      </w:r>
      <w:r w:rsidRPr="009B783C">
        <w:rPr>
          <w:szCs w:val="21"/>
          <w:lang w:eastAsia="en-AU"/>
        </w:rPr>
        <w:t xml:space="preserve"> data</w:t>
      </w:r>
      <w:r w:rsidR="00D01E7C" w:rsidRPr="009B783C">
        <w:rPr>
          <w:szCs w:val="21"/>
          <w:lang w:eastAsia="en-AU"/>
        </w:rPr>
        <w:t>, for example</w:t>
      </w:r>
      <w:r w:rsidR="004E2488" w:rsidRPr="009B783C">
        <w:rPr>
          <w:szCs w:val="21"/>
          <w:lang w:eastAsia="en-AU"/>
        </w:rPr>
        <w:t>,</w:t>
      </w:r>
      <w:r w:rsidR="00D01E7C" w:rsidRPr="009B783C">
        <w:rPr>
          <w:szCs w:val="21"/>
          <w:lang w:eastAsia="en-AU"/>
        </w:rPr>
        <w:t xml:space="preserve"> </w:t>
      </w:r>
      <w:r w:rsidR="004C574F" w:rsidRPr="009B783C">
        <w:rPr>
          <w:szCs w:val="21"/>
          <w:lang w:eastAsia="en-AU"/>
        </w:rPr>
        <w:t xml:space="preserve">data was only available in aggregate </w:t>
      </w:r>
      <w:r w:rsidR="00257C9B" w:rsidRPr="009B783C">
        <w:rPr>
          <w:szCs w:val="21"/>
          <w:lang w:eastAsia="en-AU"/>
        </w:rPr>
        <w:t>counts</w:t>
      </w:r>
      <w:r w:rsidR="00FE1AB1" w:rsidRPr="009B783C">
        <w:rPr>
          <w:szCs w:val="21"/>
          <w:lang w:eastAsia="en-AU"/>
        </w:rPr>
        <w:t xml:space="preserve"> </w:t>
      </w:r>
      <w:r w:rsidR="0019244B" w:rsidRPr="009B783C">
        <w:rPr>
          <w:szCs w:val="21"/>
          <w:lang w:eastAsia="en-AU"/>
        </w:rPr>
        <w:t xml:space="preserve">for some clinics </w:t>
      </w:r>
      <w:r w:rsidR="00983643" w:rsidRPr="009B783C">
        <w:rPr>
          <w:szCs w:val="21"/>
          <w:lang w:eastAsia="en-AU"/>
        </w:rPr>
        <w:t>and s</w:t>
      </w:r>
      <w:r w:rsidR="006225CA" w:rsidRPr="009B783C">
        <w:rPr>
          <w:szCs w:val="21"/>
          <w:lang w:eastAsia="en-AU"/>
        </w:rPr>
        <w:t xml:space="preserve">ome variables collected </w:t>
      </w:r>
      <w:r w:rsidR="00630E55" w:rsidRPr="009B783C">
        <w:rPr>
          <w:szCs w:val="21"/>
          <w:lang w:eastAsia="en-AU"/>
        </w:rPr>
        <w:t xml:space="preserve">through the Medicare UCC Module </w:t>
      </w:r>
      <w:r w:rsidR="00E06A71" w:rsidRPr="009B783C">
        <w:rPr>
          <w:szCs w:val="21"/>
          <w:lang w:eastAsia="en-AU"/>
        </w:rPr>
        <w:t>were poorly completed or missing</w:t>
      </w:r>
      <w:r w:rsidR="00C17381" w:rsidRPr="009B783C">
        <w:rPr>
          <w:szCs w:val="21"/>
          <w:lang w:eastAsia="en-AU"/>
        </w:rPr>
        <w:t>.</w:t>
      </w:r>
      <w:r w:rsidR="00FE1AB1" w:rsidRPr="009B783C">
        <w:rPr>
          <w:szCs w:val="21"/>
          <w:lang w:eastAsia="en-AU"/>
        </w:rPr>
        <w:t xml:space="preserve"> </w:t>
      </w:r>
      <w:r w:rsidR="00BC3C51" w:rsidRPr="009B783C">
        <w:rPr>
          <w:szCs w:val="21"/>
          <w:lang w:eastAsia="en-AU"/>
        </w:rPr>
        <w:t>O</w:t>
      </w:r>
      <w:r w:rsidR="00360B15" w:rsidRPr="009B783C">
        <w:rPr>
          <w:szCs w:val="21"/>
          <w:lang w:eastAsia="en-AU"/>
        </w:rPr>
        <w:t xml:space="preserve">pportunities </w:t>
      </w:r>
      <w:r w:rsidR="000455C2" w:rsidRPr="009B783C">
        <w:rPr>
          <w:szCs w:val="21"/>
          <w:lang w:eastAsia="en-AU"/>
        </w:rPr>
        <w:t>for data improvement</w:t>
      </w:r>
      <w:r w:rsidR="00187A36" w:rsidRPr="009B783C">
        <w:rPr>
          <w:szCs w:val="21"/>
          <w:lang w:eastAsia="en-AU"/>
        </w:rPr>
        <w:t xml:space="preserve"> are </w:t>
      </w:r>
      <w:r w:rsidR="00FF590F" w:rsidRPr="009B783C">
        <w:rPr>
          <w:szCs w:val="21"/>
          <w:lang w:eastAsia="en-AU"/>
        </w:rPr>
        <w:t>detailed</w:t>
      </w:r>
      <w:r w:rsidR="00CB5448" w:rsidRPr="009B783C">
        <w:rPr>
          <w:szCs w:val="21"/>
          <w:lang w:eastAsia="en-AU"/>
        </w:rPr>
        <w:t xml:space="preserve"> </w:t>
      </w:r>
      <w:r w:rsidR="00187A36" w:rsidRPr="009B783C">
        <w:rPr>
          <w:szCs w:val="21"/>
          <w:lang w:eastAsia="en-AU"/>
        </w:rPr>
        <w:t>in the body of the report.</w:t>
      </w:r>
      <w:r w:rsidR="00FE1AB1" w:rsidRPr="009B783C">
        <w:rPr>
          <w:szCs w:val="21"/>
          <w:lang w:eastAsia="en-AU"/>
        </w:rPr>
        <w:t xml:space="preserve"> </w:t>
      </w:r>
    </w:p>
    <w:p w14:paraId="53388EBE" w14:textId="66C75264" w:rsidR="00B16F0F" w:rsidRPr="009B783C" w:rsidRDefault="00950D18" w:rsidP="00950D18">
      <w:pPr>
        <w:pStyle w:val="Heading2"/>
        <w:numPr>
          <w:ilvl w:val="0"/>
          <w:numId w:val="0"/>
        </w:numPr>
        <w:ind w:left="576" w:hanging="576"/>
      </w:pPr>
      <w:bookmarkStart w:id="10" w:name="_Toc189772004"/>
      <w:r>
        <w:t>I</w:t>
      </w:r>
      <w:r w:rsidR="004B5160" w:rsidRPr="009B783C">
        <w:t>mplem</w:t>
      </w:r>
      <w:r w:rsidR="009A3DEB" w:rsidRPr="009B783C">
        <w:t>entation progress</w:t>
      </w:r>
      <w:bookmarkEnd w:id="10"/>
      <w:r w:rsidR="00823CCA" w:rsidRPr="009B783C">
        <w:t xml:space="preserve"> </w:t>
      </w:r>
    </w:p>
    <w:p w14:paraId="3BC8F6BA" w14:textId="4904B108" w:rsidR="00F65AC9" w:rsidRPr="009B783C" w:rsidRDefault="00F65AC9" w:rsidP="002E2EEF">
      <w:pPr>
        <w:rPr>
          <w:szCs w:val="21"/>
        </w:rPr>
      </w:pPr>
      <w:r w:rsidRPr="009B783C">
        <w:rPr>
          <w:szCs w:val="21"/>
        </w:rPr>
        <w:t xml:space="preserve">The first Medicare UCC opened on 30 June </w:t>
      </w:r>
      <w:proofErr w:type="gramStart"/>
      <w:r w:rsidRPr="009B783C">
        <w:rPr>
          <w:szCs w:val="21"/>
        </w:rPr>
        <w:t>2023</w:t>
      </w:r>
      <w:proofErr w:type="gramEnd"/>
      <w:r w:rsidRPr="009B783C">
        <w:rPr>
          <w:szCs w:val="21"/>
        </w:rPr>
        <w:t xml:space="preserve"> and many have been operational for less than 12 months. Of the 75 Medicare UCCs that </w:t>
      </w:r>
      <w:r w:rsidR="00C17381" w:rsidRPr="009B783C">
        <w:rPr>
          <w:szCs w:val="21"/>
        </w:rPr>
        <w:t xml:space="preserve">were operational </w:t>
      </w:r>
      <w:r w:rsidRPr="009B783C">
        <w:rPr>
          <w:szCs w:val="21"/>
        </w:rPr>
        <w:t>by 30 September 2024, there are 20 in New South Wales</w:t>
      </w:r>
      <w:r w:rsidR="00434C80" w:rsidRPr="009B783C">
        <w:rPr>
          <w:szCs w:val="21"/>
        </w:rPr>
        <w:t xml:space="preserve"> (NSW)</w:t>
      </w:r>
      <w:r w:rsidR="00C17381" w:rsidRPr="009B783C">
        <w:rPr>
          <w:szCs w:val="21"/>
        </w:rPr>
        <w:t>,</w:t>
      </w:r>
      <w:r w:rsidRPr="009B783C">
        <w:rPr>
          <w:szCs w:val="21"/>
        </w:rPr>
        <w:t xml:space="preserve"> 17 in Victoria</w:t>
      </w:r>
      <w:r w:rsidR="00434C80" w:rsidRPr="009B783C">
        <w:rPr>
          <w:szCs w:val="21"/>
        </w:rPr>
        <w:t xml:space="preserve"> (VIC)</w:t>
      </w:r>
      <w:r w:rsidR="00C17381" w:rsidRPr="009B783C">
        <w:rPr>
          <w:szCs w:val="21"/>
        </w:rPr>
        <w:t>,</w:t>
      </w:r>
      <w:r w:rsidRPr="009B783C">
        <w:rPr>
          <w:szCs w:val="21"/>
        </w:rPr>
        <w:t xml:space="preserve"> 12 in Queensland</w:t>
      </w:r>
      <w:r w:rsidR="00434C80" w:rsidRPr="009B783C">
        <w:rPr>
          <w:szCs w:val="21"/>
        </w:rPr>
        <w:t xml:space="preserve"> (QLD)</w:t>
      </w:r>
      <w:r w:rsidR="00C17381" w:rsidRPr="009B783C">
        <w:rPr>
          <w:szCs w:val="21"/>
        </w:rPr>
        <w:t xml:space="preserve">, </w:t>
      </w:r>
      <w:r w:rsidR="00434C80" w:rsidRPr="009B783C">
        <w:rPr>
          <w:szCs w:val="21"/>
        </w:rPr>
        <w:t>seven</w:t>
      </w:r>
      <w:r w:rsidRPr="009B783C">
        <w:rPr>
          <w:szCs w:val="21"/>
        </w:rPr>
        <w:t xml:space="preserve"> in Western Australia</w:t>
      </w:r>
      <w:r w:rsidR="00434C80" w:rsidRPr="009B783C">
        <w:rPr>
          <w:szCs w:val="21"/>
        </w:rPr>
        <w:t xml:space="preserve"> (WA)</w:t>
      </w:r>
      <w:r w:rsidR="00C17381" w:rsidRPr="009B783C">
        <w:rPr>
          <w:szCs w:val="21"/>
        </w:rPr>
        <w:t xml:space="preserve">, </w:t>
      </w:r>
      <w:r w:rsidR="00434C80" w:rsidRPr="009B783C">
        <w:rPr>
          <w:szCs w:val="21"/>
        </w:rPr>
        <w:t>five</w:t>
      </w:r>
      <w:r w:rsidR="00C17381" w:rsidRPr="009B783C">
        <w:rPr>
          <w:szCs w:val="21"/>
        </w:rPr>
        <w:t xml:space="preserve"> </w:t>
      </w:r>
      <w:r w:rsidRPr="009B783C">
        <w:rPr>
          <w:szCs w:val="21"/>
        </w:rPr>
        <w:t>in South Australia</w:t>
      </w:r>
      <w:r w:rsidR="00434C80" w:rsidRPr="009B783C">
        <w:rPr>
          <w:szCs w:val="21"/>
        </w:rPr>
        <w:t xml:space="preserve"> (SA)</w:t>
      </w:r>
      <w:r w:rsidR="00C17381" w:rsidRPr="009B783C">
        <w:rPr>
          <w:szCs w:val="21"/>
        </w:rPr>
        <w:t xml:space="preserve">, </w:t>
      </w:r>
      <w:r w:rsidR="00434C80" w:rsidRPr="009B783C">
        <w:rPr>
          <w:szCs w:val="21"/>
        </w:rPr>
        <w:t>five</w:t>
      </w:r>
      <w:r w:rsidRPr="009B783C">
        <w:rPr>
          <w:szCs w:val="21"/>
        </w:rPr>
        <w:t xml:space="preserve"> in the Australian Capital Territory</w:t>
      </w:r>
      <w:r w:rsidR="00434C80" w:rsidRPr="009B783C">
        <w:rPr>
          <w:szCs w:val="21"/>
        </w:rPr>
        <w:t xml:space="preserve"> (ACT)</w:t>
      </w:r>
      <w:r w:rsidR="00C17381" w:rsidRPr="009B783C">
        <w:rPr>
          <w:szCs w:val="21"/>
        </w:rPr>
        <w:t xml:space="preserve">, </w:t>
      </w:r>
      <w:r w:rsidR="00434C80" w:rsidRPr="009B783C">
        <w:rPr>
          <w:szCs w:val="21"/>
        </w:rPr>
        <w:t>five</w:t>
      </w:r>
      <w:r w:rsidRPr="009B783C">
        <w:rPr>
          <w:szCs w:val="21"/>
        </w:rPr>
        <w:t xml:space="preserve"> in the Northern Territory </w:t>
      </w:r>
      <w:r w:rsidR="00434C80" w:rsidRPr="009B783C">
        <w:rPr>
          <w:szCs w:val="21"/>
        </w:rPr>
        <w:t xml:space="preserve">(NT) </w:t>
      </w:r>
      <w:r w:rsidR="00C17381" w:rsidRPr="009B783C">
        <w:rPr>
          <w:szCs w:val="21"/>
        </w:rPr>
        <w:t xml:space="preserve">and </w:t>
      </w:r>
      <w:r w:rsidR="00434C80" w:rsidRPr="009B783C">
        <w:rPr>
          <w:szCs w:val="21"/>
        </w:rPr>
        <w:t>four</w:t>
      </w:r>
      <w:r w:rsidR="00C17381" w:rsidRPr="009B783C">
        <w:rPr>
          <w:szCs w:val="21"/>
        </w:rPr>
        <w:t xml:space="preserve"> </w:t>
      </w:r>
      <w:r w:rsidRPr="009B783C">
        <w:rPr>
          <w:szCs w:val="21"/>
        </w:rPr>
        <w:t>in Tasmania</w:t>
      </w:r>
      <w:r w:rsidR="00434C80" w:rsidRPr="009B783C">
        <w:rPr>
          <w:szCs w:val="21"/>
        </w:rPr>
        <w:t xml:space="preserve"> (TAS)</w:t>
      </w:r>
      <w:r w:rsidR="00C17381" w:rsidRPr="009B783C">
        <w:rPr>
          <w:szCs w:val="21"/>
        </w:rPr>
        <w:t>.</w:t>
      </w:r>
      <w:r w:rsidRPr="009B783C">
        <w:rPr>
          <w:szCs w:val="21"/>
        </w:rPr>
        <w:t xml:space="preserve"> </w:t>
      </w:r>
    </w:p>
    <w:p w14:paraId="27AE0009" w14:textId="41D4030D" w:rsidR="005042EC" w:rsidRPr="009B783C" w:rsidRDefault="0085166A" w:rsidP="002E2EEF">
      <w:pPr>
        <w:rPr>
          <w:szCs w:val="21"/>
        </w:rPr>
      </w:pPr>
      <w:r w:rsidRPr="009B783C">
        <w:rPr>
          <w:szCs w:val="21"/>
        </w:rPr>
        <w:t xml:space="preserve">As </w:t>
      </w:r>
      <w:r w:rsidR="00F76060" w:rsidRPr="009B783C">
        <w:rPr>
          <w:szCs w:val="21"/>
        </w:rPr>
        <w:t>of</w:t>
      </w:r>
      <w:r w:rsidRPr="009B783C">
        <w:rPr>
          <w:szCs w:val="21"/>
        </w:rPr>
        <w:t xml:space="preserve"> 30 September 2024, Medicare UCCs operat</w:t>
      </w:r>
      <w:r w:rsidR="00FF2942" w:rsidRPr="009B783C">
        <w:rPr>
          <w:szCs w:val="21"/>
        </w:rPr>
        <w:t>ed</w:t>
      </w:r>
      <w:r w:rsidRPr="009B783C">
        <w:rPr>
          <w:szCs w:val="21"/>
        </w:rPr>
        <w:t xml:space="preserve"> for an average of 12 hours per day, with slightly lower average operating hours outside of metropolitan areas, especially on weekends. Onsite or affiliated diagnostic services are widely available during business hours, but availability </w:t>
      </w:r>
      <w:r w:rsidR="00C17381" w:rsidRPr="009B783C">
        <w:rPr>
          <w:szCs w:val="21"/>
        </w:rPr>
        <w:t>is more limited after 5</w:t>
      </w:r>
      <w:r w:rsidR="00175174" w:rsidRPr="009B783C">
        <w:rPr>
          <w:szCs w:val="21"/>
        </w:rPr>
        <w:t xml:space="preserve">:00 </w:t>
      </w:r>
      <w:r w:rsidR="00C17381" w:rsidRPr="009B783C">
        <w:rPr>
          <w:szCs w:val="21"/>
        </w:rPr>
        <w:t>pm and on weekends.</w:t>
      </w:r>
    </w:p>
    <w:p w14:paraId="5944112A" w14:textId="14C8693A" w:rsidR="00C17381" w:rsidRPr="009B783C" w:rsidRDefault="00C17381" w:rsidP="002E2EEF">
      <w:pPr>
        <w:rPr>
          <w:szCs w:val="21"/>
        </w:rPr>
      </w:pPr>
      <w:r w:rsidRPr="009B783C">
        <w:rPr>
          <w:szCs w:val="21"/>
        </w:rPr>
        <w:t xml:space="preserve">Between 30 June 2023 and 30 September 2024, there were 784,071 presentations to Medicare UCCs. Children under the age of 15 account for 28 per cent of all Medicare UCC presentations. </w:t>
      </w:r>
    </w:p>
    <w:p w14:paraId="2353656E" w14:textId="0857A2E0" w:rsidR="00C17381" w:rsidRPr="009B783C" w:rsidRDefault="00C17381" w:rsidP="002E2EEF">
      <w:pPr>
        <w:rPr>
          <w:szCs w:val="21"/>
        </w:rPr>
      </w:pPr>
      <w:r w:rsidRPr="009B783C">
        <w:rPr>
          <w:szCs w:val="21"/>
        </w:rPr>
        <w:t>Medicare UCCs have been implemented flexibly according to local need and context.</w:t>
      </w:r>
    </w:p>
    <w:p w14:paraId="5166F963" w14:textId="30181CD2" w:rsidR="00C17381" w:rsidRPr="009B783C" w:rsidRDefault="00C17381" w:rsidP="00950D18">
      <w:pPr>
        <w:pStyle w:val="Heading2"/>
        <w:numPr>
          <w:ilvl w:val="0"/>
          <w:numId w:val="0"/>
        </w:numPr>
        <w:ind w:left="576" w:hanging="576"/>
      </w:pPr>
      <w:bookmarkStart w:id="11" w:name="_Toc189772005"/>
      <w:r w:rsidRPr="009B783C">
        <w:lastRenderedPageBreak/>
        <w:t>Interim evaluation against the nine Measures of Success</w:t>
      </w:r>
      <w:bookmarkEnd w:id="11"/>
      <w:r w:rsidRPr="009B783C">
        <w:t xml:space="preserve"> </w:t>
      </w:r>
    </w:p>
    <w:p w14:paraId="767A2F4A" w14:textId="344C27FF" w:rsidR="00C17381" w:rsidRPr="009B783C" w:rsidRDefault="00C17381" w:rsidP="002E6C8D">
      <w:pPr>
        <w:spacing w:after="240"/>
        <w:rPr>
          <w:szCs w:val="21"/>
          <w:lang w:eastAsia="en-AU"/>
        </w:rPr>
      </w:pPr>
      <w:r w:rsidRPr="009B783C">
        <w:rPr>
          <w:szCs w:val="21"/>
          <w:lang w:eastAsia="en-AU"/>
        </w:rPr>
        <w:t>Interim findings have been provided for each of the nine Measures of Success. Further information about the approach to assessing each Measure of Success for this Interim Evaluation Report 1</w:t>
      </w:r>
      <w:r w:rsidR="005B7997" w:rsidRPr="009B783C">
        <w:rPr>
          <w:szCs w:val="21"/>
          <w:lang w:eastAsia="en-AU"/>
        </w:rPr>
        <w:t xml:space="preserve">, </w:t>
      </w:r>
      <w:r w:rsidR="00D659C2" w:rsidRPr="009B783C">
        <w:rPr>
          <w:szCs w:val="21"/>
          <w:lang w:eastAsia="en-AU"/>
        </w:rPr>
        <w:t>opportunities for improvement,</w:t>
      </w:r>
      <w:r w:rsidRPr="009B783C">
        <w:rPr>
          <w:szCs w:val="21"/>
          <w:lang w:eastAsia="en-AU"/>
        </w:rPr>
        <w:t xml:space="preserve"> and </w:t>
      </w:r>
      <w:r w:rsidR="002772A2" w:rsidRPr="009B783C">
        <w:rPr>
          <w:szCs w:val="21"/>
          <w:lang w:eastAsia="en-AU"/>
        </w:rPr>
        <w:t xml:space="preserve">further investigation proposed for each Measure in the </w:t>
      </w:r>
      <w:r w:rsidRPr="009B783C">
        <w:rPr>
          <w:szCs w:val="21"/>
          <w:lang w:eastAsia="en-AU"/>
        </w:rPr>
        <w:t>future phases of the evaluation is included in the main body of the report.</w:t>
      </w:r>
      <w:r w:rsidR="006C49F7" w:rsidRPr="009B783C">
        <w:rPr>
          <w:szCs w:val="21"/>
          <w:lang w:eastAsia="en-AU"/>
        </w:rPr>
        <w:t xml:space="preserve"> The opportunities for improvement are summarised in the final section.</w:t>
      </w:r>
    </w:p>
    <w:tbl>
      <w:tblPr>
        <w:tblStyle w:val="TableGrid"/>
        <w:tblW w:w="0" w:type="auto"/>
        <w:tblLook w:val="04A0" w:firstRow="1" w:lastRow="0" w:firstColumn="1" w:lastColumn="0" w:noHBand="0" w:noVBand="1"/>
      </w:tblPr>
      <w:tblGrid>
        <w:gridCol w:w="8920"/>
      </w:tblGrid>
      <w:tr w:rsidR="008A611A" w:rsidRPr="009B783C" w14:paraId="206CE1E9" w14:textId="77777777" w:rsidTr="008A611A">
        <w:tc>
          <w:tcPr>
            <w:tcW w:w="8920" w:type="dxa"/>
            <w:tcBorders>
              <w:top w:val="nil"/>
              <w:left w:val="nil"/>
              <w:bottom w:val="nil"/>
              <w:right w:val="nil"/>
            </w:tcBorders>
            <w:shd w:val="clear" w:color="auto" w:fill="25B3E0" w:themeFill="accent6"/>
          </w:tcPr>
          <w:p w14:paraId="011BBEA1" w14:textId="16754261" w:rsidR="008A611A" w:rsidRPr="00107854" w:rsidRDefault="008A611A" w:rsidP="008A611A">
            <w:pPr>
              <w:pStyle w:val="TableNheader"/>
              <w:rPr>
                <w:color w:val="00264D" w:themeColor="background2"/>
              </w:rPr>
            </w:pPr>
            <w:r w:rsidRPr="00107854">
              <w:rPr>
                <w:color w:val="00264D" w:themeColor="background2"/>
              </w:rPr>
              <w:t xml:space="preserve">Measure of Success 1: </w:t>
            </w:r>
            <w:r w:rsidR="00CC4CC6" w:rsidRPr="00107854">
              <w:rPr>
                <w:color w:val="00264D" w:themeColor="background2"/>
              </w:rPr>
              <w:t>T</w:t>
            </w:r>
            <w:r w:rsidRPr="00107854">
              <w:rPr>
                <w:color w:val="00264D" w:themeColor="background2"/>
              </w:rPr>
              <w:t xml:space="preserve">imely treatment </w:t>
            </w:r>
          </w:p>
        </w:tc>
      </w:tr>
    </w:tbl>
    <w:p w14:paraId="59DB334B" w14:textId="494D4490" w:rsidR="00F80B22" w:rsidRPr="009B783C" w:rsidRDefault="00F244F7" w:rsidP="002E6C8D">
      <w:pPr>
        <w:spacing w:before="120"/>
        <w:rPr>
          <w:szCs w:val="21"/>
        </w:rPr>
      </w:pPr>
      <w:r w:rsidRPr="009B783C">
        <w:rPr>
          <w:szCs w:val="21"/>
        </w:rPr>
        <w:t xml:space="preserve">This Measure of Success </w:t>
      </w:r>
      <w:r w:rsidR="00456926" w:rsidRPr="009B783C">
        <w:rPr>
          <w:szCs w:val="21"/>
        </w:rPr>
        <w:t>seeks to understand whether patient</w:t>
      </w:r>
      <w:r w:rsidR="0070486A" w:rsidRPr="009B783C">
        <w:rPr>
          <w:szCs w:val="21"/>
        </w:rPr>
        <w:t>s receive timely treatment</w:t>
      </w:r>
      <w:r w:rsidR="00751228" w:rsidRPr="009B783C">
        <w:rPr>
          <w:szCs w:val="21"/>
        </w:rPr>
        <w:t xml:space="preserve"> for </w:t>
      </w:r>
      <w:r w:rsidR="002A4502" w:rsidRPr="009B783C">
        <w:rPr>
          <w:szCs w:val="21"/>
        </w:rPr>
        <w:t>urgent non-life-threatening</w:t>
      </w:r>
      <w:r w:rsidR="000C74E1" w:rsidRPr="009B783C">
        <w:rPr>
          <w:szCs w:val="21"/>
        </w:rPr>
        <w:t xml:space="preserve"> conditions in Medicare UCCs. </w:t>
      </w:r>
      <w:r w:rsidR="00C17381" w:rsidRPr="009B783C">
        <w:rPr>
          <w:szCs w:val="21"/>
        </w:rPr>
        <w:t xml:space="preserve">There is no agreed clinical definition of timely treatment. It can differ based on clinical context, urgency of the condition and factors such as resource availability, geographic location and patient circumstances. This Interim Evaluation Report 1 considered timely care through a quantitative lens in the statistical analysis of patient waiting times at Medicare UCCs and comparison with public hospital EDs for patients in </w:t>
      </w:r>
      <w:r w:rsidR="004B289E" w:rsidRPr="009B783C">
        <w:rPr>
          <w:szCs w:val="21"/>
        </w:rPr>
        <w:t>triage</w:t>
      </w:r>
      <w:r w:rsidR="00C17381" w:rsidRPr="009B783C">
        <w:rPr>
          <w:szCs w:val="21"/>
        </w:rPr>
        <w:t xml:space="preserve"> categories </w:t>
      </w:r>
      <w:r w:rsidR="004B289E" w:rsidRPr="009B783C">
        <w:rPr>
          <w:szCs w:val="21"/>
        </w:rPr>
        <w:t>four</w:t>
      </w:r>
      <w:r w:rsidR="00C17381" w:rsidRPr="009B783C">
        <w:rPr>
          <w:szCs w:val="21"/>
        </w:rPr>
        <w:t xml:space="preserve"> (semi-urgent) and </w:t>
      </w:r>
      <w:r w:rsidR="004B289E" w:rsidRPr="009B783C">
        <w:rPr>
          <w:szCs w:val="21"/>
        </w:rPr>
        <w:t>five</w:t>
      </w:r>
      <w:r w:rsidR="00C17381" w:rsidRPr="009B783C">
        <w:rPr>
          <w:szCs w:val="21"/>
        </w:rPr>
        <w:t xml:space="preserve"> (non-urgent care).</w:t>
      </w:r>
      <w:r w:rsidR="008A0F2D" w:rsidRPr="009B783C">
        <w:rPr>
          <w:szCs w:val="21"/>
        </w:rPr>
        <w:t xml:space="preserve"> </w:t>
      </w:r>
    </w:p>
    <w:p w14:paraId="1A40B758" w14:textId="67798C77" w:rsidR="00BA39BB" w:rsidRPr="009B783C" w:rsidRDefault="00A13871" w:rsidP="002E2EEF">
      <w:pPr>
        <w:pStyle w:val="Bullet"/>
        <w:numPr>
          <w:ilvl w:val="0"/>
          <w:numId w:val="0"/>
        </w:numPr>
        <w:rPr>
          <w:szCs w:val="21"/>
        </w:rPr>
      </w:pPr>
      <w:r w:rsidRPr="009B783C">
        <w:rPr>
          <w:szCs w:val="21"/>
        </w:rPr>
        <w:t xml:space="preserve">While a comparison with ED waiting times is </w:t>
      </w:r>
      <w:r w:rsidR="008E7BA4" w:rsidRPr="009B783C">
        <w:rPr>
          <w:szCs w:val="21"/>
        </w:rPr>
        <w:t>of interest,</w:t>
      </w:r>
      <w:r w:rsidRPr="009B783C">
        <w:rPr>
          <w:szCs w:val="21"/>
        </w:rPr>
        <w:t xml:space="preserve"> </w:t>
      </w:r>
      <w:r w:rsidR="00FA65E5" w:rsidRPr="009B783C">
        <w:rPr>
          <w:szCs w:val="21"/>
        </w:rPr>
        <w:t xml:space="preserve">there are significant differences </w:t>
      </w:r>
      <w:r w:rsidR="000C1B99" w:rsidRPr="009B783C">
        <w:rPr>
          <w:szCs w:val="21"/>
        </w:rPr>
        <w:t>between the two settings</w:t>
      </w:r>
      <w:r w:rsidR="00CE25D4" w:rsidRPr="009B783C">
        <w:rPr>
          <w:szCs w:val="21"/>
        </w:rPr>
        <w:t>, such as differences in case acuity, patient volumes and operational factors,</w:t>
      </w:r>
      <w:r w:rsidR="00C5413A" w:rsidRPr="009B783C">
        <w:rPr>
          <w:szCs w:val="21"/>
        </w:rPr>
        <w:t xml:space="preserve"> that </w:t>
      </w:r>
      <w:r w:rsidR="004D4B1F" w:rsidRPr="009B783C">
        <w:rPr>
          <w:szCs w:val="21"/>
        </w:rPr>
        <w:t xml:space="preserve">impact </w:t>
      </w:r>
      <w:r w:rsidR="008A2DB5" w:rsidRPr="009B783C">
        <w:rPr>
          <w:szCs w:val="21"/>
        </w:rPr>
        <w:t>the analysis</w:t>
      </w:r>
      <w:r w:rsidR="005B5AAE" w:rsidRPr="009B783C">
        <w:rPr>
          <w:szCs w:val="21"/>
        </w:rPr>
        <w:t xml:space="preserve">. These </w:t>
      </w:r>
      <w:r w:rsidR="00956F2F" w:rsidRPr="009B783C">
        <w:rPr>
          <w:szCs w:val="21"/>
        </w:rPr>
        <w:t>factors</w:t>
      </w:r>
      <w:r w:rsidR="005B5AAE" w:rsidRPr="009B783C">
        <w:rPr>
          <w:szCs w:val="21"/>
        </w:rPr>
        <w:t xml:space="preserve"> will be further considered in future reports.</w:t>
      </w:r>
      <w:r w:rsidR="00C5413A" w:rsidRPr="009B783C">
        <w:rPr>
          <w:szCs w:val="21"/>
        </w:rPr>
        <w:t xml:space="preserve"> </w:t>
      </w:r>
    </w:p>
    <w:p w14:paraId="4C1DD851" w14:textId="1EB059FD" w:rsidR="00C17381" w:rsidRPr="009B783C" w:rsidRDefault="00C17381"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30008706" w14:textId="23F1BE25" w:rsidR="00C17381" w:rsidRPr="009B783C" w:rsidRDefault="00C17381" w:rsidP="002E2EEF">
      <w:pPr>
        <w:pStyle w:val="Bullet"/>
        <w:rPr>
          <w:szCs w:val="21"/>
        </w:rPr>
      </w:pPr>
      <w:r w:rsidRPr="009B783C">
        <w:rPr>
          <w:szCs w:val="21"/>
        </w:rPr>
        <w:t xml:space="preserve">In the period to 30 September 2024, median waiting times at Medicare UCCs </w:t>
      </w:r>
      <w:r w:rsidR="00B55574" w:rsidRPr="009B783C">
        <w:rPr>
          <w:szCs w:val="21"/>
        </w:rPr>
        <w:t xml:space="preserve">were estimated at </w:t>
      </w:r>
      <w:r w:rsidRPr="009B783C">
        <w:rPr>
          <w:szCs w:val="21"/>
        </w:rPr>
        <w:t>14.5 min</w:t>
      </w:r>
      <w:r w:rsidR="00044092" w:rsidRPr="009B783C">
        <w:rPr>
          <w:szCs w:val="21"/>
        </w:rPr>
        <w:t>ute</w:t>
      </w:r>
      <w:r w:rsidRPr="009B783C">
        <w:rPr>
          <w:szCs w:val="21"/>
        </w:rPr>
        <w:t>s</w:t>
      </w:r>
      <w:r w:rsidR="00B55574" w:rsidRPr="009B783C">
        <w:rPr>
          <w:szCs w:val="21"/>
        </w:rPr>
        <w:t xml:space="preserve">. This was </w:t>
      </w:r>
      <w:r w:rsidRPr="009B783C">
        <w:rPr>
          <w:szCs w:val="21"/>
        </w:rPr>
        <w:t xml:space="preserve">shorter than </w:t>
      </w:r>
      <w:r w:rsidR="00B55574" w:rsidRPr="009B783C">
        <w:rPr>
          <w:szCs w:val="21"/>
        </w:rPr>
        <w:t xml:space="preserve">the </w:t>
      </w:r>
      <w:r w:rsidRPr="009B783C">
        <w:rPr>
          <w:szCs w:val="21"/>
        </w:rPr>
        <w:t>median waiting times at EDs for triage categor</w:t>
      </w:r>
      <w:r w:rsidR="00E96ED6" w:rsidRPr="009B783C">
        <w:rPr>
          <w:szCs w:val="21"/>
        </w:rPr>
        <w:t>y</w:t>
      </w:r>
      <w:r w:rsidRPr="009B783C">
        <w:rPr>
          <w:szCs w:val="21"/>
        </w:rPr>
        <w:t xml:space="preserve"> </w:t>
      </w:r>
      <w:r w:rsidR="005160C4" w:rsidRPr="009B783C">
        <w:rPr>
          <w:szCs w:val="21"/>
        </w:rPr>
        <w:t>four</w:t>
      </w:r>
      <w:r w:rsidR="00E96ED6" w:rsidRPr="009B783C">
        <w:rPr>
          <w:szCs w:val="21"/>
        </w:rPr>
        <w:t xml:space="preserve"> which is 31 minutes</w:t>
      </w:r>
      <w:r w:rsidR="005160C4" w:rsidRPr="009B783C">
        <w:rPr>
          <w:szCs w:val="21"/>
        </w:rPr>
        <w:t xml:space="preserve"> and </w:t>
      </w:r>
      <w:r w:rsidR="00E6348C" w:rsidRPr="009B783C">
        <w:rPr>
          <w:szCs w:val="21"/>
        </w:rPr>
        <w:t xml:space="preserve">category </w:t>
      </w:r>
      <w:r w:rsidR="00F000E5" w:rsidRPr="009B783C">
        <w:rPr>
          <w:szCs w:val="21"/>
        </w:rPr>
        <w:t>five</w:t>
      </w:r>
      <w:r w:rsidR="00E6348C" w:rsidRPr="009B783C">
        <w:rPr>
          <w:szCs w:val="21"/>
        </w:rPr>
        <w:t xml:space="preserve"> which is 24 minutes</w:t>
      </w:r>
      <w:r w:rsidR="002130F2" w:rsidRPr="009B783C">
        <w:rPr>
          <w:szCs w:val="21"/>
        </w:rPr>
        <w:t>, noting that these waiting times are not directly comparable</w:t>
      </w:r>
      <w:r w:rsidR="00F000E5" w:rsidRPr="009B783C">
        <w:rPr>
          <w:szCs w:val="21"/>
        </w:rPr>
        <w:t>.</w:t>
      </w:r>
    </w:p>
    <w:p w14:paraId="4D49C9AA" w14:textId="14583B91" w:rsidR="00C17381" w:rsidRPr="009B783C" w:rsidRDefault="00C17381" w:rsidP="002E6C8D">
      <w:pPr>
        <w:pStyle w:val="Bullet"/>
        <w:spacing w:after="240"/>
      </w:pPr>
      <w:r w:rsidRPr="009B783C">
        <w:rPr>
          <w:szCs w:val="21"/>
        </w:rPr>
        <w:t xml:space="preserve">A small proportion of Medicare UCC patients (12 per cent) waited longer than 60 minutes to be seen. In EDs, 32 per cent of patients in </w:t>
      </w:r>
      <w:r w:rsidR="00044092" w:rsidRPr="009B783C">
        <w:rPr>
          <w:szCs w:val="21"/>
        </w:rPr>
        <w:t>triage</w:t>
      </w:r>
      <w:r w:rsidRPr="009B783C">
        <w:rPr>
          <w:szCs w:val="21"/>
        </w:rPr>
        <w:t xml:space="preserve"> category </w:t>
      </w:r>
      <w:r w:rsidR="00044092" w:rsidRPr="009B783C">
        <w:rPr>
          <w:szCs w:val="21"/>
        </w:rPr>
        <w:t>four</w:t>
      </w:r>
      <w:r w:rsidRPr="009B783C">
        <w:rPr>
          <w:szCs w:val="21"/>
        </w:rPr>
        <w:t xml:space="preserve"> are seen outside of the 60-minute benchmark and 12 per cent of category </w:t>
      </w:r>
      <w:r w:rsidR="00044092" w:rsidRPr="009B783C">
        <w:rPr>
          <w:szCs w:val="21"/>
        </w:rPr>
        <w:t>five</w:t>
      </w:r>
      <w:r w:rsidRPr="009B783C">
        <w:rPr>
          <w:szCs w:val="21"/>
        </w:rPr>
        <w:t xml:space="preserve"> patients are seen outside the 120-minute benchmark.</w:t>
      </w:r>
    </w:p>
    <w:tbl>
      <w:tblPr>
        <w:tblStyle w:val="TableGrid"/>
        <w:tblW w:w="0" w:type="auto"/>
        <w:tblLook w:val="04A0" w:firstRow="1" w:lastRow="0" w:firstColumn="1" w:lastColumn="0" w:noHBand="0" w:noVBand="1"/>
      </w:tblPr>
      <w:tblGrid>
        <w:gridCol w:w="8920"/>
      </w:tblGrid>
      <w:tr w:rsidR="000229BE" w:rsidRPr="009B783C" w14:paraId="637F75B8" w14:textId="77777777" w:rsidTr="002A772E">
        <w:tc>
          <w:tcPr>
            <w:tcW w:w="8920" w:type="dxa"/>
            <w:tcBorders>
              <w:top w:val="nil"/>
              <w:left w:val="nil"/>
              <w:bottom w:val="nil"/>
              <w:right w:val="nil"/>
            </w:tcBorders>
            <w:shd w:val="clear" w:color="auto" w:fill="25B3E0" w:themeFill="accent6"/>
          </w:tcPr>
          <w:p w14:paraId="5A2F4BE5" w14:textId="0CA3EA34" w:rsidR="000229BE" w:rsidRPr="00107854" w:rsidRDefault="000229BE" w:rsidP="002A772E">
            <w:pPr>
              <w:pStyle w:val="TableNheader"/>
              <w:rPr>
                <w:color w:val="00264D" w:themeColor="background2"/>
              </w:rPr>
            </w:pPr>
            <w:r w:rsidRPr="00107854">
              <w:rPr>
                <w:color w:val="00264D" w:themeColor="background2"/>
              </w:rPr>
              <w:t xml:space="preserve">Measure of Success 2: </w:t>
            </w:r>
            <w:r w:rsidR="00991502" w:rsidRPr="00107854">
              <w:rPr>
                <w:color w:val="00264D" w:themeColor="background2"/>
              </w:rPr>
              <w:t>S</w:t>
            </w:r>
            <w:r w:rsidRPr="00107854">
              <w:rPr>
                <w:color w:val="00264D" w:themeColor="background2"/>
              </w:rPr>
              <w:t xml:space="preserve">afe and quality treatment </w:t>
            </w:r>
          </w:p>
        </w:tc>
      </w:tr>
    </w:tbl>
    <w:p w14:paraId="21B11AE2" w14:textId="3B019A55" w:rsidR="007348F1" w:rsidRPr="009B783C" w:rsidRDefault="000229BE" w:rsidP="002E2EEF">
      <w:pPr>
        <w:rPr>
          <w:szCs w:val="21"/>
        </w:rPr>
      </w:pPr>
      <w:r w:rsidRPr="009B783C">
        <w:br/>
      </w:r>
      <w:r w:rsidR="00991502" w:rsidRPr="009B783C">
        <w:rPr>
          <w:szCs w:val="21"/>
        </w:rPr>
        <w:t xml:space="preserve">This Measure of Success seeks to </w:t>
      </w:r>
      <w:r w:rsidR="00804291" w:rsidRPr="009B783C">
        <w:rPr>
          <w:szCs w:val="21"/>
        </w:rPr>
        <w:t xml:space="preserve">understand </w:t>
      </w:r>
      <w:r w:rsidR="006B2D0D" w:rsidRPr="009B783C">
        <w:rPr>
          <w:szCs w:val="21"/>
        </w:rPr>
        <w:t xml:space="preserve">whether Medicare UCCs provide safe and quality treatment </w:t>
      </w:r>
      <w:r w:rsidR="00B76D0C" w:rsidRPr="009B783C">
        <w:rPr>
          <w:szCs w:val="21"/>
        </w:rPr>
        <w:t xml:space="preserve">to patients. </w:t>
      </w:r>
      <w:r w:rsidR="0006317B" w:rsidRPr="009B783C">
        <w:rPr>
          <w:szCs w:val="21"/>
        </w:rPr>
        <w:t>There are multiple dimensions to safety and quality</w:t>
      </w:r>
      <w:r w:rsidR="00C716D1" w:rsidRPr="009B783C">
        <w:rPr>
          <w:szCs w:val="21"/>
        </w:rPr>
        <w:t xml:space="preserve">, many of which are considered across </w:t>
      </w:r>
      <w:r w:rsidR="000B5E46" w:rsidRPr="009B783C">
        <w:rPr>
          <w:szCs w:val="21"/>
        </w:rPr>
        <w:t>other Measures of Success</w:t>
      </w:r>
      <w:r w:rsidR="00876C0B" w:rsidRPr="009B783C">
        <w:rPr>
          <w:szCs w:val="21"/>
        </w:rPr>
        <w:t xml:space="preserve"> </w:t>
      </w:r>
      <w:r w:rsidR="00850295" w:rsidRPr="009B783C">
        <w:rPr>
          <w:szCs w:val="21"/>
        </w:rPr>
        <w:t>in this report</w:t>
      </w:r>
      <w:r w:rsidR="00876C0B" w:rsidRPr="009B783C">
        <w:rPr>
          <w:szCs w:val="21"/>
        </w:rPr>
        <w:t xml:space="preserve"> (including </w:t>
      </w:r>
      <w:r w:rsidR="006D1957" w:rsidRPr="009B783C">
        <w:rPr>
          <w:szCs w:val="21"/>
        </w:rPr>
        <w:t>Measures 1,</w:t>
      </w:r>
      <w:r w:rsidR="00B0461D" w:rsidRPr="009B783C">
        <w:rPr>
          <w:szCs w:val="21"/>
        </w:rPr>
        <w:t xml:space="preserve"> </w:t>
      </w:r>
      <w:r w:rsidR="006D1957" w:rsidRPr="009B783C">
        <w:rPr>
          <w:szCs w:val="21"/>
        </w:rPr>
        <w:t>4 and 9</w:t>
      </w:r>
      <w:r w:rsidR="00DF60DF" w:rsidRPr="009B783C">
        <w:rPr>
          <w:szCs w:val="21"/>
        </w:rPr>
        <w:t xml:space="preserve"> which cover timeliness of care, patient-centred care and efficiency</w:t>
      </w:r>
      <w:r w:rsidR="002937A6" w:rsidRPr="009B783C">
        <w:rPr>
          <w:szCs w:val="21"/>
        </w:rPr>
        <w:t xml:space="preserve">). </w:t>
      </w:r>
      <w:r w:rsidR="00DF60DF" w:rsidRPr="009B783C">
        <w:rPr>
          <w:szCs w:val="21"/>
        </w:rPr>
        <w:t>This Measure considers the</w:t>
      </w:r>
      <w:r w:rsidR="002937A6" w:rsidRPr="009B783C">
        <w:rPr>
          <w:szCs w:val="21"/>
        </w:rPr>
        <w:t xml:space="preserve"> </w:t>
      </w:r>
      <w:r w:rsidR="00C17381" w:rsidRPr="009B783C">
        <w:rPr>
          <w:szCs w:val="21"/>
        </w:rPr>
        <w:t xml:space="preserve">Department’s approach to assessing Medicare UCCs’ safety, the appropriateness of presentations and equitable access for priority populations. </w:t>
      </w:r>
    </w:p>
    <w:p w14:paraId="0CCC27BA" w14:textId="3BC1DCD2" w:rsidR="00FB6998" w:rsidRPr="009B783C" w:rsidRDefault="00FB6998" w:rsidP="002E2EEF">
      <w:pPr>
        <w:rPr>
          <w:szCs w:val="21"/>
        </w:rPr>
      </w:pPr>
      <w:r w:rsidRPr="009B783C">
        <w:rPr>
          <w:szCs w:val="21"/>
        </w:rPr>
        <w:t xml:space="preserve">Patient perceptions of safety and quality will be collected for future reports, together with </w:t>
      </w:r>
      <w:r w:rsidR="00660DE1" w:rsidRPr="009B783C">
        <w:rPr>
          <w:szCs w:val="21"/>
        </w:rPr>
        <w:t xml:space="preserve">information from a range of stakeholders about appropriateness of care and </w:t>
      </w:r>
      <w:r w:rsidR="00571C61" w:rsidRPr="009B783C">
        <w:rPr>
          <w:szCs w:val="21"/>
        </w:rPr>
        <w:t xml:space="preserve">redirections from Medicare UCCs. </w:t>
      </w:r>
      <w:r w:rsidR="00AF6D89" w:rsidRPr="009B783C">
        <w:rPr>
          <w:szCs w:val="21"/>
        </w:rPr>
        <w:t xml:space="preserve">The Medicare UCCs Operational Guidance will also be </w:t>
      </w:r>
      <w:r w:rsidR="00EF405D" w:rsidRPr="009B783C">
        <w:rPr>
          <w:szCs w:val="21"/>
        </w:rPr>
        <w:t>reviewed</w:t>
      </w:r>
      <w:r w:rsidR="005743DA" w:rsidRPr="009B783C">
        <w:rPr>
          <w:szCs w:val="21"/>
        </w:rPr>
        <w:t>.</w:t>
      </w:r>
    </w:p>
    <w:p w14:paraId="0FEAA247" w14:textId="77777777" w:rsidR="0062622B" w:rsidRPr="009B783C" w:rsidRDefault="0062622B" w:rsidP="002E2EEF">
      <w:pPr>
        <w:pStyle w:val="Bullet"/>
        <w:numPr>
          <w:ilvl w:val="0"/>
          <w:numId w:val="0"/>
        </w:numPr>
        <w:spacing w:afterLines="30" w:after="72"/>
        <w:ind w:left="340" w:hanging="340"/>
        <w:rPr>
          <w:rFonts w:asciiTheme="majorHAnsi" w:eastAsiaTheme="minorHAnsi" w:hAnsiTheme="majorHAnsi" w:cstheme="majorHAnsi"/>
          <w:color w:val="00264D" w:themeColor="background2"/>
          <w:szCs w:val="21"/>
          <w:lang w:eastAsia="en-US"/>
        </w:rPr>
      </w:pPr>
      <w:r w:rsidRPr="009B783C">
        <w:rPr>
          <w:rFonts w:asciiTheme="majorHAnsi" w:eastAsiaTheme="minorHAnsi" w:hAnsiTheme="majorHAnsi" w:cstheme="majorHAnsi"/>
          <w:color w:val="00264D" w:themeColor="background2"/>
          <w:szCs w:val="21"/>
          <w:lang w:eastAsia="en-US"/>
        </w:rPr>
        <w:t>Interim findings</w:t>
      </w:r>
    </w:p>
    <w:p w14:paraId="3760438D" w14:textId="0DEDD777" w:rsidR="00C17381" w:rsidRPr="009B783C" w:rsidRDefault="00C17381" w:rsidP="002E2EEF">
      <w:pPr>
        <w:pStyle w:val="Bullet"/>
        <w:rPr>
          <w:szCs w:val="21"/>
        </w:rPr>
      </w:pPr>
      <w:r w:rsidRPr="009B783C">
        <w:rPr>
          <w:szCs w:val="21"/>
        </w:rPr>
        <w:lastRenderedPageBreak/>
        <w:t>The Medicare UCC Program implements a robust clinical assessment process prior to opening to ensure clinics meet safety standards and are ready to operate in accordance with the Medicare UCC Operational Guidance.</w:t>
      </w:r>
    </w:p>
    <w:p w14:paraId="7D3C9E2E" w14:textId="310F8F31" w:rsidR="0062622B" w:rsidRPr="009B783C" w:rsidRDefault="0062622B" w:rsidP="002E2EEF">
      <w:pPr>
        <w:pStyle w:val="Bullet"/>
        <w:rPr>
          <w:szCs w:val="21"/>
        </w:rPr>
      </w:pPr>
      <w:r w:rsidRPr="009B783C">
        <w:rPr>
          <w:szCs w:val="21"/>
        </w:rPr>
        <w:t xml:space="preserve">Medicare UCCs are primarily treating patients with conditions that fall within the scope of the Medicare UCC Operational Guidance, with most patients presenting with acute illnesses (63 per cent) and acute injuries (26 per cent). </w:t>
      </w:r>
      <w:proofErr w:type="gramStart"/>
      <w:r w:rsidR="001B6717" w:rsidRPr="009B783C">
        <w:rPr>
          <w:szCs w:val="21"/>
        </w:rPr>
        <w:t>The majority of</w:t>
      </w:r>
      <w:proofErr w:type="gramEnd"/>
      <w:r w:rsidR="001B6717" w:rsidRPr="009B783C">
        <w:rPr>
          <w:szCs w:val="21"/>
        </w:rPr>
        <w:t xml:space="preserve"> patients </w:t>
      </w:r>
      <w:r w:rsidRPr="009B783C">
        <w:rPr>
          <w:szCs w:val="21"/>
        </w:rPr>
        <w:t>(84 per cent) return home after receiving care and a small proportion are referred to an ED (5 per cent) or redirected to their usual GP (10 per cent) when necessary</w:t>
      </w:r>
      <w:r w:rsidR="00E6348C" w:rsidRPr="009B783C">
        <w:rPr>
          <w:szCs w:val="21"/>
        </w:rPr>
        <w:t xml:space="preserve">, suggesting </w:t>
      </w:r>
      <w:r w:rsidR="006214ED" w:rsidRPr="009B783C">
        <w:rPr>
          <w:szCs w:val="21"/>
        </w:rPr>
        <w:t>Medicare UCCs are utilising diversion and escalation protocols to redirect patients to other settings where appropriate</w:t>
      </w:r>
      <w:r w:rsidR="004C5C21" w:rsidRPr="009B783C">
        <w:rPr>
          <w:szCs w:val="21"/>
        </w:rPr>
        <w:t>.</w:t>
      </w:r>
      <w:r w:rsidR="008A611A" w:rsidRPr="009B783C">
        <w:rPr>
          <w:szCs w:val="21"/>
        </w:rPr>
        <w:t xml:space="preserve"> </w:t>
      </w:r>
    </w:p>
    <w:p w14:paraId="1E1CA810" w14:textId="68A739C0" w:rsidR="004F40D3" w:rsidRPr="009B783C" w:rsidRDefault="00C17381" w:rsidP="002E6C8D">
      <w:pPr>
        <w:pStyle w:val="Bullet"/>
        <w:spacing w:after="240"/>
      </w:pPr>
      <w:r w:rsidRPr="009B783C">
        <w:rPr>
          <w:szCs w:val="21"/>
        </w:rPr>
        <w:t xml:space="preserve">As of 30 September 2024, </w:t>
      </w:r>
      <w:r w:rsidR="00B0461D" w:rsidRPr="009B783C">
        <w:rPr>
          <w:szCs w:val="21"/>
        </w:rPr>
        <w:t xml:space="preserve">6 </w:t>
      </w:r>
      <w:r w:rsidRPr="009B783C">
        <w:rPr>
          <w:szCs w:val="21"/>
        </w:rPr>
        <w:t xml:space="preserve">per cent of </w:t>
      </w:r>
      <w:r w:rsidR="006F03A2" w:rsidRPr="009B783C">
        <w:rPr>
          <w:szCs w:val="21"/>
        </w:rPr>
        <w:t>those</w:t>
      </w:r>
      <w:r w:rsidRPr="009B783C">
        <w:rPr>
          <w:szCs w:val="21"/>
        </w:rPr>
        <w:t xml:space="preserve"> Medicare UCC patients with recorded status identified as Aboriginal and/or Torres Strait Islander, which is slightly lower than for EDs (</w:t>
      </w:r>
      <w:r w:rsidR="00B0461D" w:rsidRPr="009B783C">
        <w:rPr>
          <w:szCs w:val="21"/>
        </w:rPr>
        <w:t xml:space="preserve">8 </w:t>
      </w:r>
      <w:r w:rsidRPr="009B783C">
        <w:rPr>
          <w:szCs w:val="21"/>
        </w:rPr>
        <w:t xml:space="preserve">per cent). </w:t>
      </w:r>
      <w:r w:rsidR="00C25B34" w:rsidRPr="009B783C">
        <w:rPr>
          <w:szCs w:val="21"/>
        </w:rPr>
        <w:t>There is limited data available on utilisation of Medicare UCCs by other priority populations.</w:t>
      </w:r>
    </w:p>
    <w:tbl>
      <w:tblPr>
        <w:tblStyle w:val="TableGrid"/>
        <w:tblW w:w="0" w:type="auto"/>
        <w:tblLook w:val="04A0" w:firstRow="1" w:lastRow="0" w:firstColumn="1" w:lastColumn="0" w:noHBand="0" w:noVBand="1"/>
      </w:tblPr>
      <w:tblGrid>
        <w:gridCol w:w="8920"/>
      </w:tblGrid>
      <w:tr w:rsidR="000229BE" w:rsidRPr="009B783C" w14:paraId="1F61580C" w14:textId="77777777" w:rsidTr="003E79FA">
        <w:tc>
          <w:tcPr>
            <w:tcW w:w="8920" w:type="dxa"/>
            <w:tcBorders>
              <w:top w:val="nil"/>
              <w:left w:val="nil"/>
              <w:bottom w:val="nil"/>
              <w:right w:val="nil"/>
            </w:tcBorders>
            <w:shd w:val="clear" w:color="auto" w:fill="25B3E0" w:themeFill="accent6"/>
          </w:tcPr>
          <w:p w14:paraId="42645D70" w14:textId="18EE8318" w:rsidR="000229BE" w:rsidRPr="00107854" w:rsidRDefault="000229BE" w:rsidP="003E79FA">
            <w:pPr>
              <w:pStyle w:val="TableNheader"/>
              <w:rPr>
                <w:color w:val="00264D" w:themeColor="background2"/>
              </w:rPr>
            </w:pPr>
            <w:r w:rsidRPr="00107854">
              <w:rPr>
                <w:color w:val="00264D" w:themeColor="background2"/>
              </w:rPr>
              <w:t xml:space="preserve">Measure of Success 3: </w:t>
            </w:r>
            <w:r w:rsidR="0012135B" w:rsidRPr="00107854">
              <w:rPr>
                <w:color w:val="00264D" w:themeColor="background2"/>
              </w:rPr>
              <w:t>Coordinated care</w:t>
            </w:r>
          </w:p>
        </w:tc>
      </w:tr>
    </w:tbl>
    <w:p w14:paraId="005CC5CE" w14:textId="725F6BF7" w:rsidR="00C17381" w:rsidRPr="009B783C" w:rsidRDefault="0012135B" w:rsidP="002E6C8D">
      <w:pPr>
        <w:spacing w:before="120"/>
        <w:rPr>
          <w:szCs w:val="21"/>
          <w:lang w:eastAsia="en-AU"/>
        </w:rPr>
      </w:pPr>
      <w:r w:rsidRPr="009B783C">
        <w:rPr>
          <w:szCs w:val="21"/>
        </w:rPr>
        <w:t xml:space="preserve">This Measure of Success seeks to understand whether Medicare UCCs deliver coordinated care for Medicare UCC patients. </w:t>
      </w:r>
      <w:r w:rsidR="006448C1" w:rsidRPr="009B783C">
        <w:rPr>
          <w:szCs w:val="21"/>
        </w:rPr>
        <w:t xml:space="preserve">There are multiple dimensions to coordinating a patient's healthcare services across multiple providers and settings. </w:t>
      </w:r>
      <w:r w:rsidR="00283A4F" w:rsidRPr="009B783C">
        <w:rPr>
          <w:szCs w:val="21"/>
        </w:rPr>
        <w:t xml:space="preserve">For this Interim </w:t>
      </w:r>
      <w:r w:rsidR="0020612E" w:rsidRPr="009B783C">
        <w:rPr>
          <w:szCs w:val="21"/>
        </w:rPr>
        <w:t>Evaluation</w:t>
      </w:r>
      <w:r w:rsidR="00283A4F" w:rsidRPr="009B783C">
        <w:rPr>
          <w:szCs w:val="21"/>
        </w:rPr>
        <w:t xml:space="preserve"> Report</w:t>
      </w:r>
      <w:r w:rsidR="00BB12FF" w:rsidRPr="009B783C">
        <w:rPr>
          <w:szCs w:val="21"/>
        </w:rPr>
        <w:t>,</w:t>
      </w:r>
      <w:r w:rsidR="00283A4F" w:rsidRPr="009B783C">
        <w:rPr>
          <w:szCs w:val="21"/>
        </w:rPr>
        <w:t xml:space="preserve"> the evaluation a</w:t>
      </w:r>
      <w:r w:rsidR="00C17381" w:rsidRPr="009B783C">
        <w:rPr>
          <w:szCs w:val="21"/>
        </w:rPr>
        <w:t>ssesses channels of clinical handover and Medicare UCCs’ use of referral pathways using the Medicare UCC data, as well as through</w:t>
      </w:r>
      <w:r w:rsidR="008A611A" w:rsidRPr="009B783C">
        <w:rPr>
          <w:szCs w:val="21"/>
        </w:rPr>
        <w:t xml:space="preserve"> </w:t>
      </w:r>
      <w:r w:rsidR="00C17381" w:rsidRPr="009B783C">
        <w:rPr>
          <w:szCs w:val="21"/>
        </w:rPr>
        <w:t xml:space="preserve">engagement with commissioners. </w:t>
      </w:r>
      <w:r w:rsidR="003E41B5" w:rsidRPr="009B783C">
        <w:rPr>
          <w:szCs w:val="21"/>
        </w:rPr>
        <w:t>In future phases of the evaluation</w:t>
      </w:r>
      <w:r w:rsidR="00BB12FF" w:rsidRPr="009B783C">
        <w:rPr>
          <w:szCs w:val="21"/>
        </w:rPr>
        <w:t>,</w:t>
      </w:r>
      <w:r w:rsidR="008A611A" w:rsidRPr="009B783C">
        <w:rPr>
          <w:szCs w:val="21"/>
        </w:rPr>
        <w:t xml:space="preserve"> </w:t>
      </w:r>
      <w:r w:rsidR="003E41B5" w:rsidRPr="009B783C">
        <w:rPr>
          <w:szCs w:val="21"/>
        </w:rPr>
        <w:t>Medicare UCCs will be asked about their care coordination processes</w:t>
      </w:r>
      <w:r w:rsidR="00FC196F" w:rsidRPr="009B783C">
        <w:rPr>
          <w:szCs w:val="21"/>
        </w:rPr>
        <w:t>,</w:t>
      </w:r>
      <w:r w:rsidR="003E41B5" w:rsidRPr="009B783C">
        <w:rPr>
          <w:szCs w:val="21"/>
        </w:rPr>
        <w:t xml:space="preserve"> barriers and enablers to effective coordination</w:t>
      </w:r>
      <w:r w:rsidR="00BE175E" w:rsidRPr="009B783C">
        <w:rPr>
          <w:szCs w:val="21"/>
        </w:rPr>
        <w:t xml:space="preserve">, including use of </w:t>
      </w:r>
      <w:r w:rsidR="003C423A" w:rsidRPr="009B783C">
        <w:rPr>
          <w:szCs w:val="21"/>
        </w:rPr>
        <w:t>My Health Record (</w:t>
      </w:r>
      <w:r w:rsidR="00BE175E" w:rsidRPr="009B783C">
        <w:rPr>
          <w:szCs w:val="21"/>
        </w:rPr>
        <w:t>MyHR</w:t>
      </w:r>
      <w:r w:rsidR="003C423A" w:rsidRPr="009B783C">
        <w:rPr>
          <w:szCs w:val="21"/>
        </w:rPr>
        <w:t>)</w:t>
      </w:r>
      <w:r w:rsidR="00BE175E" w:rsidRPr="009B783C">
        <w:rPr>
          <w:szCs w:val="21"/>
        </w:rPr>
        <w:t xml:space="preserve"> and how they support patients without a regular GP to identify and connect with one</w:t>
      </w:r>
      <w:r w:rsidR="00BE175E" w:rsidRPr="009B783C" w:rsidDel="00927CFD">
        <w:rPr>
          <w:szCs w:val="21"/>
        </w:rPr>
        <w:t>.</w:t>
      </w:r>
      <w:r w:rsidR="00E65B44" w:rsidRPr="009B783C">
        <w:rPr>
          <w:szCs w:val="21"/>
        </w:rPr>
        <w:t xml:space="preserve"> </w:t>
      </w:r>
      <w:r w:rsidR="003E41B5" w:rsidRPr="009B783C">
        <w:rPr>
          <w:szCs w:val="21"/>
        </w:rPr>
        <w:t xml:space="preserve">Patient experience of care coordination will also be sought through patient feedback mechanisms. </w:t>
      </w:r>
    </w:p>
    <w:p w14:paraId="021D24D0" w14:textId="77777777" w:rsidR="004F40D3" w:rsidRPr="009B783C" w:rsidRDefault="004F40D3"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331A0327" w14:textId="725950DC" w:rsidR="00C17381" w:rsidRPr="009B783C" w:rsidRDefault="00C17381" w:rsidP="002E2EEF">
      <w:pPr>
        <w:pStyle w:val="Bullet"/>
        <w:rPr>
          <w:szCs w:val="21"/>
        </w:rPr>
      </w:pPr>
      <w:r w:rsidRPr="009B783C">
        <w:rPr>
          <w:szCs w:val="21"/>
        </w:rPr>
        <w:t xml:space="preserve">In the period to 30 September 2024, 89 per cent of presentations had a clinical handover provided by at least one method outlined in the Operational Guidance (provided directly to usual GP, uploaded to </w:t>
      </w:r>
      <w:r w:rsidR="00F465B7" w:rsidRPr="009B783C">
        <w:rPr>
          <w:szCs w:val="21"/>
        </w:rPr>
        <w:t>MyHR</w:t>
      </w:r>
      <w:r w:rsidRPr="009B783C">
        <w:rPr>
          <w:szCs w:val="21"/>
        </w:rPr>
        <w:t xml:space="preserve"> or paper copy given to the patient). A small proportion (11 per cent) had a clinical handover provided by ‘other’ means.</w:t>
      </w:r>
    </w:p>
    <w:p w14:paraId="28CC0DF2" w14:textId="33DC9D05" w:rsidR="00C17381" w:rsidRPr="009B783C" w:rsidRDefault="00C17381" w:rsidP="002E2EEF">
      <w:pPr>
        <w:pStyle w:val="Bullet"/>
        <w:rPr>
          <w:szCs w:val="21"/>
        </w:rPr>
      </w:pPr>
      <w:r w:rsidRPr="009B783C">
        <w:rPr>
          <w:szCs w:val="21"/>
        </w:rPr>
        <w:t>Approximately 68 per cent of presentations had a handover directly back to the patient’s usual GP/practice in the period to 30 September 2024</w:t>
      </w:r>
      <w:r w:rsidR="007C3B15" w:rsidRPr="009B783C">
        <w:rPr>
          <w:szCs w:val="21"/>
        </w:rPr>
        <w:t xml:space="preserve">. A further 10 per cent of presentations had information uploaded to MyHR (but not provided directly to the patient’s usual GP). </w:t>
      </w:r>
      <w:r w:rsidR="00823DB4" w:rsidRPr="009B783C">
        <w:rPr>
          <w:szCs w:val="21"/>
        </w:rPr>
        <w:t xml:space="preserve">Approximately 11 per cent of presentations received a hard copy of a discharge summary only, which is consistent with the proportion of patients (11 per cent) </w:t>
      </w:r>
      <w:r w:rsidR="00194557" w:rsidRPr="009B783C">
        <w:rPr>
          <w:szCs w:val="21"/>
        </w:rPr>
        <w:t>that did not identify a usual GP/practice</w:t>
      </w:r>
      <w:r w:rsidR="009E2484" w:rsidRPr="009B783C">
        <w:rPr>
          <w:szCs w:val="21"/>
        </w:rPr>
        <w:t>.</w:t>
      </w:r>
      <w:r w:rsidRPr="009B783C">
        <w:rPr>
          <w:szCs w:val="21"/>
        </w:rPr>
        <w:t xml:space="preserve"> </w:t>
      </w:r>
      <w:r w:rsidR="009E2484" w:rsidRPr="009B783C">
        <w:rPr>
          <w:szCs w:val="21"/>
        </w:rPr>
        <w:t xml:space="preserve">Commissioners </w:t>
      </w:r>
      <w:r w:rsidRPr="009B783C">
        <w:rPr>
          <w:szCs w:val="21"/>
        </w:rPr>
        <w:t xml:space="preserve">reported receiving feedback from local GPs that </w:t>
      </w:r>
      <w:r w:rsidR="00A413AF" w:rsidRPr="009B783C">
        <w:rPr>
          <w:szCs w:val="21"/>
        </w:rPr>
        <w:t xml:space="preserve">electronic </w:t>
      </w:r>
      <w:r w:rsidR="00D23CE0" w:rsidRPr="009B783C">
        <w:rPr>
          <w:szCs w:val="21"/>
        </w:rPr>
        <w:t>provision of a discharge summary</w:t>
      </w:r>
      <w:r w:rsidR="00A413AF" w:rsidRPr="009B783C">
        <w:rPr>
          <w:szCs w:val="21"/>
        </w:rPr>
        <w:t xml:space="preserve"> </w:t>
      </w:r>
      <w:r w:rsidRPr="009B783C">
        <w:rPr>
          <w:szCs w:val="21"/>
        </w:rPr>
        <w:t>was their preferred method of receiving clinical handovers.</w:t>
      </w:r>
    </w:p>
    <w:tbl>
      <w:tblPr>
        <w:tblStyle w:val="TableGrid"/>
        <w:tblW w:w="0" w:type="auto"/>
        <w:tblLook w:val="04A0" w:firstRow="1" w:lastRow="0" w:firstColumn="1" w:lastColumn="0" w:noHBand="0" w:noVBand="1"/>
      </w:tblPr>
      <w:tblGrid>
        <w:gridCol w:w="8920"/>
      </w:tblGrid>
      <w:tr w:rsidR="000229BE" w:rsidRPr="009B783C" w14:paraId="73F661B0" w14:textId="77777777" w:rsidTr="003E79FA">
        <w:tc>
          <w:tcPr>
            <w:tcW w:w="8920" w:type="dxa"/>
            <w:tcBorders>
              <w:top w:val="nil"/>
              <w:left w:val="nil"/>
              <w:bottom w:val="nil"/>
              <w:right w:val="nil"/>
            </w:tcBorders>
            <w:shd w:val="clear" w:color="auto" w:fill="25B3E0" w:themeFill="accent6"/>
          </w:tcPr>
          <w:p w14:paraId="792DFAAB" w14:textId="57861993" w:rsidR="000229BE" w:rsidRPr="00107854" w:rsidRDefault="000229BE" w:rsidP="003E79FA">
            <w:pPr>
              <w:pStyle w:val="TableNheader"/>
              <w:rPr>
                <w:color w:val="00264D" w:themeColor="background2"/>
              </w:rPr>
            </w:pPr>
            <w:r w:rsidRPr="00107854">
              <w:rPr>
                <w:color w:val="00264D" w:themeColor="background2"/>
              </w:rPr>
              <w:lastRenderedPageBreak/>
              <w:t xml:space="preserve">Measure of Success 4: </w:t>
            </w:r>
            <w:r w:rsidR="00410A42" w:rsidRPr="00107854">
              <w:rPr>
                <w:color w:val="00264D" w:themeColor="background2"/>
              </w:rPr>
              <w:t xml:space="preserve">Experience </w:t>
            </w:r>
            <w:r w:rsidR="001614D8" w:rsidRPr="00107854">
              <w:rPr>
                <w:color w:val="00264D" w:themeColor="background2"/>
              </w:rPr>
              <w:t>for</w:t>
            </w:r>
            <w:r w:rsidR="003D61B9" w:rsidRPr="00107854">
              <w:rPr>
                <w:color w:val="00264D" w:themeColor="background2"/>
              </w:rPr>
              <w:t xml:space="preserve"> </w:t>
            </w:r>
            <w:r w:rsidR="00410A42" w:rsidRPr="00107854">
              <w:rPr>
                <w:color w:val="00264D" w:themeColor="background2"/>
              </w:rPr>
              <w:t>p</w:t>
            </w:r>
            <w:r w:rsidR="0012135B" w:rsidRPr="00107854">
              <w:rPr>
                <w:color w:val="00264D" w:themeColor="background2"/>
              </w:rPr>
              <w:t>atient</w:t>
            </w:r>
            <w:r w:rsidR="00410A42" w:rsidRPr="00107854">
              <w:rPr>
                <w:color w:val="00264D" w:themeColor="background2"/>
              </w:rPr>
              <w:t>s</w:t>
            </w:r>
            <w:r w:rsidR="0012135B" w:rsidRPr="00107854">
              <w:rPr>
                <w:color w:val="00264D" w:themeColor="background2"/>
              </w:rPr>
              <w:t xml:space="preserve"> and carer</w:t>
            </w:r>
            <w:r w:rsidR="00410A42" w:rsidRPr="00107854">
              <w:rPr>
                <w:color w:val="00264D" w:themeColor="background2"/>
              </w:rPr>
              <w:t>s</w:t>
            </w:r>
          </w:p>
        </w:tc>
      </w:tr>
    </w:tbl>
    <w:p w14:paraId="7D32D9E2" w14:textId="31809F5C" w:rsidR="009064D0" w:rsidRPr="009B783C" w:rsidRDefault="0012135B" w:rsidP="002E6C8D">
      <w:pPr>
        <w:spacing w:before="120"/>
        <w:rPr>
          <w:szCs w:val="21"/>
        </w:rPr>
      </w:pPr>
      <w:r w:rsidRPr="009B783C">
        <w:rPr>
          <w:szCs w:val="21"/>
        </w:rPr>
        <w:t xml:space="preserve">This Measure of Success seeks to understand whether Medicare UCCs provide a positive experience for patients and carers. </w:t>
      </w:r>
      <w:r w:rsidR="00FF1968" w:rsidRPr="009B783C">
        <w:rPr>
          <w:szCs w:val="21"/>
        </w:rPr>
        <w:t>L</w:t>
      </w:r>
      <w:r w:rsidR="00C17381" w:rsidRPr="009B783C">
        <w:rPr>
          <w:szCs w:val="21"/>
        </w:rPr>
        <w:t xml:space="preserve">imited insights on patient experience were gained </w:t>
      </w:r>
      <w:r w:rsidR="00494907" w:rsidRPr="009B783C">
        <w:rPr>
          <w:szCs w:val="21"/>
        </w:rPr>
        <w:t xml:space="preserve">for this Interim </w:t>
      </w:r>
      <w:r w:rsidR="0014674A" w:rsidRPr="009B783C">
        <w:rPr>
          <w:szCs w:val="21"/>
        </w:rPr>
        <w:t xml:space="preserve">Evaluation </w:t>
      </w:r>
      <w:r w:rsidR="00494907" w:rsidRPr="009B783C">
        <w:rPr>
          <w:szCs w:val="21"/>
        </w:rPr>
        <w:t>Report 1</w:t>
      </w:r>
      <w:r w:rsidR="00C17381" w:rsidRPr="009B783C">
        <w:rPr>
          <w:szCs w:val="21"/>
        </w:rPr>
        <w:t xml:space="preserve"> through interviews with commissioning organisations and the CHF</w:t>
      </w:r>
      <w:r w:rsidR="00430E44" w:rsidRPr="009B783C">
        <w:rPr>
          <w:szCs w:val="21"/>
        </w:rPr>
        <w:t xml:space="preserve"> executive</w:t>
      </w:r>
      <w:r w:rsidR="00494907" w:rsidRPr="009B783C">
        <w:rPr>
          <w:szCs w:val="21"/>
        </w:rPr>
        <w:t>.</w:t>
      </w:r>
      <w:r w:rsidR="00C17381" w:rsidRPr="009B783C">
        <w:rPr>
          <w:szCs w:val="21"/>
        </w:rPr>
        <w:t xml:space="preserve"> The Department also provided a selection of written patient stories and a high-level summary of the complaints it received. </w:t>
      </w:r>
    </w:p>
    <w:p w14:paraId="2C1C5C27" w14:textId="4C265853" w:rsidR="00C17381" w:rsidRPr="009B783C" w:rsidRDefault="00B96ACD" w:rsidP="002E2EEF">
      <w:pPr>
        <w:rPr>
          <w:szCs w:val="21"/>
        </w:rPr>
      </w:pPr>
      <w:r w:rsidRPr="009B783C">
        <w:rPr>
          <w:szCs w:val="21"/>
        </w:rPr>
        <w:t>Given t</w:t>
      </w:r>
      <w:r w:rsidR="00C644CF" w:rsidRPr="009B783C">
        <w:rPr>
          <w:szCs w:val="21"/>
        </w:rPr>
        <w:t>h</w:t>
      </w:r>
      <w:r w:rsidR="00494907" w:rsidRPr="009B783C">
        <w:rPr>
          <w:szCs w:val="21"/>
        </w:rPr>
        <w:t>e</w:t>
      </w:r>
      <w:r w:rsidRPr="009B783C">
        <w:rPr>
          <w:szCs w:val="21"/>
        </w:rPr>
        <w:t xml:space="preserve"> limitation</w:t>
      </w:r>
      <w:r w:rsidR="00494907" w:rsidRPr="009B783C">
        <w:rPr>
          <w:szCs w:val="21"/>
        </w:rPr>
        <w:t>s</w:t>
      </w:r>
      <w:r w:rsidRPr="009B783C">
        <w:rPr>
          <w:szCs w:val="21"/>
        </w:rPr>
        <w:t xml:space="preserve">, </w:t>
      </w:r>
      <w:r w:rsidR="00C644CF" w:rsidRPr="009B783C">
        <w:rPr>
          <w:szCs w:val="21"/>
        </w:rPr>
        <w:t xml:space="preserve">the report </w:t>
      </w:r>
      <w:r w:rsidRPr="009B783C">
        <w:rPr>
          <w:szCs w:val="21"/>
        </w:rPr>
        <w:t>outline</w:t>
      </w:r>
      <w:r w:rsidR="00C644CF" w:rsidRPr="009B783C">
        <w:rPr>
          <w:szCs w:val="21"/>
        </w:rPr>
        <w:t>s</w:t>
      </w:r>
      <w:r w:rsidRPr="009B783C">
        <w:rPr>
          <w:szCs w:val="21"/>
        </w:rPr>
        <w:t xml:space="preserve"> key themes regarding aspects of the Medicare UCC services that patients </w:t>
      </w:r>
      <w:r w:rsidR="00494907" w:rsidRPr="009B783C">
        <w:rPr>
          <w:szCs w:val="21"/>
        </w:rPr>
        <w:t xml:space="preserve">are reported to </w:t>
      </w:r>
      <w:r w:rsidRPr="009B783C">
        <w:rPr>
          <w:szCs w:val="21"/>
        </w:rPr>
        <w:t>value and identif</w:t>
      </w:r>
      <w:r w:rsidR="00C644CF" w:rsidRPr="009B783C">
        <w:rPr>
          <w:szCs w:val="21"/>
        </w:rPr>
        <w:t>ies</w:t>
      </w:r>
      <w:r w:rsidRPr="009B783C">
        <w:rPr>
          <w:szCs w:val="21"/>
        </w:rPr>
        <w:t xml:space="preserve"> early opportunities to improve patient experience.</w:t>
      </w:r>
      <w:r w:rsidR="008A611A" w:rsidRPr="009B783C">
        <w:rPr>
          <w:szCs w:val="21"/>
        </w:rPr>
        <w:t xml:space="preserve"> </w:t>
      </w:r>
      <w:r w:rsidR="00FA73C5" w:rsidRPr="009B783C">
        <w:rPr>
          <w:szCs w:val="21"/>
        </w:rPr>
        <w:t>For subsequent evaluation phases, the evaluators will work closely with the CHF and seek to conduct a patient survey to obtain patient feedback on their experience at the Medicare UCCs and an understanding of how experience differs across Medicare UCC models.</w:t>
      </w:r>
    </w:p>
    <w:p w14:paraId="57081EE8" w14:textId="77777777" w:rsidR="00C17381" w:rsidRPr="009B783C" w:rsidRDefault="00C17381" w:rsidP="002E2EEF">
      <w:pPr>
        <w:spacing w:afterLines="60" w:after="144"/>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6D9682D8" w14:textId="4762D5EB" w:rsidR="00C17381" w:rsidRPr="009B783C" w:rsidRDefault="00C17381" w:rsidP="002E2EEF">
      <w:pPr>
        <w:pStyle w:val="Bullet"/>
        <w:spacing w:afterLines="30" w:after="72"/>
        <w:rPr>
          <w:szCs w:val="21"/>
        </w:rPr>
      </w:pPr>
      <w:r w:rsidRPr="009B783C">
        <w:rPr>
          <w:szCs w:val="21"/>
        </w:rPr>
        <w:t xml:space="preserve">Based on available evidence, it is too early to provide a balanced assessment of how satisfied patients are with Medicare UCCs and the extent to which Medicare UCCs are providing a positive experience for patients and carers. </w:t>
      </w:r>
      <w:r w:rsidR="00AD204A" w:rsidRPr="009B783C">
        <w:rPr>
          <w:szCs w:val="21"/>
        </w:rPr>
        <w:t>The</w:t>
      </w:r>
      <w:r w:rsidR="00A2753A" w:rsidRPr="009B783C">
        <w:rPr>
          <w:szCs w:val="21"/>
        </w:rPr>
        <w:t xml:space="preserve"> feedback </w:t>
      </w:r>
      <w:r w:rsidR="00AD204A" w:rsidRPr="009B783C">
        <w:rPr>
          <w:szCs w:val="21"/>
        </w:rPr>
        <w:t xml:space="preserve">received </w:t>
      </w:r>
      <w:r w:rsidR="007459E6" w:rsidRPr="009B783C">
        <w:rPr>
          <w:szCs w:val="21"/>
        </w:rPr>
        <w:t>from</w:t>
      </w:r>
      <w:r w:rsidR="00A2753A" w:rsidRPr="009B783C">
        <w:rPr>
          <w:szCs w:val="21"/>
        </w:rPr>
        <w:t xml:space="preserve"> commissioners indicated </w:t>
      </w:r>
      <w:r w:rsidR="00AD204A" w:rsidRPr="009B783C">
        <w:rPr>
          <w:szCs w:val="21"/>
        </w:rPr>
        <w:t>their</w:t>
      </w:r>
      <w:r w:rsidR="00F025D0" w:rsidRPr="009B783C">
        <w:rPr>
          <w:szCs w:val="21"/>
        </w:rPr>
        <w:t xml:space="preserve"> </w:t>
      </w:r>
      <w:r w:rsidR="00972882" w:rsidRPr="009B783C">
        <w:rPr>
          <w:szCs w:val="21"/>
        </w:rPr>
        <w:t>consistent view that</w:t>
      </w:r>
      <w:r w:rsidR="00A2753A" w:rsidRPr="009B783C">
        <w:rPr>
          <w:szCs w:val="21"/>
        </w:rPr>
        <w:t xml:space="preserve"> patients </w:t>
      </w:r>
      <w:r w:rsidR="00216A15" w:rsidRPr="009B783C">
        <w:rPr>
          <w:szCs w:val="21"/>
        </w:rPr>
        <w:t>appreciated</w:t>
      </w:r>
      <w:r w:rsidR="00A2753A" w:rsidRPr="009B783C">
        <w:rPr>
          <w:szCs w:val="21"/>
        </w:rPr>
        <w:t xml:space="preserve"> avoiding extended waits in ED and having access to bulk-billed care. </w:t>
      </w:r>
    </w:p>
    <w:p w14:paraId="5D3A3404" w14:textId="04420496" w:rsidR="004F40D3" w:rsidRPr="009B783C" w:rsidRDefault="004F40D3" w:rsidP="002E2EEF">
      <w:pPr>
        <w:pStyle w:val="Bullet"/>
        <w:spacing w:afterLines="100" w:after="240"/>
        <w:rPr>
          <w:szCs w:val="21"/>
        </w:rPr>
      </w:pPr>
      <w:r w:rsidRPr="009B783C">
        <w:rPr>
          <w:szCs w:val="21"/>
        </w:rPr>
        <w:t>Early opportunities to improve patient experience in some clinics include better management of demand during peak periods, improved communication about local Medicare UCC service offerings and upgrades to physical infrastructure to support accessibility.</w:t>
      </w:r>
    </w:p>
    <w:tbl>
      <w:tblPr>
        <w:tblStyle w:val="TableGrid"/>
        <w:tblW w:w="0" w:type="auto"/>
        <w:tblLook w:val="04A0" w:firstRow="1" w:lastRow="0" w:firstColumn="1" w:lastColumn="0" w:noHBand="0" w:noVBand="1"/>
      </w:tblPr>
      <w:tblGrid>
        <w:gridCol w:w="8920"/>
      </w:tblGrid>
      <w:tr w:rsidR="000229BE" w:rsidRPr="009B783C" w14:paraId="5BA2E8B2" w14:textId="77777777" w:rsidTr="003E79FA">
        <w:tc>
          <w:tcPr>
            <w:tcW w:w="8920" w:type="dxa"/>
            <w:tcBorders>
              <w:top w:val="nil"/>
              <w:left w:val="nil"/>
              <w:bottom w:val="nil"/>
              <w:right w:val="nil"/>
            </w:tcBorders>
            <w:shd w:val="clear" w:color="auto" w:fill="25B3E0" w:themeFill="accent6"/>
          </w:tcPr>
          <w:p w14:paraId="72525565" w14:textId="6FF81DB8" w:rsidR="000229BE" w:rsidRPr="009B783C" w:rsidRDefault="000229BE" w:rsidP="003E79FA">
            <w:pPr>
              <w:pStyle w:val="TableNheader"/>
            </w:pPr>
            <w:r w:rsidRPr="00107854">
              <w:rPr>
                <w:color w:val="00264D" w:themeColor="background2"/>
              </w:rPr>
              <w:t xml:space="preserve">Measure of Success 5: </w:t>
            </w:r>
            <w:r w:rsidR="00410A42" w:rsidRPr="00107854">
              <w:rPr>
                <w:color w:val="00264D" w:themeColor="background2"/>
              </w:rPr>
              <w:t xml:space="preserve">Experience </w:t>
            </w:r>
            <w:r w:rsidR="000F5258" w:rsidRPr="00107854">
              <w:rPr>
                <w:color w:val="00264D" w:themeColor="background2"/>
              </w:rPr>
              <w:t xml:space="preserve">for </w:t>
            </w:r>
            <w:r w:rsidR="00EE1D31" w:rsidRPr="00107854">
              <w:rPr>
                <w:color w:val="00264D" w:themeColor="background2"/>
              </w:rPr>
              <w:t xml:space="preserve">providers at Medicare UCCs, partner hospital EDs and local GP practices </w:t>
            </w:r>
          </w:p>
        </w:tc>
      </w:tr>
    </w:tbl>
    <w:p w14:paraId="241B58A8" w14:textId="0324F80B" w:rsidR="00C17381" w:rsidRPr="009B783C" w:rsidRDefault="0012135B" w:rsidP="002E2EEF">
      <w:pPr>
        <w:spacing w:before="240"/>
        <w:rPr>
          <w:szCs w:val="21"/>
          <w:lang w:eastAsia="en-AU"/>
        </w:rPr>
      </w:pPr>
      <w:r w:rsidRPr="009B783C">
        <w:rPr>
          <w:szCs w:val="21"/>
        </w:rPr>
        <w:t xml:space="preserve">This Measure of Success seeks to understand whether Medicare UCCs provide a positive experience for providers at Medicare UCCs, in partner hospital EDs and in local GP practices. </w:t>
      </w:r>
      <w:r w:rsidR="00C17381" w:rsidRPr="009B783C">
        <w:rPr>
          <w:szCs w:val="21"/>
        </w:rPr>
        <w:t xml:space="preserve">For this Interim Evaluation Report 1, </w:t>
      </w:r>
      <w:r w:rsidR="00222490" w:rsidRPr="009B783C">
        <w:rPr>
          <w:szCs w:val="21"/>
        </w:rPr>
        <w:t>in</w:t>
      </w:r>
      <w:r w:rsidR="00503EEE" w:rsidRPr="009B783C">
        <w:rPr>
          <w:szCs w:val="21"/>
        </w:rPr>
        <w:t>sights into provider experience</w:t>
      </w:r>
      <w:r w:rsidR="000C721A" w:rsidRPr="009B783C">
        <w:rPr>
          <w:szCs w:val="21"/>
        </w:rPr>
        <w:t xml:space="preserve"> were limited. I</w:t>
      </w:r>
      <w:r w:rsidR="00C17381" w:rsidRPr="009B783C">
        <w:rPr>
          <w:szCs w:val="21"/>
        </w:rPr>
        <w:t>nterviews</w:t>
      </w:r>
      <w:r w:rsidR="000C721A" w:rsidRPr="009B783C">
        <w:rPr>
          <w:szCs w:val="21"/>
        </w:rPr>
        <w:t xml:space="preserve"> were conducted</w:t>
      </w:r>
      <w:r w:rsidR="00C17381" w:rsidRPr="009B783C">
        <w:rPr>
          <w:szCs w:val="21"/>
        </w:rPr>
        <w:t xml:space="preserve"> with all the commissioning organisations</w:t>
      </w:r>
      <w:r w:rsidR="00EA25F1" w:rsidRPr="009B783C">
        <w:rPr>
          <w:szCs w:val="21"/>
        </w:rPr>
        <w:t xml:space="preserve"> and</w:t>
      </w:r>
      <w:r w:rsidR="00B31642" w:rsidRPr="009B783C">
        <w:rPr>
          <w:szCs w:val="21"/>
        </w:rPr>
        <w:t xml:space="preserve"> one</w:t>
      </w:r>
      <w:r w:rsidR="00F24BD3" w:rsidRPr="009B783C">
        <w:rPr>
          <w:szCs w:val="21"/>
        </w:rPr>
        <w:t xml:space="preserve"> NSW Medicare UCC</w:t>
      </w:r>
      <w:r w:rsidR="00EA25F1" w:rsidRPr="009B783C">
        <w:rPr>
          <w:szCs w:val="21"/>
        </w:rPr>
        <w:t>. In addition</w:t>
      </w:r>
      <w:r w:rsidR="00D834D2" w:rsidRPr="009B783C">
        <w:rPr>
          <w:szCs w:val="21"/>
        </w:rPr>
        <w:t>,</w:t>
      </w:r>
      <w:r w:rsidR="00D30D2F" w:rsidRPr="009B783C">
        <w:rPr>
          <w:szCs w:val="21"/>
        </w:rPr>
        <w:t xml:space="preserve"> consultations were</w:t>
      </w:r>
      <w:r w:rsidR="0009385B" w:rsidRPr="009B783C">
        <w:rPr>
          <w:szCs w:val="21"/>
        </w:rPr>
        <w:t xml:space="preserve"> undertaken with</w:t>
      </w:r>
      <w:r w:rsidR="008A1131" w:rsidRPr="009B783C">
        <w:rPr>
          <w:szCs w:val="21"/>
        </w:rPr>
        <w:t xml:space="preserve"> </w:t>
      </w:r>
      <w:r w:rsidR="00C17381" w:rsidRPr="009B783C">
        <w:rPr>
          <w:szCs w:val="21"/>
        </w:rPr>
        <w:t xml:space="preserve">one remote NT </w:t>
      </w:r>
      <w:r w:rsidR="0049193E" w:rsidRPr="009B783C">
        <w:rPr>
          <w:szCs w:val="21"/>
        </w:rPr>
        <w:t xml:space="preserve">Medicare </w:t>
      </w:r>
      <w:r w:rsidR="00C17381" w:rsidRPr="009B783C">
        <w:rPr>
          <w:szCs w:val="21"/>
        </w:rPr>
        <w:t>UCC</w:t>
      </w:r>
      <w:r w:rsidR="008A1131" w:rsidRPr="009B783C">
        <w:rPr>
          <w:szCs w:val="21"/>
        </w:rPr>
        <w:t xml:space="preserve"> and the</w:t>
      </w:r>
      <w:r w:rsidR="00C17381" w:rsidRPr="009B783C">
        <w:rPr>
          <w:szCs w:val="21"/>
        </w:rPr>
        <w:t xml:space="preserve"> ACT </w:t>
      </w:r>
      <w:r w:rsidR="00B43276" w:rsidRPr="009B783C">
        <w:rPr>
          <w:szCs w:val="21"/>
        </w:rPr>
        <w:t>Medicare UCCs</w:t>
      </w:r>
      <w:r w:rsidR="00412FF4" w:rsidRPr="009B783C">
        <w:rPr>
          <w:szCs w:val="21"/>
        </w:rPr>
        <w:t xml:space="preserve"> </w:t>
      </w:r>
      <w:r w:rsidR="00C17381" w:rsidRPr="009B783C">
        <w:rPr>
          <w:szCs w:val="21"/>
        </w:rPr>
        <w:t xml:space="preserve">to support a greater understanding of the unique models of care operating within the program. Preliminary analysis of workforce availability was also undertaken. </w:t>
      </w:r>
      <w:r w:rsidR="00513FAD" w:rsidRPr="009B783C">
        <w:rPr>
          <w:szCs w:val="21"/>
        </w:rPr>
        <w:t xml:space="preserve">For subsequent evaluation phases, stakeholders will be engaged more widely about their experiences of services provided by Medicare UCCs and the impact of Medicare UCCs on local GP practices and workforce availability. Medicare UCCs will be surveyed to provide further insights on provider experience as well as barriers and enablers to adopting flexible workforce models. </w:t>
      </w:r>
    </w:p>
    <w:p w14:paraId="4824E53F" w14:textId="77777777" w:rsidR="004A2FED" w:rsidRPr="009B783C" w:rsidRDefault="004A2FED"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4A7B6EEA" w14:textId="50463F06" w:rsidR="004A2FED" w:rsidRPr="009B783C" w:rsidRDefault="00EF220C" w:rsidP="002E2EEF">
      <w:pPr>
        <w:pStyle w:val="Bullet"/>
        <w:spacing w:afterLines="30" w:after="72"/>
        <w:rPr>
          <w:szCs w:val="21"/>
        </w:rPr>
      </w:pPr>
      <w:r w:rsidRPr="009B783C">
        <w:rPr>
          <w:szCs w:val="21"/>
        </w:rPr>
        <w:t xml:space="preserve">Although </w:t>
      </w:r>
      <w:r w:rsidR="00DA6030" w:rsidRPr="009B783C">
        <w:rPr>
          <w:szCs w:val="21"/>
        </w:rPr>
        <w:t xml:space="preserve">direct consultations with Medicare UCC staff were </w:t>
      </w:r>
      <w:r w:rsidR="00E32F7B" w:rsidRPr="009B783C">
        <w:rPr>
          <w:szCs w:val="21"/>
        </w:rPr>
        <w:t xml:space="preserve">very </w:t>
      </w:r>
      <w:r w:rsidR="00DA6030" w:rsidRPr="009B783C">
        <w:rPr>
          <w:szCs w:val="21"/>
        </w:rPr>
        <w:t>limited, f</w:t>
      </w:r>
      <w:r w:rsidR="004A2FED" w:rsidRPr="009B783C">
        <w:rPr>
          <w:szCs w:val="21"/>
        </w:rPr>
        <w:t>eedback from</w:t>
      </w:r>
      <w:r w:rsidR="001A5850" w:rsidRPr="009B783C">
        <w:rPr>
          <w:szCs w:val="21"/>
        </w:rPr>
        <w:t xml:space="preserve"> </w:t>
      </w:r>
      <w:r w:rsidR="004A2FED" w:rsidRPr="009B783C">
        <w:rPr>
          <w:szCs w:val="21"/>
        </w:rPr>
        <w:t xml:space="preserve">commissioners </w:t>
      </w:r>
      <w:r w:rsidR="000344C4" w:rsidRPr="009B783C">
        <w:rPr>
          <w:szCs w:val="21"/>
        </w:rPr>
        <w:t xml:space="preserve">reported a consistent view </w:t>
      </w:r>
      <w:r w:rsidR="004A2FED" w:rsidRPr="009B783C">
        <w:rPr>
          <w:szCs w:val="21"/>
        </w:rPr>
        <w:t xml:space="preserve">that Medicare UCC staff </w:t>
      </w:r>
      <w:r w:rsidR="00E32F7B" w:rsidRPr="009B783C">
        <w:rPr>
          <w:szCs w:val="21"/>
        </w:rPr>
        <w:t>appreciated</w:t>
      </w:r>
      <w:r w:rsidR="004A2FED" w:rsidRPr="009B783C">
        <w:rPr>
          <w:szCs w:val="21"/>
        </w:rPr>
        <w:t xml:space="preserve"> the variety and style of work at Medicare UCCs, though high workloads at some clinics were noted to impact staff experiences.</w:t>
      </w:r>
      <w:r w:rsidR="001B77ED" w:rsidRPr="009B783C">
        <w:rPr>
          <w:szCs w:val="21"/>
        </w:rPr>
        <w:t xml:space="preserve"> </w:t>
      </w:r>
    </w:p>
    <w:p w14:paraId="7C5AD65B" w14:textId="34EDBDD5" w:rsidR="004A2FED" w:rsidRPr="009B783C" w:rsidRDefault="004A2FED" w:rsidP="002E2EEF">
      <w:pPr>
        <w:pStyle w:val="Bullet"/>
        <w:spacing w:afterLines="30" w:after="72"/>
        <w:rPr>
          <w:szCs w:val="21"/>
        </w:rPr>
      </w:pPr>
      <w:r w:rsidRPr="009B783C">
        <w:rPr>
          <w:szCs w:val="21"/>
        </w:rPr>
        <w:lastRenderedPageBreak/>
        <w:t xml:space="preserve">At this early stage, the evaluation cannot draw conclusions about the concerns expressed from some GPs that Medicare UCCs will </w:t>
      </w:r>
      <w:r w:rsidR="00D24547" w:rsidRPr="009B783C">
        <w:rPr>
          <w:szCs w:val="21"/>
        </w:rPr>
        <w:t>interfere with established relationships between GPs and their patients</w:t>
      </w:r>
      <w:r w:rsidR="00403146" w:rsidRPr="009B783C">
        <w:rPr>
          <w:szCs w:val="21"/>
        </w:rPr>
        <w:t xml:space="preserve"> and attract patients who do not </w:t>
      </w:r>
      <w:r w:rsidR="005E7303" w:rsidRPr="009B783C">
        <w:rPr>
          <w:szCs w:val="21"/>
        </w:rPr>
        <w:t>have urgent care needs</w:t>
      </w:r>
      <w:r w:rsidR="00B96FB8" w:rsidRPr="009B783C">
        <w:rPr>
          <w:szCs w:val="21"/>
        </w:rPr>
        <w:t xml:space="preserve">. </w:t>
      </w:r>
      <w:r w:rsidR="00C17381" w:rsidRPr="009B783C">
        <w:rPr>
          <w:szCs w:val="21"/>
        </w:rPr>
        <w:t>The evaluation notes that commissioners are aware of these concerns and are working to improve communications and build stronger relationships locally</w:t>
      </w:r>
      <w:r w:rsidRPr="009B783C">
        <w:rPr>
          <w:szCs w:val="21"/>
        </w:rPr>
        <w:t>.</w:t>
      </w:r>
    </w:p>
    <w:p w14:paraId="43DE489C" w14:textId="534FEFF4" w:rsidR="004A2FED" w:rsidRPr="009B783C" w:rsidRDefault="004A2FED" w:rsidP="002E2EEF">
      <w:pPr>
        <w:pStyle w:val="Bullet"/>
        <w:spacing w:afterLines="30" w:after="72"/>
        <w:rPr>
          <w:szCs w:val="21"/>
        </w:rPr>
      </w:pPr>
      <w:r w:rsidRPr="009B783C">
        <w:rPr>
          <w:szCs w:val="21"/>
        </w:rPr>
        <w:t xml:space="preserve">Recruitment of </w:t>
      </w:r>
      <w:r w:rsidR="00554028" w:rsidRPr="009B783C">
        <w:rPr>
          <w:szCs w:val="21"/>
        </w:rPr>
        <w:t xml:space="preserve">vocationally registered </w:t>
      </w:r>
      <w:r w:rsidRPr="009B783C">
        <w:rPr>
          <w:szCs w:val="21"/>
        </w:rPr>
        <w:t xml:space="preserve">GPs to achieve the minimum workforce requirements </w:t>
      </w:r>
      <w:r w:rsidR="00554028" w:rsidRPr="009B783C">
        <w:rPr>
          <w:szCs w:val="21"/>
        </w:rPr>
        <w:t>outlined in the Medicare UCC Operational Guidance</w:t>
      </w:r>
      <w:r w:rsidR="00485488" w:rsidRPr="009B783C">
        <w:rPr>
          <w:szCs w:val="21"/>
        </w:rPr>
        <w:t xml:space="preserve"> </w:t>
      </w:r>
      <w:r w:rsidRPr="009B783C">
        <w:rPr>
          <w:szCs w:val="21"/>
        </w:rPr>
        <w:t>across extended hours is a significant and ongoing challenge for Medicare UCC providers, particularly in regional and rural areas.</w:t>
      </w:r>
    </w:p>
    <w:p w14:paraId="220BC66C" w14:textId="0B015B7C" w:rsidR="004A2FED" w:rsidRPr="009B783C" w:rsidRDefault="004A2FED" w:rsidP="002E2EEF">
      <w:pPr>
        <w:pStyle w:val="Bullet"/>
        <w:spacing w:afterLines="100" w:after="240"/>
        <w:rPr>
          <w:szCs w:val="21"/>
        </w:rPr>
      </w:pPr>
      <w:r w:rsidRPr="009B783C">
        <w:rPr>
          <w:szCs w:val="21"/>
        </w:rPr>
        <w:t xml:space="preserve">Medicare UCCs face ongoing challenges with offering access to X-ray services across all hours of operation and ultrasound/CT services across </w:t>
      </w:r>
      <w:proofErr w:type="gramStart"/>
      <w:r w:rsidRPr="009B783C">
        <w:rPr>
          <w:szCs w:val="21"/>
        </w:rPr>
        <w:t>the majority of</w:t>
      </w:r>
      <w:proofErr w:type="gramEnd"/>
      <w:r w:rsidRPr="009B783C">
        <w:rPr>
          <w:szCs w:val="21"/>
        </w:rPr>
        <w:t xml:space="preserve"> hours of operation </w:t>
      </w:r>
      <w:r w:rsidR="00C075B3" w:rsidRPr="009B783C">
        <w:rPr>
          <w:szCs w:val="21"/>
        </w:rPr>
        <w:t>(as per the Medicare UCC Operational Guidance) due to radiology workforce shortages and after-hours service availability.</w:t>
      </w:r>
    </w:p>
    <w:tbl>
      <w:tblPr>
        <w:tblStyle w:val="TableGrid"/>
        <w:tblW w:w="0" w:type="auto"/>
        <w:tblLook w:val="04A0" w:firstRow="1" w:lastRow="0" w:firstColumn="1" w:lastColumn="0" w:noHBand="0" w:noVBand="1"/>
      </w:tblPr>
      <w:tblGrid>
        <w:gridCol w:w="8920"/>
      </w:tblGrid>
      <w:tr w:rsidR="000229BE" w:rsidRPr="009B783C" w14:paraId="658E785C" w14:textId="77777777" w:rsidTr="003E79FA">
        <w:tc>
          <w:tcPr>
            <w:tcW w:w="8920" w:type="dxa"/>
            <w:tcBorders>
              <w:top w:val="nil"/>
              <w:left w:val="nil"/>
              <w:bottom w:val="nil"/>
              <w:right w:val="nil"/>
            </w:tcBorders>
            <w:shd w:val="clear" w:color="auto" w:fill="25B3E0" w:themeFill="accent6"/>
          </w:tcPr>
          <w:p w14:paraId="744065CE" w14:textId="3C7E4FE6" w:rsidR="000229BE" w:rsidRPr="00107854" w:rsidRDefault="000229BE" w:rsidP="003E79FA">
            <w:pPr>
              <w:pStyle w:val="TableNheader"/>
              <w:rPr>
                <w:color w:val="00264D" w:themeColor="background2"/>
              </w:rPr>
            </w:pPr>
            <w:r w:rsidRPr="00107854">
              <w:rPr>
                <w:color w:val="00264D" w:themeColor="background2"/>
              </w:rPr>
              <w:t>Measure of Success 6: ED presentations at partner hospitals</w:t>
            </w:r>
          </w:p>
        </w:tc>
      </w:tr>
    </w:tbl>
    <w:p w14:paraId="03131238" w14:textId="4E1F6443" w:rsidR="004A2FED" w:rsidRPr="009B783C" w:rsidRDefault="00481421" w:rsidP="002E2EEF">
      <w:pPr>
        <w:spacing w:before="240"/>
        <w:rPr>
          <w:szCs w:val="21"/>
        </w:rPr>
      </w:pPr>
      <w:r w:rsidRPr="009B783C">
        <w:rPr>
          <w:szCs w:val="21"/>
        </w:rPr>
        <w:t xml:space="preserve">This Measure of Success seeks to understand whether Medicare UCCs reduce pressure on </w:t>
      </w:r>
      <w:r w:rsidR="002D4227" w:rsidRPr="009B783C">
        <w:rPr>
          <w:szCs w:val="21"/>
        </w:rPr>
        <w:t xml:space="preserve">hospital ED presentations at partner hospitals. </w:t>
      </w:r>
      <w:r w:rsidR="009A27DC" w:rsidRPr="009B783C">
        <w:rPr>
          <w:szCs w:val="21"/>
        </w:rPr>
        <w:t xml:space="preserve">Data availability to assess this Measure </w:t>
      </w:r>
      <w:r w:rsidR="00E63858" w:rsidRPr="009B783C">
        <w:rPr>
          <w:szCs w:val="21"/>
        </w:rPr>
        <w:t>of Success</w:t>
      </w:r>
      <w:r w:rsidR="009A27DC" w:rsidRPr="009B783C">
        <w:rPr>
          <w:szCs w:val="21"/>
        </w:rPr>
        <w:t xml:space="preserve"> </w:t>
      </w:r>
      <w:r w:rsidR="00384697" w:rsidRPr="009B783C">
        <w:rPr>
          <w:szCs w:val="21"/>
        </w:rPr>
        <w:t xml:space="preserve">will increase </w:t>
      </w:r>
      <w:r w:rsidR="00077071" w:rsidRPr="009B783C">
        <w:rPr>
          <w:szCs w:val="21"/>
        </w:rPr>
        <w:t>over the period of the evaluation</w:t>
      </w:r>
      <w:r w:rsidR="00E63858" w:rsidRPr="009B783C">
        <w:rPr>
          <w:szCs w:val="21"/>
        </w:rPr>
        <w:t>. At this early stage, i</w:t>
      </w:r>
      <w:r w:rsidR="00C17381" w:rsidRPr="009B783C">
        <w:rPr>
          <w:szCs w:val="21"/>
        </w:rPr>
        <w:t xml:space="preserve">nsights are based on Medicare UCC </w:t>
      </w:r>
      <w:r w:rsidR="004E7366" w:rsidRPr="009B783C">
        <w:rPr>
          <w:szCs w:val="21"/>
        </w:rPr>
        <w:t>Module</w:t>
      </w:r>
      <w:r w:rsidR="00D54E3F" w:rsidRPr="009B783C">
        <w:rPr>
          <w:szCs w:val="21"/>
        </w:rPr>
        <w:t xml:space="preserve"> </w:t>
      </w:r>
      <w:r w:rsidR="00C17381" w:rsidRPr="009B783C">
        <w:rPr>
          <w:szCs w:val="21"/>
        </w:rPr>
        <w:t xml:space="preserve">data and publicly available partner hospital data (where available) from </w:t>
      </w:r>
      <w:r w:rsidR="00167609" w:rsidRPr="009B783C">
        <w:rPr>
          <w:szCs w:val="21"/>
        </w:rPr>
        <w:t>six</w:t>
      </w:r>
      <w:r w:rsidR="007A4703" w:rsidRPr="009B783C">
        <w:rPr>
          <w:szCs w:val="21"/>
        </w:rPr>
        <w:t xml:space="preserve"> </w:t>
      </w:r>
      <w:r w:rsidR="00C17381" w:rsidRPr="009B783C">
        <w:rPr>
          <w:szCs w:val="21"/>
        </w:rPr>
        <w:t xml:space="preserve">jurisdictions. </w:t>
      </w:r>
      <w:r w:rsidR="00535600" w:rsidRPr="009B783C">
        <w:rPr>
          <w:szCs w:val="21"/>
        </w:rPr>
        <w:t>Future</w:t>
      </w:r>
      <w:r w:rsidR="00C17381" w:rsidRPr="009B783C">
        <w:rPr>
          <w:szCs w:val="21"/>
        </w:rPr>
        <w:t xml:space="preserve"> analytical approaches for assessing this Measure of Success </w:t>
      </w:r>
      <w:r w:rsidR="00FD06C9" w:rsidRPr="009B783C">
        <w:rPr>
          <w:szCs w:val="21"/>
        </w:rPr>
        <w:t xml:space="preserve">include </w:t>
      </w:r>
      <w:r w:rsidR="00DC5987" w:rsidRPr="009B783C">
        <w:rPr>
          <w:szCs w:val="21"/>
        </w:rPr>
        <w:t xml:space="preserve">an interrupted time series (ITS) analysis </w:t>
      </w:r>
      <w:r w:rsidR="002D2835" w:rsidRPr="009B783C">
        <w:rPr>
          <w:szCs w:val="21"/>
        </w:rPr>
        <w:t>to</w:t>
      </w:r>
      <w:r w:rsidR="00DC5987" w:rsidRPr="009B783C">
        <w:rPr>
          <w:szCs w:val="21"/>
        </w:rPr>
        <w:t xml:space="preserve"> be undertaken with more comprehensive and granular data collected, over longer timeframes </w:t>
      </w:r>
      <w:r w:rsidR="00474F16" w:rsidRPr="009B783C">
        <w:rPr>
          <w:szCs w:val="21"/>
        </w:rPr>
        <w:t>(</w:t>
      </w:r>
      <w:r w:rsidR="002D2835" w:rsidRPr="009B783C">
        <w:rPr>
          <w:szCs w:val="21"/>
        </w:rPr>
        <w:t>Interim Evaluation Report 2</w:t>
      </w:r>
      <w:r w:rsidR="00474F16" w:rsidRPr="009B783C">
        <w:rPr>
          <w:szCs w:val="21"/>
        </w:rPr>
        <w:t>)</w:t>
      </w:r>
      <w:r w:rsidR="00940A81" w:rsidRPr="009B783C">
        <w:rPr>
          <w:szCs w:val="21"/>
        </w:rPr>
        <w:t xml:space="preserve"> and </w:t>
      </w:r>
      <w:r w:rsidR="00DC5987" w:rsidRPr="009B783C">
        <w:rPr>
          <w:szCs w:val="21"/>
        </w:rPr>
        <w:t>a difference-in-differences (</w:t>
      </w:r>
      <w:proofErr w:type="spellStart"/>
      <w:r w:rsidR="00DC5987" w:rsidRPr="009B783C">
        <w:rPr>
          <w:szCs w:val="21"/>
        </w:rPr>
        <w:t>DiD</w:t>
      </w:r>
      <w:proofErr w:type="spellEnd"/>
      <w:r w:rsidR="00DC5987" w:rsidRPr="009B783C">
        <w:rPr>
          <w:szCs w:val="21"/>
        </w:rPr>
        <w:t xml:space="preserve">) analysis </w:t>
      </w:r>
      <w:r w:rsidR="00940A81" w:rsidRPr="009B783C">
        <w:rPr>
          <w:szCs w:val="21"/>
        </w:rPr>
        <w:t>to</w:t>
      </w:r>
      <w:r w:rsidR="00DC5987" w:rsidRPr="009B783C">
        <w:rPr>
          <w:szCs w:val="21"/>
        </w:rPr>
        <w:t xml:space="preserve"> be undertaken</w:t>
      </w:r>
      <w:r w:rsidR="00940A81" w:rsidRPr="009B783C">
        <w:rPr>
          <w:szCs w:val="21"/>
        </w:rPr>
        <w:t xml:space="preserve"> for the Final </w:t>
      </w:r>
      <w:r w:rsidR="003D407E" w:rsidRPr="009B783C">
        <w:rPr>
          <w:szCs w:val="21"/>
        </w:rPr>
        <w:t xml:space="preserve">Evaluation </w:t>
      </w:r>
      <w:r w:rsidR="00940A81" w:rsidRPr="009B783C">
        <w:rPr>
          <w:szCs w:val="21"/>
        </w:rPr>
        <w:t>Report</w:t>
      </w:r>
      <w:r w:rsidR="00DC5987" w:rsidRPr="009B783C">
        <w:rPr>
          <w:szCs w:val="21"/>
        </w:rPr>
        <w:t>, where outcomes are compared between an intervention group</w:t>
      </w:r>
      <w:r w:rsidR="008405A1" w:rsidRPr="009B783C">
        <w:rPr>
          <w:szCs w:val="21"/>
        </w:rPr>
        <w:t xml:space="preserve"> – </w:t>
      </w:r>
      <w:r w:rsidR="00DC5987" w:rsidRPr="009B783C">
        <w:rPr>
          <w:szCs w:val="21"/>
        </w:rPr>
        <w:t>residents in regions with Medicare UCCs</w:t>
      </w:r>
      <w:r w:rsidR="008405A1" w:rsidRPr="009B783C">
        <w:rPr>
          <w:szCs w:val="21"/>
        </w:rPr>
        <w:t xml:space="preserve"> – </w:t>
      </w:r>
      <w:r w:rsidR="00DC5987" w:rsidRPr="009B783C">
        <w:rPr>
          <w:szCs w:val="21"/>
        </w:rPr>
        <w:t>and a control group</w:t>
      </w:r>
      <w:r w:rsidR="008405A1" w:rsidRPr="009B783C">
        <w:rPr>
          <w:szCs w:val="21"/>
        </w:rPr>
        <w:t xml:space="preserve"> – </w:t>
      </w:r>
      <w:r w:rsidR="00DC5987" w:rsidRPr="009B783C">
        <w:rPr>
          <w:szCs w:val="21"/>
        </w:rPr>
        <w:t xml:space="preserve">residents in other regions. </w:t>
      </w:r>
    </w:p>
    <w:p w14:paraId="4A3AE07B" w14:textId="77777777" w:rsidR="00B925F9" w:rsidRPr="009B783C" w:rsidRDefault="00B925F9"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4FC2BE67" w14:textId="6F07A131" w:rsidR="00321833" w:rsidRPr="009B783C" w:rsidRDefault="00321833" w:rsidP="002E2EEF">
      <w:pPr>
        <w:pStyle w:val="Bullet"/>
        <w:spacing w:afterLines="30" w:after="72"/>
        <w:rPr>
          <w:szCs w:val="21"/>
        </w:rPr>
      </w:pPr>
      <w:r w:rsidRPr="009B783C">
        <w:rPr>
          <w:szCs w:val="21"/>
        </w:rPr>
        <w:t xml:space="preserve">In the period to 30 September 2024, it was reported that 46 per cent of patients (183,507 of 400,564 presentations for which there was data) would have sought care at an ED if the Medicare UCC was unavailable. This increased to 49 per cent after hours, presumably due to </w:t>
      </w:r>
      <w:proofErr w:type="gramStart"/>
      <w:r w:rsidRPr="009B783C">
        <w:rPr>
          <w:szCs w:val="21"/>
        </w:rPr>
        <w:t>limited service</w:t>
      </w:r>
      <w:proofErr w:type="gramEnd"/>
      <w:r w:rsidRPr="009B783C">
        <w:rPr>
          <w:szCs w:val="21"/>
        </w:rPr>
        <w:t xml:space="preserve"> availability. </w:t>
      </w:r>
      <w:r w:rsidR="006C707B" w:rsidRPr="009B783C">
        <w:rPr>
          <w:szCs w:val="21"/>
        </w:rPr>
        <w:t xml:space="preserve">These </w:t>
      </w:r>
      <w:r w:rsidR="00F663E3" w:rsidRPr="009B783C">
        <w:rPr>
          <w:szCs w:val="21"/>
        </w:rPr>
        <w:t xml:space="preserve">proportions should be </w:t>
      </w:r>
      <w:r w:rsidR="00C22DA9" w:rsidRPr="009B783C">
        <w:rPr>
          <w:szCs w:val="21"/>
        </w:rPr>
        <w:t>considered</w:t>
      </w:r>
      <w:r w:rsidR="00F663E3" w:rsidRPr="009B783C">
        <w:rPr>
          <w:szCs w:val="21"/>
        </w:rPr>
        <w:t xml:space="preserve"> with </w:t>
      </w:r>
      <w:r w:rsidR="00E40E2E" w:rsidRPr="009B783C">
        <w:rPr>
          <w:szCs w:val="21"/>
        </w:rPr>
        <w:t>caution</w:t>
      </w:r>
      <w:r w:rsidR="006D596D" w:rsidRPr="009B783C">
        <w:rPr>
          <w:szCs w:val="21"/>
        </w:rPr>
        <w:t xml:space="preserve"> as there are many</w:t>
      </w:r>
      <w:r w:rsidR="00BE3B6F" w:rsidRPr="009B783C">
        <w:rPr>
          <w:szCs w:val="21"/>
        </w:rPr>
        <w:t xml:space="preserve"> limitations </w:t>
      </w:r>
      <w:r w:rsidR="006E5C42" w:rsidRPr="009B783C">
        <w:rPr>
          <w:szCs w:val="21"/>
        </w:rPr>
        <w:t>associated with</w:t>
      </w:r>
      <w:r w:rsidR="00BE3B6F" w:rsidRPr="009B783C">
        <w:rPr>
          <w:szCs w:val="21"/>
        </w:rPr>
        <w:t xml:space="preserve"> r</w:t>
      </w:r>
      <w:r w:rsidR="00145F17" w:rsidRPr="009B783C">
        <w:rPr>
          <w:szCs w:val="21"/>
        </w:rPr>
        <w:t>eporting against</w:t>
      </w:r>
      <w:r w:rsidR="00C97626" w:rsidRPr="009B783C">
        <w:rPr>
          <w:szCs w:val="21"/>
        </w:rPr>
        <w:t xml:space="preserve"> the </w:t>
      </w:r>
      <w:r w:rsidR="00622BD2" w:rsidRPr="009B783C">
        <w:rPr>
          <w:szCs w:val="21"/>
        </w:rPr>
        <w:t xml:space="preserve">Medicare UCC Module </w:t>
      </w:r>
      <w:r w:rsidR="004B797D" w:rsidRPr="009B783C">
        <w:rPr>
          <w:szCs w:val="21"/>
        </w:rPr>
        <w:t>question</w:t>
      </w:r>
      <w:r w:rsidR="00C97626" w:rsidRPr="009B783C">
        <w:rPr>
          <w:szCs w:val="21"/>
        </w:rPr>
        <w:t xml:space="preserve"> “where would the patient have gone otherwise</w:t>
      </w:r>
      <w:r w:rsidR="00FF6574" w:rsidRPr="009B783C">
        <w:rPr>
          <w:szCs w:val="21"/>
        </w:rPr>
        <w:t>?</w:t>
      </w:r>
      <w:r w:rsidR="00C22DA9" w:rsidRPr="009B783C">
        <w:rPr>
          <w:szCs w:val="21"/>
        </w:rPr>
        <w:t>”</w:t>
      </w:r>
      <w:r w:rsidR="006E5C42" w:rsidRPr="009B783C">
        <w:rPr>
          <w:szCs w:val="21"/>
        </w:rPr>
        <w:t xml:space="preserve"> </w:t>
      </w:r>
      <w:r w:rsidR="00A20904" w:rsidRPr="009B783C">
        <w:rPr>
          <w:szCs w:val="21"/>
        </w:rPr>
        <w:t>These include</w:t>
      </w:r>
      <w:r w:rsidR="006E5C42" w:rsidRPr="009B783C">
        <w:rPr>
          <w:szCs w:val="21"/>
        </w:rPr>
        <w:t xml:space="preserve"> </w:t>
      </w:r>
      <w:r w:rsidR="000F3B4F" w:rsidRPr="009B783C">
        <w:rPr>
          <w:szCs w:val="21"/>
        </w:rPr>
        <w:t xml:space="preserve">incomplete data, </w:t>
      </w:r>
      <w:r w:rsidR="00F81744" w:rsidRPr="009B783C">
        <w:rPr>
          <w:szCs w:val="21"/>
        </w:rPr>
        <w:t xml:space="preserve">no alternative data source for verification, </w:t>
      </w:r>
      <w:r w:rsidR="000C0B69" w:rsidRPr="009B783C">
        <w:rPr>
          <w:szCs w:val="21"/>
        </w:rPr>
        <w:t xml:space="preserve">variable </w:t>
      </w:r>
      <w:r w:rsidR="009C3FE1" w:rsidRPr="009B783C">
        <w:rPr>
          <w:szCs w:val="21"/>
        </w:rPr>
        <w:t xml:space="preserve">respondents, </w:t>
      </w:r>
      <w:r w:rsidR="000C0B69" w:rsidRPr="009B783C">
        <w:rPr>
          <w:szCs w:val="21"/>
        </w:rPr>
        <w:t>variable interpretations</w:t>
      </w:r>
      <w:r w:rsidR="00B3745D" w:rsidRPr="009B783C">
        <w:rPr>
          <w:szCs w:val="21"/>
        </w:rPr>
        <w:t xml:space="preserve"> by the respondent</w:t>
      </w:r>
      <w:r w:rsidR="00067E05" w:rsidRPr="009B783C">
        <w:rPr>
          <w:szCs w:val="21"/>
        </w:rPr>
        <w:t xml:space="preserve"> and </w:t>
      </w:r>
      <w:r w:rsidR="00512D37" w:rsidRPr="009B783C">
        <w:rPr>
          <w:szCs w:val="21"/>
        </w:rPr>
        <w:t>the acknowledgment that</w:t>
      </w:r>
      <w:r w:rsidR="00067E05" w:rsidRPr="009B783C">
        <w:rPr>
          <w:szCs w:val="21"/>
        </w:rPr>
        <w:t xml:space="preserve"> </w:t>
      </w:r>
      <w:r w:rsidR="0098592E" w:rsidRPr="009B783C">
        <w:rPr>
          <w:szCs w:val="21"/>
        </w:rPr>
        <w:t xml:space="preserve">some patients </w:t>
      </w:r>
      <w:r w:rsidR="007F1AFD" w:rsidRPr="009B783C">
        <w:rPr>
          <w:szCs w:val="21"/>
        </w:rPr>
        <w:t xml:space="preserve">might still attend </w:t>
      </w:r>
      <w:r w:rsidR="000556E2" w:rsidRPr="009B783C">
        <w:rPr>
          <w:szCs w:val="21"/>
        </w:rPr>
        <w:t xml:space="preserve">ED </w:t>
      </w:r>
      <w:r w:rsidR="007F1AFD" w:rsidRPr="009B783C">
        <w:rPr>
          <w:szCs w:val="21"/>
        </w:rPr>
        <w:t>or be referred to one</w:t>
      </w:r>
      <w:r w:rsidR="000556E2" w:rsidRPr="009B783C">
        <w:rPr>
          <w:szCs w:val="21"/>
        </w:rPr>
        <w:t>, regardless of their reported intentions</w:t>
      </w:r>
      <w:r w:rsidR="00D73CED" w:rsidRPr="009B783C">
        <w:rPr>
          <w:szCs w:val="21"/>
        </w:rPr>
        <w:t xml:space="preserve"> </w:t>
      </w:r>
      <w:r w:rsidR="006D596D" w:rsidRPr="009B783C">
        <w:rPr>
          <w:szCs w:val="21"/>
        </w:rPr>
        <w:t xml:space="preserve">at the start of their Medicare UCC visit. </w:t>
      </w:r>
      <w:r w:rsidR="00756239" w:rsidRPr="009B783C">
        <w:rPr>
          <w:szCs w:val="21"/>
        </w:rPr>
        <w:t>Noting these</w:t>
      </w:r>
      <w:r w:rsidR="00DE7690" w:rsidRPr="009B783C">
        <w:rPr>
          <w:szCs w:val="21"/>
        </w:rPr>
        <w:t xml:space="preserve"> </w:t>
      </w:r>
      <w:r w:rsidR="0025649B" w:rsidRPr="009B783C">
        <w:rPr>
          <w:szCs w:val="21"/>
        </w:rPr>
        <w:t xml:space="preserve">limitations, </w:t>
      </w:r>
      <w:r w:rsidR="00780EA4" w:rsidRPr="009B783C">
        <w:rPr>
          <w:szCs w:val="21"/>
        </w:rPr>
        <w:t>the</w:t>
      </w:r>
      <w:r w:rsidRPr="009B783C">
        <w:rPr>
          <w:szCs w:val="21"/>
        </w:rPr>
        <w:t xml:space="preserve"> evaluation estimates that 33</w:t>
      </w:r>
      <w:r w:rsidR="001E0F22" w:rsidRPr="009B783C">
        <w:rPr>
          <w:szCs w:val="21"/>
        </w:rPr>
        <w:t>4</w:t>
      </w:r>
      <w:r w:rsidRPr="009B783C">
        <w:rPr>
          <w:szCs w:val="21"/>
        </w:rPr>
        <w:t>,000 presentations to partner hospital EDs would have been avoided across a year due to the Medicare UCCs.</w:t>
      </w:r>
      <w:r w:rsidR="00F82645" w:rsidRPr="009B783C">
        <w:rPr>
          <w:szCs w:val="21"/>
        </w:rPr>
        <w:t xml:space="preserve"> </w:t>
      </w:r>
    </w:p>
    <w:p w14:paraId="4E2C0858" w14:textId="77777777" w:rsidR="00850118" w:rsidRPr="009B783C" w:rsidRDefault="00850118" w:rsidP="002E2EEF">
      <w:pPr>
        <w:pStyle w:val="Bullet"/>
        <w:rPr>
          <w:szCs w:val="21"/>
        </w:rPr>
      </w:pPr>
      <w:r w:rsidRPr="009B783C">
        <w:rPr>
          <w:szCs w:val="21"/>
        </w:rPr>
        <w:t>In the period to 30 September 2024, based on available data, the proportion of patients who would have attended an ED if the Medicare UCC was not available was higher in:</w:t>
      </w:r>
    </w:p>
    <w:p w14:paraId="0A4901C5" w14:textId="49443676" w:rsidR="00850118" w:rsidRPr="009B783C" w:rsidRDefault="00850118" w:rsidP="002E2EEF">
      <w:pPr>
        <w:pStyle w:val="Bullet"/>
        <w:numPr>
          <w:ilvl w:val="2"/>
          <w:numId w:val="2"/>
        </w:numPr>
        <w:rPr>
          <w:szCs w:val="21"/>
        </w:rPr>
      </w:pPr>
      <w:r w:rsidRPr="009B783C">
        <w:rPr>
          <w:szCs w:val="21"/>
        </w:rPr>
        <w:t>Areas of median socio-economic disadvantage (ABS IRSD Quintile 3) (51 per cent) and high socio-economic disadvantage (Quintiles 1 and 2) (45 per cent) compared with areas of low socio-economic disadvantage (Quintiles 4 and 5) (40 per cent).</w:t>
      </w:r>
    </w:p>
    <w:p w14:paraId="68CA7BFE" w14:textId="601715A9" w:rsidR="00B03216" w:rsidRPr="009B783C" w:rsidRDefault="00B925F9" w:rsidP="002E2EEF">
      <w:pPr>
        <w:pStyle w:val="Bullet"/>
        <w:numPr>
          <w:ilvl w:val="2"/>
          <w:numId w:val="2"/>
        </w:numPr>
        <w:rPr>
          <w:szCs w:val="21"/>
        </w:rPr>
      </w:pPr>
      <w:r w:rsidRPr="009B783C">
        <w:rPr>
          <w:szCs w:val="21"/>
        </w:rPr>
        <w:lastRenderedPageBreak/>
        <w:t>Rural and remote areas (51 per cent), compared with regional centres (48 per cent) and metropolitan areas (44 per cent).</w:t>
      </w:r>
    </w:p>
    <w:p w14:paraId="481AFC6E" w14:textId="1CF2BE16" w:rsidR="001D7EF5" w:rsidRPr="009B783C" w:rsidRDefault="00FD40D3" w:rsidP="002E2EEF">
      <w:pPr>
        <w:pStyle w:val="Bullet"/>
        <w:rPr>
          <w:szCs w:val="21"/>
        </w:rPr>
      </w:pPr>
      <w:r w:rsidRPr="009B783C">
        <w:rPr>
          <w:szCs w:val="21"/>
        </w:rPr>
        <w:t>At this</w:t>
      </w:r>
      <w:r w:rsidR="007D2F7E" w:rsidRPr="009B783C">
        <w:rPr>
          <w:szCs w:val="21"/>
        </w:rPr>
        <w:t xml:space="preserve"> early stage, the </w:t>
      </w:r>
      <w:r w:rsidR="00A2550E" w:rsidRPr="009B783C">
        <w:rPr>
          <w:szCs w:val="21"/>
        </w:rPr>
        <w:t xml:space="preserve">evaluation cannot draw </w:t>
      </w:r>
      <w:r w:rsidR="00900319" w:rsidRPr="009B783C">
        <w:rPr>
          <w:szCs w:val="21"/>
        </w:rPr>
        <w:t>conclusion</w:t>
      </w:r>
      <w:r w:rsidR="00A2550E" w:rsidRPr="009B783C">
        <w:rPr>
          <w:szCs w:val="21"/>
        </w:rPr>
        <w:t>s</w:t>
      </w:r>
      <w:r w:rsidR="00900319" w:rsidRPr="009B783C">
        <w:rPr>
          <w:szCs w:val="21"/>
        </w:rPr>
        <w:t xml:space="preserve"> </w:t>
      </w:r>
      <w:r w:rsidR="00803948" w:rsidRPr="009B783C">
        <w:rPr>
          <w:szCs w:val="21"/>
        </w:rPr>
        <w:t>about</w:t>
      </w:r>
      <w:r w:rsidR="00900319" w:rsidRPr="009B783C">
        <w:rPr>
          <w:szCs w:val="21"/>
        </w:rPr>
        <w:t xml:space="preserve"> the impact of the program</w:t>
      </w:r>
      <w:r w:rsidR="00940796" w:rsidRPr="009B783C">
        <w:rPr>
          <w:szCs w:val="21"/>
        </w:rPr>
        <w:t xml:space="preserve"> on </w:t>
      </w:r>
      <w:r w:rsidR="00356926" w:rsidRPr="009B783C">
        <w:rPr>
          <w:szCs w:val="21"/>
        </w:rPr>
        <w:t>triage categories four</w:t>
      </w:r>
      <w:r w:rsidR="00C17381" w:rsidRPr="009B783C">
        <w:rPr>
          <w:szCs w:val="21"/>
        </w:rPr>
        <w:t xml:space="preserve"> and </w:t>
      </w:r>
      <w:r w:rsidR="00356926" w:rsidRPr="009B783C">
        <w:rPr>
          <w:szCs w:val="21"/>
        </w:rPr>
        <w:t>five</w:t>
      </w:r>
      <w:r w:rsidR="00C17381" w:rsidRPr="009B783C">
        <w:rPr>
          <w:szCs w:val="21"/>
        </w:rPr>
        <w:t xml:space="preserve"> presentations and waiting times at partner hospital EDs, based on the publicly available hospital data. </w:t>
      </w:r>
    </w:p>
    <w:tbl>
      <w:tblPr>
        <w:tblStyle w:val="TableGrid"/>
        <w:tblW w:w="0" w:type="auto"/>
        <w:tblLook w:val="04A0" w:firstRow="1" w:lastRow="0" w:firstColumn="1" w:lastColumn="0" w:noHBand="0" w:noVBand="1"/>
      </w:tblPr>
      <w:tblGrid>
        <w:gridCol w:w="8920"/>
      </w:tblGrid>
      <w:tr w:rsidR="000229BE" w:rsidRPr="009B783C" w14:paraId="5AA09D57" w14:textId="77777777" w:rsidTr="003E79FA">
        <w:tc>
          <w:tcPr>
            <w:tcW w:w="8920" w:type="dxa"/>
            <w:tcBorders>
              <w:top w:val="nil"/>
              <w:left w:val="nil"/>
              <w:bottom w:val="nil"/>
              <w:right w:val="nil"/>
            </w:tcBorders>
            <w:shd w:val="clear" w:color="auto" w:fill="25B3E0" w:themeFill="accent6"/>
          </w:tcPr>
          <w:p w14:paraId="5E937948" w14:textId="61C916CD" w:rsidR="000229BE" w:rsidRPr="00107854" w:rsidRDefault="000229BE" w:rsidP="003E79FA">
            <w:pPr>
              <w:pStyle w:val="TableNheader"/>
              <w:rPr>
                <w:color w:val="00264D" w:themeColor="background2"/>
              </w:rPr>
            </w:pPr>
            <w:r w:rsidRPr="00107854">
              <w:rPr>
                <w:color w:val="00264D" w:themeColor="background2"/>
              </w:rPr>
              <w:t xml:space="preserve">Measure of Success 7: </w:t>
            </w:r>
            <w:r w:rsidR="00793329" w:rsidRPr="00107854">
              <w:rPr>
                <w:color w:val="00264D" w:themeColor="background2"/>
              </w:rPr>
              <w:t>Consumer behaviour</w:t>
            </w:r>
          </w:p>
        </w:tc>
      </w:tr>
    </w:tbl>
    <w:p w14:paraId="4CB72583" w14:textId="277301CC" w:rsidR="00C17381" w:rsidRPr="009B783C" w:rsidRDefault="00752C24" w:rsidP="002E2EEF">
      <w:pPr>
        <w:spacing w:before="240"/>
        <w:rPr>
          <w:szCs w:val="21"/>
          <w:lang w:eastAsia="en-AU"/>
        </w:rPr>
      </w:pPr>
      <w:r w:rsidRPr="009B783C">
        <w:rPr>
          <w:szCs w:val="21"/>
          <w:lang w:eastAsia="en-AU"/>
        </w:rPr>
        <w:t xml:space="preserve">This Measure of Success seeks to understand whether there is a change </w:t>
      </w:r>
      <w:r w:rsidR="00CF2B2C" w:rsidRPr="009B783C">
        <w:rPr>
          <w:szCs w:val="21"/>
          <w:lang w:eastAsia="en-AU"/>
        </w:rPr>
        <w:t xml:space="preserve">in consumer behaviour over time to use Medicare UCCs where available instead of EDs for urgent non-life-threatening conditions. </w:t>
      </w:r>
      <w:r w:rsidR="00C17381" w:rsidRPr="009B783C">
        <w:rPr>
          <w:szCs w:val="21"/>
          <w:lang w:eastAsia="en-AU"/>
        </w:rPr>
        <w:t>For this Interim Evaluation Report 1, i</w:t>
      </w:r>
      <w:r w:rsidR="00C17381" w:rsidRPr="009B783C">
        <w:rPr>
          <w:szCs w:val="21"/>
        </w:rPr>
        <w:t xml:space="preserve">nsights presented are based on analysis of Medicare UCC data, interviews with commissioners, the CHF </w:t>
      </w:r>
      <w:r w:rsidR="005D22DE" w:rsidRPr="009B783C">
        <w:rPr>
          <w:szCs w:val="21"/>
        </w:rPr>
        <w:t>executive</w:t>
      </w:r>
      <w:r w:rsidR="00C17381" w:rsidRPr="009B783C">
        <w:rPr>
          <w:szCs w:val="21"/>
        </w:rPr>
        <w:t xml:space="preserve"> and </w:t>
      </w:r>
      <w:r w:rsidR="00284268" w:rsidRPr="009B783C">
        <w:rPr>
          <w:szCs w:val="21"/>
        </w:rPr>
        <w:t>the previously identified</w:t>
      </w:r>
      <w:r w:rsidR="00C17381" w:rsidRPr="009B783C">
        <w:rPr>
          <w:szCs w:val="21"/>
        </w:rPr>
        <w:t xml:space="preserve"> Medicare UCCs</w:t>
      </w:r>
      <w:r w:rsidR="00531B4E" w:rsidRPr="009B783C">
        <w:rPr>
          <w:szCs w:val="21"/>
        </w:rPr>
        <w:t>.</w:t>
      </w:r>
      <w:r w:rsidR="00C17381" w:rsidRPr="009B783C">
        <w:rPr>
          <w:szCs w:val="21"/>
        </w:rPr>
        <w:t xml:space="preserve"> </w:t>
      </w:r>
      <w:r w:rsidR="00531B4E" w:rsidRPr="009B783C">
        <w:rPr>
          <w:szCs w:val="21"/>
        </w:rPr>
        <w:t>T</w:t>
      </w:r>
      <w:r w:rsidR="002F0EDE" w:rsidRPr="009B783C">
        <w:rPr>
          <w:szCs w:val="21"/>
        </w:rPr>
        <w:t>he analysis also draws on</w:t>
      </w:r>
      <w:r w:rsidR="00C17381" w:rsidRPr="009B783C">
        <w:rPr>
          <w:szCs w:val="21"/>
        </w:rPr>
        <w:t xml:space="preserve"> Department-commissioned research assessing performance and the impact of a national communications campaign on patient awareness. </w:t>
      </w:r>
      <w:r w:rsidR="005849BC" w:rsidRPr="009B783C">
        <w:rPr>
          <w:szCs w:val="21"/>
        </w:rPr>
        <w:t xml:space="preserve">In future phases of the evaluation, insights will be broadened through a survey of Medicare UCC patients and additional stakeholder engagement to understand reasons for changing behaviour over time to use Medicare UCC services, and barriers and enablers to using Medicare UCCs services for consumers. </w:t>
      </w:r>
      <w:r w:rsidR="00363B75" w:rsidRPr="009B783C">
        <w:rPr>
          <w:szCs w:val="21"/>
        </w:rPr>
        <w:t xml:space="preserve">Differences by state and territory will also be considered. </w:t>
      </w:r>
    </w:p>
    <w:p w14:paraId="2926FCC4" w14:textId="77777777" w:rsidR="00863B91" w:rsidRPr="009B783C" w:rsidRDefault="00863B91"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57BBAD70" w14:textId="59BBA6DB" w:rsidR="00C17381" w:rsidRPr="009B783C" w:rsidRDefault="00C17381" w:rsidP="002E2EEF">
      <w:pPr>
        <w:pStyle w:val="Bullet"/>
        <w:spacing w:afterLines="30" w:after="72"/>
        <w:rPr>
          <w:szCs w:val="21"/>
        </w:rPr>
      </w:pPr>
      <w:r w:rsidRPr="009B783C">
        <w:rPr>
          <w:szCs w:val="21"/>
        </w:rPr>
        <w:t xml:space="preserve">Medicare UCCs that were newly established experienced a rapid growth in activity, </w:t>
      </w:r>
      <w:r w:rsidR="006A33AF" w:rsidRPr="009B783C">
        <w:rPr>
          <w:szCs w:val="21"/>
        </w:rPr>
        <w:t xml:space="preserve">which </w:t>
      </w:r>
      <w:r w:rsidRPr="009B783C">
        <w:rPr>
          <w:szCs w:val="21"/>
        </w:rPr>
        <w:t xml:space="preserve">stabilised within </w:t>
      </w:r>
      <w:r w:rsidR="00531B4E" w:rsidRPr="009B783C">
        <w:rPr>
          <w:szCs w:val="21"/>
        </w:rPr>
        <w:t>four</w:t>
      </w:r>
      <w:r w:rsidRPr="009B783C">
        <w:rPr>
          <w:szCs w:val="21"/>
        </w:rPr>
        <w:t xml:space="preserve"> months. There is also some evidence that Medicare UCCs that transitioned from a previous</w:t>
      </w:r>
      <w:r w:rsidR="006C4776" w:rsidRPr="009B783C">
        <w:rPr>
          <w:szCs w:val="21"/>
        </w:rPr>
        <w:t xml:space="preserve"> </w:t>
      </w:r>
      <w:r w:rsidRPr="009B783C">
        <w:rPr>
          <w:szCs w:val="21"/>
        </w:rPr>
        <w:t>state</w:t>
      </w:r>
      <w:r w:rsidR="00754C9A" w:rsidRPr="009B783C">
        <w:rPr>
          <w:szCs w:val="21"/>
        </w:rPr>
        <w:t>-based</w:t>
      </w:r>
      <w:r w:rsidRPr="009B783C">
        <w:rPr>
          <w:szCs w:val="21"/>
        </w:rPr>
        <w:t xml:space="preserve"> </w:t>
      </w:r>
      <w:r w:rsidR="008A0240" w:rsidRPr="009B783C">
        <w:rPr>
          <w:szCs w:val="21"/>
        </w:rPr>
        <w:t xml:space="preserve">urgent care </w:t>
      </w:r>
      <w:r w:rsidRPr="009B783C">
        <w:rPr>
          <w:szCs w:val="21"/>
        </w:rPr>
        <w:t>arrangement increased their level of activity after commencing as a Medicare UCC.</w:t>
      </w:r>
      <w:r w:rsidR="008A611A" w:rsidRPr="009B783C">
        <w:rPr>
          <w:szCs w:val="21"/>
        </w:rPr>
        <w:t xml:space="preserve"> </w:t>
      </w:r>
    </w:p>
    <w:p w14:paraId="1BF2FCF2" w14:textId="5544574F" w:rsidR="00863B91" w:rsidRPr="009B783C" w:rsidRDefault="00863B91" w:rsidP="002E2EEF">
      <w:pPr>
        <w:pStyle w:val="Bullet"/>
        <w:spacing w:afterLines="100" w:after="240"/>
        <w:rPr>
          <w:szCs w:val="21"/>
        </w:rPr>
      </w:pPr>
      <w:r w:rsidRPr="009B783C">
        <w:rPr>
          <w:szCs w:val="21"/>
        </w:rPr>
        <w:t>Stakeholders report that understanding what urgent care is and navigating the variety of local service options continues to be a challenge for consumers, despite comprehensive national and local communications campaigns.</w:t>
      </w:r>
    </w:p>
    <w:tbl>
      <w:tblPr>
        <w:tblStyle w:val="TableGrid"/>
        <w:tblW w:w="0" w:type="auto"/>
        <w:tblLook w:val="04A0" w:firstRow="1" w:lastRow="0" w:firstColumn="1" w:lastColumn="0" w:noHBand="0" w:noVBand="1"/>
      </w:tblPr>
      <w:tblGrid>
        <w:gridCol w:w="8920"/>
      </w:tblGrid>
      <w:tr w:rsidR="000229BE" w:rsidRPr="009B783C" w14:paraId="7E06F4DA" w14:textId="77777777" w:rsidTr="003E79FA">
        <w:tc>
          <w:tcPr>
            <w:tcW w:w="8920" w:type="dxa"/>
            <w:tcBorders>
              <w:top w:val="nil"/>
              <w:left w:val="nil"/>
              <w:bottom w:val="nil"/>
              <w:right w:val="nil"/>
            </w:tcBorders>
            <w:shd w:val="clear" w:color="auto" w:fill="25B3E0" w:themeFill="accent6"/>
          </w:tcPr>
          <w:p w14:paraId="55C83E32" w14:textId="53F833FD" w:rsidR="000229BE" w:rsidRPr="00107854" w:rsidRDefault="000229BE" w:rsidP="003E79FA">
            <w:pPr>
              <w:pStyle w:val="TableNheader"/>
              <w:rPr>
                <w:color w:val="00264D" w:themeColor="background2"/>
              </w:rPr>
            </w:pPr>
            <w:r w:rsidRPr="00107854">
              <w:rPr>
                <w:color w:val="00264D" w:themeColor="background2"/>
              </w:rPr>
              <w:t xml:space="preserve">Measure of Success 8: </w:t>
            </w:r>
            <w:r w:rsidR="00D6023F" w:rsidRPr="00107854">
              <w:rPr>
                <w:color w:val="00264D" w:themeColor="background2"/>
              </w:rPr>
              <w:t>Coordinat</w:t>
            </w:r>
            <w:r w:rsidR="00B341BF" w:rsidRPr="00107854">
              <w:rPr>
                <w:color w:val="00264D" w:themeColor="background2"/>
              </w:rPr>
              <w:t>ed care</w:t>
            </w:r>
            <w:r w:rsidR="00D6023F" w:rsidRPr="00107854">
              <w:rPr>
                <w:color w:val="00264D" w:themeColor="background2"/>
              </w:rPr>
              <w:t xml:space="preserve"> </w:t>
            </w:r>
            <w:r w:rsidR="00FD12ED" w:rsidRPr="00107854">
              <w:rPr>
                <w:color w:val="00264D" w:themeColor="background2"/>
              </w:rPr>
              <w:t xml:space="preserve">within </w:t>
            </w:r>
            <w:r w:rsidR="008C5913" w:rsidRPr="00107854">
              <w:rPr>
                <w:color w:val="00264D" w:themeColor="background2"/>
              </w:rPr>
              <w:t xml:space="preserve">the </w:t>
            </w:r>
            <w:r w:rsidR="00D6023F" w:rsidRPr="00107854">
              <w:rPr>
                <w:color w:val="00264D" w:themeColor="background2"/>
              </w:rPr>
              <w:t xml:space="preserve">health </w:t>
            </w:r>
            <w:r w:rsidR="009F2196" w:rsidRPr="00107854">
              <w:rPr>
                <w:color w:val="00264D" w:themeColor="background2"/>
              </w:rPr>
              <w:t>ecosystem</w:t>
            </w:r>
          </w:p>
        </w:tc>
      </w:tr>
    </w:tbl>
    <w:p w14:paraId="6F5E6C2A" w14:textId="39D6482B" w:rsidR="00594EEB" w:rsidRPr="009B783C" w:rsidRDefault="00793329" w:rsidP="002E2EEF">
      <w:pPr>
        <w:spacing w:before="240"/>
        <w:rPr>
          <w:szCs w:val="21"/>
        </w:rPr>
      </w:pPr>
      <w:r w:rsidRPr="009B783C">
        <w:rPr>
          <w:szCs w:val="21"/>
        </w:rPr>
        <w:t xml:space="preserve">This Measure of Success seeks to understand whether Medicare UCCs, PHNs, Healthdirect, jurisdictions and the health ecosystem have established </w:t>
      </w:r>
      <w:r w:rsidR="00881D8E" w:rsidRPr="009B783C">
        <w:rPr>
          <w:szCs w:val="21"/>
        </w:rPr>
        <w:t xml:space="preserve">an effective coordinated care option for people with urgent non-life-threatening conditions. </w:t>
      </w:r>
      <w:r w:rsidR="00E66688" w:rsidRPr="009B783C">
        <w:rPr>
          <w:szCs w:val="21"/>
        </w:rPr>
        <w:t xml:space="preserve">Care coordination within the health ecosystem improves integration and efficiency for urgent non-life-threatening conditions. </w:t>
      </w:r>
      <w:r w:rsidR="00594EEB" w:rsidRPr="009B783C">
        <w:rPr>
          <w:szCs w:val="21"/>
        </w:rPr>
        <w:t>While Measure of Success 3 focusses on Medicare UCCs’ role in facilitating care coordination through effective clinical handover and referrals, this Measure of Success focusses on collaboration between the various groups involved in the health ecosystem</w:t>
      </w:r>
      <w:r w:rsidR="006A364C" w:rsidRPr="009B783C">
        <w:rPr>
          <w:szCs w:val="21"/>
        </w:rPr>
        <w:t xml:space="preserve"> – </w:t>
      </w:r>
      <w:r w:rsidR="00594EEB" w:rsidRPr="009B783C">
        <w:rPr>
          <w:szCs w:val="21"/>
        </w:rPr>
        <w:t>including Medicare UCCs, PHNs, state and territory-run health services and Healthdirect</w:t>
      </w:r>
      <w:r w:rsidR="006A364C" w:rsidRPr="009B783C">
        <w:rPr>
          <w:szCs w:val="21"/>
        </w:rPr>
        <w:t xml:space="preserve"> – </w:t>
      </w:r>
      <w:r w:rsidR="00594EEB" w:rsidRPr="009B783C">
        <w:rPr>
          <w:szCs w:val="21"/>
        </w:rPr>
        <w:t>to provide effective care options for people with urgent non-life-threatening conditions. At this system level, care coordination involves establishing clear roles and pathways, fostering communication and aligning efforts across providers within the ecosystem, enabling a consistent and connected health care experience.</w:t>
      </w:r>
    </w:p>
    <w:p w14:paraId="2D157038" w14:textId="0349D826" w:rsidR="003E79FA" w:rsidRPr="009B783C" w:rsidRDefault="00C17381" w:rsidP="002E2EEF">
      <w:pPr>
        <w:rPr>
          <w:rFonts w:asciiTheme="majorHAnsi" w:hAnsiTheme="majorHAnsi" w:cstheme="majorHAnsi"/>
          <w:color w:val="00264D" w:themeColor="background2"/>
          <w:szCs w:val="21"/>
        </w:rPr>
      </w:pPr>
      <w:r w:rsidRPr="009B783C">
        <w:rPr>
          <w:szCs w:val="21"/>
        </w:rPr>
        <w:lastRenderedPageBreak/>
        <w:t xml:space="preserve">For this Interim Evaluation Report 1, insights for this Measure of Success were gathered from interviews with commissioners. </w:t>
      </w:r>
      <w:r w:rsidR="00DC5545" w:rsidRPr="009B783C">
        <w:rPr>
          <w:szCs w:val="21"/>
        </w:rPr>
        <w:t xml:space="preserve">In later evaluation phases, a broader range of stakeholders will be </w:t>
      </w:r>
      <w:proofErr w:type="gramStart"/>
      <w:r w:rsidR="00DC5545" w:rsidRPr="009B783C">
        <w:rPr>
          <w:szCs w:val="21"/>
        </w:rPr>
        <w:t>engaged</w:t>
      </w:r>
      <w:proofErr w:type="gramEnd"/>
      <w:r w:rsidR="00DC5545" w:rsidRPr="009B783C">
        <w:rPr>
          <w:szCs w:val="21"/>
        </w:rPr>
        <w:t xml:space="preserve"> and Medicare UCCs will be surveyed to provide additional insights on this Measure. Staff and other healthcare providers’ perspectives on referrals to other services and ways for Medicare UCCs to understand referral pathways and relationships will be explored.</w:t>
      </w:r>
      <w:r w:rsidR="000A41CE" w:rsidRPr="009B783C">
        <w:rPr>
          <w:szCs w:val="21"/>
        </w:rPr>
        <w:t xml:space="preserve"> </w:t>
      </w:r>
    </w:p>
    <w:p w14:paraId="1513592B" w14:textId="32B38C2D" w:rsidR="00776FA4" w:rsidRPr="009B783C" w:rsidRDefault="00776FA4" w:rsidP="002E2EEF">
      <w:pPr>
        <w:spacing w:afterLines="30" w:after="72"/>
        <w:rPr>
          <w:rFonts w:asciiTheme="majorHAnsi" w:hAnsiTheme="majorHAnsi" w:cstheme="majorHAnsi"/>
          <w:color w:val="00264D" w:themeColor="background2"/>
          <w:szCs w:val="21"/>
        </w:rPr>
      </w:pPr>
      <w:r w:rsidRPr="009B783C">
        <w:rPr>
          <w:rFonts w:asciiTheme="majorHAnsi" w:hAnsiTheme="majorHAnsi" w:cstheme="majorHAnsi"/>
          <w:color w:val="00264D" w:themeColor="background2"/>
          <w:szCs w:val="21"/>
        </w:rPr>
        <w:t>Interim findings</w:t>
      </w:r>
    </w:p>
    <w:p w14:paraId="2250724E" w14:textId="77777777" w:rsidR="00776FA4" w:rsidRPr="009B783C" w:rsidRDefault="00776FA4" w:rsidP="002E2EEF">
      <w:pPr>
        <w:pStyle w:val="Bullet"/>
        <w:spacing w:afterLines="30" w:after="72"/>
        <w:rPr>
          <w:szCs w:val="21"/>
        </w:rPr>
      </w:pPr>
      <w:r w:rsidRPr="009B783C">
        <w:rPr>
          <w:szCs w:val="21"/>
        </w:rPr>
        <w:t>Activities focused on relationship building and fostering trust and familiarity between Medicare UCCs and key local health stakeholders are in place in some regions and are helping to foster an integrated local health care system.</w:t>
      </w:r>
    </w:p>
    <w:p w14:paraId="033DF035" w14:textId="77777777" w:rsidR="00776FA4" w:rsidRPr="009B783C" w:rsidRDefault="00776FA4" w:rsidP="002E2EEF">
      <w:pPr>
        <w:pStyle w:val="Bullet"/>
        <w:spacing w:afterLines="30" w:after="72"/>
        <w:rPr>
          <w:szCs w:val="21"/>
        </w:rPr>
      </w:pPr>
      <w:r w:rsidRPr="009B783C">
        <w:rPr>
          <w:szCs w:val="21"/>
        </w:rPr>
        <w:t>Communities of practice have helped Medicare UCC staff share experiences and learn from each other and local health system stakeholders. They are helping to build local health ecosystem relationships and integration.</w:t>
      </w:r>
    </w:p>
    <w:p w14:paraId="2B6F840C" w14:textId="2F08443D" w:rsidR="00776FA4" w:rsidRPr="009B783C" w:rsidRDefault="00776FA4" w:rsidP="002E2EEF">
      <w:pPr>
        <w:pStyle w:val="Bullet"/>
        <w:spacing w:afterLines="100" w:after="240"/>
        <w:rPr>
          <w:szCs w:val="21"/>
        </w:rPr>
      </w:pPr>
      <w:r w:rsidRPr="009B783C">
        <w:rPr>
          <w:szCs w:val="21"/>
        </w:rPr>
        <w:t xml:space="preserve">Commissioning organisations (PHNs and state and territory governments) are playing a beneficial role in building relationships with local GPs and health </w:t>
      </w:r>
      <w:proofErr w:type="gramStart"/>
      <w:r w:rsidRPr="009B783C">
        <w:rPr>
          <w:szCs w:val="21"/>
        </w:rPr>
        <w:t>services</w:t>
      </w:r>
      <w:r w:rsidR="00EB5BC4" w:rsidRPr="009B783C">
        <w:rPr>
          <w:szCs w:val="21"/>
        </w:rPr>
        <w:t>,</w:t>
      </w:r>
      <w:r w:rsidRPr="009B783C">
        <w:rPr>
          <w:szCs w:val="21"/>
        </w:rPr>
        <w:t xml:space="preserve"> and</w:t>
      </w:r>
      <w:proofErr w:type="gramEnd"/>
      <w:r w:rsidRPr="009B783C">
        <w:rPr>
          <w:szCs w:val="21"/>
        </w:rPr>
        <w:t xml:space="preserve"> navigating workforce challenges.</w:t>
      </w:r>
    </w:p>
    <w:tbl>
      <w:tblPr>
        <w:tblStyle w:val="TableGrid"/>
        <w:tblW w:w="0" w:type="auto"/>
        <w:tblLook w:val="04A0" w:firstRow="1" w:lastRow="0" w:firstColumn="1" w:lastColumn="0" w:noHBand="0" w:noVBand="1"/>
      </w:tblPr>
      <w:tblGrid>
        <w:gridCol w:w="8920"/>
      </w:tblGrid>
      <w:tr w:rsidR="000229BE" w:rsidRPr="009B783C" w14:paraId="0F961D48" w14:textId="77777777" w:rsidTr="003E79FA">
        <w:tc>
          <w:tcPr>
            <w:tcW w:w="8920" w:type="dxa"/>
            <w:tcBorders>
              <w:top w:val="nil"/>
              <w:left w:val="nil"/>
              <w:bottom w:val="nil"/>
              <w:right w:val="nil"/>
            </w:tcBorders>
            <w:shd w:val="clear" w:color="auto" w:fill="25B3E0" w:themeFill="accent6"/>
          </w:tcPr>
          <w:p w14:paraId="3D76BF4F" w14:textId="10FC226E" w:rsidR="000229BE" w:rsidRPr="00107854" w:rsidRDefault="000229BE" w:rsidP="003E79FA">
            <w:pPr>
              <w:pStyle w:val="TableNheader"/>
              <w:rPr>
                <w:color w:val="00264D" w:themeColor="background2"/>
              </w:rPr>
            </w:pPr>
            <w:r w:rsidRPr="00107854">
              <w:rPr>
                <w:color w:val="00264D" w:themeColor="background2"/>
              </w:rPr>
              <w:t xml:space="preserve">Measure of Success 9: </w:t>
            </w:r>
            <w:r w:rsidR="00B341BF" w:rsidRPr="00107854">
              <w:rPr>
                <w:color w:val="00264D" w:themeColor="background2"/>
              </w:rPr>
              <w:t>C</w:t>
            </w:r>
            <w:r w:rsidRPr="00107854">
              <w:rPr>
                <w:color w:val="00264D" w:themeColor="background2"/>
              </w:rPr>
              <w:t>ost effective</w:t>
            </w:r>
            <w:r w:rsidR="00B341BF" w:rsidRPr="00107854">
              <w:rPr>
                <w:color w:val="00264D" w:themeColor="background2"/>
              </w:rPr>
              <w:t>ness</w:t>
            </w:r>
          </w:p>
        </w:tc>
      </w:tr>
    </w:tbl>
    <w:p w14:paraId="09685787" w14:textId="6B2EB73E" w:rsidR="008D466A" w:rsidRPr="009B783C" w:rsidRDefault="00B341BF" w:rsidP="002E2EEF">
      <w:pPr>
        <w:spacing w:before="240"/>
        <w:rPr>
          <w:szCs w:val="21"/>
          <w:lang w:val="en-US"/>
        </w:rPr>
      </w:pPr>
      <w:r w:rsidRPr="620A8401">
        <w:rPr>
          <w:szCs w:val="21"/>
          <w:lang w:val="en-US"/>
        </w:rPr>
        <w:t xml:space="preserve">This Measure of Success seeks to understand whether Medicare UCCs are cost effective. </w:t>
      </w:r>
      <w:r w:rsidR="00D8199D" w:rsidRPr="620A8401">
        <w:rPr>
          <w:szCs w:val="21"/>
          <w:lang w:val="en-US"/>
        </w:rPr>
        <w:t>At this early stage of the evaluation</w:t>
      </w:r>
      <w:r w:rsidR="00C17381" w:rsidRPr="620A8401">
        <w:rPr>
          <w:szCs w:val="21"/>
          <w:lang w:val="en-US"/>
        </w:rPr>
        <w:t>,</w:t>
      </w:r>
      <w:r w:rsidR="009300E7" w:rsidRPr="620A8401">
        <w:rPr>
          <w:szCs w:val="21"/>
          <w:lang w:val="en-US"/>
        </w:rPr>
        <w:t xml:space="preserve"> estimates </w:t>
      </w:r>
      <w:r w:rsidR="00DA27BF" w:rsidRPr="620A8401">
        <w:rPr>
          <w:szCs w:val="21"/>
          <w:lang w:val="en-US"/>
        </w:rPr>
        <w:t xml:space="preserve">have been </w:t>
      </w:r>
      <w:r w:rsidR="00700C82" w:rsidRPr="620A8401">
        <w:rPr>
          <w:szCs w:val="21"/>
          <w:lang w:val="en-US"/>
        </w:rPr>
        <w:t xml:space="preserve">produced </w:t>
      </w:r>
      <w:r w:rsidR="004A198F" w:rsidRPr="620A8401">
        <w:rPr>
          <w:szCs w:val="21"/>
          <w:lang w:val="en-US"/>
        </w:rPr>
        <w:t>by</w:t>
      </w:r>
      <w:r w:rsidR="00C17381" w:rsidRPr="620A8401">
        <w:rPr>
          <w:szCs w:val="21"/>
          <w:lang w:val="en-US"/>
        </w:rPr>
        <w:t xml:space="preserve"> calculating unit cost</w:t>
      </w:r>
      <w:r w:rsidR="00E2582E" w:rsidRPr="620A8401">
        <w:rPr>
          <w:szCs w:val="21"/>
          <w:lang w:val="en-US"/>
        </w:rPr>
        <w:t>s</w:t>
      </w:r>
      <w:r w:rsidR="00C17381" w:rsidRPr="620A8401">
        <w:rPr>
          <w:szCs w:val="21"/>
          <w:lang w:val="en-US"/>
        </w:rPr>
        <w:t xml:space="preserve"> per Medicare UCC presentation and </w:t>
      </w:r>
      <w:r w:rsidR="00222F8B" w:rsidRPr="620A8401">
        <w:rPr>
          <w:szCs w:val="21"/>
          <w:lang w:val="en-US"/>
        </w:rPr>
        <w:t xml:space="preserve">associated </w:t>
      </w:r>
      <w:r w:rsidR="00C17381" w:rsidRPr="620A8401">
        <w:rPr>
          <w:szCs w:val="21"/>
          <w:lang w:val="en-US"/>
        </w:rPr>
        <w:t>avoided ED attendances.</w:t>
      </w:r>
      <w:r w:rsidR="008A611A" w:rsidRPr="620A8401">
        <w:rPr>
          <w:szCs w:val="21"/>
          <w:lang w:val="en-US"/>
        </w:rPr>
        <w:t xml:space="preserve"> </w:t>
      </w:r>
    </w:p>
    <w:p w14:paraId="53B03CC1" w14:textId="70AB796C" w:rsidR="00C17381" w:rsidRPr="009B783C" w:rsidRDefault="00845923" w:rsidP="002E2EEF">
      <w:pPr>
        <w:rPr>
          <w:szCs w:val="21"/>
          <w:lang w:val="en-US"/>
        </w:rPr>
      </w:pPr>
      <w:r w:rsidRPr="620A8401">
        <w:rPr>
          <w:szCs w:val="21"/>
          <w:lang w:val="en-US"/>
        </w:rPr>
        <w:t xml:space="preserve">The analyses </w:t>
      </w:r>
      <w:r w:rsidR="00F82B68" w:rsidRPr="620A8401">
        <w:rPr>
          <w:szCs w:val="21"/>
          <w:lang w:val="en-US"/>
        </w:rPr>
        <w:t xml:space="preserve">used data on the grants provided to </w:t>
      </w:r>
      <w:r w:rsidR="002B381C" w:rsidRPr="620A8401">
        <w:rPr>
          <w:szCs w:val="21"/>
          <w:lang w:val="en-US"/>
        </w:rPr>
        <w:t xml:space="preserve">Medicare UCCs, </w:t>
      </w:r>
      <w:r w:rsidRPr="620A8401">
        <w:rPr>
          <w:szCs w:val="21"/>
          <w:lang w:val="en-US"/>
        </w:rPr>
        <w:t xml:space="preserve">aggregate counts of presentations </w:t>
      </w:r>
      <w:r w:rsidR="00B00EF7" w:rsidRPr="620A8401">
        <w:rPr>
          <w:szCs w:val="21"/>
          <w:lang w:val="en-US"/>
        </w:rPr>
        <w:t>from Medicare UCC</w:t>
      </w:r>
      <w:r w:rsidR="00403B1D" w:rsidRPr="620A8401">
        <w:rPr>
          <w:szCs w:val="21"/>
          <w:lang w:val="en-US"/>
        </w:rPr>
        <w:t>s</w:t>
      </w:r>
      <w:r w:rsidR="006D0D55" w:rsidRPr="620A8401">
        <w:rPr>
          <w:szCs w:val="21"/>
          <w:lang w:val="en-US"/>
        </w:rPr>
        <w:t xml:space="preserve"> </w:t>
      </w:r>
      <w:r w:rsidR="00A543DB" w:rsidRPr="620A8401">
        <w:rPr>
          <w:szCs w:val="21"/>
          <w:lang w:val="en-US"/>
        </w:rPr>
        <w:t xml:space="preserve">and </w:t>
      </w:r>
      <w:r w:rsidR="00B00EF7" w:rsidRPr="620A8401">
        <w:rPr>
          <w:szCs w:val="21"/>
          <w:lang w:val="en-US"/>
        </w:rPr>
        <w:t xml:space="preserve">the </w:t>
      </w:r>
      <w:r w:rsidR="00FB0844" w:rsidRPr="620A8401">
        <w:rPr>
          <w:szCs w:val="21"/>
          <w:lang w:val="en-US"/>
        </w:rPr>
        <w:t xml:space="preserve">Medicare UCC </w:t>
      </w:r>
      <w:r w:rsidR="004E7366" w:rsidRPr="620A8401">
        <w:rPr>
          <w:szCs w:val="21"/>
          <w:lang w:val="en-US"/>
        </w:rPr>
        <w:t>Module</w:t>
      </w:r>
      <w:r w:rsidR="00FB0844" w:rsidRPr="620A8401">
        <w:rPr>
          <w:szCs w:val="21"/>
          <w:lang w:val="en-US"/>
        </w:rPr>
        <w:t xml:space="preserve"> data</w:t>
      </w:r>
      <w:r w:rsidR="002B381C" w:rsidRPr="620A8401">
        <w:rPr>
          <w:szCs w:val="21"/>
          <w:lang w:val="en-US"/>
        </w:rPr>
        <w:t xml:space="preserve">. </w:t>
      </w:r>
      <w:r w:rsidR="0008396A" w:rsidRPr="620A8401">
        <w:rPr>
          <w:szCs w:val="21"/>
          <w:lang w:val="en-US"/>
        </w:rPr>
        <w:t xml:space="preserve">The </w:t>
      </w:r>
      <w:r w:rsidR="004E7366" w:rsidRPr="620A8401">
        <w:rPr>
          <w:szCs w:val="21"/>
          <w:lang w:val="en-US"/>
        </w:rPr>
        <w:t>Module</w:t>
      </w:r>
      <w:r w:rsidR="0008396A" w:rsidRPr="620A8401">
        <w:rPr>
          <w:szCs w:val="21"/>
          <w:lang w:val="en-US"/>
        </w:rPr>
        <w:t xml:space="preserve"> data included information on </w:t>
      </w:r>
      <w:r w:rsidR="002A772E" w:rsidRPr="620A8401">
        <w:rPr>
          <w:szCs w:val="21"/>
          <w:lang w:val="en-US"/>
        </w:rPr>
        <w:t>Medicare Benefits Schedule (</w:t>
      </w:r>
      <w:r w:rsidR="0008396A" w:rsidRPr="620A8401">
        <w:rPr>
          <w:szCs w:val="21"/>
          <w:lang w:val="en-US"/>
        </w:rPr>
        <w:t>MBS</w:t>
      </w:r>
      <w:r w:rsidR="002A772E" w:rsidRPr="620A8401">
        <w:rPr>
          <w:szCs w:val="21"/>
          <w:lang w:val="en-US"/>
        </w:rPr>
        <w:t>)</w:t>
      </w:r>
      <w:r w:rsidR="0008396A" w:rsidRPr="620A8401">
        <w:rPr>
          <w:szCs w:val="21"/>
          <w:lang w:val="en-US"/>
        </w:rPr>
        <w:t xml:space="preserve"> items claimed</w:t>
      </w:r>
      <w:r w:rsidR="00DC0CA8" w:rsidRPr="620A8401">
        <w:rPr>
          <w:szCs w:val="21"/>
          <w:lang w:val="en-US"/>
        </w:rPr>
        <w:t xml:space="preserve">, which </w:t>
      </w:r>
      <w:r w:rsidR="0063192B" w:rsidRPr="620A8401">
        <w:rPr>
          <w:szCs w:val="21"/>
          <w:lang w:val="en-US"/>
        </w:rPr>
        <w:t>was</w:t>
      </w:r>
      <w:r w:rsidR="00DC0CA8" w:rsidRPr="620A8401">
        <w:rPr>
          <w:szCs w:val="21"/>
          <w:lang w:val="en-US"/>
        </w:rPr>
        <w:t xml:space="preserve"> </w:t>
      </w:r>
      <w:proofErr w:type="spellStart"/>
      <w:r w:rsidR="00DC0CA8" w:rsidRPr="620A8401">
        <w:rPr>
          <w:szCs w:val="21"/>
          <w:lang w:val="en-US"/>
        </w:rPr>
        <w:t>analysed</w:t>
      </w:r>
      <w:proofErr w:type="spellEnd"/>
      <w:r w:rsidR="00DC0CA8" w:rsidRPr="620A8401">
        <w:rPr>
          <w:szCs w:val="21"/>
          <w:lang w:val="en-US"/>
        </w:rPr>
        <w:t xml:space="preserve"> to estimate MBS payments. A separate analysis of MBS data was conducted to estimate </w:t>
      </w:r>
      <w:r w:rsidR="006B0FA8" w:rsidRPr="620A8401">
        <w:rPr>
          <w:szCs w:val="21"/>
          <w:lang w:val="en-US"/>
        </w:rPr>
        <w:t xml:space="preserve">MBS payments for </w:t>
      </w:r>
      <w:r w:rsidR="003328D2" w:rsidRPr="620A8401">
        <w:rPr>
          <w:szCs w:val="21"/>
          <w:lang w:val="en-US"/>
        </w:rPr>
        <w:t xml:space="preserve">diagnostic services </w:t>
      </w:r>
      <w:r w:rsidR="00685120" w:rsidRPr="620A8401">
        <w:rPr>
          <w:szCs w:val="21"/>
          <w:lang w:val="en-US"/>
        </w:rPr>
        <w:t xml:space="preserve">delivered by non-Medicare UCC providers </w:t>
      </w:r>
      <w:r w:rsidR="003328D2" w:rsidRPr="620A8401">
        <w:rPr>
          <w:szCs w:val="21"/>
          <w:lang w:val="en-US"/>
        </w:rPr>
        <w:t xml:space="preserve">on the same day a patient attended </w:t>
      </w:r>
      <w:r w:rsidR="003B730E" w:rsidRPr="620A8401">
        <w:rPr>
          <w:szCs w:val="21"/>
          <w:lang w:val="en-US"/>
        </w:rPr>
        <w:t xml:space="preserve">a Medicare UCC. </w:t>
      </w:r>
      <w:r w:rsidR="00A543DB" w:rsidRPr="620A8401">
        <w:rPr>
          <w:szCs w:val="21"/>
          <w:lang w:val="en-US"/>
        </w:rPr>
        <w:t xml:space="preserve">The reason for visit reported in the </w:t>
      </w:r>
      <w:r w:rsidR="004E7366" w:rsidRPr="620A8401">
        <w:rPr>
          <w:szCs w:val="21"/>
          <w:lang w:val="en-US"/>
        </w:rPr>
        <w:t>Module</w:t>
      </w:r>
      <w:r w:rsidR="00A543DB" w:rsidRPr="620A8401">
        <w:rPr>
          <w:szCs w:val="21"/>
          <w:lang w:val="en-US"/>
        </w:rPr>
        <w:t xml:space="preserve"> data </w:t>
      </w:r>
      <w:r w:rsidR="001740F5" w:rsidRPr="620A8401">
        <w:rPr>
          <w:szCs w:val="21"/>
          <w:lang w:val="en-US"/>
        </w:rPr>
        <w:t xml:space="preserve">and other variables were </w:t>
      </w:r>
      <w:r w:rsidR="00A543DB" w:rsidRPr="620A8401">
        <w:rPr>
          <w:szCs w:val="21"/>
          <w:lang w:val="en-US"/>
        </w:rPr>
        <w:t xml:space="preserve">used to </w:t>
      </w:r>
      <w:r w:rsidR="00561AF9" w:rsidRPr="620A8401">
        <w:rPr>
          <w:szCs w:val="21"/>
          <w:lang w:val="en-US"/>
        </w:rPr>
        <w:t xml:space="preserve">allocate </w:t>
      </w:r>
      <w:r w:rsidR="005023BE" w:rsidRPr="620A8401">
        <w:rPr>
          <w:szCs w:val="21"/>
          <w:lang w:val="en-US"/>
        </w:rPr>
        <w:t xml:space="preserve">presentations </w:t>
      </w:r>
      <w:r w:rsidR="003B2278" w:rsidRPr="620A8401">
        <w:rPr>
          <w:szCs w:val="21"/>
          <w:lang w:val="en-US"/>
        </w:rPr>
        <w:t xml:space="preserve">that were likely to </w:t>
      </w:r>
      <w:r w:rsidR="00AF1BEE" w:rsidRPr="620A8401">
        <w:rPr>
          <w:szCs w:val="21"/>
          <w:lang w:val="en-US"/>
        </w:rPr>
        <w:t xml:space="preserve">represent avoided ED </w:t>
      </w:r>
      <w:r w:rsidR="008A735F" w:rsidRPr="620A8401">
        <w:rPr>
          <w:szCs w:val="21"/>
          <w:lang w:val="en-US"/>
        </w:rPr>
        <w:t xml:space="preserve">attendances to an Australian Emergency Care Classification </w:t>
      </w:r>
      <w:r w:rsidR="00C56E93" w:rsidRPr="620A8401">
        <w:rPr>
          <w:szCs w:val="21"/>
          <w:lang w:val="en-US"/>
        </w:rPr>
        <w:t>(AECC</w:t>
      </w:r>
      <w:r w:rsidR="00381601" w:rsidRPr="620A8401">
        <w:rPr>
          <w:szCs w:val="21"/>
          <w:lang w:val="en-US"/>
        </w:rPr>
        <w:t>) c</w:t>
      </w:r>
      <w:r w:rsidR="008A735F" w:rsidRPr="620A8401">
        <w:rPr>
          <w:szCs w:val="21"/>
          <w:lang w:val="en-US"/>
        </w:rPr>
        <w:t>lass</w:t>
      </w:r>
      <w:r w:rsidR="00C56E93" w:rsidRPr="620A8401">
        <w:rPr>
          <w:szCs w:val="21"/>
          <w:lang w:val="en-US"/>
        </w:rPr>
        <w:t xml:space="preserve">, the classification used for </w:t>
      </w:r>
      <w:r w:rsidR="00A90444" w:rsidRPr="620A8401">
        <w:rPr>
          <w:szCs w:val="21"/>
          <w:lang w:val="en-US"/>
        </w:rPr>
        <w:t>funding ED presentations in Australia</w:t>
      </w:r>
      <w:r w:rsidR="00806D0F" w:rsidRPr="620A8401">
        <w:rPr>
          <w:szCs w:val="21"/>
          <w:lang w:val="en-US"/>
        </w:rPr>
        <w:t xml:space="preserve">. This was used to estimate funding that would apply to these presentations under national </w:t>
      </w:r>
      <w:r w:rsidR="000F34AC" w:rsidRPr="620A8401">
        <w:rPr>
          <w:szCs w:val="21"/>
          <w:lang w:val="en-US"/>
        </w:rPr>
        <w:t>a</w:t>
      </w:r>
      <w:r w:rsidR="00806D0F" w:rsidRPr="620A8401">
        <w:rPr>
          <w:szCs w:val="21"/>
          <w:lang w:val="en-US"/>
        </w:rPr>
        <w:t>ctivity</w:t>
      </w:r>
      <w:r w:rsidR="00A023A1" w:rsidRPr="620A8401">
        <w:rPr>
          <w:szCs w:val="21"/>
          <w:lang w:val="en-US"/>
        </w:rPr>
        <w:t>-based</w:t>
      </w:r>
      <w:r w:rsidR="00806D0F" w:rsidRPr="620A8401">
        <w:rPr>
          <w:szCs w:val="21"/>
          <w:lang w:val="en-US"/>
        </w:rPr>
        <w:t xml:space="preserve"> </w:t>
      </w:r>
      <w:r w:rsidR="000F34AC" w:rsidRPr="620A8401">
        <w:rPr>
          <w:szCs w:val="21"/>
          <w:lang w:val="en-US"/>
        </w:rPr>
        <w:t>f</w:t>
      </w:r>
      <w:r w:rsidR="00806D0F" w:rsidRPr="620A8401">
        <w:rPr>
          <w:szCs w:val="21"/>
          <w:lang w:val="en-US"/>
        </w:rPr>
        <w:t xml:space="preserve">unding </w:t>
      </w:r>
      <w:r w:rsidR="00A33786" w:rsidRPr="620A8401">
        <w:rPr>
          <w:szCs w:val="21"/>
          <w:lang w:val="en-US"/>
        </w:rPr>
        <w:t>arrangements.</w:t>
      </w:r>
      <w:r w:rsidR="008A735F" w:rsidRPr="620A8401">
        <w:rPr>
          <w:szCs w:val="21"/>
          <w:lang w:val="en-US"/>
        </w:rPr>
        <w:t xml:space="preserve"> </w:t>
      </w:r>
    </w:p>
    <w:p w14:paraId="2B1798C6" w14:textId="20642B91" w:rsidR="0046276B" w:rsidRPr="009B783C" w:rsidRDefault="0046276B" w:rsidP="002E2EEF">
      <w:pPr>
        <w:pStyle w:val="Bullet"/>
        <w:numPr>
          <w:ilvl w:val="0"/>
          <w:numId w:val="0"/>
        </w:numPr>
        <w:spacing w:afterLines="30" w:after="72"/>
        <w:ind w:left="340" w:hanging="340"/>
        <w:rPr>
          <w:rFonts w:asciiTheme="majorHAnsi" w:hAnsiTheme="majorHAnsi" w:cstheme="majorBidi"/>
          <w:color w:val="00264D" w:themeColor="background2"/>
          <w:szCs w:val="21"/>
        </w:rPr>
      </w:pPr>
      <w:r w:rsidRPr="009B783C">
        <w:rPr>
          <w:rFonts w:asciiTheme="majorHAnsi" w:hAnsiTheme="majorHAnsi" w:cstheme="majorBidi"/>
          <w:color w:val="00264D" w:themeColor="background2"/>
          <w:szCs w:val="21"/>
        </w:rPr>
        <w:t>Interim findings</w:t>
      </w:r>
    </w:p>
    <w:p w14:paraId="434CA38B" w14:textId="6B3B3A29" w:rsidR="00C17381" w:rsidRPr="009B783C" w:rsidRDefault="00C17381" w:rsidP="002E2EEF">
      <w:pPr>
        <w:pStyle w:val="Bullet"/>
        <w:spacing w:afterLines="30" w:after="72"/>
        <w:rPr>
          <w:szCs w:val="21"/>
        </w:rPr>
      </w:pPr>
      <w:r w:rsidRPr="009B783C">
        <w:rPr>
          <w:szCs w:val="21"/>
        </w:rPr>
        <w:t xml:space="preserve">The </w:t>
      </w:r>
      <w:r w:rsidR="002064FC" w:rsidRPr="009B783C">
        <w:rPr>
          <w:szCs w:val="21"/>
        </w:rPr>
        <w:t xml:space="preserve">annualised </w:t>
      </w:r>
      <w:r w:rsidR="00A023A1" w:rsidRPr="009B783C">
        <w:rPr>
          <w:szCs w:val="21"/>
        </w:rPr>
        <w:t xml:space="preserve">Australian </w:t>
      </w:r>
      <w:r w:rsidRPr="009B783C">
        <w:rPr>
          <w:szCs w:val="21"/>
        </w:rPr>
        <w:t>Government</w:t>
      </w:r>
      <w:r w:rsidRPr="009B783C" w:rsidDel="002A3C06">
        <w:rPr>
          <w:szCs w:val="21"/>
        </w:rPr>
        <w:t xml:space="preserve"> </w:t>
      </w:r>
      <w:r w:rsidRPr="009B783C">
        <w:rPr>
          <w:szCs w:val="21"/>
        </w:rPr>
        <w:t>funding support for Medicare UCCs is estimated to be $</w:t>
      </w:r>
      <w:r w:rsidR="0014280B" w:rsidRPr="009B783C">
        <w:rPr>
          <w:szCs w:val="21"/>
        </w:rPr>
        <w:t>246.5</w:t>
      </w:r>
      <w:r w:rsidR="00C026BF" w:rsidRPr="009B783C">
        <w:rPr>
          <w:szCs w:val="21"/>
        </w:rPr>
        <w:t>0</w:t>
      </w:r>
      <w:r w:rsidR="00660D93" w:rsidRPr="009B783C">
        <w:rPr>
          <w:szCs w:val="21"/>
        </w:rPr>
        <w:t xml:space="preserve"> </w:t>
      </w:r>
      <w:r w:rsidRPr="009B783C">
        <w:rPr>
          <w:szCs w:val="21"/>
        </w:rPr>
        <w:t>per presentation</w:t>
      </w:r>
      <w:r w:rsidR="00660D93" w:rsidRPr="009B783C">
        <w:rPr>
          <w:szCs w:val="21"/>
        </w:rPr>
        <w:t>, e</w:t>
      </w:r>
      <w:r w:rsidR="002064FC" w:rsidRPr="009B783C">
        <w:rPr>
          <w:szCs w:val="21"/>
        </w:rPr>
        <w:t xml:space="preserve">xcluding the </w:t>
      </w:r>
      <w:r w:rsidR="002A772E" w:rsidRPr="009B783C">
        <w:rPr>
          <w:szCs w:val="21"/>
        </w:rPr>
        <w:t>five</w:t>
      </w:r>
      <w:r w:rsidR="002064FC" w:rsidRPr="009B783C">
        <w:rPr>
          <w:szCs w:val="21"/>
        </w:rPr>
        <w:t xml:space="preserve"> ACT Medicare UCCs, where MBS claims cannot be made, and the </w:t>
      </w:r>
      <w:r w:rsidR="0010075A" w:rsidRPr="009B783C">
        <w:rPr>
          <w:szCs w:val="21"/>
        </w:rPr>
        <w:t>seven</w:t>
      </w:r>
      <w:r w:rsidR="002064FC" w:rsidRPr="009B783C">
        <w:rPr>
          <w:szCs w:val="21"/>
        </w:rPr>
        <w:t xml:space="preserve"> Medicare UCCs in which Module data, including MBS items, </w:t>
      </w:r>
      <w:r w:rsidR="000625AF" w:rsidRPr="009B783C">
        <w:rPr>
          <w:szCs w:val="21"/>
        </w:rPr>
        <w:t>was</w:t>
      </w:r>
      <w:r w:rsidR="002064FC" w:rsidRPr="009B783C">
        <w:rPr>
          <w:szCs w:val="21"/>
        </w:rPr>
        <w:t xml:space="preserve"> not yet reported</w:t>
      </w:r>
      <w:r w:rsidR="000625AF" w:rsidRPr="009B783C">
        <w:rPr>
          <w:szCs w:val="21"/>
        </w:rPr>
        <w:t xml:space="preserve"> at the time of undertaking the analysis</w:t>
      </w:r>
      <w:r w:rsidR="00F9363B" w:rsidRPr="009B783C">
        <w:rPr>
          <w:szCs w:val="21"/>
        </w:rPr>
        <w:t>. Across all Medicar</w:t>
      </w:r>
      <w:r w:rsidR="007101D9" w:rsidRPr="009B783C">
        <w:rPr>
          <w:szCs w:val="21"/>
        </w:rPr>
        <w:t>e UCC</w:t>
      </w:r>
      <w:r w:rsidR="00D15F3F" w:rsidRPr="009B783C">
        <w:rPr>
          <w:szCs w:val="21"/>
        </w:rPr>
        <w:t>s,</w:t>
      </w:r>
      <w:r w:rsidR="007101D9" w:rsidRPr="009B783C">
        <w:rPr>
          <w:szCs w:val="21"/>
        </w:rPr>
        <w:t xml:space="preserve"> the </w:t>
      </w:r>
      <w:r w:rsidR="002064FC" w:rsidRPr="009B783C">
        <w:rPr>
          <w:szCs w:val="21"/>
        </w:rPr>
        <w:t>annualised Australian Government's funding is $</w:t>
      </w:r>
      <w:r w:rsidR="00CA7ECB" w:rsidRPr="009B783C">
        <w:rPr>
          <w:szCs w:val="21"/>
        </w:rPr>
        <w:t>216</w:t>
      </w:r>
      <w:r w:rsidR="002064FC" w:rsidRPr="009B783C">
        <w:rPr>
          <w:szCs w:val="21"/>
        </w:rPr>
        <w:t xml:space="preserve"> per presentation</w:t>
      </w:r>
      <w:r w:rsidR="002A3C06" w:rsidRPr="009B783C">
        <w:rPr>
          <w:szCs w:val="21"/>
        </w:rPr>
        <w:t>.</w:t>
      </w:r>
      <w:r w:rsidR="0031409B" w:rsidRPr="009B783C">
        <w:rPr>
          <w:szCs w:val="21"/>
        </w:rPr>
        <w:t xml:space="preserve"> </w:t>
      </w:r>
      <w:r w:rsidR="00467A63" w:rsidRPr="009B783C">
        <w:rPr>
          <w:szCs w:val="21"/>
        </w:rPr>
        <w:t>T</w:t>
      </w:r>
      <w:r w:rsidR="0031409B" w:rsidRPr="009B783C">
        <w:rPr>
          <w:szCs w:val="21"/>
        </w:rPr>
        <w:t>hese preliminary results do not include contributions to the operation of Medicare UCCs by state and territory governments.</w:t>
      </w:r>
    </w:p>
    <w:p w14:paraId="6E2AED80" w14:textId="38D6814A" w:rsidR="00C17381" w:rsidRPr="009B783C" w:rsidRDefault="00C17381" w:rsidP="002E2EEF">
      <w:pPr>
        <w:pStyle w:val="Bullet"/>
        <w:spacing w:afterLines="30" w:after="72"/>
        <w:rPr>
          <w:szCs w:val="21"/>
        </w:rPr>
      </w:pPr>
      <w:r w:rsidRPr="009B783C">
        <w:rPr>
          <w:szCs w:val="21"/>
        </w:rPr>
        <w:t>Based on reports of where patients attending a Medicare UCC would have sought care if the clinic was not available, it is estimated that around 33</w:t>
      </w:r>
      <w:r w:rsidR="002E39C0" w:rsidRPr="009B783C">
        <w:rPr>
          <w:szCs w:val="21"/>
        </w:rPr>
        <w:t>4</w:t>
      </w:r>
      <w:r w:rsidRPr="009B783C">
        <w:rPr>
          <w:szCs w:val="21"/>
        </w:rPr>
        <w:t xml:space="preserve">,000 ED presentations would be </w:t>
      </w:r>
      <w:r w:rsidRPr="009B783C">
        <w:rPr>
          <w:szCs w:val="21"/>
        </w:rPr>
        <w:lastRenderedPageBreak/>
        <w:t xml:space="preserve">avoided annually if Medicare UCCs were operating at their stabilised activity levels post-opening. </w:t>
      </w:r>
      <w:r w:rsidR="00C80DB6" w:rsidRPr="009B783C">
        <w:rPr>
          <w:szCs w:val="21"/>
        </w:rPr>
        <w:t>This estimate i</w:t>
      </w:r>
      <w:r w:rsidR="00CC5D5C" w:rsidRPr="009B783C">
        <w:rPr>
          <w:szCs w:val="21"/>
        </w:rPr>
        <w:t>s</w:t>
      </w:r>
      <w:r w:rsidR="00C80DB6" w:rsidRPr="009B783C">
        <w:rPr>
          <w:szCs w:val="21"/>
        </w:rPr>
        <w:t xml:space="preserve"> based </w:t>
      </w:r>
      <w:r w:rsidR="00CC5D5C" w:rsidRPr="009B783C">
        <w:rPr>
          <w:szCs w:val="21"/>
        </w:rPr>
        <w:t xml:space="preserve">on the </w:t>
      </w:r>
      <w:r w:rsidR="003A3AFC" w:rsidRPr="009B783C">
        <w:rPr>
          <w:szCs w:val="21"/>
        </w:rPr>
        <w:t>63</w:t>
      </w:r>
      <w:r w:rsidR="00CC5D5C" w:rsidRPr="009B783C">
        <w:rPr>
          <w:szCs w:val="21"/>
        </w:rPr>
        <w:t xml:space="preserve"> clinics in which there is sufficient in</w:t>
      </w:r>
      <w:r w:rsidR="00A56AFA" w:rsidRPr="009B783C">
        <w:rPr>
          <w:szCs w:val="21"/>
        </w:rPr>
        <w:t xml:space="preserve">formation available. It excludes </w:t>
      </w:r>
      <w:r w:rsidR="00C36373" w:rsidRPr="009B783C">
        <w:rPr>
          <w:szCs w:val="21"/>
        </w:rPr>
        <w:t>11 Medicare UCC</w:t>
      </w:r>
      <w:r w:rsidR="00044F67" w:rsidRPr="009B783C">
        <w:rPr>
          <w:szCs w:val="21"/>
        </w:rPr>
        <w:t>s</w:t>
      </w:r>
      <w:r w:rsidR="00F62426" w:rsidRPr="009B783C">
        <w:rPr>
          <w:szCs w:val="21"/>
        </w:rPr>
        <w:t xml:space="preserve"> where only aggregate presentation volumes were available</w:t>
      </w:r>
      <w:r w:rsidR="00C36373" w:rsidRPr="009B783C">
        <w:rPr>
          <w:szCs w:val="21"/>
        </w:rPr>
        <w:t xml:space="preserve">, including </w:t>
      </w:r>
      <w:r w:rsidR="00A023A1" w:rsidRPr="009B783C">
        <w:rPr>
          <w:szCs w:val="21"/>
        </w:rPr>
        <w:t>five</w:t>
      </w:r>
      <w:r w:rsidR="00A56AFA" w:rsidRPr="009B783C">
        <w:rPr>
          <w:szCs w:val="21"/>
        </w:rPr>
        <w:t xml:space="preserve"> </w:t>
      </w:r>
      <w:r w:rsidR="00C36373" w:rsidRPr="009B783C">
        <w:rPr>
          <w:szCs w:val="21"/>
        </w:rPr>
        <w:t xml:space="preserve">from the </w:t>
      </w:r>
      <w:r w:rsidR="00A56AFA" w:rsidRPr="009B783C">
        <w:rPr>
          <w:szCs w:val="21"/>
        </w:rPr>
        <w:t>ACT</w:t>
      </w:r>
      <w:r w:rsidR="00C36373" w:rsidRPr="009B783C">
        <w:rPr>
          <w:szCs w:val="21"/>
        </w:rPr>
        <w:t xml:space="preserve"> and </w:t>
      </w:r>
      <w:r w:rsidR="00A023A1" w:rsidRPr="009B783C">
        <w:rPr>
          <w:szCs w:val="21"/>
        </w:rPr>
        <w:t>three</w:t>
      </w:r>
      <w:r w:rsidR="00C36373" w:rsidRPr="009B783C">
        <w:rPr>
          <w:szCs w:val="21"/>
        </w:rPr>
        <w:t xml:space="preserve"> </w:t>
      </w:r>
      <w:r w:rsidR="005A5E62" w:rsidRPr="009B783C">
        <w:rPr>
          <w:szCs w:val="21"/>
        </w:rPr>
        <w:t>located in very remote regions in the NT.</w:t>
      </w:r>
      <w:r w:rsidR="00B313CE" w:rsidRPr="009B783C">
        <w:rPr>
          <w:szCs w:val="21"/>
        </w:rPr>
        <w:t xml:space="preserve"> As discussed under </w:t>
      </w:r>
      <w:r w:rsidR="006A50F1" w:rsidRPr="009B783C">
        <w:rPr>
          <w:szCs w:val="21"/>
        </w:rPr>
        <w:t>Measure of Success 6, this is an inter</w:t>
      </w:r>
      <w:r w:rsidR="00D027AA" w:rsidRPr="009B783C">
        <w:rPr>
          <w:szCs w:val="21"/>
        </w:rPr>
        <w:t>im estimate</w:t>
      </w:r>
      <w:r w:rsidR="00F432E1" w:rsidRPr="009B783C">
        <w:rPr>
          <w:szCs w:val="21"/>
        </w:rPr>
        <w:t xml:space="preserve"> which relies on the accuracy of the </w:t>
      </w:r>
      <w:r w:rsidR="0042688B" w:rsidRPr="009B783C">
        <w:rPr>
          <w:szCs w:val="21"/>
        </w:rPr>
        <w:t xml:space="preserve">reporting </w:t>
      </w:r>
      <w:r w:rsidR="00F1049C" w:rsidRPr="009B783C">
        <w:rPr>
          <w:szCs w:val="21"/>
        </w:rPr>
        <w:t>against</w:t>
      </w:r>
      <w:r w:rsidR="00A00580" w:rsidRPr="009B783C">
        <w:rPr>
          <w:szCs w:val="21"/>
        </w:rPr>
        <w:t xml:space="preserve"> the Medicare UCC </w:t>
      </w:r>
      <w:r w:rsidR="00F1049C" w:rsidRPr="009B783C">
        <w:rPr>
          <w:szCs w:val="21"/>
        </w:rPr>
        <w:t xml:space="preserve">Module question “where would the patient have gone otherwise?” </w:t>
      </w:r>
      <w:r w:rsidR="005C3192" w:rsidRPr="009B783C">
        <w:rPr>
          <w:szCs w:val="21"/>
        </w:rPr>
        <w:t>T</w:t>
      </w:r>
      <w:r w:rsidR="00F1049C" w:rsidRPr="009B783C">
        <w:rPr>
          <w:szCs w:val="21"/>
        </w:rPr>
        <w:t>his</w:t>
      </w:r>
      <w:r w:rsidR="00BF2C7E" w:rsidRPr="009B783C">
        <w:rPr>
          <w:szCs w:val="21"/>
        </w:rPr>
        <w:t xml:space="preserve"> </w:t>
      </w:r>
      <w:r w:rsidR="00B86DFD" w:rsidRPr="009B783C">
        <w:rPr>
          <w:szCs w:val="21"/>
        </w:rPr>
        <w:t>may under or over</w:t>
      </w:r>
      <w:r w:rsidR="00A07FEF" w:rsidRPr="009B783C">
        <w:rPr>
          <w:szCs w:val="21"/>
        </w:rPr>
        <w:t>-</w:t>
      </w:r>
      <w:r w:rsidR="00B86DFD" w:rsidRPr="009B783C">
        <w:rPr>
          <w:szCs w:val="21"/>
        </w:rPr>
        <w:t xml:space="preserve">estimate the level of </w:t>
      </w:r>
      <w:r w:rsidR="00965B88" w:rsidRPr="009B783C">
        <w:rPr>
          <w:szCs w:val="21"/>
        </w:rPr>
        <w:t>ED atten</w:t>
      </w:r>
      <w:r w:rsidR="00EB47A1" w:rsidRPr="009B783C">
        <w:rPr>
          <w:szCs w:val="21"/>
        </w:rPr>
        <w:t>d</w:t>
      </w:r>
      <w:r w:rsidR="00965B88" w:rsidRPr="009B783C">
        <w:rPr>
          <w:szCs w:val="21"/>
        </w:rPr>
        <w:t xml:space="preserve">ances </w:t>
      </w:r>
      <w:r w:rsidR="00EB47A1" w:rsidRPr="009B783C">
        <w:rPr>
          <w:szCs w:val="21"/>
        </w:rPr>
        <w:t>avoided</w:t>
      </w:r>
      <w:r w:rsidR="0080073C" w:rsidRPr="009B783C">
        <w:rPr>
          <w:szCs w:val="21"/>
        </w:rPr>
        <w:t xml:space="preserve"> </w:t>
      </w:r>
      <w:r w:rsidR="00EF4E3B" w:rsidRPr="009B783C">
        <w:rPr>
          <w:szCs w:val="21"/>
        </w:rPr>
        <w:t>due to</w:t>
      </w:r>
      <w:r w:rsidR="0080073C" w:rsidRPr="009B783C">
        <w:rPr>
          <w:szCs w:val="21"/>
        </w:rPr>
        <w:t xml:space="preserve"> </w:t>
      </w:r>
      <w:r w:rsidR="005C3192" w:rsidRPr="009B783C">
        <w:rPr>
          <w:szCs w:val="21"/>
        </w:rPr>
        <w:t xml:space="preserve">the </w:t>
      </w:r>
      <w:r w:rsidR="006F7A70" w:rsidRPr="009B783C">
        <w:rPr>
          <w:szCs w:val="21"/>
        </w:rPr>
        <w:t xml:space="preserve">data </w:t>
      </w:r>
      <w:r w:rsidR="005C3192" w:rsidRPr="009B783C">
        <w:rPr>
          <w:szCs w:val="21"/>
        </w:rPr>
        <w:t xml:space="preserve">limitations </w:t>
      </w:r>
      <w:r w:rsidR="006F7A70" w:rsidRPr="009B783C">
        <w:rPr>
          <w:szCs w:val="21"/>
        </w:rPr>
        <w:t xml:space="preserve">described </w:t>
      </w:r>
      <w:r w:rsidR="00CA10FF" w:rsidRPr="009B783C">
        <w:rPr>
          <w:szCs w:val="21"/>
        </w:rPr>
        <w:t>previously.</w:t>
      </w:r>
      <w:r w:rsidR="00B2436C" w:rsidRPr="009B783C">
        <w:rPr>
          <w:szCs w:val="21"/>
        </w:rPr>
        <w:t xml:space="preserve"> </w:t>
      </w:r>
      <w:r w:rsidR="00375EB0" w:rsidRPr="009B783C">
        <w:rPr>
          <w:szCs w:val="21"/>
        </w:rPr>
        <w:t xml:space="preserve">Future evaluation reports will have access to data across a full year of operation for Medicare UCCs and be able to triangulate </w:t>
      </w:r>
      <w:r w:rsidR="002C010B" w:rsidRPr="009B783C">
        <w:rPr>
          <w:szCs w:val="21"/>
        </w:rPr>
        <w:t>these estimates</w:t>
      </w:r>
      <w:r w:rsidR="00375EB0" w:rsidRPr="009B783C">
        <w:rPr>
          <w:szCs w:val="21"/>
        </w:rPr>
        <w:t xml:space="preserve"> with additional causal analysis using ED data. Additionally, the analysis will be extended to include an assessment of the cost impact for presentations in which it is indicated the patient would have taken actions other than attending an ED or calling an ambulance.</w:t>
      </w:r>
    </w:p>
    <w:p w14:paraId="17CE3F41" w14:textId="7E4C218F" w:rsidR="002051D4" w:rsidRPr="009B783C" w:rsidRDefault="000135EA" w:rsidP="002E2EEF">
      <w:pPr>
        <w:pStyle w:val="Bullet"/>
        <w:spacing w:afterLines="30" w:after="72"/>
        <w:rPr>
          <w:szCs w:val="21"/>
        </w:rPr>
      </w:pPr>
      <w:r w:rsidRPr="009B783C">
        <w:rPr>
          <w:szCs w:val="21"/>
        </w:rPr>
        <w:t xml:space="preserve">The average </w:t>
      </w:r>
      <w:r w:rsidR="00085BA8" w:rsidRPr="009B783C">
        <w:rPr>
          <w:szCs w:val="21"/>
        </w:rPr>
        <w:t>funding</w:t>
      </w:r>
      <w:r w:rsidRPr="009B783C">
        <w:rPr>
          <w:szCs w:val="21"/>
        </w:rPr>
        <w:t xml:space="preserve"> that would be paid by the Australian and state and territory governments for these avoided ED attendances is estimated </w:t>
      </w:r>
      <w:r w:rsidR="005042FB" w:rsidRPr="009B783C">
        <w:rPr>
          <w:szCs w:val="21"/>
        </w:rPr>
        <w:t xml:space="preserve">by the evaluation team to </w:t>
      </w:r>
      <w:r w:rsidRPr="009B783C">
        <w:rPr>
          <w:szCs w:val="21"/>
        </w:rPr>
        <w:t>be $616</w:t>
      </w:r>
      <w:r w:rsidR="00C17381" w:rsidRPr="009B783C">
        <w:rPr>
          <w:szCs w:val="21"/>
        </w:rPr>
        <w:t xml:space="preserve"> per presentation</w:t>
      </w:r>
      <w:r w:rsidR="00D74229" w:rsidRPr="009B783C">
        <w:rPr>
          <w:szCs w:val="21"/>
        </w:rPr>
        <w:t xml:space="preserve">. This estimate is based on analysis of the reasons </w:t>
      </w:r>
      <w:r w:rsidR="00982CCD" w:rsidRPr="009B783C">
        <w:rPr>
          <w:szCs w:val="21"/>
        </w:rPr>
        <w:t>for attending the Medicare UCC</w:t>
      </w:r>
      <w:r w:rsidR="00677084" w:rsidRPr="009B783C">
        <w:rPr>
          <w:szCs w:val="21"/>
        </w:rPr>
        <w:t xml:space="preserve"> and applying the classification </w:t>
      </w:r>
      <w:r w:rsidR="00E92F18" w:rsidRPr="009B783C">
        <w:rPr>
          <w:szCs w:val="21"/>
        </w:rPr>
        <w:t>and prices current</w:t>
      </w:r>
      <w:r w:rsidR="00F6067B" w:rsidRPr="009B783C">
        <w:rPr>
          <w:szCs w:val="21"/>
        </w:rPr>
        <w:t>ly</w:t>
      </w:r>
      <w:r w:rsidR="00E92F18" w:rsidRPr="009B783C">
        <w:rPr>
          <w:szCs w:val="21"/>
        </w:rPr>
        <w:t xml:space="preserve"> applied for ED </w:t>
      </w:r>
      <w:r w:rsidR="00E726BA" w:rsidRPr="009B783C">
        <w:rPr>
          <w:szCs w:val="21"/>
        </w:rPr>
        <w:t xml:space="preserve">funding. The estimate reflects government funding </w:t>
      </w:r>
      <w:r w:rsidR="00400ADB" w:rsidRPr="009B783C">
        <w:rPr>
          <w:szCs w:val="21"/>
        </w:rPr>
        <w:t>(Commonwealth</w:t>
      </w:r>
      <w:r w:rsidR="00B64EDE" w:rsidRPr="009B783C">
        <w:rPr>
          <w:szCs w:val="21"/>
        </w:rPr>
        <w:t xml:space="preserve">, state and territory) </w:t>
      </w:r>
      <w:r w:rsidR="00E726BA" w:rsidRPr="009B783C">
        <w:rPr>
          <w:szCs w:val="21"/>
        </w:rPr>
        <w:t xml:space="preserve">based on the National Efficient Price </w:t>
      </w:r>
      <w:r w:rsidR="002100D3" w:rsidRPr="009B783C">
        <w:rPr>
          <w:szCs w:val="21"/>
        </w:rPr>
        <w:t xml:space="preserve">(NEP) </w:t>
      </w:r>
      <w:r w:rsidR="00E726BA" w:rsidRPr="009B783C">
        <w:rPr>
          <w:szCs w:val="21"/>
        </w:rPr>
        <w:t xml:space="preserve">recommended by IHACPA. However, </w:t>
      </w:r>
      <w:r w:rsidR="00FC092B" w:rsidRPr="009B783C">
        <w:rPr>
          <w:szCs w:val="21"/>
        </w:rPr>
        <w:t xml:space="preserve">the marginal cost reductions for </w:t>
      </w:r>
      <w:r w:rsidR="00077AFD" w:rsidRPr="009B783C">
        <w:rPr>
          <w:szCs w:val="21"/>
        </w:rPr>
        <w:t xml:space="preserve">EDs are likely to be lower due to </w:t>
      </w:r>
      <w:r w:rsidR="0060220D" w:rsidRPr="009B783C">
        <w:rPr>
          <w:szCs w:val="21"/>
        </w:rPr>
        <w:t>relatively high</w:t>
      </w:r>
      <w:r w:rsidR="00077AFD" w:rsidRPr="009B783C">
        <w:rPr>
          <w:szCs w:val="21"/>
        </w:rPr>
        <w:t xml:space="preserve"> fixed costs</w:t>
      </w:r>
      <w:r w:rsidR="00E726BA" w:rsidRPr="009B783C">
        <w:rPr>
          <w:szCs w:val="21"/>
        </w:rPr>
        <w:t xml:space="preserve"> </w:t>
      </w:r>
      <w:r w:rsidR="00F46584" w:rsidRPr="009B783C">
        <w:rPr>
          <w:szCs w:val="21"/>
        </w:rPr>
        <w:t xml:space="preserve">associated with providing </w:t>
      </w:r>
      <w:r w:rsidR="007870E5" w:rsidRPr="009B783C">
        <w:rPr>
          <w:szCs w:val="21"/>
        </w:rPr>
        <w:t>ED services</w:t>
      </w:r>
      <w:r w:rsidR="00982CCD" w:rsidRPr="009B783C">
        <w:rPr>
          <w:szCs w:val="21"/>
        </w:rPr>
        <w:t>.</w:t>
      </w:r>
      <w:r w:rsidR="00ED0B44" w:rsidRPr="009B783C">
        <w:rPr>
          <w:szCs w:val="21"/>
        </w:rPr>
        <w:t xml:space="preserve"> </w:t>
      </w:r>
      <w:r w:rsidR="007550AC" w:rsidRPr="009B783C">
        <w:rPr>
          <w:szCs w:val="21"/>
        </w:rPr>
        <w:t xml:space="preserve">These </w:t>
      </w:r>
      <w:r w:rsidR="008F6259" w:rsidRPr="009B783C">
        <w:rPr>
          <w:szCs w:val="21"/>
        </w:rPr>
        <w:t xml:space="preserve">savings are offset by the cost of </w:t>
      </w:r>
      <w:r w:rsidR="00692361" w:rsidRPr="009B783C">
        <w:rPr>
          <w:szCs w:val="21"/>
        </w:rPr>
        <w:t xml:space="preserve">the </w:t>
      </w:r>
      <w:r w:rsidR="00627EC8" w:rsidRPr="009B783C">
        <w:rPr>
          <w:szCs w:val="21"/>
        </w:rPr>
        <w:t>subset of</w:t>
      </w:r>
      <w:r w:rsidR="00692361" w:rsidRPr="009B783C">
        <w:rPr>
          <w:szCs w:val="21"/>
        </w:rPr>
        <w:t xml:space="preserve"> Medicare UCC attendances</w:t>
      </w:r>
      <w:r w:rsidR="00185058" w:rsidRPr="009B783C">
        <w:rPr>
          <w:szCs w:val="21"/>
        </w:rPr>
        <w:t xml:space="preserve"> </w:t>
      </w:r>
      <w:r w:rsidR="00493304" w:rsidRPr="009B783C">
        <w:rPr>
          <w:szCs w:val="21"/>
        </w:rPr>
        <w:t>related to avoided ED presentations</w:t>
      </w:r>
      <w:r w:rsidR="00692361" w:rsidRPr="009B783C">
        <w:rPr>
          <w:szCs w:val="21"/>
        </w:rPr>
        <w:t>, estimated to be $248 per presentation</w:t>
      </w:r>
      <w:r w:rsidR="0088655A" w:rsidRPr="009B783C">
        <w:rPr>
          <w:szCs w:val="21"/>
        </w:rPr>
        <w:t xml:space="preserve"> – which is slightly higher than </w:t>
      </w:r>
      <w:r w:rsidR="00DD5A43" w:rsidRPr="009B783C">
        <w:rPr>
          <w:szCs w:val="21"/>
        </w:rPr>
        <w:t xml:space="preserve">the average for all Medicare UCC attendances. This yields </w:t>
      </w:r>
      <w:r w:rsidR="008D2ECA" w:rsidRPr="009B783C">
        <w:rPr>
          <w:szCs w:val="21"/>
        </w:rPr>
        <w:t>a net saving to governments of around $368 per presentation.</w:t>
      </w:r>
    </w:p>
    <w:p w14:paraId="3DF8318E" w14:textId="0DE2B156" w:rsidR="00C17381" w:rsidRPr="009B783C" w:rsidRDefault="000135EA" w:rsidP="002E2EEF">
      <w:pPr>
        <w:rPr>
          <w:szCs w:val="21"/>
          <w:lang w:eastAsia="en-AU"/>
        </w:rPr>
      </w:pPr>
      <w:r w:rsidRPr="009B783C">
        <w:rPr>
          <w:szCs w:val="21"/>
        </w:rPr>
        <w:t>The</w:t>
      </w:r>
      <w:r w:rsidR="00073458" w:rsidRPr="009B783C">
        <w:rPr>
          <w:szCs w:val="21"/>
        </w:rPr>
        <w:t>se</w:t>
      </w:r>
      <w:r w:rsidRPr="009B783C">
        <w:rPr>
          <w:szCs w:val="21"/>
        </w:rPr>
        <w:t xml:space="preserve"> results will be </w:t>
      </w:r>
      <w:r w:rsidR="00D06EAC" w:rsidRPr="009B783C">
        <w:rPr>
          <w:szCs w:val="21"/>
        </w:rPr>
        <w:t xml:space="preserve">revisited and </w:t>
      </w:r>
      <w:r w:rsidRPr="009B783C">
        <w:rPr>
          <w:szCs w:val="21"/>
        </w:rPr>
        <w:t>refined through additional analyses in subsequent phases of the evaluation</w:t>
      </w:r>
      <w:r w:rsidR="00455532" w:rsidRPr="009B783C">
        <w:rPr>
          <w:szCs w:val="21"/>
        </w:rPr>
        <w:t xml:space="preserve">, including </w:t>
      </w:r>
      <w:r w:rsidR="00271B20" w:rsidRPr="009B783C">
        <w:rPr>
          <w:szCs w:val="21"/>
        </w:rPr>
        <w:t xml:space="preserve">inclusion </w:t>
      </w:r>
      <w:r w:rsidR="00FC5A0C" w:rsidRPr="009B783C">
        <w:rPr>
          <w:szCs w:val="21"/>
        </w:rPr>
        <w:t>of</w:t>
      </w:r>
      <w:r w:rsidR="008A611A" w:rsidRPr="009B783C">
        <w:rPr>
          <w:szCs w:val="21"/>
        </w:rPr>
        <w:t xml:space="preserve"> </w:t>
      </w:r>
      <w:r w:rsidR="00D06EAC" w:rsidRPr="009B783C">
        <w:rPr>
          <w:szCs w:val="21"/>
        </w:rPr>
        <w:t>data for all jurisdictions, costs associated with presentations to a Medicare UCC where the patient would have taken an alternative action</w:t>
      </w:r>
      <w:r w:rsidR="004034FD" w:rsidRPr="009B783C">
        <w:rPr>
          <w:szCs w:val="21"/>
        </w:rPr>
        <w:t xml:space="preserve"> other than attending an ED</w:t>
      </w:r>
      <w:r w:rsidR="00D06EAC" w:rsidRPr="009B783C">
        <w:rPr>
          <w:szCs w:val="21"/>
        </w:rPr>
        <w:t>, time savings for patients accessing urgent care through a Medicare UCC compared to an ED and costs incurred by patients (</w:t>
      </w:r>
      <w:r w:rsidR="00A023A1" w:rsidRPr="009B783C">
        <w:rPr>
          <w:szCs w:val="21"/>
        </w:rPr>
        <w:t>for example,</w:t>
      </w:r>
      <w:r w:rsidR="00D06EAC" w:rsidRPr="009B783C">
        <w:rPr>
          <w:szCs w:val="21"/>
        </w:rPr>
        <w:t xml:space="preserve"> travel expenses) to access a Medicare UCC</w:t>
      </w:r>
      <w:r w:rsidR="009F59C3" w:rsidRPr="009B783C">
        <w:rPr>
          <w:szCs w:val="21"/>
        </w:rPr>
        <w:t>,</w:t>
      </w:r>
      <w:r w:rsidR="00B547BA" w:rsidRPr="009B783C">
        <w:rPr>
          <w:szCs w:val="21"/>
        </w:rPr>
        <w:t xml:space="preserve"> </w:t>
      </w:r>
      <w:r w:rsidR="00D06EAC" w:rsidRPr="009B783C">
        <w:rPr>
          <w:szCs w:val="21"/>
        </w:rPr>
        <w:t>ED</w:t>
      </w:r>
      <w:r w:rsidR="00B547BA" w:rsidRPr="009B783C">
        <w:rPr>
          <w:szCs w:val="21"/>
        </w:rPr>
        <w:t xml:space="preserve"> or alternative</w:t>
      </w:r>
      <w:r w:rsidR="00D06EAC" w:rsidRPr="009B783C">
        <w:rPr>
          <w:szCs w:val="21"/>
        </w:rPr>
        <w:t xml:space="preserve">. </w:t>
      </w:r>
      <w:r w:rsidR="00D06EAC" w:rsidRPr="009B783C">
        <w:rPr>
          <w:szCs w:val="21"/>
          <w:lang w:eastAsia="en-AU"/>
        </w:rPr>
        <w:t>The analyses will also examine the sensitivity of the results to various assumptions and inputs, including estimates of the level of ED presentations avoided.</w:t>
      </w:r>
    </w:p>
    <w:p w14:paraId="7A2420E3" w14:textId="3288BFF1" w:rsidR="00C17381" w:rsidRPr="009B783C" w:rsidRDefault="00D33389" w:rsidP="0031172E">
      <w:pPr>
        <w:pStyle w:val="Heading1"/>
      </w:pPr>
      <w:bookmarkStart w:id="12" w:name="_Toc188534255"/>
      <w:bookmarkStart w:id="13" w:name="_Toc188546533"/>
      <w:bookmarkStart w:id="14" w:name="_Toc188946072"/>
      <w:bookmarkStart w:id="15" w:name="_Toc189639206"/>
      <w:bookmarkStart w:id="16" w:name="_Toc189772006"/>
      <w:bookmarkEnd w:id="12"/>
      <w:bookmarkEnd w:id="13"/>
      <w:bookmarkEnd w:id="14"/>
      <w:r w:rsidRPr="009B783C">
        <w:lastRenderedPageBreak/>
        <w:t xml:space="preserve">Interim Evaluation </w:t>
      </w:r>
      <w:r w:rsidR="00C17381" w:rsidRPr="009B783C">
        <w:t>Report 1</w:t>
      </w:r>
      <w:bookmarkEnd w:id="15"/>
      <w:bookmarkEnd w:id="16"/>
    </w:p>
    <w:p w14:paraId="570EA4AB" w14:textId="77777777" w:rsidR="00E7510E" w:rsidRPr="009B783C" w:rsidRDefault="00E7510E" w:rsidP="00A93D9C">
      <w:pPr>
        <w:pStyle w:val="Heading2"/>
        <w:ind w:left="426" w:hanging="426"/>
      </w:pPr>
      <w:bookmarkStart w:id="17" w:name="_Toc189639207"/>
      <w:bookmarkStart w:id="18" w:name="_Toc189772007"/>
      <w:r w:rsidRPr="009B783C">
        <w:t>In</w:t>
      </w:r>
      <w:r w:rsidR="002208C1" w:rsidRPr="009B783C">
        <w:t>t</w:t>
      </w:r>
      <w:r w:rsidRPr="009B783C">
        <w:t>roduction</w:t>
      </w:r>
      <w:bookmarkEnd w:id="17"/>
      <w:bookmarkEnd w:id="18"/>
    </w:p>
    <w:p w14:paraId="67D005DE" w14:textId="3C5EEFE1" w:rsidR="007537B1" w:rsidRPr="009B783C" w:rsidRDefault="00E7510E" w:rsidP="00D72916">
      <w:pPr>
        <w:rPr>
          <w:szCs w:val="21"/>
        </w:rPr>
      </w:pPr>
      <w:r w:rsidRPr="009B783C">
        <w:rPr>
          <w:szCs w:val="21"/>
          <w:lang w:eastAsia="en-AU"/>
        </w:rPr>
        <w:t xml:space="preserve">This report </w:t>
      </w:r>
      <w:r w:rsidR="004F0F19" w:rsidRPr="009B783C">
        <w:rPr>
          <w:szCs w:val="21"/>
          <w:lang w:eastAsia="en-AU"/>
        </w:rPr>
        <w:t xml:space="preserve">provides the first interim evaluation of the </w:t>
      </w:r>
      <w:r w:rsidR="00816F13" w:rsidRPr="009B783C">
        <w:rPr>
          <w:szCs w:val="21"/>
          <w:lang w:eastAsia="en-AU"/>
        </w:rPr>
        <w:t xml:space="preserve">Medicare </w:t>
      </w:r>
      <w:r w:rsidR="00C17381" w:rsidRPr="009B783C">
        <w:rPr>
          <w:szCs w:val="21"/>
          <w:lang w:eastAsia="en-AU"/>
        </w:rPr>
        <w:t>UCC</w:t>
      </w:r>
      <w:r w:rsidR="00816F13" w:rsidRPr="009B783C">
        <w:rPr>
          <w:szCs w:val="21"/>
          <w:lang w:eastAsia="en-AU"/>
        </w:rPr>
        <w:t xml:space="preserve"> pilot program</w:t>
      </w:r>
      <w:r w:rsidR="00977436" w:rsidRPr="009B783C">
        <w:rPr>
          <w:szCs w:val="21"/>
          <w:lang w:eastAsia="en-AU"/>
        </w:rPr>
        <w:t xml:space="preserve">, based on program implementation </w:t>
      </w:r>
      <w:r w:rsidR="00C17381" w:rsidRPr="009B783C">
        <w:rPr>
          <w:szCs w:val="21"/>
          <w:lang w:eastAsia="en-AU"/>
        </w:rPr>
        <w:t xml:space="preserve">and operations </w:t>
      </w:r>
      <w:r w:rsidR="00977436" w:rsidRPr="009B783C">
        <w:rPr>
          <w:szCs w:val="21"/>
          <w:lang w:eastAsia="en-AU"/>
        </w:rPr>
        <w:t xml:space="preserve">up </w:t>
      </w:r>
      <w:r w:rsidR="005974DB" w:rsidRPr="009B783C">
        <w:rPr>
          <w:szCs w:val="21"/>
          <w:lang w:eastAsia="en-AU"/>
        </w:rPr>
        <w:t>to 30</w:t>
      </w:r>
      <w:r w:rsidR="00977436" w:rsidRPr="009B783C">
        <w:rPr>
          <w:szCs w:val="21"/>
          <w:lang w:eastAsia="en-AU"/>
        </w:rPr>
        <w:t xml:space="preserve"> September 2024</w:t>
      </w:r>
      <w:r w:rsidR="00816F13" w:rsidRPr="009B783C">
        <w:rPr>
          <w:szCs w:val="21"/>
          <w:lang w:eastAsia="en-AU"/>
        </w:rPr>
        <w:t>.</w:t>
      </w:r>
      <w:r w:rsidR="008405CA" w:rsidRPr="009B783C">
        <w:rPr>
          <w:szCs w:val="21"/>
        </w:rPr>
        <w:t xml:space="preserve"> </w:t>
      </w:r>
      <w:r w:rsidR="007537B1" w:rsidRPr="009B783C">
        <w:rPr>
          <w:szCs w:val="21"/>
        </w:rPr>
        <w:t xml:space="preserve">Through the Medicare UCC Program, the Australian Government </w:t>
      </w:r>
      <w:r w:rsidR="00C17381" w:rsidRPr="009B783C">
        <w:rPr>
          <w:szCs w:val="21"/>
        </w:rPr>
        <w:t xml:space="preserve">is </w:t>
      </w:r>
      <w:r w:rsidR="006F1A8D" w:rsidRPr="009B783C">
        <w:rPr>
          <w:szCs w:val="21"/>
        </w:rPr>
        <w:t>investing $759.9 million over five years from 2022-23</w:t>
      </w:r>
      <w:r w:rsidR="002A114B" w:rsidRPr="009B783C">
        <w:rPr>
          <w:szCs w:val="21"/>
        </w:rPr>
        <w:t xml:space="preserve"> for a total of</w:t>
      </w:r>
      <w:r w:rsidR="007537B1" w:rsidRPr="009B783C">
        <w:rPr>
          <w:szCs w:val="21"/>
        </w:rPr>
        <w:t xml:space="preserve"> 87 Medicare UCCs across Australia, with 58 clinics implemented before 31 December 2023 and 29 clinics being implemented progressively from 1 July 2024</w:t>
      </w:r>
      <w:r w:rsidR="007537B1" w:rsidRPr="009B783C" w:rsidDel="007F2E3E">
        <w:rPr>
          <w:szCs w:val="21"/>
        </w:rPr>
        <w:t>.</w:t>
      </w:r>
      <w:r w:rsidR="003656A6" w:rsidRPr="009B783C">
        <w:rPr>
          <w:szCs w:val="21"/>
        </w:rPr>
        <w:t xml:space="preserve"> </w:t>
      </w:r>
      <w:r w:rsidR="00E15130" w:rsidRPr="009B783C">
        <w:rPr>
          <w:szCs w:val="21"/>
        </w:rPr>
        <w:t>By</w:t>
      </w:r>
      <w:r w:rsidR="007904A0" w:rsidRPr="009B783C">
        <w:rPr>
          <w:szCs w:val="21"/>
        </w:rPr>
        <w:t xml:space="preserve"> 30 September 2024</w:t>
      </w:r>
      <w:r w:rsidR="005F7634" w:rsidRPr="009B783C">
        <w:rPr>
          <w:szCs w:val="21"/>
        </w:rPr>
        <w:t xml:space="preserve"> (the cut-off date for </w:t>
      </w:r>
      <w:r w:rsidR="00491AAB" w:rsidRPr="009B783C">
        <w:rPr>
          <w:szCs w:val="21"/>
        </w:rPr>
        <w:t>analysis of clinic data for this evaluation report)</w:t>
      </w:r>
      <w:r w:rsidR="00E15130" w:rsidRPr="009B783C">
        <w:rPr>
          <w:szCs w:val="21"/>
        </w:rPr>
        <w:t>,</w:t>
      </w:r>
      <w:r w:rsidR="00B9179C" w:rsidRPr="009B783C">
        <w:rPr>
          <w:szCs w:val="21"/>
        </w:rPr>
        <w:t xml:space="preserve"> </w:t>
      </w:r>
      <w:r w:rsidR="00DC7453" w:rsidRPr="009B783C">
        <w:rPr>
          <w:szCs w:val="21"/>
        </w:rPr>
        <w:t xml:space="preserve">75 Medicare UCCs had been </w:t>
      </w:r>
      <w:r w:rsidR="00E63728" w:rsidRPr="009B783C">
        <w:rPr>
          <w:szCs w:val="21"/>
        </w:rPr>
        <w:t>implemented</w:t>
      </w:r>
      <w:r w:rsidR="00DC7453" w:rsidRPr="009B783C">
        <w:rPr>
          <w:szCs w:val="21"/>
        </w:rPr>
        <w:t>.</w:t>
      </w:r>
    </w:p>
    <w:p w14:paraId="327DF602" w14:textId="565B8AF7" w:rsidR="007537B1" w:rsidRPr="009B783C" w:rsidRDefault="007537B1" w:rsidP="00D72916">
      <w:pPr>
        <w:rPr>
          <w:szCs w:val="21"/>
        </w:rPr>
      </w:pPr>
      <w:r w:rsidRPr="009B783C">
        <w:rPr>
          <w:szCs w:val="21"/>
        </w:rPr>
        <w:t xml:space="preserve">Medicare UCCs are staffed and equipped to provide treatment </w:t>
      </w:r>
      <w:r w:rsidRPr="009B783C">
        <w:rPr>
          <w:i/>
          <w:szCs w:val="21"/>
        </w:rPr>
        <w:t>for urgent non-life-threatening conditions</w:t>
      </w:r>
      <w:r w:rsidRPr="009B783C">
        <w:rPr>
          <w:szCs w:val="21"/>
        </w:rPr>
        <w:t>, including access to diagnostic services. They are open for extended hours, offer walk-in services without the need for appointments and provide care with no out-of-pocket cost</w:t>
      </w:r>
      <w:r w:rsidR="002A4039" w:rsidRPr="009B783C">
        <w:rPr>
          <w:szCs w:val="21"/>
        </w:rPr>
        <w:t>s</w:t>
      </w:r>
      <w:r w:rsidRPr="009B783C">
        <w:rPr>
          <w:szCs w:val="21"/>
        </w:rPr>
        <w:t xml:space="preserve"> for patients.</w:t>
      </w:r>
    </w:p>
    <w:p w14:paraId="255374D5" w14:textId="10EF0890" w:rsidR="00C17381" w:rsidRPr="009B783C" w:rsidRDefault="00C17381" w:rsidP="00D72916">
      <w:pPr>
        <w:rPr>
          <w:szCs w:val="21"/>
        </w:rPr>
      </w:pPr>
      <w:r w:rsidRPr="009B783C">
        <w:rPr>
          <w:szCs w:val="21"/>
        </w:rPr>
        <w:t xml:space="preserve">The clinics are operated by existing general practices, ACCHS and other community health services. Each Medicare UCC has a local partner public hospital ED and is expected to integrate with local health services. </w:t>
      </w:r>
    </w:p>
    <w:p w14:paraId="0DB5DB82" w14:textId="21255A50" w:rsidR="007537B1" w:rsidRPr="009B783C" w:rsidRDefault="007537B1" w:rsidP="00D72916">
      <w:pPr>
        <w:rPr>
          <w:szCs w:val="21"/>
        </w:rPr>
      </w:pPr>
      <w:r w:rsidRPr="009B783C">
        <w:rPr>
          <w:szCs w:val="21"/>
        </w:rPr>
        <w:t>Medicare UCCs refer patients to their usual primary care provider for follow up care</w:t>
      </w:r>
      <w:r w:rsidR="00444942" w:rsidRPr="009B783C">
        <w:rPr>
          <w:szCs w:val="21"/>
        </w:rPr>
        <w:t xml:space="preserve"> and/or</w:t>
      </w:r>
      <w:r w:rsidRPr="009B783C">
        <w:rPr>
          <w:szCs w:val="21"/>
        </w:rPr>
        <w:t xml:space="preserve"> where presentations are out of scope of the Medicare UCC and can be safely and more appropriately managed by the usual primary care provider</w:t>
      </w:r>
      <w:r w:rsidR="00C17381" w:rsidRPr="009B783C">
        <w:rPr>
          <w:szCs w:val="21"/>
        </w:rPr>
        <w:t>.</w:t>
      </w:r>
      <w:r w:rsidRPr="009B783C">
        <w:rPr>
          <w:szCs w:val="21"/>
        </w:rPr>
        <w:t xml:space="preserve"> </w:t>
      </w:r>
    </w:p>
    <w:p w14:paraId="14B2D2AF" w14:textId="3D284631" w:rsidR="00344547" w:rsidRPr="009B783C" w:rsidRDefault="00344547" w:rsidP="00D72916">
      <w:pPr>
        <w:rPr>
          <w:szCs w:val="21"/>
        </w:rPr>
      </w:pPr>
      <w:r w:rsidRPr="009B783C">
        <w:rPr>
          <w:szCs w:val="21"/>
          <w:lang w:eastAsia="en-AU"/>
        </w:rPr>
        <w:t>The Department engaged Health Policy Analysis (HPA) to undertake the evaluation</w:t>
      </w:r>
      <w:r w:rsidR="00734B9D" w:rsidRPr="009B783C">
        <w:rPr>
          <w:szCs w:val="21"/>
          <w:lang w:eastAsia="en-AU"/>
        </w:rPr>
        <w:t xml:space="preserve"> of the Medicare UCCs</w:t>
      </w:r>
      <w:r w:rsidRPr="009B783C">
        <w:rPr>
          <w:szCs w:val="21"/>
          <w:lang w:eastAsia="en-AU"/>
        </w:rPr>
        <w:t xml:space="preserve">. HPA was subsequently acquired (in August 2024) by Nous and the evaluation team was integrated into Nous. </w:t>
      </w:r>
      <w:r w:rsidRPr="009B783C">
        <w:rPr>
          <w:szCs w:val="21"/>
        </w:rPr>
        <w:t xml:space="preserve">Nous is an independent </w:t>
      </w:r>
      <w:r w:rsidR="008326B8" w:rsidRPr="009B783C">
        <w:rPr>
          <w:szCs w:val="21"/>
        </w:rPr>
        <w:t xml:space="preserve">Australian-owned </w:t>
      </w:r>
      <w:r w:rsidRPr="009B783C">
        <w:rPr>
          <w:szCs w:val="21"/>
        </w:rPr>
        <w:t>consulting firm with extensive experience evaluating complex government initiatives across Australia</w:t>
      </w:r>
      <w:r w:rsidR="008326B8" w:rsidRPr="009B783C">
        <w:rPr>
          <w:szCs w:val="21"/>
        </w:rPr>
        <w:t>, Canada and the U</w:t>
      </w:r>
      <w:r w:rsidR="003D731F" w:rsidRPr="009B783C">
        <w:rPr>
          <w:szCs w:val="21"/>
        </w:rPr>
        <w:t xml:space="preserve">nited </w:t>
      </w:r>
      <w:r w:rsidR="008326B8" w:rsidRPr="009B783C">
        <w:rPr>
          <w:szCs w:val="21"/>
        </w:rPr>
        <w:t>K</w:t>
      </w:r>
      <w:r w:rsidR="003D731F" w:rsidRPr="009B783C">
        <w:rPr>
          <w:szCs w:val="21"/>
        </w:rPr>
        <w:t>ingdom</w:t>
      </w:r>
      <w:r w:rsidR="009B7D44" w:rsidRPr="009B783C">
        <w:rPr>
          <w:szCs w:val="21"/>
        </w:rPr>
        <w:t xml:space="preserve"> (UK)</w:t>
      </w:r>
      <w:r w:rsidR="008326B8" w:rsidRPr="009B783C">
        <w:rPr>
          <w:szCs w:val="21"/>
        </w:rPr>
        <w:t>.</w:t>
      </w:r>
    </w:p>
    <w:p w14:paraId="36893497" w14:textId="161DD494" w:rsidR="00AB369A" w:rsidRPr="009B783C" w:rsidRDefault="008405CA" w:rsidP="00D72916">
      <w:pPr>
        <w:rPr>
          <w:szCs w:val="21"/>
          <w:lang w:eastAsia="en-AU"/>
        </w:rPr>
      </w:pPr>
      <w:r w:rsidRPr="009B783C">
        <w:rPr>
          <w:szCs w:val="21"/>
        </w:rPr>
        <w:t xml:space="preserve">The </w:t>
      </w:r>
      <w:r w:rsidR="00D962D9" w:rsidRPr="009B783C">
        <w:rPr>
          <w:szCs w:val="21"/>
          <w:lang w:eastAsia="en-AU"/>
        </w:rPr>
        <w:t xml:space="preserve">Medicare UCC </w:t>
      </w:r>
      <w:r w:rsidRPr="009B783C">
        <w:rPr>
          <w:szCs w:val="21"/>
        </w:rPr>
        <w:t xml:space="preserve">evaluation will assess the </w:t>
      </w:r>
      <w:r w:rsidR="00525334" w:rsidRPr="009B783C">
        <w:rPr>
          <w:szCs w:val="21"/>
        </w:rPr>
        <w:t>p</w:t>
      </w:r>
      <w:r w:rsidRPr="009B783C">
        <w:rPr>
          <w:szCs w:val="21"/>
        </w:rPr>
        <w:t xml:space="preserve">rogram against </w:t>
      </w:r>
      <w:r w:rsidR="00444942" w:rsidRPr="009B783C">
        <w:rPr>
          <w:szCs w:val="21"/>
        </w:rPr>
        <w:t xml:space="preserve">the </w:t>
      </w:r>
      <w:r w:rsidRPr="009B783C">
        <w:rPr>
          <w:szCs w:val="21"/>
        </w:rPr>
        <w:t>nine Measures of Success agreed by the Australian, and state and territory governments</w:t>
      </w:r>
      <w:r w:rsidR="00DF6E62" w:rsidRPr="009B783C">
        <w:rPr>
          <w:szCs w:val="21"/>
        </w:rPr>
        <w:t xml:space="preserve"> (</w:t>
      </w:r>
      <w:r w:rsidR="00DF6E62" w:rsidRPr="009B783C">
        <w:rPr>
          <w:szCs w:val="21"/>
        </w:rPr>
        <w:fldChar w:fldCharType="begin"/>
      </w:r>
      <w:r w:rsidR="00DF6E62" w:rsidRPr="009B783C">
        <w:rPr>
          <w:szCs w:val="21"/>
        </w:rPr>
        <w:instrText xml:space="preserve"> REF _Ref189645119 \h </w:instrText>
      </w:r>
      <w:r w:rsidR="00DF6E62" w:rsidRPr="009B783C">
        <w:rPr>
          <w:szCs w:val="21"/>
        </w:rPr>
      </w:r>
      <w:r w:rsidR="00DF6E62" w:rsidRPr="009B783C">
        <w:rPr>
          <w:szCs w:val="21"/>
        </w:rPr>
        <w:fldChar w:fldCharType="separate"/>
      </w:r>
      <w:r w:rsidR="00DF6E62" w:rsidRPr="009B783C">
        <w:rPr>
          <w:szCs w:val="21"/>
        </w:rPr>
        <w:t>Table 1</w:t>
      </w:r>
      <w:r w:rsidR="00DF6E62" w:rsidRPr="009B783C">
        <w:rPr>
          <w:szCs w:val="21"/>
        </w:rPr>
        <w:fldChar w:fldCharType="end"/>
      </w:r>
      <w:r w:rsidR="00AB369A" w:rsidRPr="009B783C">
        <w:rPr>
          <w:szCs w:val="21"/>
        </w:rPr>
        <w:t>)</w:t>
      </w:r>
      <w:r w:rsidRPr="009B783C">
        <w:rPr>
          <w:szCs w:val="21"/>
        </w:rPr>
        <w:t>. The evaluation will provide evidence-based recommendations to inform future health policy decisions.</w:t>
      </w:r>
      <w:r w:rsidR="008A611A" w:rsidRPr="009B783C">
        <w:rPr>
          <w:szCs w:val="21"/>
        </w:rPr>
        <w:t xml:space="preserve"> </w:t>
      </w:r>
      <w:r w:rsidR="00C17381" w:rsidRPr="009B783C">
        <w:rPr>
          <w:szCs w:val="21"/>
          <w:lang w:eastAsia="en-AU"/>
        </w:rPr>
        <w:t xml:space="preserve">This first Interim </w:t>
      </w:r>
      <w:r w:rsidR="009B307D" w:rsidRPr="009B783C">
        <w:rPr>
          <w:szCs w:val="21"/>
          <w:lang w:eastAsia="en-AU"/>
        </w:rPr>
        <w:t xml:space="preserve">Evaluation </w:t>
      </w:r>
      <w:r w:rsidR="00C17381" w:rsidRPr="009B783C">
        <w:rPr>
          <w:szCs w:val="21"/>
          <w:lang w:eastAsia="en-AU"/>
        </w:rPr>
        <w:t xml:space="preserve">Report will be followed by a second Interim Evaluation Report in late 2025 and a </w:t>
      </w:r>
      <w:r w:rsidR="009B307D" w:rsidRPr="009B783C">
        <w:rPr>
          <w:szCs w:val="21"/>
          <w:lang w:eastAsia="en-AU"/>
        </w:rPr>
        <w:t>Final</w:t>
      </w:r>
      <w:r w:rsidR="00C17381" w:rsidRPr="009B783C">
        <w:rPr>
          <w:szCs w:val="21"/>
          <w:lang w:eastAsia="en-AU"/>
        </w:rPr>
        <w:t xml:space="preserve"> </w:t>
      </w:r>
      <w:r w:rsidR="00FC5BE6" w:rsidRPr="009B783C">
        <w:rPr>
          <w:szCs w:val="21"/>
        </w:rPr>
        <w:t xml:space="preserve">Evaluation </w:t>
      </w:r>
      <w:r w:rsidR="00C17381" w:rsidRPr="009B783C">
        <w:rPr>
          <w:szCs w:val="21"/>
          <w:lang w:eastAsia="en-AU"/>
        </w:rPr>
        <w:t>Report in 2026.</w:t>
      </w:r>
    </w:p>
    <w:p w14:paraId="1B55DBB6" w14:textId="150DDACD" w:rsidR="00DF6E62" w:rsidRPr="009B783C" w:rsidRDefault="00DF6E62" w:rsidP="00DF6E62">
      <w:pPr>
        <w:pStyle w:val="Caption"/>
        <w:rPr>
          <w:szCs w:val="21"/>
        </w:rPr>
      </w:pPr>
      <w:bookmarkStart w:id="19" w:name="_Ref189645119"/>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1</w:t>
      </w:r>
      <w:r w:rsidRPr="009B783C">
        <w:rPr>
          <w:szCs w:val="21"/>
        </w:rPr>
        <w:fldChar w:fldCharType="end"/>
      </w:r>
      <w:bookmarkEnd w:id="19"/>
      <w:r w:rsidRPr="009B783C">
        <w:rPr>
          <w:szCs w:val="21"/>
        </w:rPr>
        <w:t xml:space="preserve"> | Nationally agreed Measures of Success for the Medicare UCC Program</w:t>
      </w:r>
    </w:p>
    <w:tbl>
      <w:tblPr>
        <w:tblStyle w:val="NOUSSideHeader1"/>
        <w:tblW w:w="0" w:type="auto"/>
        <w:tblCellMar>
          <w:bottom w:w="28" w:type="dxa"/>
        </w:tblCellMar>
        <w:tblLook w:val="04A0" w:firstRow="1" w:lastRow="0" w:firstColumn="1" w:lastColumn="0" w:noHBand="0" w:noVBand="1"/>
      </w:tblPr>
      <w:tblGrid>
        <w:gridCol w:w="567"/>
        <w:gridCol w:w="8353"/>
      </w:tblGrid>
      <w:tr w:rsidR="0032785F" w:rsidRPr="009B783C" w14:paraId="12DABBD7" w14:textId="77777777" w:rsidTr="009F2196">
        <w:trPr>
          <w:cnfStyle w:val="100000000000" w:firstRow="1" w:lastRow="0" w:firstColumn="0" w:lastColumn="0" w:oddVBand="0" w:evenVBand="0" w:oddHBand="0" w:evenHBand="0" w:firstRowFirstColumn="0" w:firstRowLastColumn="0" w:lastRowFirstColumn="0" w:lastRowLastColumn="0"/>
        </w:trPr>
        <w:tc>
          <w:tcPr>
            <w:tcW w:w="567" w:type="dxa"/>
            <w:tcBorders>
              <w:top w:val="single" w:sz="4" w:space="0" w:color="auto"/>
              <w:bottom w:val="single" w:sz="4" w:space="0" w:color="00264D" w:themeColor="background2"/>
            </w:tcBorders>
            <w:shd w:val="clear" w:color="auto" w:fill="00264D" w:themeFill="background2"/>
          </w:tcPr>
          <w:p w14:paraId="41B2BCAF" w14:textId="77777777" w:rsidR="0032785F" w:rsidRPr="009B783C" w:rsidRDefault="0032785F" w:rsidP="0032785F">
            <w:pPr>
              <w:rPr>
                <w:rFonts w:asciiTheme="majorHAnsi" w:hAnsiTheme="majorHAnsi" w:cstheme="majorHAnsi"/>
                <w:color w:val="FFFFFF" w:themeColor="background1"/>
                <w:sz w:val="23"/>
                <w:szCs w:val="23"/>
              </w:rPr>
            </w:pPr>
          </w:p>
        </w:tc>
        <w:tc>
          <w:tcPr>
            <w:tcW w:w="8353" w:type="dxa"/>
            <w:tcBorders>
              <w:top w:val="single" w:sz="4" w:space="0" w:color="auto"/>
              <w:bottom w:val="single" w:sz="4" w:space="0" w:color="00264D" w:themeColor="background2"/>
            </w:tcBorders>
            <w:shd w:val="clear" w:color="auto" w:fill="00264D" w:themeFill="background2"/>
          </w:tcPr>
          <w:p w14:paraId="00FD5CB8" w14:textId="040F1978" w:rsidR="0032785F" w:rsidRPr="00387D99" w:rsidRDefault="00142C3B" w:rsidP="00786482">
            <w:pPr>
              <w:pStyle w:val="TableNheader"/>
            </w:pPr>
            <w:r w:rsidRPr="00387D99">
              <w:t>Measures of Success</w:t>
            </w:r>
          </w:p>
        </w:tc>
      </w:tr>
      <w:tr w:rsidR="0032785F" w:rsidRPr="009B783C" w14:paraId="05EDCD25" w14:textId="77777777" w:rsidTr="00C941C8">
        <w:trPr>
          <w:cnfStyle w:val="000000100000" w:firstRow="0" w:lastRow="0" w:firstColumn="0" w:lastColumn="0" w:oddVBand="0" w:evenVBand="0" w:oddHBand="1" w:evenHBand="0"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6C64D509" w14:textId="03595345" w:rsidR="0032785F" w:rsidRPr="009B783C" w:rsidRDefault="00142C3B" w:rsidP="0032785F">
            <w:pPr>
              <w:rPr>
                <w:szCs w:val="21"/>
              </w:rPr>
            </w:pPr>
            <w:r w:rsidRPr="009B783C">
              <w:rPr>
                <w:szCs w:val="21"/>
              </w:rPr>
              <w:t>1</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34DACDF" w14:textId="7D39CB45" w:rsidR="0032785F" w:rsidRPr="009B783C" w:rsidRDefault="00C05EDA" w:rsidP="0032785F">
            <w:pPr>
              <w:rPr>
                <w:szCs w:val="21"/>
                <w:lang w:val="en-GB"/>
              </w:rPr>
            </w:pPr>
            <w:r w:rsidRPr="620A8401">
              <w:rPr>
                <w:szCs w:val="21"/>
                <w:lang w:val="en-GB"/>
              </w:rPr>
              <w:t>Patients receive timely treatment for urgent non-life-threatening conditions in Medicare UCCs.</w:t>
            </w:r>
          </w:p>
        </w:tc>
      </w:tr>
      <w:tr w:rsidR="0032785F" w:rsidRPr="009B783C" w14:paraId="69541B00" w14:textId="77777777" w:rsidTr="00C941C8">
        <w:trPr>
          <w:cnfStyle w:val="000000010000" w:firstRow="0" w:lastRow="0" w:firstColumn="0" w:lastColumn="0" w:oddVBand="0" w:evenVBand="0" w:oddHBand="0" w:evenHBand="1"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0EE3A7BC" w14:textId="14DC22B6" w:rsidR="0032785F" w:rsidRPr="009B783C" w:rsidRDefault="00142C3B" w:rsidP="0032785F">
            <w:pPr>
              <w:rPr>
                <w:szCs w:val="21"/>
              </w:rPr>
            </w:pPr>
            <w:r w:rsidRPr="009B783C">
              <w:rPr>
                <w:szCs w:val="21"/>
              </w:rPr>
              <w:t>2</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EA69FFA" w14:textId="3800EB22" w:rsidR="0032785F" w:rsidRPr="009B783C" w:rsidRDefault="00C05EDA" w:rsidP="0032785F">
            <w:pPr>
              <w:rPr>
                <w:szCs w:val="21"/>
              </w:rPr>
            </w:pPr>
            <w:r w:rsidRPr="009B783C">
              <w:rPr>
                <w:szCs w:val="21"/>
              </w:rPr>
              <w:t>Medicare UCCs provide safe and quality treatment to patients.</w:t>
            </w:r>
          </w:p>
        </w:tc>
      </w:tr>
      <w:tr w:rsidR="0032785F" w:rsidRPr="009B783C" w14:paraId="77AF59C5" w14:textId="77777777" w:rsidTr="00C941C8">
        <w:trPr>
          <w:cnfStyle w:val="000000100000" w:firstRow="0" w:lastRow="0" w:firstColumn="0" w:lastColumn="0" w:oddVBand="0" w:evenVBand="0" w:oddHBand="1" w:evenHBand="0"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5A9CBF64" w14:textId="5C2C4CC6" w:rsidR="0032785F" w:rsidRPr="009B783C" w:rsidRDefault="00142C3B" w:rsidP="0032785F">
            <w:pPr>
              <w:rPr>
                <w:szCs w:val="21"/>
              </w:rPr>
            </w:pPr>
            <w:r w:rsidRPr="009B783C">
              <w:rPr>
                <w:szCs w:val="21"/>
              </w:rPr>
              <w:t>3</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A674ADA" w14:textId="581ABA0E" w:rsidR="0032785F" w:rsidRPr="009B783C" w:rsidRDefault="00C05EDA" w:rsidP="0032785F">
            <w:pPr>
              <w:rPr>
                <w:szCs w:val="21"/>
              </w:rPr>
            </w:pPr>
            <w:r w:rsidRPr="009B783C">
              <w:rPr>
                <w:szCs w:val="21"/>
              </w:rPr>
              <w:t>Medicare UCCs deliver coordinated care for Medicare UCC patients.</w:t>
            </w:r>
          </w:p>
        </w:tc>
      </w:tr>
      <w:tr w:rsidR="0032785F" w:rsidRPr="009B783C" w14:paraId="45C3B2C2" w14:textId="77777777" w:rsidTr="00C941C8">
        <w:trPr>
          <w:cnfStyle w:val="000000010000" w:firstRow="0" w:lastRow="0" w:firstColumn="0" w:lastColumn="0" w:oddVBand="0" w:evenVBand="0" w:oddHBand="0" w:evenHBand="1"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1D13CCD6" w14:textId="2A8A2BA9" w:rsidR="0032785F" w:rsidRPr="009B783C" w:rsidRDefault="00142C3B" w:rsidP="0032785F">
            <w:pPr>
              <w:rPr>
                <w:szCs w:val="21"/>
              </w:rPr>
            </w:pPr>
            <w:r w:rsidRPr="009B783C">
              <w:rPr>
                <w:szCs w:val="21"/>
              </w:rPr>
              <w:lastRenderedPageBreak/>
              <w:t>4</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BA5E15F" w14:textId="658B25EF" w:rsidR="0032785F" w:rsidRPr="009B783C" w:rsidRDefault="00C05EDA" w:rsidP="0032785F">
            <w:pPr>
              <w:rPr>
                <w:szCs w:val="21"/>
              </w:rPr>
            </w:pPr>
            <w:r w:rsidRPr="009B783C">
              <w:rPr>
                <w:szCs w:val="21"/>
              </w:rPr>
              <w:t>Medicare UCCs provide a positive experience for patient/carer.</w:t>
            </w:r>
          </w:p>
        </w:tc>
      </w:tr>
      <w:tr w:rsidR="0032785F" w:rsidRPr="009B783C" w14:paraId="00A0644F" w14:textId="77777777" w:rsidTr="00C941C8">
        <w:trPr>
          <w:cnfStyle w:val="000000100000" w:firstRow="0" w:lastRow="0" w:firstColumn="0" w:lastColumn="0" w:oddVBand="0" w:evenVBand="0" w:oddHBand="1" w:evenHBand="0"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7FAD8D9F" w14:textId="11B9C32C" w:rsidR="0032785F" w:rsidRPr="009B783C" w:rsidRDefault="00142C3B" w:rsidP="0032785F">
            <w:pPr>
              <w:rPr>
                <w:szCs w:val="21"/>
              </w:rPr>
            </w:pPr>
            <w:r w:rsidRPr="009B783C">
              <w:rPr>
                <w:szCs w:val="21"/>
              </w:rPr>
              <w:t>5</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01F021A" w14:textId="104B1B60" w:rsidR="0032785F" w:rsidRPr="009B783C" w:rsidRDefault="00C05EDA" w:rsidP="0032785F">
            <w:pPr>
              <w:rPr>
                <w:szCs w:val="21"/>
              </w:rPr>
            </w:pPr>
            <w:r w:rsidRPr="009B783C">
              <w:rPr>
                <w:szCs w:val="21"/>
              </w:rPr>
              <w:t>Medicare UCCs provide a positive experience for providers at Medicare UCCs, in partner hospital EDs and in local GP practices.</w:t>
            </w:r>
          </w:p>
        </w:tc>
      </w:tr>
      <w:tr w:rsidR="00142C3B" w:rsidRPr="009B783C" w14:paraId="1826C7C5" w14:textId="77777777" w:rsidTr="00C941C8">
        <w:trPr>
          <w:cnfStyle w:val="000000010000" w:firstRow="0" w:lastRow="0" w:firstColumn="0" w:lastColumn="0" w:oddVBand="0" w:evenVBand="0" w:oddHBand="0" w:evenHBand="1"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21EC418F" w14:textId="0C1EF2D1" w:rsidR="00142C3B" w:rsidRPr="009B783C" w:rsidRDefault="00142C3B" w:rsidP="0032785F">
            <w:pPr>
              <w:rPr>
                <w:szCs w:val="21"/>
              </w:rPr>
            </w:pPr>
            <w:r w:rsidRPr="009B783C">
              <w:rPr>
                <w:szCs w:val="21"/>
              </w:rPr>
              <w:t>6</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F9BD427" w14:textId="6F7F008E" w:rsidR="00142C3B" w:rsidRPr="009B783C" w:rsidRDefault="00FA6F3C" w:rsidP="0032785F">
            <w:pPr>
              <w:rPr>
                <w:szCs w:val="21"/>
              </w:rPr>
            </w:pPr>
            <w:r w:rsidRPr="009B783C">
              <w:rPr>
                <w:szCs w:val="21"/>
              </w:rPr>
              <w:t>Medicare UCCs reduce pressure on hospital ED presentations at partner hospitals.</w:t>
            </w:r>
          </w:p>
        </w:tc>
      </w:tr>
      <w:tr w:rsidR="00142C3B" w:rsidRPr="009B783C" w14:paraId="64E3DDAE" w14:textId="77777777" w:rsidTr="00C941C8">
        <w:trPr>
          <w:cnfStyle w:val="000000100000" w:firstRow="0" w:lastRow="0" w:firstColumn="0" w:lastColumn="0" w:oddVBand="0" w:evenVBand="0" w:oddHBand="1" w:evenHBand="0"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366C99B2" w14:textId="1A55FB51" w:rsidR="00142C3B" w:rsidRPr="009B783C" w:rsidRDefault="00142C3B" w:rsidP="0032785F">
            <w:pPr>
              <w:rPr>
                <w:szCs w:val="21"/>
              </w:rPr>
            </w:pPr>
            <w:r w:rsidRPr="009B783C">
              <w:rPr>
                <w:szCs w:val="21"/>
              </w:rPr>
              <w:t>7</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F5116C7" w14:textId="3B1ACBC0" w:rsidR="00142C3B" w:rsidRPr="009B783C" w:rsidRDefault="00FA6F3C" w:rsidP="0032785F">
            <w:pPr>
              <w:rPr>
                <w:szCs w:val="21"/>
              </w:rPr>
            </w:pPr>
            <w:r w:rsidRPr="009B783C">
              <w:rPr>
                <w:szCs w:val="21"/>
              </w:rPr>
              <w:t>There is a change in consumer behaviour over time to use Medicare UCCs where available instead of EDs for urgent non-life-threatening conditions.</w:t>
            </w:r>
          </w:p>
        </w:tc>
      </w:tr>
      <w:tr w:rsidR="00142C3B" w:rsidRPr="009B783C" w14:paraId="53A2157B" w14:textId="77777777" w:rsidTr="00C941C8">
        <w:trPr>
          <w:cnfStyle w:val="000000010000" w:firstRow="0" w:lastRow="0" w:firstColumn="0" w:lastColumn="0" w:oddVBand="0" w:evenVBand="0" w:oddHBand="0" w:evenHBand="1"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48EE13A8" w14:textId="6F971F86" w:rsidR="00142C3B" w:rsidRPr="009B783C" w:rsidRDefault="00142C3B" w:rsidP="0032785F">
            <w:pPr>
              <w:rPr>
                <w:szCs w:val="21"/>
              </w:rPr>
            </w:pPr>
            <w:r w:rsidRPr="009B783C">
              <w:rPr>
                <w:szCs w:val="21"/>
              </w:rPr>
              <w:t>8</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0750086" w14:textId="1612741E" w:rsidR="00142C3B" w:rsidRPr="009B783C" w:rsidRDefault="00FA6F3C" w:rsidP="0032785F">
            <w:pPr>
              <w:rPr>
                <w:szCs w:val="21"/>
              </w:rPr>
            </w:pPr>
            <w:r w:rsidRPr="009B783C">
              <w:rPr>
                <w:szCs w:val="21"/>
              </w:rPr>
              <w:t>Medicare UCCs, PHNs, Healthdirect, jurisdictions and the health ecosystem have established an effective coordinated care option for people with urgent non-life-threatening conditions.</w:t>
            </w:r>
          </w:p>
        </w:tc>
      </w:tr>
      <w:tr w:rsidR="00142C3B" w:rsidRPr="009B783C" w14:paraId="772171DC" w14:textId="77777777" w:rsidTr="00C941C8">
        <w:trPr>
          <w:cnfStyle w:val="000000100000" w:firstRow="0" w:lastRow="0" w:firstColumn="0" w:lastColumn="0" w:oddVBand="0" w:evenVBand="0" w:oddHBand="1" w:evenHBand="0" w:firstRowFirstColumn="0" w:firstRowLastColumn="0" w:lastRowFirstColumn="0" w:lastRowLastColumn="0"/>
        </w:trPr>
        <w:tc>
          <w:tcPr>
            <w:tcW w:w="567"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2F2F2" w:themeFill="background1" w:themeFillShade="F2"/>
          </w:tcPr>
          <w:p w14:paraId="1A14F676" w14:textId="591A00A1" w:rsidR="00142C3B" w:rsidRPr="009B783C" w:rsidRDefault="00142C3B" w:rsidP="0032785F">
            <w:pPr>
              <w:rPr>
                <w:szCs w:val="21"/>
              </w:rPr>
            </w:pPr>
            <w:r w:rsidRPr="009B783C">
              <w:rPr>
                <w:szCs w:val="21"/>
              </w:rPr>
              <w:t>9</w:t>
            </w:r>
          </w:p>
        </w:tc>
        <w:tc>
          <w:tcPr>
            <w:tcW w:w="835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13FC97C" w14:textId="534B21FD" w:rsidR="00142C3B" w:rsidRPr="009B783C" w:rsidRDefault="00FA6F3C" w:rsidP="0032785F">
            <w:pPr>
              <w:rPr>
                <w:szCs w:val="21"/>
              </w:rPr>
            </w:pPr>
            <w:r w:rsidRPr="009B783C">
              <w:rPr>
                <w:szCs w:val="21"/>
              </w:rPr>
              <w:t>Medicare UCCs are cost-effective.</w:t>
            </w:r>
          </w:p>
        </w:tc>
      </w:tr>
    </w:tbl>
    <w:p w14:paraId="089FFA13" w14:textId="07699168" w:rsidR="00A40F0A" w:rsidRPr="009B783C" w:rsidRDefault="00A40F0A" w:rsidP="003E79FA">
      <w:pPr>
        <w:pStyle w:val="Heading2"/>
        <w:ind w:left="426" w:hanging="426"/>
      </w:pPr>
      <w:bookmarkStart w:id="20" w:name="_Ref188966978"/>
      <w:bookmarkStart w:id="21" w:name="_Toc189639208"/>
      <w:bookmarkStart w:id="22" w:name="_Toc189772008"/>
      <w:r w:rsidRPr="009B783C">
        <w:t xml:space="preserve">What is </w:t>
      </w:r>
      <w:r w:rsidR="00453362" w:rsidRPr="009B783C">
        <w:t>u</w:t>
      </w:r>
      <w:r w:rsidRPr="009B783C">
        <w:t xml:space="preserve">rgent </w:t>
      </w:r>
      <w:r w:rsidR="00453362" w:rsidRPr="009B783C">
        <w:t>c</w:t>
      </w:r>
      <w:r w:rsidRPr="009B783C">
        <w:t>are?</w:t>
      </w:r>
      <w:bookmarkEnd w:id="20"/>
      <w:bookmarkEnd w:id="21"/>
      <w:bookmarkEnd w:id="22"/>
    </w:p>
    <w:p w14:paraId="7BBB58A0" w14:textId="30BA346B" w:rsidR="00D91491" w:rsidRPr="009B783C" w:rsidRDefault="00D95FE8" w:rsidP="00D72916">
      <w:pPr>
        <w:spacing w:before="240"/>
        <w:rPr>
          <w:szCs w:val="21"/>
          <w:lang w:val="en-US"/>
        </w:rPr>
      </w:pPr>
      <w:r w:rsidRPr="620A8401">
        <w:rPr>
          <w:szCs w:val="21"/>
          <w:lang w:val="en-US"/>
        </w:rPr>
        <w:t xml:space="preserve">The text </w:t>
      </w:r>
      <w:r w:rsidR="00DD428F" w:rsidRPr="620A8401">
        <w:rPr>
          <w:szCs w:val="21"/>
          <w:lang w:val="en-US"/>
        </w:rPr>
        <w:t>below</w:t>
      </w:r>
      <w:r w:rsidRPr="620A8401">
        <w:rPr>
          <w:szCs w:val="21"/>
          <w:lang w:val="en-US"/>
        </w:rPr>
        <w:t xml:space="preserve"> </w:t>
      </w:r>
      <w:r w:rsidR="00C17381" w:rsidRPr="620A8401">
        <w:rPr>
          <w:szCs w:val="21"/>
          <w:lang w:val="en-US"/>
        </w:rPr>
        <w:t xml:space="preserve">describes </w:t>
      </w:r>
      <w:r w:rsidR="0059207F" w:rsidRPr="620A8401">
        <w:rPr>
          <w:szCs w:val="21"/>
          <w:lang w:val="en-US"/>
        </w:rPr>
        <w:t xml:space="preserve">what </w:t>
      </w:r>
      <w:r w:rsidR="00FC1072" w:rsidRPr="620A8401">
        <w:rPr>
          <w:szCs w:val="21"/>
          <w:lang w:val="en-US"/>
        </w:rPr>
        <w:t>urgent care is</w:t>
      </w:r>
      <w:r w:rsidR="0059207F" w:rsidRPr="620A8401">
        <w:rPr>
          <w:szCs w:val="21"/>
          <w:lang w:val="en-US"/>
        </w:rPr>
        <w:t xml:space="preserve"> and the</w:t>
      </w:r>
      <w:r w:rsidR="00C17381" w:rsidRPr="620A8401">
        <w:rPr>
          <w:szCs w:val="21"/>
          <w:lang w:val="en-US"/>
        </w:rPr>
        <w:t xml:space="preserve"> different levels of urgency and severity of patients' medical conditions</w:t>
      </w:r>
      <w:r w:rsidR="00DF1BF5" w:rsidRPr="620A8401">
        <w:rPr>
          <w:szCs w:val="21"/>
          <w:lang w:val="en-US"/>
        </w:rPr>
        <w:t>.</w:t>
      </w:r>
      <w:r w:rsidRPr="620A8401">
        <w:rPr>
          <w:rStyle w:val="FootnoteReference"/>
          <w:szCs w:val="21"/>
          <w:lang w:val="en-US"/>
        </w:rPr>
        <w:footnoteReference w:id="2"/>
      </w:r>
    </w:p>
    <w:p w14:paraId="7ACF84F2" w14:textId="52085B60" w:rsidR="00D95FE8" w:rsidRPr="004A5E10" w:rsidRDefault="00D95FE8" w:rsidP="00D72916">
      <w:pPr>
        <w:spacing w:before="240"/>
        <w:rPr>
          <w:b/>
          <w:bCs/>
          <w:color w:val="00264D" w:themeColor="background2"/>
          <w:szCs w:val="21"/>
        </w:rPr>
      </w:pPr>
      <w:r w:rsidRPr="004A5E10">
        <w:rPr>
          <w:b/>
          <w:bCs/>
          <w:color w:val="00264D" w:themeColor="background2"/>
          <w:szCs w:val="21"/>
        </w:rPr>
        <w:t>Emergency Care</w:t>
      </w:r>
    </w:p>
    <w:p w14:paraId="766BCBE4" w14:textId="7D301D6D" w:rsidR="00D95FE8" w:rsidRPr="009B783C" w:rsidRDefault="008E61E2" w:rsidP="00D72916">
      <w:pPr>
        <w:spacing w:before="240"/>
        <w:rPr>
          <w:szCs w:val="21"/>
          <w:lang w:val="en-US"/>
        </w:rPr>
      </w:pPr>
      <w:r>
        <w:rPr>
          <w:szCs w:val="21"/>
          <w:lang w:val="en-US"/>
        </w:rPr>
        <w:t>Provided for e</w:t>
      </w:r>
      <w:r w:rsidR="0096529D" w:rsidRPr="620A8401">
        <w:rPr>
          <w:szCs w:val="21"/>
          <w:lang w:val="en-US"/>
        </w:rPr>
        <w:t>mergency or life-threatening illnesses and injuries which require immediate medical attention and management</w:t>
      </w:r>
      <w:r w:rsidR="00A64A87">
        <w:rPr>
          <w:szCs w:val="21"/>
          <w:lang w:val="en-US"/>
        </w:rPr>
        <w:t>, including</w:t>
      </w:r>
      <w:r w:rsidR="0096529D" w:rsidRPr="620A8401">
        <w:rPr>
          <w:szCs w:val="21"/>
          <w:lang w:val="en-US"/>
        </w:rPr>
        <w:t xml:space="preserve"> critical symptoms/conditions such as chest pain, breathing difficulties, uncontrolled bleeding and severe burns. Patients requiring emergency care are advised to call emergency services or seek immediate attention at ED.</w:t>
      </w:r>
    </w:p>
    <w:p w14:paraId="714573FC" w14:textId="4787A23D" w:rsidR="0096529D" w:rsidRPr="004A5E10" w:rsidRDefault="0096529D" w:rsidP="00D72916">
      <w:pPr>
        <w:spacing w:before="240"/>
        <w:rPr>
          <w:b/>
          <w:bCs/>
          <w:color w:val="00264D" w:themeColor="background2"/>
          <w:szCs w:val="21"/>
        </w:rPr>
      </w:pPr>
      <w:r w:rsidRPr="004A5E10">
        <w:rPr>
          <w:b/>
          <w:bCs/>
          <w:color w:val="00264D" w:themeColor="background2"/>
          <w:szCs w:val="21"/>
        </w:rPr>
        <w:t>Urgent Care</w:t>
      </w:r>
    </w:p>
    <w:p w14:paraId="5ECDD591" w14:textId="4BC306B0" w:rsidR="0096529D" w:rsidRPr="009B783C" w:rsidRDefault="0096529D" w:rsidP="00D72916">
      <w:pPr>
        <w:spacing w:before="240"/>
        <w:rPr>
          <w:szCs w:val="21"/>
        </w:rPr>
      </w:pPr>
      <w:r w:rsidRPr="009B783C">
        <w:rPr>
          <w:szCs w:val="21"/>
        </w:rPr>
        <w:t>Provided for medical conditions that are non-life-threatening but cannot wait for a regular appointment with a GP. These conditions may include injuries, illnesses, or symptoms that need treatment within a few hours or on the same day. Patients seeking urgent care may go to a GP, an after-hours GP service, or an urgent care clinic.</w:t>
      </w:r>
    </w:p>
    <w:p w14:paraId="59827EA9" w14:textId="73146B97" w:rsidR="0096529D" w:rsidRPr="009B783C" w:rsidRDefault="0096529D" w:rsidP="00DD428F">
      <w:pPr>
        <w:spacing w:before="240"/>
        <w:rPr>
          <w:szCs w:val="21"/>
        </w:rPr>
      </w:pPr>
      <w:r w:rsidRPr="009B783C">
        <w:rPr>
          <w:szCs w:val="21"/>
        </w:rPr>
        <w:t>A person may seek urgent care for the following conditions:</w:t>
      </w:r>
    </w:p>
    <w:p w14:paraId="22CB02F6" w14:textId="77777777" w:rsidR="00DD428F" w:rsidRPr="009B783C" w:rsidRDefault="00DD428F" w:rsidP="00DD428F">
      <w:pPr>
        <w:pStyle w:val="Bullet"/>
        <w:rPr>
          <w:szCs w:val="21"/>
        </w:rPr>
      </w:pPr>
      <w:r w:rsidRPr="009B783C">
        <w:rPr>
          <w:szCs w:val="21"/>
        </w:rPr>
        <w:t>Minor infections</w:t>
      </w:r>
    </w:p>
    <w:p w14:paraId="613D5794" w14:textId="77777777" w:rsidR="00DD428F" w:rsidRPr="009B783C" w:rsidRDefault="00DD428F" w:rsidP="00DD428F">
      <w:pPr>
        <w:pStyle w:val="Bullet"/>
        <w:rPr>
          <w:szCs w:val="21"/>
        </w:rPr>
      </w:pPr>
      <w:r w:rsidRPr="009B783C">
        <w:rPr>
          <w:szCs w:val="21"/>
        </w:rPr>
        <w:t>Minor fractures, sprains, sports injuries, and neck and back pain</w:t>
      </w:r>
    </w:p>
    <w:p w14:paraId="0955BC29" w14:textId="77777777" w:rsidR="00DD428F" w:rsidRPr="009B783C" w:rsidRDefault="00DD428F" w:rsidP="00DD428F">
      <w:pPr>
        <w:pStyle w:val="Bullet"/>
        <w:rPr>
          <w:szCs w:val="21"/>
        </w:rPr>
      </w:pPr>
      <w:r w:rsidRPr="009B783C">
        <w:rPr>
          <w:szCs w:val="21"/>
        </w:rPr>
        <w:t>Urinary tract infections (UTIs)</w:t>
      </w:r>
    </w:p>
    <w:p w14:paraId="392019E2" w14:textId="77777777" w:rsidR="00DD428F" w:rsidRPr="009B783C" w:rsidRDefault="00DD428F" w:rsidP="00DD428F">
      <w:pPr>
        <w:pStyle w:val="Bullet"/>
        <w:rPr>
          <w:szCs w:val="21"/>
        </w:rPr>
      </w:pPr>
      <w:r w:rsidRPr="009B783C">
        <w:rPr>
          <w:szCs w:val="21"/>
        </w:rPr>
        <w:lastRenderedPageBreak/>
        <w:t>Sexually transmitted infections (STIs)</w:t>
      </w:r>
    </w:p>
    <w:p w14:paraId="1F8DB44B" w14:textId="77777777" w:rsidR="00DD428F" w:rsidRPr="009B783C" w:rsidRDefault="00DD428F" w:rsidP="00DD428F">
      <w:pPr>
        <w:pStyle w:val="Bullet"/>
        <w:rPr>
          <w:szCs w:val="21"/>
        </w:rPr>
      </w:pPr>
      <w:r w:rsidRPr="009B783C">
        <w:rPr>
          <w:szCs w:val="21"/>
        </w:rPr>
        <w:t>Minor cuts</w:t>
      </w:r>
    </w:p>
    <w:p w14:paraId="1A4A55C6" w14:textId="77777777" w:rsidR="00DD428F" w:rsidRPr="009B783C" w:rsidRDefault="00DD428F" w:rsidP="00DD428F">
      <w:pPr>
        <w:pStyle w:val="Bullet"/>
        <w:rPr>
          <w:szCs w:val="21"/>
        </w:rPr>
      </w:pPr>
      <w:r w:rsidRPr="009B783C">
        <w:rPr>
          <w:szCs w:val="21"/>
        </w:rPr>
        <w:t>Insect bites and rashes</w:t>
      </w:r>
    </w:p>
    <w:p w14:paraId="30C94D12" w14:textId="77777777" w:rsidR="00DD428F" w:rsidRPr="009B783C" w:rsidRDefault="00DD428F" w:rsidP="00DD428F">
      <w:pPr>
        <w:pStyle w:val="Bullet"/>
        <w:rPr>
          <w:szCs w:val="21"/>
        </w:rPr>
      </w:pPr>
      <w:r w:rsidRPr="009B783C">
        <w:rPr>
          <w:szCs w:val="21"/>
        </w:rPr>
        <w:t>Minor eye and ear problems</w:t>
      </w:r>
    </w:p>
    <w:p w14:paraId="359E7199" w14:textId="77777777" w:rsidR="00DD428F" w:rsidRPr="009B783C" w:rsidRDefault="00DD428F" w:rsidP="00DD428F">
      <w:pPr>
        <w:pStyle w:val="Bullet"/>
        <w:rPr>
          <w:szCs w:val="21"/>
        </w:rPr>
      </w:pPr>
      <w:r w:rsidRPr="009B783C">
        <w:rPr>
          <w:szCs w:val="21"/>
        </w:rPr>
        <w:t>Respiratory illness</w:t>
      </w:r>
    </w:p>
    <w:p w14:paraId="1A78CE0E" w14:textId="77777777" w:rsidR="00DD428F" w:rsidRPr="009B783C" w:rsidRDefault="00DD428F" w:rsidP="00DD428F">
      <w:pPr>
        <w:pStyle w:val="Bullet"/>
        <w:rPr>
          <w:szCs w:val="21"/>
        </w:rPr>
      </w:pPr>
      <w:r w:rsidRPr="009B783C">
        <w:rPr>
          <w:szCs w:val="21"/>
        </w:rPr>
        <w:t>Gastroenteritis</w:t>
      </w:r>
    </w:p>
    <w:p w14:paraId="63EE258D" w14:textId="2785AFE7" w:rsidR="0096529D" w:rsidRPr="009B783C" w:rsidRDefault="00DD428F" w:rsidP="00DD428F">
      <w:pPr>
        <w:pStyle w:val="Bullet"/>
        <w:rPr>
          <w:szCs w:val="21"/>
        </w:rPr>
      </w:pPr>
      <w:r w:rsidRPr="009B783C">
        <w:rPr>
          <w:szCs w:val="21"/>
        </w:rPr>
        <w:t>Mild burns</w:t>
      </w:r>
    </w:p>
    <w:p w14:paraId="13796BFC" w14:textId="60FBD23C" w:rsidR="0054040C" w:rsidRPr="004A5E10" w:rsidRDefault="00DD428F" w:rsidP="00DD428F">
      <w:pPr>
        <w:rPr>
          <w:b/>
          <w:bCs/>
          <w:color w:val="00264D" w:themeColor="background2"/>
          <w:szCs w:val="21"/>
        </w:rPr>
      </w:pPr>
      <w:r w:rsidRPr="004A5E10">
        <w:rPr>
          <w:b/>
          <w:bCs/>
          <w:color w:val="00264D" w:themeColor="background2"/>
          <w:szCs w:val="21"/>
        </w:rPr>
        <w:t>General Health Care</w:t>
      </w:r>
    </w:p>
    <w:p w14:paraId="710A8CFF" w14:textId="79846201" w:rsidR="00DD428F" w:rsidRPr="009B783C" w:rsidRDefault="00DD428F" w:rsidP="00467E98">
      <w:pPr>
        <w:spacing w:after="360"/>
        <w:rPr>
          <w:szCs w:val="21"/>
          <w:lang w:val="en-US"/>
        </w:rPr>
      </w:pPr>
      <w:r w:rsidRPr="620A8401">
        <w:rPr>
          <w:szCs w:val="21"/>
          <w:lang w:val="en-US"/>
        </w:rPr>
        <w:t>Provided for non-emergency, routine and preventative care. It includes diagnosis and treatment of a wide range of diseases and illnesses, general screening, vaccinations and prescriptions, mental health advice, family planning advice, referrals for tests, scans and specialist care. Patients seeking non-urgent care can schedule appointments with their regular GP or primary care provider.</w:t>
      </w:r>
    </w:p>
    <w:p w14:paraId="33112F42" w14:textId="3EC1E82A" w:rsidR="00557FA6" w:rsidRPr="009B783C" w:rsidRDefault="00961F4B" w:rsidP="00642228">
      <w:pPr>
        <w:rPr>
          <w:szCs w:val="21"/>
        </w:rPr>
      </w:pPr>
      <w:r w:rsidRPr="009B783C">
        <w:rPr>
          <w:szCs w:val="21"/>
        </w:rPr>
        <w:t xml:space="preserve">Nous </w:t>
      </w:r>
      <w:r w:rsidR="00466335" w:rsidRPr="009B783C">
        <w:rPr>
          <w:szCs w:val="21"/>
        </w:rPr>
        <w:t>is using</w:t>
      </w:r>
      <w:r w:rsidRPr="009B783C">
        <w:rPr>
          <w:szCs w:val="21"/>
        </w:rPr>
        <w:t xml:space="preserve"> the </w:t>
      </w:r>
      <w:r w:rsidR="00557FA6" w:rsidRPr="009B783C">
        <w:rPr>
          <w:szCs w:val="21"/>
        </w:rPr>
        <w:t>National Healthcare Agreement indicator</w:t>
      </w:r>
      <w:r w:rsidR="00557FA6" w:rsidRPr="009B783C">
        <w:rPr>
          <w:szCs w:val="21"/>
          <w:vertAlign w:val="superscript"/>
        </w:rPr>
        <w:footnoteReference w:id="3"/>
      </w:r>
      <w:r w:rsidR="00557FA6" w:rsidRPr="009B783C">
        <w:rPr>
          <w:szCs w:val="21"/>
        </w:rPr>
        <w:t xml:space="preserve"> definition of </w:t>
      </w:r>
      <w:r w:rsidR="00557FA6" w:rsidRPr="009B783C">
        <w:rPr>
          <w:i/>
          <w:szCs w:val="21"/>
        </w:rPr>
        <w:t>urgent care equivalent activity in ED</w:t>
      </w:r>
      <w:r w:rsidR="00557FA6" w:rsidRPr="009B783C">
        <w:rPr>
          <w:szCs w:val="21"/>
        </w:rPr>
        <w:t xml:space="preserve"> for </w:t>
      </w:r>
      <w:r w:rsidR="004B0CA4" w:rsidRPr="009B783C">
        <w:rPr>
          <w:szCs w:val="21"/>
        </w:rPr>
        <w:t xml:space="preserve">the </w:t>
      </w:r>
      <w:r w:rsidR="00557FA6" w:rsidRPr="009B783C">
        <w:rPr>
          <w:szCs w:val="21"/>
        </w:rPr>
        <w:t>analysis</w:t>
      </w:r>
      <w:r w:rsidR="004963B3" w:rsidRPr="009B783C">
        <w:rPr>
          <w:szCs w:val="21"/>
        </w:rPr>
        <w:t xml:space="preserve"> in this evaluation</w:t>
      </w:r>
      <w:r w:rsidR="00557FA6" w:rsidRPr="009B783C">
        <w:rPr>
          <w:szCs w:val="21"/>
        </w:rPr>
        <w:t xml:space="preserve">. The National Healthcare Agreement indicator defines </w:t>
      </w:r>
      <w:r w:rsidR="00A16CB9" w:rsidRPr="009B783C">
        <w:rPr>
          <w:szCs w:val="21"/>
        </w:rPr>
        <w:t>this as</w:t>
      </w:r>
      <w:r w:rsidR="00557FA6" w:rsidRPr="009B783C">
        <w:rPr>
          <w:szCs w:val="21"/>
        </w:rPr>
        <w:t xml:space="preserve"> potentially avoidable </w:t>
      </w:r>
      <w:r w:rsidR="00F73FC0" w:rsidRPr="009B783C">
        <w:rPr>
          <w:szCs w:val="21"/>
        </w:rPr>
        <w:t>g</w:t>
      </w:r>
      <w:r w:rsidR="003241B5" w:rsidRPr="009B783C">
        <w:rPr>
          <w:szCs w:val="21"/>
        </w:rPr>
        <w:t xml:space="preserve">eneral </w:t>
      </w:r>
      <w:r w:rsidR="00F73FC0" w:rsidRPr="009B783C">
        <w:rPr>
          <w:szCs w:val="21"/>
        </w:rPr>
        <w:t>p</w:t>
      </w:r>
      <w:r w:rsidR="003241B5" w:rsidRPr="009B783C">
        <w:rPr>
          <w:szCs w:val="21"/>
        </w:rPr>
        <w:t>ractice</w:t>
      </w:r>
      <w:r w:rsidR="0053728E" w:rsidRPr="009B783C">
        <w:rPr>
          <w:szCs w:val="21"/>
        </w:rPr>
        <w:t xml:space="preserve"> </w:t>
      </w:r>
      <w:r w:rsidR="00557FA6" w:rsidRPr="009B783C">
        <w:rPr>
          <w:szCs w:val="21"/>
        </w:rPr>
        <w:t>type presentations to public hospital EDs where the patient:</w:t>
      </w:r>
    </w:p>
    <w:p w14:paraId="354EB518" w14:textId="2FF4780A" w:rsidR="00C17381" w:rsidRPr="009B783C" w:rsidRDefault="00C17381" w:rsidP="00642228">
      <w:pPr>
        <w:pStyle w:val="Bullet"/>
        <w:rPr>
          <w:szCs w:val="21"/>
          <w:lang w:val="en-GB"/>
        </w:rPr>
      </w:pPr>
      <w:r w:rsidRPr="620A8401">
        <w:rPr>
          <w:szCs w:val="21"/>
          <w:lang w:val="en-GB"/>
        </w:rPr>
        <w:t xml:space="preserve">was allocated a triage category of </w:t>
      </w:r>
      <w:r w:rsidR="009B307D" w:rsidRPr="620A8401">
        <w:rPr>
          <w:szCs w:val="21"/>
          <w:lang w:val="en-GB"/>
        </w:rPr>
        <w:t>four of five</w:t>
      </w:r>
      <w:r w:rsidRPr="620A8401">
        <w:rPr>
          <w:szCs w:val="21"/>
          <w:lang w:val="en-GB"/>
        </w:rPr>
        <w:t xml:space="preserve"> on the Australasian Triage Scale</w:t>
      </w:r>
      <w:r w:rsidR="009B307D" w:rsidRPr="620A8401">
        <w:rPr>
          <w:szCs w:val="21"/>
          <w:lang w:val="en-GB"/>
        </w:rPr>
        <w:t xml:space="preserve"> (ATS)</w:t>
      </w:r>
    </w:p>
    <w:p w14:paraId="27862373" w14:textId="77777777" w:rsidR="004963B3" w:rsidRPr="009B783C" w:rsidRDefault="00557FA6" w:rsidP="00642228">
      <w:pPr>
        <w:pStyle w:val="Bullet"/>
        <w:rPr>
          <w:szCs w:val="21"/>
        </w:rPr>
      </w:pPr>
      <w:r w:rsidRPr="009B783C">
        <w:rPr>
          <w:szCs w:val="21"/>
        </w:rPr>
        <w:t>did not arrive by ambulance, police, or correctional vehicle</w:t>
      </w:r>
    </w:p>
    <w:p w14:paraId="600AC26D" w14:textId="77777777" w:rsidR="004963B3" w:rsidRPr="009B783C" w:rsidRDefault="00557FA6" w:rsidP="00642228">
      <w:pPr>
        <w:pStyle w:val="Bullet"/>
        <w:rPr>
          <w:szCs w:val="21"/>
        </w:rPr>
      </w:pPr>
      <w:r w:rsidRPr="009B783C">
        <w:rPr>
          <w:szCs w:val="21"/>
        </w:rPr>
        <w:t>was not admitted to the hospital, not referred to another hospital, or did not die.</w:t>
      </w:r>
      <w:r w:rsidRPr="009B783C">
        <w:rPr>
          <w:rStyle w:val="FootnoteReference"/>
          <w:szCs w:val="21"/>
        </w:rPr>
        <w:footnoteReference w:id="4"/>
      </w:r>
      <w:r w:rsidR="00B5184A" w:rsidRPr="009B783C">
        <w:rPr>
          <w:szCs w:val="21"/>
          <w:vertAlign w:val="superscript"/>
        </w:rPr>
        <w:t>,</w:t>
      </w:r>
      <w:r w:rsidR="00B5184A" w:rsidRPr="009B783C">
        <w:rPr>
          <w:rStyle w:val="FootnoteReference"/>
          <w:szCs w:val="21"/>
        </w:rPr>
        <w:footnoteReference w:id="5"/>
      </w:r>
    </w:p>
    <w:p w14:paraId="17D1ACA9" w14:textId="50ADE542" w:rsidR="00181331" w:rsidRPr="009B783C" w:rsidRDefault="00AC4710" w:rsidP="00642228">
      <w:pPr>
        <w:rPr>
          <w:szCs w:val="21"/>
          <w:lang w:val="en-US"/>
        </w:rPr>
      </w:pPr>
      <w:r w:rsidRPr="620A8401">
        <w:rPr>
          <w:szCs w:val="21"/>
          <w:lang w:val="en-US"/>
        </w:rPr>
        <w:t xml:space="preserve">The indicator is included in the suite of performance measures reported under the current National Healthcare Agreement and used in reports published by </w:t>
      </w:r>
      <w:r w:rsidR="0006582B" w:rsidRPr="620A8401">
        <w:rPr>
          <w:szCs w:val="21"/>
          <w:lang w:val="en-US"/>
        </w:rPr>
        <w:t>the Australian Institute of Health and Welfare (</w:t>
      </w:r>
      <w:r w:rsidRPr="620A8401">
        <w:rPr>
          <w:szCs w:val="21"/>
          <w:lang w:val="en-US"/>
        </w:rPr>
        <w:t>AIHW</w:t>
      </w:r>
      <w:r w:rsidR="0006582B" w:rsidRPr="620A8401">
        <w:rPr>
          <w:szCs w:val="21"/>
          <w:lang w:val="en-US"/>
        </w:rPr>
        <w:t>)</w:t>
      </w:r>
      <w:r w:rsidRPr="620A8401">
        <w:rPr>
          <w:szCs w:val="21"/>
          <w:lang w:val="en-US"/>
        </w:rPr>
        <w:t>. Several other methods for defining urgent care equivalent activity in EDs have been referred to in the literature and these generally apply a more restrictive definition.</w:t>
      </w:r>
      <w:r w:rsidRPr="620A8401">
        <w:rPr>
          <w:szCs w:val="21"/>
          <w:vertAlign w:val="superscript"/>
          <w:lang w:val="en-US"/>
        </w:rPr>
        <w:footnoteReference w:id="6"/>
      </w:r>
      <w:r w:rsidRPr="620A8401">
        <w:rPr>
          <w:szCs w:val="21"/>
          <w:lang w:val="en-US"/>
        </w:rPr>
        <w:t xml:space="preserve"> The sensitivity of the estimated effects will be tested by examining other definitions, where data</w:t>
      </w:r>
      <w:r w:rsidR="00890565" w:rsidRPr="620A8401">
        <w:rPr>
          <w:szCs w:val="21"/>
          <w:lang w:val="en-US"/>
        </w:rPr>
        <w:t xml:space="preserve"> is</w:t>
      </w:r>
      <w:r w:rsidRPr="620A8401">
        <w:rPr>
          <w:szCs w:val="21"/>
          <w:lang w:val="en-US"/>
        </w:rPr>
        <w:t xml:space="preserve"> available to do this.</w:t>
      </w:r>
    </w:p>
    <w:p w14:paraId="61D999CC" w14:textId="77777777" w:rsidR="00186108" w:rsidRPr="009B783C" w:rsidRDefault="00186108" w:rsidP="003E79FA">
      <w:pPr>
        <w:pStyle w:val="Heading2"/>
        <w:ind w:left="426" w:hanging="426"/>
      </w:pPr>
      <w:bookmarkStart w:id="23" w:name="_Ref185508811"/>
      <w:bookmarkStart w:id="24" w:name="_Toc189639209"/>
      <w:bookmarkStart w:id="25" w:name="_Toc189772009"/>
      <w:r w:rsidRPr="009B783C">
        <w:lastRenderedPageBreak/>
        <w:t xml:space="preserve">The </w:t>
      </w:r>
      <w:r w:rsidR="00466335" w:rsidRPr="009B783C">
        <w:t>p</w:t>
      </w:r>
      <w:r w:rsidRPr="009B783C">
        <w:t xml:space="preserve">olicy </w:t>
      </w:r>
      <w:r w:rsidR="00466335" w:rsidRPr="009B783C">
        <w:t>c</w:t>
      </w:r>
      <w:r w:rsidRPr="009B783C">
        <w:t>ontext</w:t>
      </w:r>
      <w:bookmarkEnd w:id="23"/>
      <w:bookmarkEnd w:id="24"/>
      <w:bookmarkEnd w:id="25"/>
    </w:p>
    <w:p w14:paraId="73EE0F1B" w14:textId="3A40F5B6" w:rsidR="00247D7C" w:rsidRPr="009B783C" w:rsidRDefault="00A43803" w:rsidP="00642228">
      <w:pPr>
        <w:rPr>
          <w:szCs w:val="21"/>
          <w:lang w:val="en-US"/>
        </w:rPr>
      </w:pPr>
      <w:r w:rsidRPr="620A8401">
        <w:rPr>
          <w:szCs w:val="21"/>
          <w:lang w:val="en-US"/>
        </w:rPr>
        <w:t xml:space="preserve">The Medicare UCC Program </w:t>
      </w:r>
      <w:r w:rsidR="009B5510" w:rsidRPr="620A8401">
        <w:rPr>
          <w:szCs w:val="21"/>
          <w:lang w:val="en-US"/>
        </w:rPr>
        <w:t>was implemented to provide</w:t>
      </w:r>
      <w:r w:rsidRPr="620A8401">
        <w:rPr>
          <w:szCs w:val="21"/>
          <w:lang w:val="en-US"/>
        </w:rPr>
        <w:t xml:space="preserve"> a coordinated, system-level response to improving access to urgent care while maintaining efficient use of ED resources.</w:t>
      </w:r>
      <w:r w:rsidR="00082318" w:rsidRPr="620A8401">
        <w:rPr>
          <w:szCs w:val="21"/>
          <w:lang w:val="en-US"/>
        </w:rPr>
        <w:t xml:space="preserve"> </w:t>
      </w:r>
      <w:r w:rsidR="001B5513" w:rsidRPr="620A8401">
        <w:rPr>
          <w:szCs w:val="21"/>
          <w:lang w:val="en-US"/>
        </w:rPr>
        <w:t xml:space="preserve">It forms part of the Australian Government’s broader response to recommendations of the Strengthening Medicare Taskforce. </w:t>
      </w:r>
    </w:p>
    <w:p w14:paraId="0EC68383" w14:textId="716CE343" w:rsidR="00295B68" w:rsidRPr="009B783C" w:rsidRDefault="001B5513" w:rsidP="00642228">
      <w:pPr>
        <w:rPr>
          <w:szCs w:val="21"/>
          <w:lang w:val="en-US"/>
        </w:rPr>
      </w:pPr>
      <w:r w:rsidRPr="620A8401">
        <w:rPr>
          <w:szCs w:val="21"/>
          <w:lang w:val="en-US"/>
        </w:rPr>
        <w:t xml:space="preserve">The Program </w:t>
      </w:r>
      <w:r w:rsidR="00C17381" w:rsidRPr="620A8401">
        <w:rPr>
          <w:szCs w:val="21"/>
          <w:lang w:val="en-US"/>
        </w:rPr>
        <w:t>establishes</w:t>
      </w:r>
      <w:r w:rsidR="003136D6" w:rsidRPr="620A8401">
        <w:rPr>
          <w:szCs w:val="21"/>
          <w:lang w:val="en-US"/>
        </w:rPr>
        <w:t xml:space="preserve"> Medicare</w:t>
      </w:r>
      <w:r w:rsidRPr="620A8401">
        <w:rPr>
          <w:szCs w:val="21"/>
          <w:lang w:val="en-US"/>
        </w:rPr>
        <w:t xml:space="preserve"> </w:t>
      </w:r>
      <w:r w:rsidR="003136D6" w:rsidRPr="620A8401">
        <w:rPr>
          <w:szCs w:val="21"/>
          <w:lang w:val="en-US"/>
        </w:rPr>
        <w:t>UCC</w:t>
      </w:r>
      <w:r w:rsidRPr="620A8401">
        <w:rPr>
          <w:szCs w:val="21"/>
          <w:lang w:val="en-US"/>
        </w:rPr>
        <w:t xml:space="preserve">s across Australia </w:t>
      </w:r>
      <w:r w:rsidR="001C3016" w:rsidRPr="620A8401">
        <w:rPr>
          <w:szCs w:val="21"/>
          <w:lang w:val="en-US"/>
        </w:rPr>
        <w:t xml:space="preserve">that </w:t>
      </w:r>
      <w:r w:rsidR="00C17381" w:rsidRPr="620A8401">
        <w:rPr>
          <w:szCs w:val="21"/>
          <w:lang w:val="en-US"/>
        </w:rPr>
        <w:t xml:space="preserve">aim </w:t>
      </w:r>
      <w:r w:rsidRPr="620A8401">
        <w:rPr>
          <w:szCs w:val="21"/>
          <w:lang w:val="en-US"/>
        </w:rPr>
        <w:t xml:space="preserve">to alleviate pressure on hospital EDs by offering short-term, episodic care for </w:t>
      </w:r>
      <w:r w:rsidRPr="620A8401">
        <w:rPr>
          <w:i/>
          <w:szCs w:val="21"/>
          <w:lang w:val="en-US"/>
        </w:rPr>
        <w:t>urgent but non-life-threatening conditions.</w:t>
      </w:r>
      <w:r w:rsidRPr="620A8401">
        <w:rPr>
          <w:szCs w:val="21"/>
          <w:lang w:val="en-US"/>
        </w:rPr>
        <w:t xml:space="preserve"> </w:t>
      </w:r>
      <w:r w:rsidR="008F3DE0" w:rsidRPr="620A8401">
        <w:rPr>
          <w:szCs w:val="21"/>
          <w:lang w:val="en-US"/>
        </w:rPr>
        <w:t xml:space="preserve">Specifically, </w:t>
      </w:r>
      <w:r w:rsidR="00295B68" w:rsidRPr="620A8401">
        <w:rPr>
          <w:szCs w:val="21"/>
          <w:lang w:val="en-US"/>
        </w:rPr>
        <w:t xml:space="preserve">it seeks to divert </w:t>
      </w:r>
      <w:r w:rsidR="00D26223" w:rsidRPr="620A8401">
        <w:rPr>
          <w:szCs w:val="21"/>
          <w:lang w:val="en-US"/>
        </w:rPr>
        <w:t>triage</w:t>
      </w:r>
      <w:r w:rsidR="00295B68" w:rsidRPr="620A8401">
        <w:rPr>
          <w:szCs w:val="21"/>
          <w:lang w:val="en-US"/>
        </w:rPr>
        <w:t xml:space="preserve"> </w:t>
      </w:r>
      <w:r w:rsidR="00565A3A" w:rsidRPr="620A8401">
        <w:rPr>
          <w:szCs w:val="21"/>
          <w:lang w:val="en-US"/>
        </w:rPr>
        <w:t>categories four</w:t>
      </w:r>
      <w:r w:rsidR="00295B68" w:rsidRPr="620A8401">
        <w:rPr>
          <w:szCs w:val="21"/>
          <w:lang w:val="en-US"/>
        </w:rPr>
        <w:t xml:space="preserve"> </w:t>
      </w:r>
      <w:r w:rsidR="00213B5D" w:rsidRPr="620A8401">
        <w:rPr>
          <w:szCs w:val="21"/>
          <w:lang w:val="en-US"/>
        </w:rPr>
        <w:t xml:space="preserve">(semi-urgent) </w:t>
      </w:r>
      <w:r w:rsidR="00295B68" w:rsidRPr="620A8401">
        <w:rPr>
          <w:szCs w:val="21"/>
          <w:lang w:val="en-US"/>
        </w:rPr>
        <w:t xml:space="preserve">and </w:t>
      </w:r>
      <w:r w:rsidR="00565A3A" w:rsidRPr="620A8401">
        <w:rPr>
          <w:szCs w:val="21"/>
          <w:lang w:val="en-US"/>
        </w:rPr>
        <w:t>five</w:t>
      </w:r>
      <w:r w:rsidR="00295B68" w:rsidRPr="620A8401">
        <w:rPr>
          <w:szCs w:val="21"/>
          <w:lang w:val="en-US"/>
        </w:rPr>
        <w:t xml:space="preserve"> </w:t>
      </w:r>
      <w:r w:rsidR="00213B5D" w:rsidRPr="620A8401">
        <w:rPr>
          <w:szCs w:val="21"/>
          <w:lang w:val="en-US"/>
        </w:rPr>
        <w:t xml:space="preserve">(non-urgent) </w:t>
      </w:r>
      <w:r w:rsidR="00CB60F9" w:rsidRPr="620A8401">
        <w:rPr>
          <w:szCs w:val="21"/>
          <w:lang w:val="en-US"/>
        </w:rPr>
        <w:t>urgent care equivalent</w:t>
      </w:r>
      <w:r w:rsidR="00277D2E" w:rsidRPr="620A8401">
        <w:rPr>
          <w:szCs w:val="21"/>
          <w:lang w:val="en-US"/>
        </w:rPr>
        <w:t xml:space="preserve"> presentations </w:t>
      </w:r>
      <w:r w:rsidR="00295B68" w:rsidRPr="620A8401">
        <w:rPr>
          <w:szCs w:val="21"/>
          <w:lang w:val="en-US"/>
        </w:rPr>
        <w:t xml:space="preserve">away from ED settings. This cohort accounted for </w:t>
      </w:r>
      <w:r w:rsidR="00277D2E" w:rsidRPr="620A8401">
        <w:rPr>
          <w:szCs w:val="21"/>
          <w:lang w:val="en-US"/>
        </w:rPr>
        <w:t>32</w:t>
      </w:r>
      <w:r w:rsidR="00295B68" w:rsidRPr="620A8401">
        <w:rPr>
          <w:szCs w:val="21"/>
          <w:lang w:val="en-US"/>
        </w:rPr>
        <w:t xml:space="preserve"> per cent of total presentations to EDs in public hospitals in 2022</w:t>
      </w:r>
      <w:r w:rsidR="00417567" w:rsidRPr="620A8401">
        <w:rPr>
          <w:szCs w:val="21"/>
          <w:lang w:val="en-US"/>
        </w:rPr>
        <w:t>-</w:t>
      </w:r>
      <w:r w:rsidR="00295B68" w:rsidRPr="620A8401">
        <w:rPr>
          <w:szCs w:val="21"/>
          <w:lang w:val="en-US"/>
        </w:rPr>
        <w:t>23</w:t>
      </w:r>
      <w:r w:rsidR="00AA6CD3" w:rsidRPr="620A8401">
        <w:rPr>
          <w:szCs w:val="21"/>
          <w:lang w:val="en-US"/>
        </w:rPr>
        <w:t>,</w:t>
      </w:r>
      <w:r w:rsidR="00295B68" w:rsidRPr="620A8401">
        <w:rPr>
          <w:rStyle w:val="FootnoteReference"/>
          <w:szCs w:val="21"/>
          <w:lang w:val="en-US"/>
        </w:rPr>
        <w:footnoteReference w:id="7"/>
      </w:r>
      <w:r w:rsidR="00295B68" w:rsidRPr="620A8401">
        <w:rPr>
          <w:szCs w:val="21"/>
          <w:lang w:val="en-US"/>
        </w:rPr>
        <w:t xml:space="preserve"> </w:t>
      </w:r>
      <w:r w:rsidR="00AA6CD3" w:rsidRPr="620A8401">
        <w:rPr>
          <w:szCs w:val="21"/>
          <w:lang w:val="en-US"/>
        </w:rPr>
        <w:t xml:space="preserve">based on the </w:t>
      </w:r>
      <w:r w:rsidR="004706C3" w:rsidRPr="620A8401">
        <w:rPr>
          <w:szCs w:val="21"/>
          <w:lang w:val="en-US"/>
        </w:rPr>
        <w:t xml:space="preserve">National Healthcare Agreement indicator </w:t>
      </w:r>
      <w:r w:rsidR="00CB60F9" w:rsidRPr="620A8401">
        <w:rPr>
          <w:szCs w:val="21"/>
          <w:lang w:val="en-US"/>
        </w:rPr>
        <w:t xml:space="preserve">definition </w:t>
      </w:r>
      <w:r w:rsidR="004706C3" w:rsidRPr="620A8401">
        <w:rPr>
          <w:szCs w:val="21"/>
          <w:lang w:val="en-US"/>
        </w:rPr>
        <w:t>above.</w:t>
      </w:r>
      <w:r w:rsidR="00295B68" w:rsidRPr="620A8401">
        <w:rPr>
          <w:szCs w:val="21"/>
          <w:lang w:val="en-US"/>
        </w:rPr>
        <w:t xml:space="preserve"> </w:t>
      </w:r>
    </w:p>
    <w:p w14:paraId="70AFE013" w14:textId="77777777" w:rsidR="00F50D35" w:rsidRPr="00E352B1" w:rsidRDefault="00484814" w:rsidP="00E352B1">
      <w:pPr>
        <w:spacing w:before="240"/>
        <w:rPr>
          <w:rFonts w:asciiTheme="majorHAnsi" w:hAnsiTheme="majorHAnsi" w:cstheme="majorHAnsi"/>
          <w:color w:val="00264D" w:themeColor="background2"/>
          <w:sz w:val="22"/>
        </w:rPr>
      </w:pPr>
      <w:r w:rsidRPr="00E352B1">
        <w:rPr>
          <w:rFonts w:asciiTheme="majorHAnsi" w:hAnsiTheme="majorHAnsi" w:cstheme="majorHAnsi"/>
          <w:color w:val="00264D" w:themeColor="background2"/>
          <w:sz w:val="22"/>
        </w:rPr>
        <w:t xml:space="preserve">The Australian Government has made a significant investment to design and implement the Medicare UCCs </w:t>
      </w:r>
    </w:p>
    <w:p w14:paraId="26342E8B" w14:textId="79578476" w:rsidR="00C17381" w:rsidRPr="009B783C" w:rsidRDefault="00C17381" w:rsidP="00642228">
      <w:pPr>
        <w:rPr>
          <w:szCs w:val="21"/>
        </w:rPr>
      </w:pPr>
      <w:r w:rsidRPr="009B783C">
        <w:rPr>
          <w:szCs w:val="21"/>
        </w:rPr>
        <w:t>The Australian Government is investing $759.9 million over five years from 2022</w:t>
      </w:r>
      <w:r w:rsidR="00F93E2C" w:rsidRPr="009B783C">
        <w:rPr>
          <w:szCs w:val="21"/>
        </w:rPr>
        <w:t>-</w:t>
      </w:r>
      <w:r w:rsidRPr="009B783C">
        <w:rPr>
          <w:szCs w:val="21"/>
        </w:rPr>
        <w:t>23 to pilot the Program and support the establishment and operations of 87 Medicare UCCs across the country. This includes:</w:t>
      </w:r>
    </w:p>
    <w:p w14:paraId="3AEA44DE" w14:textId="2D819E47" w:rsidR="004D1B79" w:rsidRPr="009B783C" w:rsidRDefault="00C17381" w:rsidP="00642228">
      <w:pPr>
        <w:pStyle w:val="Bullet"/>
        <w:rPr>
          <w:szCs w:val="21"/>
        </w:rPr>
      </w:pPr>
      <w:r w:rsidRPr="009B783C">
        <w:rPr>
          <w:szCs w:val="21"/>
        </w:rPr>
        <w:t xml:space="preserve">An initial investment of </w:t>
      </w:r>
      <w:r w:rsidR="004D1B79" w:rsidRPr="009B783C">
        <w:rPr>
          <w:szCs w:val="21"/>
        </w:rPr>
        <w:t>$493.5 million over five years from 2022</w:t>
      </w:r>
      <w:r w:rsidR="00F93E2C" w:rsidRPr="009B783C">
        <w:rPr>
          <w:szCs w:val="21"/>
        </w:rPr>
        <w:t>-</w:t>
      </w:r>
      <w:r w:rsidR="004D1B79" w:rsidRPr="009B783C">
        <w:rPr>
          <w:szCs w:val="21"/>
        </w:rPr>
        <w:t>23 to support the establishment of 58 Medicare UCCs, all of which were opened as planned by 31 December 2023.</w:t>
      </w:r>
    </w:p>
    <w:p w14:paraId="4860BF3B" w14:textId="38D846E0" w:rsidR="004D1B79" w:rsidRPr="009B783C" w:rsidRDefault="004D1B79" w:rsidP="00642228">
      <w:pPr>
        <w:pStyle w:val="Bullet"/>
        <w:rPr>
          <w:szCs w:val="21"/>
        </w:rPr>
      </w:pPr>
      <w:r w:rsidRPr="009B783C">
        <w:rPr>
          <w:szCs w:val="21"/>
        </w:rPr>
        <w:t>An additional $227 million as part of the 2024</w:t>
      </w:r>
      <w:r w:rsidR="00D30908" w:rsidRPr="009B783C">
        <w:rPr>
          <w:szCs w:val="21"/>
        </w:rPr>
        <w:t>-</w:t>
      </w:r>
      <w:r w:rsidRPr="009B783C">
        <w:rPr>
          <w:szCs w:val="21"/>
        </w:rPr>
        <w:t>25 Budget for a further 29 Medicare UCCs opening progressively from 1 July 2024 and to support existing Medicare UCCs in regional, rural and remote areas extend operating hours and service higher workforce costs.</w:t>
      </w:r>
      <w:r w:rsidR="008A611A" w:rsidRPr="009B783C">
        <w:rPr>
          <w:szCs w:val="21"/>
        </w:rPr>
        <w:t xml:space="preserve"> </w:t>
      </w:r>
    </w:p>
    <w:p w14:paraId="42951852" w14:textId="22C79A61" w:rsidR="00C34761" w:rsidRPr="009B783C" w:rsidRDefault="00C17381" w:rsidP="00642228">
      <w:pPr>
        <w:rPr>
          <w:szCs w:val="21"/>
          <w:lang w:val="en-US"/>
        </w:rPr>
      </w:pPr>
      <w:r w:rsidRPr="620A8401">
        <w:rPr>
          <w:szCs w:val="21"/>
          <w:lang w:val="en-US"/>
        </w:rPr>
        <w:t>Medicare UCCs can access specific MBS</w:t>
      </w:r>
      <w:r w:rsidR="004D1B79" w:rsidRPr="620A8401">
        <w:rPr>
          <w:szCs w:val="21"/>
          <w:lang w:val="en-US"/>
        </w:rPr>
        <w:t xml:space="preserve"> rebates for provision of urgent care services through</w:t>
      </w:r>
      <w:r w:rsidR="008A611A" w:rsidRPr="620A8401">
        <w:rPr>
          <w:szCs w:val="21"/>
          <w:lang w:val="en-US"/>
        </w:rPr>
        <w:t xml:space="preserve"> </w:t>
      </w:r>
      <w:r w:rsidR="004D1B79" w:rsidRPr="620A8401">
        <w:rPr>
          <w:szCs w:val="21"/>
          <w:lang w:val="en-US"/>
        </w:rPr>
        <w:t xml:space="preserve">section 19(2) </w:t>
      </w:r>
      <w:r w:rsidRPr="620A8401">
        <w:rPr>
          <w:szCs w:val="21"/>
          <w:lang w:val="en-US"/>
        </w:rPr>
        <w:t xml:space="preserve">exemptions to the </w:t>
      </w:r>
      <w:r w:rsidR="004D1B79" w:rsidRPr="620A8401">
        <w:rPr>
          <w:i/>
          <w:szCs w:val="21"/>
          <w:lang w:val="en-US"/>
        </w:rPr>
        <w:t>Health Insurance Act 1973</w:t>
      </w:r>
      <w:r w:rsidR="004D1B79" w:rsidRPr="620A8401">
        <w:rPr>
          <w:szCs w:val="21"/>
          <w:lang w:val="en-US"/>
        </w:rPr>
        <w:t>.</w:t>
      </w:r>
      <w:r w:rsidR="00145721" w:rsidRPr="620A8401">
        <w:rPr>
          <w:rStyle w:val="FootnoteReference"/>
          <w:szCs w:val="21"/>
          <w:lang w:val="en-US"/>
        </w:rPr>
        <w:footnoteReference w:id="8"/>
      </w:r>
      <w:r w:rsidR="004D1B79" w:rsidRPr="620A8401">
        <w:rPr>
          <w:szCs w:val="21"/>
          <w:lang w:val="en-US"/>
        </w:rPr>
        <w:t xml:space="preserve"> </w:t>
      </w:r>
      <w:r w:rsidRPr="620A8401">
        <w:rPr>
          <w:szCs w:val="21"/>
          <w:lang w:val="en-US"/>
        </w:rPr>
        <w:t>Anticipated MBS expenditure is included in the overall investment of $759.9 million.</w:t>
      </w:r>
      <w:r w:rsidR="008A611A" w:rsidRPr="620A8401">
        <w:rPr>
          <w:szCs w:val="21"/>
          <w:lang w:val="en-US"/>
        </w:rPr>
        <w:t xml:space="preserve"> </w:t>
      </w:r>
    </w:p>
    <w:p w14:paraId="6CD2CC1E" w14:textId="77777777" w:rsidR="00302BD9" w:rsidRPr="00E352B1" w:rsidRDefault="00302BD9" w:rsidP="00E352B1">
      <w:pPr>
        <w:spacing w:before="240"/>
        <w:rPr>
          <w:rFonts w:asciiTheme="majorHAnsi" w:hAnsiTheme="majorHAnsi" w:cstheme="majorHAnsi"/>
          <w:color w:val="00264D" w:themeColor="background2"/>
          <w:sz w:val="22"/>
        </w:rPr>
      </w:pPr>
      <w:r w:rsidRPr="00E352B1">
        <w:rPr>
          <w:rFonts w:asciiTheme="majorHAnsi" w:hAnsiTheme="majorHAnsi" w:cstheme="majorHAnsi"/>
          <w:color w:val="00264D" w:themeColor="background2"/>
          <w:sz w:val="22"/>
        </w:rPr>
        <w:t xml:space="preserve">Medicare UCCs exist amongst a complex landscape of urgent care services </w:t>
      </w:r>
    </w:p>
    <w:p w14:paraId="6DED7BEE" w14:textId="02DE487D" w:rsidR="00767AD3" w:rsidRPr="009B783C" w:rsidRDefault="00580914" w:rsidP="00642228">
      <w:pPr>
        <w:rPr>
          <w:szCs w:val="21"/>
          <w:lang w:val="en-US"/>
        </w:rPr>
      </w:pPr>
      <w:r w:rsidRPr="620A8401">
        <w:rPr>
          <w:szCs w:val="21"/>
          <w:lang w:val="en-US"/>
        </w:rPr>
        <w:t>The Program operates</w:t>
      </w:r>
      <w:r w:rsidR="00AB1C53" w:rsidRPr="620A8401">
        <w:rPr>
          <w:szCs w:val="21"/>
          <w:lang w:val="en-US"/>
        </w:rPr>
        <w:t xml:space="preserve"> amongst a </w:t>
      </w:r>
      <w:r w:rsidR="00BC4CBD" w:rsidRPr="620A8401">
        <w:rPr>
          <w:szCs w:val="21"/>
          <w:lang w:val="en-US"/>
        </w:rPr>
        <w:t>variety of</w:t>
      </w:r>
      <w:r w:rsidR="00AB1C53" w:rsidRPr="620A8401">
        <w:rPr>
          <w:szCs w:val="21"/>
          <w:lang w:val="en-US"/>
        </w:rPr>
        <w:t xml:space="preserve"> urgent care services delivered through GPs, hospitals, after-hours services and other state, territory and PHN programs</w:t>
      </w:r>
      <w:r w:rsidR="00C17381" w:rsidRPr="620A8401">
        <w:rPr>
          <w:szCs w:val="21"/>
          <w:lang w:val="en-US"/>
        </w:rPr>
        <w:t xml:space="preserve">. Some Medicare UCCs transitioned from pre-existing </w:t>
      </w:r>
      <w:r w:rsidR="007348AD" w:rsidRPr="620A8401">
        <w:rPr>
          <w:szCs w:val="21"/>
          <w:lang w:val="en-US"/>
        </w:rPr>
        <w:t>programs</w:t>
      </w:r>
      <w:r w:rsidR="00BD449B" w:rsidRPr="620A8401">
        <w:rPr>
          <w:szCs w:val="21"/>
          <w:lang w:val="en-US"/>
        </w:rPr>
        <w:t>,</w:t>
      </w:r>
      <w:r w:rsidR="007348AD" w:rsidRPr="620A8401">
        <w:rPr>
          <w:szCs w:val="21"/>
          <w:lang w:val="en-US"/>
        </w:rPr>
        <w:t xml:space="preserve"> including </w:t>
      </w:r>
      <w:r w:rsidR="006C54AE" w:rsidRPr="620A8401">
        <w:rPr>
          <w:szCs w:val="21"/>
          <w:lang w:val="en-US"/>
        </w:rPr>
        <w:t xml:space="preserve">NSW Urgent Care Services, </w:t>
      </w:r>
      <w:r w:rsidR="005B1DFB" w:rsidRPr="620A8401">
        <w:rPr>
          <w:szCs w:val="21"/>
          <w:lang w:val="en-US"/>
        </w:rPr>
        <w:t xml:space="preserve">Victorian </w:t>
      </w:r>
      <w:r w:rsidR="006C54AE" w:rsidRPr="620A8401">
        <w:rPr>
          <w:szCs w:val="21"/>
          <w:lang w:val="en-US"/>
        </w:rPr>
        <w:t xml:space="preserve">Priority </w:t>
      </w:r>
      <w:r w:rsidR="005B1DFB" w:rsidRPr="620A8401">
        <w:rPr>
          <w:szCs w:val="21"/>
          <w:lang w:val="en-US"/>
        </w:rPr>
        <w:t xml:space="preserve">Primary Care </w:t>
      </w:r>
      <w:proofErr w:type="spellStart"/>
      <w:r w:rsidR="006C54AE" w:rsidRPr="620A8401">
        <w:rPr>
          <w:szCs w:val="21"/>
          <w:lang w:val="en-US"/>
        </w:rPr>
        <w:t>Centres</w:t>
      </w:r>
      <w:proofErr w:type="spellEnd"/>
      <w:r w:rsidR="00A61FE2" w:rsidRPr="620A8401">
        <w:rPr>
          <w:szCs w:val="21"/>
          <w:lang w:val="en-US"/>
        </w:rPr>
        <w:t xml:space="preserve">, SA Priority Care </w:t>
      </w:r>
      <w:proofErr w:type="spellStart"/>
      <w:r w:rsidR="00A61FE2" w:rsidRPr="620A8401">
        <w:rPr>
          <w:szCs w:val="21"/>
          <w:lang w:val="en-US"/>
        </w:rPr>
        <w:t>Ce</w:t>
      </w:r>
      <w:r w:rsidR="002D43A4" w:rsidRPr="620A8401">
        <w:rPr>
          <w:szCs w:val="21"/>
          <w:lang w:val="en-US"/>
        </w:rPr>
        <w:t>ntres</w:t>
      </w:r>
      <w:proofErr w:type="spellEnd"/>
      <w:r w:rsidR="002D43A4" w:rsidRPr="620A8401">
        <w:rPr>
          <w:szCs w:val="21"/>
          <w:lang w:val="en-US"/>
        </w:rPr>
        <w:t xml:space="preserve">, </w:t>
      </w:r>
      <w:r w:rsidR="00781BA6" w:rsidRPr="620A8401">
        <w:rPr>
          <w:szCs w:val="21"/>
          <w:lang w:val="en-US"/>
        </w:rPr>
        <w:t>ACT Walk</w:t>
      </w:r>
      <w:r w:rsidR="001A01A5" w:rsidRPr="620A8401">
        <w:rPr>
          <w:szCs w:val="21"/>
          <w:lang w:val="en-US"/>
        </w:rPr>
        <w:t xml:space="preserve">-in </w:t>
      </w:r>
      <w:proofErr w:type="spellStart"/>
      <w:r w:rsidR="001A01A5" w:rsidRPr="620A8401">
        <w:rPr>
          <w:szCs w:val="21"/>
          <w:lang w:val="en-US"/>
        </w:rPr>
        <w:t>Centres</w:t>
      </w:r>
      <w:proofErr w:type="spellEnd"/>
      <w:r w:rsidR="001A01A5" w:rsidRPr="620A8401">
        <w:rPr>
          <w:szCs w:val="21"/>
          <w:lang w:val="en-US"/>
        </w:rPr>
        <w:t xml:space="preserve"> </w:t>
      </w:r>
      <w:r w:rsidR="00FA4434" w:rsidRPr="620A8401">
        <w:rPr>
          <w:szCs w:val="21"/>
          <w:lang w:val="en-US"/>
        </w:rPr>
        <w:t xml:space="preserve">and </w:t>
      </w:r>
      <w:r w:rsidR="0082691B" w:rsidRPr="620A8401">
        <w:rPr>
          <w:szCs w:val="21"/>
          <w:lang w:val="en-US"/>
        </w:rPr>
        <w:t xml:space="preserve">NT </w:t>
      </w:r>
      <w:r w:rsidR="00C17381" w:rsidRPr="620A8401">
        <w:rPr>
          <w:szCs w:val="21"/>
          <w:lang w:val="en-US"/>
        </w:rPr>
        <w:t>Primary Care Pilots</w:t>
      </w:r>
      <w:r w:rsidR="003E3014" w:rsidRPr="620A8401">
        <w:rPr>
          <w:szCs w:val="21"/>
          <w:lang w:val="en-US"/>
        </w:rPr>
        <w:t xml:space="preserve"> (PCPs)</w:t>
      </w:r>
      <w:r w:rsidR="00C17381" w:rsidRPr="620A8401">
        <w:rPr>
          <w:szCs w:val="21"/>
          <w:lang w:val="en-US"/>
        </w:rPr>
        <w:t xml:space="preserve">. Other </w:t>
      </w:r>
      <w:r w:rsidR="001728C2" w:rsidRPr="620A8401">
        <w:rPr>
          <w:szCs w:val="21"/>
          <w:lang w:val="en-US"/>
        </w:rPr>
        <w:t>Medicare UCC</w:t>
      </w:r>
      <w:r w:rsidR="009B7D44" w:rsidRPr="620A8401">
        <w:rPr>
          <w:szCs w:val="21"/>
          <w:lang w:val="en-US"/>
        </w:rPr>
        <w:t>s</w:t>
      </w:r>
      <w:r w:rsidR="00CE6F27" w:rsidRPr="620A8401" w:rsidDel="00DF6775">
        <w:rPr>
          <w:szCs w:val="21"/>
          <w:lang w:val="en-US"/>
        </w:rPr>
        <w:t xml:space="preserve"> </w:t>
      </w:r>
      <w:r w:rsidR="00DF6775" w:rsidRPr="620A8401">
        <w:rPr>
          <w:szCs w:val="21"/>
          <w:lang w:val="en-US"/>
        </w:rPr>
        <w:t xml:space="preserve">were </w:t>
      </w:r>
      <w:r w:rsidR="001329B6" w:rsidRPr="620A8401">
        <w:rPr>
          <w:szCs w:val="21"/>
          <w:lang w:val="en-US"/>
        </w:rPr>
        <w:t>new</w:t>
      </w:r>
      <w:r w:rsidR="00A50369" w:rsidRPr="620A8401">
        <w:rPr>
          <w:szCs w:val="21"/>
          <w:lang w:val="en-US"/>
        </w:rPr>
        <w:t xml:space="preserve">ly established to </w:t>
      </w:r>
      <w:r w:rsidR="002D7E84" w:rsidRPr="620A8401">
        <w:rPr>
          <w:szCs w:val="21"/>
          <w:lang w:val="en-US"/>
        </w:rPr>
        <w:t xml:space="preserve">address the needs of </w:t>
      </w:r>
      <w:r w:rsidR="00A50369" w:rsidRPr="620A8401">
        <w:rPr>
          <w:szCs w:val="21"/>
          <w:lang w:val="en-US"/>
        </w:rPr>
        <w:t xml:space="preserve">communities across Australia. </w:t>
      </w:r>
      <w:r w:rsidR="00AD2019" w:rsidRPr="620A8401">
        <w:rPr>
          <w:szCs w:val="21"/>
          <w:lang w:val="en-US"/>
        </w:rPr>
        <w:t>Urgent care s</w:t>
      </w:r>
      <w:r w:rsidR="00C5102D" w:rsidRPr="620A8401">
        <w:rPr>
          <w:szCs w:val="21"/>
          <w:lang w:val="en-US"/>
        </w:rPr>
        <w:t xml:space="preserve">ervices </w:t>
      </w:r>
      <w:r w:rsidR="0054174A" w:rsidRPr="620A8401">
        <w:rPr>
          <w:szCs w:val="21"/>
          <w:lang w:val="en-US"/>
        </w:rPr>
        <w:t xml:space="preserve">operating </w:t>
      </w:r>
      <w:r w:rsidR="00AD2019" w:rsidRPr="620A8401">
        <w:rPr>
          <w:szCs w:val="21"/>
          <w:lang w:val="en-US"/>
        </w:rPr>
        <w:t xml:space="preserve">separate </w:t>
      </w:r>
      <w:r w:rsidR="009D59E9" w:rsidRPr="620A8401">
        <w:rPr>
          <w:szCs w:val="21"/>
          <w:lang w:val="en-US"/>
        </w:rPr>
        <w:t>to</w:t>
      </w:r>
      <w:r w:rsidR="00AD2019" w:rsidRPr="620A8401">
        <w:rPr>
          <w:szCs w:val="21"/>
          <w:lang w:val="en-US"/>
        </w:rPr>
        <w:t xml:space="preserve"> </w:t>
      </w:r>
      <w:r w:rsidR="00BC4CBD" w:rsidRPr="620A8401">
        <w:rPr>
          <w:szCs w:val="21"/>
          <w:lang w:val="en-US"/>
        </w:rPr>
        <w:t>the Program</w:t>
      </w:r>
      <w:r w:rsidR="0054174A" w:rsidRPr="620A8401">
        <w:rPr>
          <w:szCs w:val="21"/>
          <w:lang w:val="en-US"/>
        </w:rPr>
        <w:t xml:space="preserve"> </w:t>
      </w:r>
      <w:r w:rsidR="009D59E9" w:rsidRPr="620A8401">
        <w:rPr>
          <w:szCs w:val="21"/>
          <w:lang w:val="en-US"/>
        </w:rPr>
        <w:t>have</w:t>
      </w:r>
      <w:r w:rsidR="00AB7069" w:rsidRPr="620A8401">
        <w:rPr>
          <w:szCs w:val="21"/>
          <w:lang w:val="en-US"/>
        </w:rPr>
        <w:t xml:space="preserve"> different</w:t>
      </w:r>
      <w:r w:rsidR="009D59E9" w:rsidRPr="620A8401">
        <w:rPr>
          <w:szCs w:val="21"/>
          <w:lang w:val="en-US"/>
        </w:rPr>
        <w:t xml:space="preserve"> </w:t>
      </w:r>
      <w:r w:rsidR="00767AD3" w:rsidRPr="620A8401">
        <w:rPr>
          <w:szCs w:val="21"/>
          <w:lang w:val="en-US"/>
        </w:rPr>
        <w:t xml:space="preserve">jurisdictional funding </w:t>
      </w:r>
      <w:r w:rsidR="00F00D45" w:rsidRPr="620A8401">
        <w:rPr>
          <w:szCs w:val="21"/>
          <w:lang w:val="en-US"/>
        </w:rPr>
        <w:t>arrangements,</w:t>
      </w:r>
      <w:r w:rsidR="00767AD3" w:rsidRPr="620A8401">
        <w:rPr>
          <w:szCs w:val="21"/>
          <w:lang w:val="en-US"/>
        </w:rPr>
        <w:t xml:space="preserve"> operational </w:t>
      </w:r>
      <w:r w:rsidR="00096920" w:rsidRPr="620A8401">
        <w:rPr>
          <w:szCs w:val="21"/>
          <w:lang w:val="en-US"/>
        </w:rPr>
        <w:t>requirements</w:t>
      </w:r>
      <w:r w:rsidR="00F00D45" w:rsidRPr="620A8401">
        <w:rPr>
          <w:szCs w:val="21"/>
          <w:lang w:val="en-US"/>
        </w:rPr>
        <w:t xml:space="preserve"> and in some instances, </w:t>
      </w:r>
      <w:r w:rsidR="00F00D45" w:rsidRPr="620A8401">
        <w:rPr>
          <w:szCs w:val="21"/>
          <w:lang w:val="en-US"/>
        </w:rPr>
        <w:lastRenderedPageBreak/>
        <w:t>different eligibility criteria</w:t>
      </w:r>
      <w:r w:rsidR="00096920" w:rsidRPr="620A8401">
        <w:rPr>
          <w:szCs w:val="21"/>
          <w:lang w:val="en-US"/>
        </w:rPr>
        <w:t xml:space="preserve">. There is not </w:t>
      </w:r>
      <w:r w:rsidR="001A628B" w:rsidRPr="620A8401">
        <w:rPr>
          <w:szCs w:val="21"/>
          <w:lang w:val="en-US"/>
        </w:rPr>
        <w:t>currently a</w:t>
      </w:r>
      <w:r w:rsidR="00096920" w:rsidRPr="620A8401">
        <w:rPr>
          <w:szCs w:val="21"/>
          <w:lang w:val="en-US"/>
        </w:rPr>
        <w:t xml:space="preserve"> universal approach to </w:t>
      </w:r>
      <w:r w:rsidR="00E9532D" w:rsidRPr="620A8401">
        <w:rPr>
          <w:szCs w:val="21"/>
          <w:lang w:val="en-US"/>
        </w:rPr>
        <w:t xml:space="preserve">delivering urgent care </w:t>
      </w:r>
      <w:r w:rsidR="001A628B" w:rsidRPr="620A8401">
        <w:rPr>
          <w:szCs w:val="21"/>
          <w:lang w:val="en-US"/>
        </w:rPr>
        <w:t>(</w:t>
      </w:r>
      <w:r w:rsidR="00E9532D" w:rsidRPr="620A8401">
        <w:rPr>
          <w:szCs w:val="21"/>
          <w:lang w:val="en-US"/>
        </w:rPr>
        <w:t>outside of the ED</w:t>
      </w:r>
      <w:r w:rsidR="001A628B" w:rsidRPr="620A8401">
        <w:rPr>
          <w:szCs w:val="21"/>
          <w:lang w:val="en-US"/>
        </w:rPr>
        <w:t>)</w:t>
      </w:r>
      <w:r w:rsidR="00E9532D" w:rsidRPr="620A8401">
        <w:rPr>
          <w:szCs w:val="21"/>
          <w:lang w:val="en-US"/>
        </w:rPr>
        <w:t xml:space="preserve"> across Australia.</w:t>
      </w:r>
      <w:r w:rsidR="008A611A" w:rsidRPr="620A8401">
        <w:rPr>
          <w:szCs w:val="21"/>
          <w:lang w:val="en-US"/>
        </w:rPr>
        <w:t xml:space="preserve"> </w:t>
      </w:r>
    </w:p>
    <w:p w14:paraId="4AB83BFE" w14:textId="77777777" w:rsidR="00EC6EC2" w:rsidRPr="009B783C" w:rsidRDefault="00234DFB" w:rsidP="00642228">
      <w:pPr>
        <w:rPr>
          <w:szCs w:val="21"/>
          <w:lang w:val="en-US"/>
        </w:rPr>
      </w:pPr>
      <w:r w:rsidRPr="620A8401">
        <w:rPr>
          <w:szCs w:val="21"/>
          <w:lang w:val="en-US"/>
        </w:rPr>
        <w:t xml:space="preserve">This review forms one component </w:t>
      </w:r>
      <w:r w:rsidR="0059441E" w:rsidRPr="620A8401">
        <w:rPr>
          <w:szCs w:val="21"/>
          <w:lang w:val="en-US"/>
        </w:rPr>
        <w:t xml:space="preserve">of the government’s broader efforts to understand the current state and impact of primary care </w:t>
      </w:r>
      <w:r w:rsidR="0059441E" w:rsidRPr="620A8401">
        <w:rPr>
          <w:color w:val="000000" w:themeColor="text1"/>
          <w:szCs w:val="21"/>
          <w:lang w:val="en-US"/>
        </w:rPr>
        <w:t xml:space="preserve">policies and programs </w:t>
      </w:r>
      <w:r w:rsidR="0059441E" w:rsidRPr="620A8401">
        <w:rPr>
          <w:szCs w:val="21"/>
          <w:lang w:val="en-US"/>
        </w:rPr>
        <w:t xml:space="preserve">across Australia. </w:t>
      </w:r>
      <w:r w:rsidR="00EC6EC2" w:rsidRPr="620A8401">
        <w:rPr>
          <w:szCs w:val="21"/>
          <w:lang w:val="en-US"/>
        </w:rPr>
        <w:t>Other reviews are being undertaken concurrently as part of the response to the Strengthening Medicare Taskforce, including the After-Hours Program Review</w:t>
      </w:r>
      <w:r w:rsidR="00E86FDE" w:rsidRPr="620A8401">
        <w:rPr>
          <w:szCs w:val="21"/>
          <w:lang w:val="en-US"/>
        </w:rPr>
        <w:t>,</w:t>
      </w:r>
      <w:r w:rsidR="00EC6EC2" w:rsidRPr="620A8401">
        <w:rPr>
          <w:rStyle w:val="FootnoteReference"/>
          <w:szCs w:val="21"/>
          <w:lang w:val="en-US"/>
        </w:rPr>
        <w:footnoteReference w:id="9"/>
      </w:r>
      <w:r w:rsidR="00EC6EC2" w:rsidRPr="620A8401">
        <w:rPr>
          <w:szCs w:val="21"/>
          <w:lang w:val="en-US"/>
        </w:rPr>
        <w:t xml:space="preserve"> which was </w:t>
      </w:r>
      <w:r w:rsidR="00E86FDE" w:rsidRPr="620A8401">
        <w:rPr>
          <w:szCs w:val="21"/>
          <w:lang w:val="en-US"/>
        </w:rPr>
        <w:t>completed</w:t>
      </w:r>
      <w:r w:rsidR="00EC6EC2" w:rsidRPr="620A8401">
        <w:rPr>
          <w:szCs w:val="21"/>
          <w:lang w:val="en-US"/>
        </w:rPr>
        <w:t xml:space="preserve"> in August 2024. </w:t>
      </w:r>
    </w:p>
    <w:p w14:paraId="18E253B8" w14:textId="25042796" w:rsidR="001D1861" w:rsidRPr="00E352B1" w:rsidRDefault="00E40D62" w:rsidP="00E352B1">
      <w:pPr>
        <w:spacing w:before="240"/>
        <w:rPr>
          <w:rFonts w:asciiTheme="majorHAnsi" w:hAnsiTheme="majorHAnsi" w:cstheme="majorHAnsi"/>
          <w:color w:val="00264D" w:themeColor="background2"/>
          <w:sz w:val="22"/>
        </w:rPr>
      </w:pPr>
      <w:r w:rsidRPr="00E352B1">
        <w:rPr>
          <w:rFonts w:asciiTheme="majorHAnsi" w:hAnsiTheme="majorHAnsi" w:cstheme="majorHAnsi"/>
          <w:color w:val="00264D" w:themeColor="background2"/>
          <w:sz w:val="22"/>
        </w:rPr>
        <w:t>I</w:t>
      </w:r>
      <w:r w:rsidR="00D25F2A" w:rsidRPr="00E352B1">
        <w:rPr>
          <w:rFonts w:asciiTheme="majorHAnsi" w:hAnsiTheme="majorHAnsi" w:cstheme="majorHAnsi"/>
          <w:color w:val="00264D" w:themeColor="background2"/>
          <w:sz w:val="22"/>
        </w:rPr>
        <w:t>nternation</w:t>
      </w:r>
      <w:r w:rsidR="001D1861" w:rsidRPr="00E352B1">
        <w:rPr>
          <w:rFonts w:asciiTheme="majorHAnsi" w:hAnsiTheme="majorHAnsi" w:cstheme="majorHAnsi"/>
          <w:color w:val="00264D" w:themeColor="background2"/>
          <w:sz w:val="22"/>
        </w:rPr>
        <w:t>al models</w:t>
      </w:r>
      <w:r w:rsidR="007502C6" w:rsidRPr="00E352B1">
        <w:rPr>
          <w:rFonts w:asciiTheme="majorHAnsi" w:hAnsiTheme="majorHAnsi" w:cstheme="majorHAnsi"/>
          <w:color w:val="00264D" w:themeColor="background2"/>
          <w:sz w:val="22"/>
        </w:rPr>
        <w:t xml:space="preserve"> for urgent care services</w:t>
      </w:r>
      <w:r w:rsidR="00652DC2" w:rsidRPr="00E352B1">
        <w:rPr>
          <w:rFonts w:asciiTheme="majorHAnsi" w:hAnsiTheme="majorHAnsi" w:cstheme="majorHAnsi"/>
          <w:color w:val="00264D" w:themeColor="background2"/>
          <w:sz w:val="22"/>
        </w:rPr>
        <w:t xml:space="preserve"> </w:t>
      </w:r>
    </w:p>
    <w:p w14:paraId="3DB28885" w14:textId="3CB894BE" w:rsidR="009B1FCE" w:rsidRPr="009B783C" w:rsidRDefault="00C34761" w:rsidP="00642228">
      <w:pPr>
        <w:rPr>
          <w:szCs w:val="21"/>
          <w:lang w:val="en-US"/>
        </w:rPr>
      </w:pPr>
      <w:r w:rsidRPr="620A8401">
        <w:rPr>
          <w:szCs w:val="21"/>
          <w:lang w:val="en-US"/>
        </w:rPr>
        <w:t xml:space="preserve">Similar urgent care service models have been implemented </w:t>
      </w:r>
      <w:r w:rsidR="00F768F0" w:rsidRPr="620A8401">
        <w:rPr>
          <w:szCs w:val="21"/>
          <w:lang w:val="en-US"/>
        </w:rPr>
        <w:t>internationally, including</w:t>
      </w:r>
      <w:r w:rsidRPr="620A8401">
        <w:rPr>
          <w:szCs w:val="21"/>
          <w:lang w:val="en-US"/>
        </w:rPr>
        <w:t xml:space="preserve"> in New Zealand</w:t>
      </w:r>
      <w:r w:rsidR="005A2FE4" w:rsidRPr="620A8401">
        <w:rPr>
          <w:szCs w:val="21"/>
          <w:lang w:val="en-US"/>
        </w:rPr>
        <w:t xml:space="preserve"> (NZ)</w:t>
      </w:r>
      <w:r w:rsidRPr="620A8401">
        <w:rPr>
          <w:rStyle w:val="FootnoteReference"/>
          <w:szCs w:val="21"/>
          <w:lang w:val="en-US"/>
        </w:rPr>
        <w:footnoteReference w:id="10"/>
      </w:r>
      <w:r w:rsidRPr="620A8401">
        <w:rPr>
          <w:szCs w:val="21"/>
          <w:lang w:val="en-US"/>
        </w:rPr>
        <w:t xml:space="preserve"> and the </w:t>
      </w:r>
      <w:r w:rsidR="00E3712A" w:rsidRPr="620A8401">
        <w:rPr>
          <w:szCs w:val="21"/>
          <w:lang w:val="en-US"/>
        </w:rPr>
        <w:t>UK</w:t>
      </w:r>
      <w:r w:rsidR="00AB6AF5" w:rsidRPr="620A8401">
        <w:rPr>
          <w:szCs w:val="21"/>
          <w:lang w:val="en-US"/>
        </w:rPr>
        <w:t>.</w:t>
      </w:r>
      <w:r w:rsidR="00A940D5" w:rsidRPr="620A8401">
        <w:rPr>
          <w:rStyle w:val="FootnoteReference"/>
          <w:szCs w:val="21"/>
          <w:lang w:val="en-US"/>
        </w:rPr>
        <w:footnoteReference w:id="11"/>
      </w:r>
      <w:r w:rsidRPr="620A8401">
        <w:rPr>
          <w:szCs w:val="21"/>
          <w:lang w:val="en-US"/>
        </w:rPr>
        <w:t xml:space="preserve"> </w:t>
      </w:r>
      <w:r w:rsidR="00107BD1" w:rsidRPr="620A8401">
        <w:rPr>
          <w:szCs w:val="21"/>
          <w:lang w:val="en-US"/>
        </w:rPr>
        <w:t xml:space="preserve">Medicare UCCs were </w:t>
      </w:r>
      <w:r w:rsidR="00107BD1" w:rsidRPr="620A8401" w:rsidDel="00220669">
        <w:rPr>
          <w:szCs w:val="21"/>
          <w:lang w:val="en-US"/>
        </w:rPr>
        <w:t xml:space="preserve">adapted </w:t>
      </w:r>
      <w:r w:rsidR="00107BD1" w:rsidRPr="620A8401">
        <w:rPr>
          <w:szCs w:val="21"/>
          <w:lang w:val="en-US"/>
        </w:rPr>
        <w:t>for the Australian context from international models</w:t>
      </w:r>
      <w:r w:rsidR="00BF70D7" w:rsidRPr="620A8401">
        <w:rPr>
          <w:szCs w:val="21"/>
          <w:lang w:val="en-US"/>
        </w:rPr>
        <w:t xml:space="preserve">, with modifications to account for differences </w:t>
      </w:r>
      <w:r w:rsidR="00471A04" w:rsidRPr="620A8401">
        <w:rPr>
          <w:szCs w:val="21"/>
          <w:lang w:val="en-US"/>
        </w:rPr>
        <w:t>between</w:t>
      </w:r>
      <w:r w:rsidR="00BF70D7" w:rsidRPr="620A8401">
        <w:rPr>
          <w:szCs w:val="21"/>
          <w:lang w:val="en-US"/>
        </w:rPr>
        <w:t xml:space="preserve"> the Australian </w:t>
      </w:r>
      <w:r w:rsidR="00471A04" w:rsidRPr="620A8401">
        <w:rPr>
          <w:szCs w:val="21"/>
          <w:lang w:val="en-US"/>
        </w:rPr>
        <w:t xml:space="preserve">and international </w:t>
      </w:r>
      <w:r w:rsidR="00BF70D7" w:rsidRPr="620A8401">
        <w:rPr>
          <w:szCs w:val="21"/>
          <w:lang w:val="en-US"/>
        </w:rPr>
        <w:t>context</w:t>
      </w:r>
      <w:r w:rsidR="00471A04" w:rsidRPr="620A8401">
        <w:rPr>
          <w:szCs w:val="21"/>
          <w:lang w:val="en-US"/>
        </w:rPr>
        <w:t xml:space="preserve">s. </w:t>
      </w:r>
      <w:r w:rsidR="00692F90" w:rsidRPr="620A8401">
        <w:rPr>
          <w:szCs w:val="21"/>
          <w:lang w:val="en-US"/>
        </w:rPr>
        <w:t>The</w:t>
      </w:r>
      <w:r w:rsidR="00692F90" w:rsidRPr="620A8401" w:rsidDel="00E26D5A">
        <w:rPr>
          <w:szCs w:val="21"/>
          <w:lang w:val="en-US"/>
        </w:rPr>
        <w:t xml:space="preserve"> </w:t>
      </w:r>
      <w:r w:rsidR="00692F90" w:rsidRPr="620A8401">
        <w:rPr>
          <w:szCs w:val="21"/>
          <w:lang w:val="en-US"/>
        </w:rPr>
        <w:t>model</w:t>
      </w:r>
      <w:r w:rsidR="009B1FCE" w:rsidRPr="620A8401">
        <w:rPr>
          <w:szCs w:val="21"/>
          <w:lang w:val="en-US"/>
        </w:rPr>
        <w:t xml:space="preserve"> in </w:t>
      </w:r>
      <w:r w:rsidR="005A2FE4" w:rsidRPr="620A8401">
        <w:rPr>
          <w:szCs w:val="21"/>
          <w:lang w:val="en-US"/>
        </w:rPr>
        <w:t>NZ</w:t>
      </w:r>
      <w:r w:rsidR="009B1FCE" w:rsidRPr="620A8401">
        <w:rPr>
          <w:szCs w:val="21"/>
          <w:lang w:val="en-US"/>
        </w:rPr>
        <w:t xml:space="preserve"> </w:t>
      </w:r>
      <w:r w:rsidR="00C62F2B" w:rsidRPr="620A8401">
        <w:rPr>
          <w:szCs w:val="21"/>
          <w:lang w:val="en-US"/>
        </w:rPr>
        <w:t>closely</w:t>
      </w:r>
      <w:r w:rsidR="007D3C7F" w:rsidRPr="620A8401">
        <w:rPr>
          <w:szCs w:val="21"/>
          <w:lang w:val="en-US"/>
        </w:rPr>
        <w:t xml:space="preserve"> mirrors</w:t>
      </w:r>
      <w:r w:rsidR="002D6E5F" w:rsidRPr="620A8401">
        <w:rPr>
          <w:szCs w:val="21"/>
          <w:lang w:val="en-US"/>
        </w:rPr>
        <w:t xml:space="preserve"> </w:t>
      </w:r>
      <w:r w:rsidR="00AB44CC" w:rsidRPr="620A8401">
        <w:rPr>
          <w:szCs w:val="21"/>
          <w:lang w:val="en-US"/>
        </w:rPr>
        <w:t>the Medicare UCCs</w:t>
      </w:r>
      <w:r w:rsidR="007D3C7F" w:rsidRPr="620A8401">
        <w:rPr>
          <w:szCs w:val="21"/>
          <w:lang w:val="en-US"/>
        </w:rPr>
        <w:t xml:space="preserve"> in Australia</w:t>
      </w:r>
      <w:r w:rsidR="002D6E5F" w:rsidRPr="620A8401">
        <w:rPr>
          <w:szCs w:val="21"/>
          <w:lang w:val="en-US"/>
        </w:rPr>
        <w:t xml:space="preserve">, </w:t>
      </w:r>
      <w:r w:rsidR="007D3C7F" w:rsidRPr="620A8401">
        <w:rPr>
          <w:szCs w:val="21"/>
          <w:lang w:val="en-US"/>
        </w:rPr>
        <w:t>offering</w:t>
      </w:r>
      <w:r w:rsidR="002D6E5F" w:rsidRPr="620A8401">
        <w:rPr>
          <w:szCs w:val="21"/>
          <w:lang w:val="en-US"/>
        </w:rPr>
        <w:t xml:space="preserve"> an alternative for urgent, non-life-threatening conditions to help </w:t>
      </w:r>
      <w:r w:rsidR="006B4482" w:rsidRPr="620A8401">
        <w:rPr>
          <w:szCs w:val="21"/>
          <w:lang w:val="en-US"/>
        </w:rPr>
        <w:t>ease pressure</w:t>
      </w:r>
      <w:r w:rsidR="002D6E5F" w:rsidRPr="620A8401">
        <w:rPr>
          <w:szCs w:val="21"/>
          <w:lang w:val="en-US"/>
        </w:rPr>
        <w:t xml:space="preserve"> on hospital </w:t>
      </w:r>
      <w:proofErr w:type="spellStart"/>
      <w:r w:rsidR="002D6E5F" w:rsidRPr="620A8401">
        <w:rPr>
          <w:szCs w:val="21"/>
          <w:lang w:val="en-US"/>
        </w:rPr>
        <w:t>EDs</w:t>
      </w:r>
      <w:r w:rsidR="007845BA" w:rsidRPr="620A8401">
        <w:rPr>
          <w:szCs w:val="21"/>
          <w:lang w:val="en-US"/>
        </w:rPr>
        <w:t>.</w:t>
      </w:r>
      <w:proofErr w:type="spellEnd"/>
      <w:r w:rsidR="007845BA" w:rsidRPr="620A8401">
        <w:rPr>
          <w:rStyle w:val="FootnoteReference"/>
          <w:szCs w:val="21"/>
          <w:lang w:val="en-US"/>
        </w:rPr>
        <w:footnoteReference w:id="12"/>
      </w:r>
      <w:r w:rsidR="009B1FCE" w:rsidRPr="620A8401">
        <w:rPr>
          <w:szCs w:val="21"/>
          <w:lang w:val="en-US"/>
        </w:rPr>
        <w:t xml:space="preserve"> </w:t>
      </w:r>
      <w:r w:rsidR="004173AC" w:rsidRPr="620A8401">
        <w:rPr>
          <w:szCs w:val="21"/>
          <w:lang w:val="en-US"/>
        </w:rPr>
        <w:t>N</w:t>
      </w:r>
      <w:r w:rsidR="005A2FE4" w:rsidRPr="620A8401">
        <w:rPr>
          <w:szCs w:val="21"/>
          <w:lang w:val="en-US"/>
        </w:rPr>
        <w:t>Z’s</w:t>
      </w:r>
      <w:r w:rsidR="0045090F" w:rsidRPr="620A8401">
        <w:rPr>
          <w:szCs w:val="21"/>
          <w:lang w:val="en-US"/>
        </w:rPr>
        <w:t xml:space="preserve"> UCCs</w:t>
      </w:r>
      <w:r w:rsidR="00CC00E8" w:rsidRPr="620A8401">
        <w:rPr>
          <w:szCs w:val="21"/>
          <w:lang w:val="en-US"/>
        </w:rPr>
        <w:t xml:space="preserve"> also</w:t>
      </w:r>
      <w:r w:rsidR="009B1FCE" w:rsidRPr="620A8401">
        <w:rPr>
          <w:szCs w:val="21"/>
          <w:lang w:val="en-US"/>
        </w:rPr>
        <w:t xml:space="preserve"> typically operate on a walk-in basis and </w:t>
      </w:r>
      <w:r w:rsidR="006501CE" w:rsidRPr="620A8401">
        <w:rPr>
          <w:szCs w:val="21"/>
          <w:lang w:val="en-US"/>
        </w:rPr>
        <w:t>are staffed</w:t>
      </w:r>
      <w:r w:rsidR="001B46FA" w:rsidRPr="620A8401">
        <w:rPr>
          <w:szCs w:val="21"/>
          <w:lang w:val="en-US"/>
        </w:rPr>
        <w:t xml:space="preserve"> </w:t>
      </w:r>
      <w:r w:rsidR="00DE2978" w:rsidRPr="620A8401">
        <w:rPr>
          <w:szCs w:val="21"/>
          <w:lang w:val="en-US"/>
        </w:rPr>
        <w:t xml:space="preserve">by </w:t>
      </w:r>
      <w:r w:rsidR="009B1FCE" w:rsidRPr="620A8401">
        <w:rPr>
          <w:szCs w:val="21"/>
          <w:lang w:val="en-US"/>
        </w:rPr>
        <w:t xml:space="preserve">a combination of </w:t>
      </w:r>
      <w:r w:rsidR="00E86FDE" w:rsidRPr="620A8401">
        <w:rPr>
          <w:szCs w:val="21"/>
          <w:lang w:val="en-US"/>
        </w:rPr>
        <w:t>GPs</w:t>
      </w:r>
      <w:r w:rsidR="009B1FCE" w:rsidRPr="620A8401">
        <w:rPr>
          <w:szCs w:val="21"/>
          <w:lang w:val="en-US"/>
        </w:rPr>
        <w:t>, nurse practitioners, registered nurses and nursing assistants</w:t>
      </w:r>
      <w:r w:rsidR="000459D5" w:rsidRPr="620A8401">
        <w:rPr>
          <w:szCs w:val="21"/>
          <w:lang w:val="en-US"/>
        </w:rPr>
        <w:t>.</w:t>
      </w:r>
      <w:r w:rsidR="007845BA" w:rsidRPr="620A8401">
        <w:rPr>
          <w:rStyle w:val="FootnoteReference"/>
          <w:szCs w:val="21"/>
          <w:lang w:val="en-US"/>
        </w:rPr>
        <w:footnoteReference w:id="13"/>
      </w:r>
      <w:r w:rsidR="000459D5" w:rsidRPr="620A8401">
        <w:rPr>
          <w:szCs w:val="21"/>
          <w:lang w:val="en-US"/>
        </w:rPr>
        <w:t xml:space="preserve"> </w:t>
      </w:r>
      <w:r w:rsidR="00C03D00" w:rsidRPr="620A8401">
        <w:rPr>
          <w:szCs w:val="21"/>
          <w:lang w:val="en-US"/>
        </w:rPr>
        <w:t>They also</w:t>
      </w:r>
      <w:r w:rsidR="009B1FCE" w:rsidRPr="620A8401">
        <w:rPr>
          <w:szCs w:val="21"/>
          <w:lang w:val="en-US"/>
        </w:rPr>
        <w:t xml:space="preserve"> commonly </w:t>
      </w:r>
      <w:r w:rsidR="00C03D00" w:rsidRPr="620A8401">
        <w:rPr>
          <w:szCs w:val="21"/>
          <w:lang w:val="en-US"/>
        </w:rPr>
        <w:t xml:space="preserve">provide </w:t>
      </w:r>
      <w:r w:rsidR="009B1FCE" w:rsidRPr="620A8401">
        <w:rPr>
          <w:szCs w:val="21"/>
          <w:lang w:val="en-US"/>
        </w:rPr>
        <w:t>access to diagnostics, aligning with best practices seen internationally</w:t>
      </w:r>
      <w:r w:rsidR="007457F8" w:rsidRPr="620A8401">
        <w:rPr>
          <w:szCs w:val="21"/>
          <w:lang w:val="en-US"/>
        </w:rPr>
        <w:t>,</w:t>
      </w:r>
      <w:r w:rsidR="000459D5" w:rsidRPr="620A8401">
        <w:rPr>
          <w:rStyle w:val="FootnoteReference"/>
          <w:szCs w:val="21"/>
          <w:lang w:val="en-US"/>
        </w:rPr>
        <w:footnoteReference w:id="14"/>
      </w:r>
      <w:r w:rsidR="009B1FCE" w:rsidRPr="620A8401">
        <w:rPr>
          <w:szCs w:val="21"/>
          <w:lang w:val="en-US"/>
        </w:rPr>
        <w:t xml:space="preserve"> </w:t>
      </w:r>
      <w:r w:rsidR="00232E51" w:rsidRPr="620A8401">
        <w:rPr>
          <w:szCs w:val="21"/>
          <w:lang w:val="en-US"/>
        </w:rPr>
        <w:t>and offer</w:t>
      </w:r>
      <w:r w:rsidR="009B1FCE" w:rsidRPr="620A8401">
        <w:rPr>
          <w:szCs w:val="21"/>
          <w:lang w:val="en-US"/>
        </w:rPr>
        <w:t xml:space="preserve"> services such as basic fracture care, IV cannulation, and minor wound and burn management. </w:t>
      </w:r>
    </w:p>
    <w:p w14:paraId="2584B31F" w14:textId="22B7ED14" w:rsidR="009B1FCE" w:rsidRPr="009B783C" w:rsidRDefault="009B1FCE" w:rsidP="00642228">
      <w:pPr>
        <w:rPr>
          <w:szCs w:val="21"/>
          <w:lang w:val="en-US"/>
        </w:rPr>
      </w:pPr>
      <w:r w:rsidRPr="620A8401">
        <w:rPr>
          <w:szCs w:val="21"/>
          <w:lang w:val="en-US"/>
        </w:rPr>
        <w:t>In the UK, a variety of urgent care models have been developed to reduce ED demand by treating urgent but non-life-threatening conditions</w:t>
      </w:r>
      <w:r w:rsidR="00145721" w:rsidRPr="620A8401">
        <w:rPr>
          <w:szCs w:val="21"/>
          <w:lang w:val="en-US"/>
        </w:rPr>
        <w:t>.</w:t>
      </w:r>
      <w:r w:rsidR="00145721" w:rsidRPr="620A8401">
        <w:rPr>
          <w:rStyle w:val="FootnoteReference"/>
          <w:szCs w:val="21"/>
          <w:lang w:val="en-US"/>
        </w:rPr>
        <w:footnoteReference w:id="15"/>
      </w:r>
      <w:r w:rsidR="004C56FF" w:rsidRPr="620A8401">
        <w:rPr>
          <w:szCs w:val="21"/>
          <w:vertAlign w:val="superscript"/>
          <w:lang w:val="en-US"/>
        </w:rPr>
        <w:t>,</w:t>
      </w:r>
      <w:r w:rsidR="0000023A" w:rsidRPr="620A8401">
        <w:rPr>
          <w:rStyle w:val="FootnoteReference"/>
          <w:szCs w:val="21"/>
          <w:lang w:val="en-US"/>
        </w:rPr>
        <w:footnoteReference w:id="16"/>
      </w:r>
      <w:r w:rsidR="004C56FF" w:rsidRPr="620A8401">
        <w:rPr>
          <w:szCs w:val="21"/>
          <w:vertAlign w:val="superscript"/>
          <w:lang w:val="en-US"/>
        </w:rPr>
        <w:t>,</w:t>
      </w:r>
      <w:r w:rsidR="00145721" w:rsidRPr="620A8401">
        <w:rPr>
          <w:rStyle w:val="FootnoteReference"/>
          <w:szCs w:val="21"/>
          <w:lang w:val="en-US"/>
        </w:rPr>
        <w:footnoteReference w:id="17"/>
      </w:r>
      <w:r w:rsidR="00145721" w:rsidRPr="620A8401">
        <w:rPr>
          <w:szCs w:val="21"/>
          <w:lang w:val="en-US"/>
        </w:rPr>
        <w:t xml:space="preserve"> </w:t>
      </w:r>
      <w:r w:rsidRPr="620A8401">
        <w:rPr>
          <w:szCs w:val="21"/>
          <w:lang w:val="en-US"/>
        </w:rPr>
        <w:t xml:space="preserve">UCCs in the UK </w:t>
      </w:r>
      <w:r w:rsidR="00776DF0" w:rsidRPr="620A8401">
        <w:rPr>
          <w:szCs w:val="21"/>
          <w:lang w:val="en-US"/>
        </w:rPr>
        <w:t>are</w:t>
      </w:r>
      <w:r w:rsidRPr="620A8401">
        <w:rPr>
          <w:szCs w:val="21"/>
          <w:lang w:val="en-US"/>
        </w:rPr>
        <w:t xml:space="preserve"> either GP-led or nurse-led, </w:t>
      </w:r>
      <w:r w:rsidR="00776DF0" w:rsidRPr="620A8401">
        <w:rPr>
          <w:szCs w:val="21"/>
          <w:lang w:val="en-US"/>
        </w:rPr>
        <w:t>supported by</w:t>
      </w:r>
      <w:r w:rsidRPr="620A8401" w:rsidDel="00776DF0">
        <w:rPr>
          <w:szCs w:val="21"/>
          <w:lang w:val="en-US"/>
        </w:rPr>
        <w:t xml:space="preserve"> </w:t>
      </w:r>
      <w:r w:rsidRPr="620A8401">
        <w:rPr>
          <w:szCs w:val="21"/>
          <w:lang w:val="en-US"/>
        </w:rPr>
        <w:t>multidisciplinary team</w:t>
      </w:r>
      <w:r w:rsidR="00FC115F" w:rsidRPr="620A8401">
        <w:rPr>
          <w:szCs w:val="21"/>
          <w:lang w:val="en-US"/>
        </w:rPr>
        <w:t>s that may</w:t>
      </w:r>
      <w:r w:rsidRPr="620A8401">
        <w:rPr>
          <w:szCs w:val="21"/>
          <w:lang w:val="en-US"/>
        </w:rPr>
        <w:t xml:space="preserve"> includ</w:t>
      </w:r>
      <w:r w:rsidR="00717E4A" w:rsidRPr="620A8401">
        <w:rPr>
          <w:szCs w:val="21"/>
          <w:lang w:val="en-US"/>
        </w:rPr>
        <w:t>e</w:t>
      </w:r>
      <w:r w:rsidRPr="620A8401">
        <w:rPr>
          <w:szCs w:val="21"/>
          <w:lang w:val="en-US"/>
        </w:rPr>
        <w:t xml:space="preserve"> GPs, nurse practitioners, registered nurses and physiotherapy practitioners</w:t>
      </w:r>
      <w:r w:rsidR="001D1861" w:rsidRPr="620A8401">
        <w:rPr>
          <w:szCs w:val="21"/>
          <w:lang w:val="en-US"/>
        </w:rPr>
        <w:t>.</w:t>
      </w:r>
      <w:r w:rsidR="001D1861" w:rsidRPr="620A8401">
        <w:rPr>
          <w:rStyle w:val="FootnoteReference"/>
          <w:szCs w:val="21"/>
          <w:lang w:val="en-US"/>
        </w:rPr>
        <w:footnoteReference w:id="18"/>
      </w:r>
      <w:r w:rsidR="001D1861" w:rsidRPr="620A8401">
        <w:rPr>
          <w:szCs w:val="21"/>
          <w:lang w:val="en-US"/>
        </w:rPr>
        <w:t xml:space="preserve"> </w:t>
      </w:r>
      <w:r w:rsidR="003304BF" w:rsidRPr="620A8401">
        <w:rPr>
          <w:szCs w:val="21"/>
          <w:lang w:val="en-US"/>
        </w:rPr>
        <w:t xml:space="preserve">The </w:t>
      </w:r>
      <w:r w:rsidRPr="620A8401">
        <w:rPr>
          <w:szCs w:val="21"/>
          <w:lang w:val="en-US"/>
        </w:rPr>
        <w:t>UK</w:t>
      </w:r>
      <w:r w:rsidR="003304BF" w:rsidRPr="620A8401">
        <w:rPr>
          <w:szCs w:val="21"/>
          <w:lang w:val="en-US"/>
        </w:rPr>
        <w:t xml:space="preserve"> UCCs</w:t>
      </w:r>
      <w:r w:rsidRPr="620A8401">
        <w:rPr>
          <w:szCs w:val="21"/>
          <w:lang w:val="en-US"/>
        </w:rPr>
        <w:t xml:space="preserve"> can </w:t>
      </w:r>
      <w:r w:rsidR="00AD59BB" w:rsidRPr="620A8401">
        <w:rPr>
          <w:szCs w:val="21"/>
          <w:lang w:val="en-US"/>
        </w:rPr>
        <w:t xml:space="preserve">operate as </w:t>
      </w:r>
      <w:r w:rsidRPr="620A8401">
        <w:rPr>
          <w:szCs w:val="21"/>
          <w:lang w:val="en-US"/>
        </w:rPr>
        <w:t xml:space="preserve">standalone facilities, co-locate with EDs, or integrate within EDs, </w:t>
      </w:r>
      <w:r w:rsidR="004B1291" w:rsidRPr="620A8401">
        <w:rPr>
          <w:szCs w:val="21"/>
          <w:lang w:val="en-US"/>
        </w:rPr>
        <w:t xml:space="preserve">sharing </w:t>
      </w:r>
      <w:r w:rsidRPr="620A8401">
        <w:rPr>
          <w:szCs w:val="21"/>
          <w:lang w:val="en-US"/>
        </w:rPr>
        <w:t>the same triage functions</w:t>
      </w:r>
      <w:r w:rsidR="001D1861" w:rsidRPr="620A8401">
        <w:rPr>
          <w:szCs w:val="21"/>
          <w:lang w:val="en-US"/>
        </w:rPr>
        <w:t>.</w:t>
      </w:r>
      <w:r w:rsidR="001D1861" w:rsidRPr="620A8401">
        <w:rPr>
          <w:rStyle w:val="FootnoteReference"/>
          <w:szCs w:val="21"/>
          <w:lang w:val="en-US"/>
        </w:rPr>
        <w:footnoteReference w:id="19"/>
      </w:r>
      <w:r w:rsidRPr="620A8401">
        <w:rPr>
          <w:szCs w:val="21"/>
          <w:lang w:val="en-US"/>
        </w:rPr>
        <w:t xml:space="preserve"> </w:t>
      </w:r>
      <w:r w:rsidR="007845BA" w:rsidRPr="620A8401">
        <w:rPr>
          <w:szCs w:val="21"/>
          <w:lang w:val="en-US"/>
        </w:rPr>
        <w:t xml:space="preserve">They </w:t>
      </w:r>
      <w:r w:rsidRPr="620A8401">
        <w:rPr>
          <w:szCs w:val="21"/>
          <w:lang w:val="en-US"/>
        </w:rPr>
        <w:t>commonly have access to diagnostics, though this varies by location</w:t>
      </w:r>
      <w:r w:rsidR="007033D5" w:rsidRPr="620A8401">
        <w:rPr>
          <w:szCs w:val="21"/>
          <w:lang w:val="en-US"/>
        </w:rPr>
        <w:t>.</w:t>
      </w:r>
      <w:r w:rsidRPr="620A8401">
        <w:rPr>
          <w:szCs w:val="21"/>
          <w:lang w:val="en-US"/>
        </w:rPr>
        <w:t xml:space="preserve"> Other services typically </w:t>
      </w:r>
      <w:r w:rsidRPr="620A8401">
        <w:rPr>
          <w:szCs w:val="21"/>
          <w:lang w:val="en-US"/>
        </w:rPr>
        <w:lastRenderedPageBreak/>
        <w:t>offered include basic fracture care, minor wound and burn management, and IV fluids</w:t>
      </w:r>
      <w:r w:rsidR="007033D5" w:rsidRPr="620A8401">
        <w:rPr>
          <w:szCs w:val="21"/>
          <w:lang w:val="en-US"/>
        </w:rPr>
        <w:t>.</w:t>
      </w:r>
      <w:r w:rsidR="007033D5" w:rsidRPr="620A8401">
        <w:rPr>
          <w:rStyle w:val="FootnoteReference"/>
          <w:szCs w:val="21"/>
          <w:lang w:val="en-US"/>
        </w:rPr>
        <w:footnoteReference w:id="20"/>
      </w:r>
      <w:r w:rsidR="008A611A" w:rsidRPr="620A8401">
        <w:rPr>
          <w:szCs w:val="21"/>
          <w:lang w:val="en-US"/>
        </w:rPr>
        <w:t xml:space="preserve"> </w:t>
      </w:r>
      <w:r w:rsidRPr="620A8401">
        <w:rPr>
          <w:szCs w:val="21"/>
          <w:lang w:val="en-US"/>
        </w:rPr>
        <w:t>Beyond UCCs, the UK also employs walk-in clinics and minor injury units, staffed primarily by GPs, emergency doctors and registered nurses</w:t>
      </w:r>
      <w:r w:rsidR="007033D5" w:rsidRPr="620A8401">
        <w:rPr>
          <w:szCs w:val="21"/>
          <w:lang w:val="en-US"/>
        </w:rPr>
        <w:t>.</w:t>
      </w:r>
      <w:r w:rsidR="007033D5" w:rsidRPr="620A8401">
        <w:rPr>
          <w:rStyle w:val="FootnoteReference"/>
          <w:szCs w:val="21"/>
          <w:lang w:val="en-US"/>
        </w:rPr>
        <w:footnoteReference w:id="21"/>
      </w:r>
      <w:r w:rsidR="007033D5" w:rsidRPr="620A8401">
        <w:rPr>
          <w:szCs w:val="21"/>
          <w:lang w:val="en-US"/>
        </w:rPr>
        <w:t xml:space="preserve"> </w:t>
      </w:r>
      <w:r w:rsidRPr="620A8401">
        <w:rPr>
          <w:szCs w:val="21"/>
          <w:lang w:val="en-US"/>
        </w:rPr>
        <w:t>These units aim to offer alternatives to ED for non-urgent conditions</w:t>
      </w:r>
      <w:r w:rsidR="005C27FC" w:rsidRPr="620A8401">
        <w:rPr>
          <w:szCs w:val="21"/>
          <w:lang w:val="en-US"/>
        </w:rPr>
        <w:t>.</w:t>
      </w:r>
      <w:r w:rsidR="009C0296" w:rsidRPr="620A8401">
        <w:rPr>
          <w:szCs w:val="21"/>
          <w:lang w:val="en-US"/>
        </w:rPr>
        <w:t xml:space="preserve"> </w:t>
      </w:r>
    </w:p>
    <w:p w14:paraId="3DCA368E" w14:textId="0B2D2A77" w:rsidR="009A5B9C" w:rsidRPr="009B783C" w:rsidRDefault="00D77C82" w:rsidP="00642228">
      <w:pPr>
        <w:rPr>
          <w:szCs w:val="21"/>
          <w:lang w:val="en-US"/>
        </w:rPr>
      </w:pPr>
      <w:r w:rsidRPr="620A8401">
        <w:rPr>
          <w:szCs w:val="21"/>
          <w:lang w:val="en-US"/>
        </w:rPr>
        <w:t xml:space="preserve">The evidence on the effectiveness of these clinics is mixed. </w:t>
      </w:r>
      <w:r w:rsidR="009C0296" w:rsidRPr="620A8401">
        <w:rPr>
          <w:szCs w:val="21"/>
          <w:lang w:val="en-US"/>
        </w:rPr>
        <w:t xml:space="preserve">Two </w:t>
      </w:r>
      <w:r w:rsidR="00C0343A" w:rsidRPr="620A8401">
        <w:rPr>
          <w:szCs w:val="21"/>
          <w:lang w:val="en-US"/>
        </w:rPr>
        <w:t xml:space="preserve">recent </w:t>
      </w:r>
      <w:r w:rsidR="009C0296" w:rsidRPr="620A8401">
        <w:rPr>
          <w:szCs w:val="21"/>
          <w:lang w:val="en-US"/>
        </w:rPr>
        <w:t xml:space="preserve">reviews </w:t>
      </w:r>
      <w:r w:rsidR="00CB2030" w:rsidRPr="620A8401">
        <w:rPr>
          <w:szCs w:val="21"/>
          <w:lang w:val="en-US"/>
        </w:rPr>
        <w:t xml:space="preserve">identified studies of </w:t>
      </w:r>
      <w:r w:rsidR="00C0343A" w:rsidRPr="620A8401">
        <w:rPr>
          <w:szCs w:val="21"/>
          <w:lang w:val="en-US"/>
        </w:rPr>
        <w:t xml:space="preserve">models </w:t>
      </w:r>
      <w:proofErr w:type="gramStart"/>
      <w:r w:rsidR="00C0343A" w:rsidRPr="620A8401">
        <w:rPr>
          <w:szCs w:val="21"/>
          <w:lang w:val="en-US"/>
        </w:rPr>
        <w:t>similar to</w:t>
      </w:r>
      <w:proofErr w:type="gramEnd"/>
      <w:r w:rsidR="00C0343A" w:rsidRPr="620A8401">
        <w:rPr>
          <w:szCs w:val="21"/>
          <w:lang w:val="en-US"/>
        </w:rPr>
        <w:t xml:space="preserve"> </w:t>
      </w:r>
      <w:r w:rsidR="004F5599" w:rsidRPr="620A8401">
        <w:rPr>
          <w:szCs w:val="21"/>
          <w:lang w:val="en-US"/>
        </w:rPr>
        <w:t>UCC</w:t>
      </w:r>
      <w:r w:rsidR="00C0343A" w:rsidRPr="620A8401">
        <w:rPr>
          <w:szCs w:val="21"/>
          <w:lang w:val="en-US"/>
        </w:rPr>
        <w:t>s</w:t>
      </w:r>
      <w:r w:rsidR="00757DBA" w:rsidRPr="620A8401">
        <w:rPr>
          <w:szCs w:val="21"/>
          <w:lang w:val="en-US"/>
        </w:rPr>
        <w:t>.</w:t>
      </w:r>
      <w:r w:rsidR="00790C86" w:rsidRPr="620A8401">
        <w:rPr>
          <w:szCs w:val="21"/>
          <w:lang w:val="en-US"/>
        </w:rPr>
        <w:t xml:space="preserve"> </w:t>
      </w:r>
      <w:r w:rsidR="00E3297D" w:rsidRPr="620A8401">
        <w:rPr>
          <w:szCs w:val="21"/>
          <w:lang w:val="en-US"/>
        </w:rPr>
        <w:t xml:space="preserve">The first </w:t>
      </w:r>
      <w:r w:rsidR="003A3AFC" w:rsidRPr="620A8401">
        <w:rPr>
          <w:szCs w:val="21"/>
          <w:lang w:val="en-US"/>
        </w:rPr>
        <w:t>study was</w:t>
      </w:r>
      <w:r w:rsidR="005265C4" w:rsidRPr="620A8401">
        <w:rPr>
          <w:szCs w:val="21"/>
          <w:lang w:val="en-US"/>
        </w:rPr>
        <w:t xml:space="preserve"> part</w:t>
      </w:r>
      <w:r w:rsidR="00360E2B" w:rsidRPr="620A8401">
        <w:rPr>
          <w:szCs w:val="21"/>
          <w:lang w:val="en-US"/>
        </w:rPr>
        <w:t xml:space="preserve"> of an evidence review of </w:t>
      </w:r>
      <w:r w:rsidR="00571F2A" w:rsidRPr="620A8401">
        <w:rPr>
          <w:szCs w:val="21"/>
          <w:lang w:val="en-US"/>
        </w:rPr>
        <w:t xml:space="preserve">minor </w:t>
      </w:r>
      <w:r w:rsidR="000B7762" w:rsidRPr="620A8401">
        <w:rPr>
          <w:szCs w:val="21"/>
          <w:lang w:val="en-US"/>
        </w:rPr>
        <w:t>injury</w:t>
      </w:r>
      <w:r w:rsidR="00571F2A" w:rsidRPr="620A8401">
        <w:rPr>
          <w:szCs w:val="21"/>
          <w:lang w:val="en-US"/>
        </w:rPr>
        <w:t xml:space="preserve"> units, urgent care</w:t>
      </w:r>
      <w:r w:rsidR="000B7762" w:rsidRPr="620A8401">
        <w:rPr>
          <w:szCs w:val="21"/>
          <w:lang w:val="en-US"/>
        </w:rPr>
        <w:t xml:space="preserve"> </w:t>
      </w:r>
      <w:proofErr w:type="spellStart"/>
      <w:r w:rsidR="000B7762" w:rsidRPr="620A8401">
        <w:rPr>
          <w:szCs w:val="21"/>
          <w:lang w:val="en-US"/>
        </w:rPr>
        <w:t>centres</w:t>
      </w:r>
      <w:proofErr w:type="spellEnd"/>
      <w:r w:rsidR="000B7762" w:rsidRPr="620A8401">
        <w:rPr>
          <w:szCs w:val="21"/>
          <w:lang w:val="en-US"/>
        </w:rPr>
        <w:t xml:space="preserve"> and walk-in </w:t>
      </w:r>
      <w:proofErr w:type="spellStart"/>
      <w:r w:rsidR="000B7762" w:rsidRPr="620A8401">
        <w:rPr>
          <w:szCs w:val="21"/>
          <w:lang w:val="en-US"/>
        </w:rPr>
        <w:t>centres</w:t>
      </w:r>
      <w:proofErr w:type="spellEnd"/>
      <w:r w:rsidR="006218CC" w:rsidRPr="620A8401">
        <w:rPr>
          <w:szCs w:val="21"/>
          <w:lang w:val="en-US"/>
        </w:rPr>
        <w:t xml:space="preserve">, conducted </w:t>
      </w:r>
      <w:r w:rsidR="00B12A19" w:rsidRPr="620A8401">
        <w:rPr>
          <w:szCs w:val="21"/>
          <w:lang w:val="en-US"/>
        </w:rPr>
        <w:t xml:space="preserve">for </w:t>
      </w:r>
      <w:r w:rsidR="0031678F" w:rsidRPr="620A8401">
        <w:rPr>
          <w:szCs w:val="21"/>
          <w:lang w:val="en-US"/>
        </w:rPr>
        <w:t>the UK National Institute for Health and Care Excellence</w:t>
      </w:r>
      <w:r w:rsidR="00F73FCD" w:rsidRPr="620A8401">
        <w:rPr>
          <w:szCs w:val="21"/>
          <w:lang w:val="en-US"/>
        </w:rPr>
        <w:t>.</w:t>
      </w:r>
      <w:r w:rsidR="00C538E3" w:rsidRPr="620A8401">
        <w:rPr>
          <w:rStyle w:val="FootnoteReference"/>
          <w:szCs w:val="21"/>
          <w:lang w:val="en-US"/>
        </w:rPr>
        <w:footnoteReference w:id="22"/>
      </w:r>
      <w:r w:rsidR="009A5B9C" w:rsidRPr="620A8401">
        <w:rPr>
          <w:szCs w:val="21"/>
          <w:lang w:val="en-US"/>
        </w:rPr>
        <w:t xml:space="preserve"> </w:t>
      </w:r>
      <w:r w:rsidR="005E1ED2" w:rsidRPr="620A8401">
        <w:rPr>
          <w:szCs w:val="21"/>
          <w:lang w:val="en-US"/>
        </w:rPr>
        <w:t>Th</w:t>
      </w:r>
      <w:r w:rsidR="009A5B9C" w:rsidRPr="620A8401">
        <w:rPr>
          <w:szCs w:val="21"/>
          <w:lang w:val="en-US"/>
        </w:rPr>
        <w:t>e</w:t>
      </w:r>
      <w:r w:rsidR="005E1ED2" w:rsidRPr="620A8401">
        <w:rPr>
          <w:szCs w:val="21"/>
          <w:lang w:val="en-US"/>
        </w:rPr>
        <w:t xml:space="preserve"> review identified </w:t>
      </w:r>
      <w:r w:rsidR="00B17590" w:rsidRPr="620A8401">
        <w:rPr>
          <w:szCs w:val="21"/>
          <w:lang w:val="en-US"/>
        </w:rPr>
        <w:t>five</w:t>
      </w:r>
      <w:r w:rsidR="005E1ED2" w:rsidRPr="620A8401">
        <w:rPr>
          <w:szCs w:val="21"/>
          <w:lang w:val="en-US"/>
        </w:rPr>
        <w:t xml:space="preserve"> </w:t>
      </w:r>
      <w:r w:rsidR="00611466" w:rsidRPr="620A8401">
        <w:rPr>
          <w:szCs w:val="21"/>
          <w:lang w:val="en-US"/>
        </w:rPr>
        <w:t xml:space="preserve">observational </w:t>
      </w:r>
      <w:r w:rsidR="005E1ED2" w:rsidRPr="620A8401">
        <w:rPr>
          <w:szCs w:val="21"/>
          <w:lang w:val="en-US"/>
        </w:rPr>
        <w:t>studies with before</w:t>
      </w:r>
      <w:r w:rsidR="000B7762" w:rsidRPr="620A8401">
        <w:rPr>
          <w:szCs w:val="21"/>
          <w:lang w:val="en-US"/>
        </w:rPr>
        <w:t xml:space="preserve"> </w:t>
      </w:r>
      <w:r w:rsidR="005E1ED2" w:rsidRPr="620A8401">
        <w:rPr>
          <w:szCs w:val="21"/>
          <w:lang w:val="en-US"/>
        </w:rPr>
        <w:t>and after designs</w:t>
      </w:r>
      <w:r w:rsidR="00611466" w:rsidRPr="620A8401">
        <w:rPr>
          <w:szCs w:val="21"/>
          <w:lang w:val="en-US"/>
        </w:rPr>
        <w:t>, three of which included comparators.</w:t>
      </w:r>
      <w:r w:rsidR="00AF2AE9" w:rsidRPr="620A8401">
        <w:rPr>
          <w:szCs w:val="21"/>
          <w:lang w:val="en-US"/>
        </w:rPr>
        <w:t xml:space="preserve"> </w:t>
      </w:r>
      <w:r w:rsidR="0035430E" w:rsidRPr="620A8401">
        <w:rPr>
          <w:szCs w:val="21"/>
          <w:lang w:val="en-US"/>
        </w:rPr>
        <w:t xml:space="preserve">The quality of evidence for these was assessed to be </w:t>
      </w:r>
      <w:r w:rsidR="009B679C" w:rsidRPr="620A8401">
        <w:rPr>
          <w:szCs w:val="21"/>
          <w:lang w:val="en-US"/>
        </w:rPr>
        <w:t>low to very low d</w:t>
      </w:r>
      <w:r w:rsidR="00015AEF" w:rsidRPr="620A8401">
        <w:rPr>
          <w:szCs w:val="21"/>
          <w:lang w:val="en-US"/>
        </w:rPr>
        <w:t>u</w:t>
      </w:r>
      <w:r w:rsidR="009B679C" w:rsidRPr="620A8401">
        <w:rPr>
          <w:szCs w:val="21"/>
          <w:lang w:val="en-US"/>
        </w:rPr>
        <w:t xml:space="preserve">e to high risks of bias and imprecision </w:t>
      </w:r>
      <w:r w:rsidR="00C60159" w:rsidRPr="620A8401">
        <w:rPr>
          <w:szCs w:val="21"/>
          <w:lang w:val="en-US"/>
        </w:rPr>
        <w:t xml:space="preserve">in estimated effects. </w:t>
      </w:r>
      <w:r w:rsidR="004E7CC8" w:rsidRPr="620A8401">
        <w:rPr>
          <w:szCs w:val="21"/>
          <w:lang w:val="en-US"/>
        </w:rPr>
        <w:t>Within this re</w:t>
      </w:r>
      <w:r w:rsidR="00AA32F1" w:rsidRPr="620A8401">
        <w:rPr>
          <w:szCs w:val="21"/>
          <w:lang w:val="en-US"/>
        </w:rPr>
        <w:t>view, t</w:t>
      </w:r>
      <w:r w:rsidR="002A3CD5" w:rsidRPr="620A8401">
        <w:rPr>
          <w:szCs w:val="21"/>
          <w:lang w:val="en-US"/>
        </w:rPr>
        <w:t>hre</w:t>
      </w:r>
      <w:r w:rsidR="002D5069" w:rsidRPr="620A8401">
        <w:rPr>
          <w:szCs w:val="21"/>
          <w:lang w:val="en-US"/>
        </w:rPr>
        <w:t>e</w:t>
      </w:r>
      <w:r w:rsidR="002A3CD5" w:rsidRPr="620A8401">
        <w:rPr>
          <w:szCs w:val="21"/>
          <w:lang w:val="en-US"/>
        </w:rPr>
        <w:t xml:space="preserve"> studies of walk-in </w:t>
      </w:r>
      <w:proofErr w:type="spellStart"/>
      <w:r w:rsidR="002A3CD5" w:rsidRPr="620A8401">
        <w:rPr>
          <w:szCs w:val="21"/>
          <w:lang w:val="en-US"/>
        </w:rPr>
        <w:t>centres</w:t>
      </w:r>
      <w:proofErr w:type="spellEnd"/>
      <w:r w:rsidR="002A3CD5" w:rsidRPr="620A8401">
        <w:rPr>
          <w:szCs w:val="21"/>
          <w:lang w:val="en-US"/>
        </w:rPr>
        <w:t xml:space="preserve"> </w:t>
      </w:r>
      <w:r w:rsidR="002D5069" w:rsidRPr="620A8401">
        <w:rPr>
          <w:szCs w:val="21"/>
          <w:lang w:val="en-US"/>
        </w:rPr>
        <w:t>suggested</w:t>
      </w:r>
      <w:r w:rsidR="000327EC" w:rsidRPr="620A8401">
        <w:rPr>
          <w:szCs w:val="21"/>
          <w:lang w:val="en-US"/>
        </w:rPr>
        <w:t xml:space="preserve"> </w:t>
      </w:r>
      <w:r w:rsidR="003A3CF8" w:rsidRPr="620A8401">
        <w:rPr>
          <w:szCs w:val="21"/>
          <w:lang w:val="en-US"/>
        </w:rPr>
        <w:t xml:space="preserve">that stand-alone walk-in </w:t>
      </w:r>
      <w:proofErr w:type="spellStart"/>
      <w:r w:rsidR="003A3CF8" w:rsidRPr="620A8401">
        <w:rPr>
          <w:szCs w:val="21"/>
          <w:lang w:val="en-US"/>
        </w:rPr>
        <w:t>centres</w:t>
      </w:r>
      <w:proofErr w:type="spellEnd"/>
      <w:r w:rsidR="003A3CF8" w:rsidRPr="620A8401">
        <w:rPr>
          <w:szCs w:val="21"/>
          <w:lang w:val="en-US"/>
        </w:rPr>
        <w:t xml:space="preserve"> may </w:t>
      </w:r>
      <w:r w:rsidR="00C31E36" w:rsidRPr="620A8401">
        <w:rPr>
          <w:szCs w:val="21"/>
          <w:lang w:val="en-US"/>
        </w:rPr>
        <w:t>provide</w:t>
      </w:r>
      <w:r w:rsidR="003A3CF8" w:rsidRPr="620A8401">
        <w:rPr>
          <w:szCs w:val="21"/>
          <w:lang w:val="en-US"/>
        </w:rPr>
        <w:t xml:space="preserve"> </w:t>
      </w:r>
      <w:r w:rsidR="000B6A0E" w:rsidRPr="620A8401">
        <w:rPr>
          <w:szCs w:val="21"/>
          <w:lang w:val="en-US"/>
        </w:rPr>
        <w:t xml:space="preserve">benefits </w:t>
      </w:r>
      <w:r w:rsidR="001D6CFD" w:rsidRPr="620A8401">
        <w:rPr>
          <w:szCs w:val="21"/>
          <w:lang w:val="en-US"/>
        </w:rPr>
        <w:t>in terms of ED avoidance</w:t>
      </w:r>
      <w:r w:rsidR="00894076" w:rsidRPr="620A8401">
        <w:rPr>
          <w:szCs w:val="21"/>
          <w:lang w:val="en-US"/>
        </w:rPr>
        <w:t xml:space="preserve">, although this </w:t>
      </w:r>
      <w:r w:rsidR="006E354E" w:rsidRPr="620A8401">
        <w:rPr>
          <w:szCs w:val="21"/>
          <w:lang w:val="en-US"/>
        </w:rPr>
        <w:t>evidence was inconsistent</w:t>
      </w:r>
      <w:r w:rsidR="00C31E36" w:rsidRPr="620A8401">
        <w:rPr>
          <w:szCs w:val="21"/>
          <w:lang w:val="en-US"/>
        </w:rPr>
        <w:t xml:space="preserve"> due to </w:t>
      </w:r>
      <w:r w:rsidR="00FF5798" w:rsidRPr="620A8401">
        <w:rPr>
          <w:szCs w:val="21"/>
          <w:lang w:val="en-US"/>
        </w:rPr>
        <w:t xml:space="preserve">the </w:t>
      </w:r>
      <w:r w:rsidR="00C31E36" w:rsidRPr="620A8401">
        <w:rPr>
          <w:szCs w:val="21"/>
          <w:lang w:val="en-US"/>
        </w:rPr>
        <w:t>different methods</w:t>
      </w:r>
      <w:r w:rsidR="00FF5798" w:rsidRPr="620A8401">
        <w:rPr>
          <w:szCs w:val="21"/>
          <w:lang w:val="en-US"/>
        </w:rPr>
        <w:t xml:space="preserve"> used by the studies</w:t>
      </w:r>
      <w:r w:rsidR="00C31E36" w:rsidRPr="620A8401">
        <w:rPr>
          <w:szCs w:val="21"/>
          <w:lang w:val="en-US"/>
        </w:rPr>
        <w:t>.</w:t>
      </w:r>
      <w:r w:rsidR="008A611A" w:rsidRPr="620A8401">
        <w:rPr>
          <w:szCs w:val="21"/>
          <w:lang w:val="en-US"/>
        </w:rPr>
        <w:t xml:space="preserve"> </w:t>
      </w:r>
    </w:p>
    <w:p w14:paraId="09A81292" w14:textId="039915FA" w:rsidR="00C17381" w:rsidRPr="009B783C" w:rsidRDefault="00C31E36" w:rsidP="00642228">
      <w:pPr>
        <w:rPr>
          <w:szCs w:val="21"/>
          <w:lang w:val="en-US"/>
        </w:rPr>
      </w:pPr>
      <w:r w:rsidRPr="620A8401">
        <w:rPr>
          <w:szCs w:val="21"/>
          <w:lang w:val="en-US"/>
        </w:rPr>
        <w:t xml:space="preserve">The second </w:t>
      </w:r>
      <w:r w:rsidR="00921B64" w:rsidRPr="620A8401">
        <w:rPr>
          <w:szCs w:val="21"/>
          <w:lang w:val="en-US"/>
        </w:rPr>
        <w:t xml:space="preserve">study </w:t>
      </w:r>
      <w:r w:rsidRPr="620A8401">
        <w:rPr>
          <w:szCs w:val="21"/>
          <w:lang w:val="en-US"/>
        </w:rPr>
        <w:t>review</w:t>
      </w:r>
      <w:r w:rsidR="00921B64" w:rsidRPr="620A8401">
        <w:rPr>
          <w:szCs w:val="21"/>
          <w:lang w:val="en-US"/>
        </w:rPr>
        <w:t>ed</w:t>
      </w:r>
      <w:r w:rsidR="006E524F" w:rsidRPr="620A8401">
        <w:rPr>
          <w:szCs w:val="21"/>
          <w:lang w:val="en-US"/>
        </w:rPr>
        <w:t xml:space="preserve"> evidence </w:t>
      </w:r>
      <w:r w:rsidR="00FF5798" w:rsidRPr="620A8401">
        <w:rPr>
          <w:szCs w:val="21"/>
          <w:lang w:val="en-US"/>
        </w:rPr>
        <w:t>of</w:t>
      </w:r>
      <w:r w:rsidR="006E524F" w:rsidRPr="620A8401">
        <w:rPr>
          <w:szCs w:val="21"/>
          <w:lang w:val="en-US"/>
        </w:rPr>
        <w:t xml:space="preserve"> </w:t>
      </w:r>
      <w:r w:rsidR="00921B64" w:rsidRPr="620A8401">
        <w:rPr>
          <w:szCs w:val="21"/>
          <w:lang w:val="en-US"/>
        </w:rPr>
        <w:t xml:space="preserve">the impact of </w:t>
      </w:r>
      <w:r w:rsidR="006E524F" w:rsidRPr="620A8401">
        <w:rPr>
          <w:szCs w:val="21"/>
          <w:lang w:val="en-US"/>
        </w:rPr>
        <w:t xml:space="preserve">walk-in </w:t>
      </w:r>
      <w:proofErr w:type="spellStart"/>
      <w:r w:rsidR="006E524F" w:rsidRPr="620A8401">
        <w:rPr>
          <w:szCs w:val="21"/>
          <w:lang w:val="en-US"/>
        </w:rPr>
        <w:t>centres</w:t>
      </w:r>
      <w:proofErr w:type="spellEnd"/>
      <w:r w:rsidR="006E524F" w:rsidRPr="620A8401">
        <w:rPr>
          <w:szCs w:val="21"/>
          <w:lang w:val="en-US"/>
        </w:rPr>
        <w:t xml:space="preserve"> and GP cooperatives</w:t>
      </w:r>
      <w:r w:rsidR="00921B64" w:rsidRPr="620A8401">
        <w:rPr>
          <w:szCs w:val="21"/>
          <w:lang w:val="en-US"/>
        </w:rPr>
        <w:t xml:space="preserve"> on ED avoidance</w:t>
      </w:r>
      <w:r w:rsidR="006E524F" w:rsidRPr="620A8401">
        <w:rPr>
          <w:szCs w:val="21"/>
          <w:lang w:val="en-US"/>
        </w:rPr>
        <w:t>.</w:t>
      </w:r>
      <w:r w:rsidR="009A5B9C" w:rsidRPr="620A8401">
        <w:rPr>
          <w:rStyle w:val="FootnoteReference"/>
          <w:szCs w:val="21"/>
          <w:lang w:val="en-US"/>
        </w:rPr>
        <w:footnoteReference w:id="23"/>
      </w:r>
      <w:r w:rsidR="006F345D" w:rsidRPr="620A8401">
        <w:rPr>
          <w:szCs w:val="21"/>
          <w:lang w:val="en-US"/>
        </w:rPr>
        <w:t xml:space="preserve"> </w:t>
      </w:r>
      <w:r w:rsidR="008E769C" w:rsidRPr="620A8401">
        <w:rPr>
          <w:szCs w:val="21"/>
          <w:lang w:val="en-US"/>
        </w:rPr>
        <w:t xml:space="preserve">The review identified 11 studies </w:t>
      </w:r>
      <w:r w:rsidR="00921B64" w:rsidRPr="620A8401">
        <w:rPr>
          <w:szCs w:val="21"/>
          <w:lang w:val="en-US"/>
        </w:rPr>
        <w:t xml:space="preserve">across </w:t>
      </w:r>
      <w:r w:rsidR="00D338A4" w:rsidRPr="620A8401">
        <w:rPr>
          <w:szCs w:val="21"/>
          <w:lang w:val="en-US"/>
        </w:rPr>
        <w:t>five</w:t>
      </w:r>
      <w:r w:rsidR="00921B64" w:rsidRPr="620A8401">
        <w:rPr>
          <w:szCs w:val="21"/>
          <w:lang w:val="en-US"/>
        </w:rPr>
        <w:t xml:space="preserve"> countries</w:t>
      </w:r>
      <w:r w:rsidR="006E524F" w:rsidRPr="620A8401">
        <w:rPr>
          <w:szCs w:val="21"/>
          <w:lang w:val="en-US"/>
        </w:rPr>
        <w:t xml:space="preserve">. </w:t>
      </w:r>
      <w:r w:rsidR="00DB5D8C" w:rsidRPr="620A8401">
        <w:rPr>
          <w:szCs w:val="21"/>
          <w:lang w:val="en-US"/>
        </w:rPr>
        <w:t xml:space="preserve">The review concluded </w:t>
      </w:r>
      <w:r w:rsidR="002A0C5E" w:rsidRPr="620A8401">
        <w:rPr>
          <w:szCs w:val="21"/>
          <w:lang w:val="en-US"/>
        </w:rPr>
        <w:t>w</w:t>
      </w:r>
      <w:r w:rsidR="00DB5D8C" w:rsidRPr="620A8401">
        <w:rPr>
          <w:szCs w:val="21"/>
          <w:lang w:val="en-US"/>
        </w:rPr>
        <w:t xml:space="preserve">alk-in clinics “have the potential to reduce non-urgent </w:t>
      </w:r>
      <w:r w:rsidR="00115496" w:rsidRPr="620A8401">
        <w:rPr>
          <w:szCs w:val="21"/>
          <w:lang w:val="en-US"/>
        </w:rPr>
        <w:t>ED</w:t>
      </w:r>
      <w:r w:rsidR="00DB5D8C" w:rsidRPr="620A8401">
        <w:rPr>
          <w:szCs w:val="21"/>
          <w:lang w:val="en-US"/>
        </w:rPr>
        <w:t xml:space="preserve"> presentations</w:t>
      </w:r>
      <w:r w:rsidR="001B32EE" w:rsidRPr="620A8401">
        <w:rPr>
          <w:szCs w:val="21"/>
          <w:lang w:val="en-US"/>
        </w:rPr>
        <w:t>, however</w:t>
      </w:r>
      <w:r w:rsidR="00D338A4" w:rsidRPr="620A8401">
        <w:rPr>
          <w:szCs w:val="21"/>
          <w:lang w:val="en-US"/>
        </w:rPr>
        <w:t>,</w:t>
      </w:r>
      <w:r w:rsidR="001B32EE" w:rsidRPr="620A8401">
        <w:rPr>
          <w:szCs w:val="21"/>
          <w:lang w:val="en-US"/>
        </w:rPr>
        <w:t xml:space="preserve"> the evidence of this effect is low.”</w:t>
      </w:r>
      <w:r w:rsidR="00B53883" w:rsidRPr="620A8401">
        <w:rPr>
          <w:rStyle w:val="FootnoteReference"/>
          <w:szCs w:val="21"/>
          <w:lang w:val="en-US"/>
        </w:rPr>
        <w:footnoteReference w:id="24"/>
      </w:r>
      <w:r w:rsidR="006F345D" w:rsidRPr="620A8401">
        <w:rPr>
          <w:szCs w:val="21"/>
          <w:lang w:val="en-US"/>
        </w:rPr>
        <w:t xml:space="preserve"> </w:t>
      </w:r>
    </w:p>
    <w:p w14:paraId="0FDD27CF" w14:textId="77777777" w:rsidR="0094454A" w:rsidRPr="009B783C" w:rsidRDefault="0094454A" w:rsidP="00C17381">
      <w:pPr>
        <w:pStyle w:val="Heading1"/>
        <w:ind w:left="567" w:hanging="567"/>
      </w:pPr>
      <w:bookmarkStart w:id="26" w:name="_Toc189639210"/>
      <w:bookmarkStart w:id="27" w:name="_Toc189772010"/>
      <w:r w:rsidRPr="009B783C">
        <w:lastRenderedPageBreak/>
        <w:t xml:space="preserve">Brief </w:t>
      </w:r>
      <w:r w:rsidR="000F1FAD" w:rsidRPr="009B783C">
        <w:t>o</w:t>
      </w:r>
      <w:r w:rsidRPr="009B783C">
        <w:t>verview of the Program</w:t>
      </w:r>
      <w:bookmarkEnd w:id="26"/>
      <w:bookmarkEnd w:id="27"/>
    </w:p>
    <w:p w14:paraId="324CEF97" w14:textId="365FC5BA" w:rsidR="00B25F64" w:rsidRPr="009B783C" w:rsidRDefault="00B25F64" w:rsidP="00642228">
      <w:pPr>
        <w:rPr>
          <w:szCs w:val="21"/>
          <w:lang w:eastAsia="en-AU"/>
        </w:rPr>
      </w:pPr>
      <w:r w:rsidRPr="009B783C">
        <w:rPr>
          <w:szCs w:val="21"/>
          <w:lang w:eastAsia="en-AU"/>
        </w:rPr>
        <w:t xml:space="preserve">This section of the report provides an overview of </w:t>
      </w:r>
      <w:r w:rsidR="004749FF" w:rsidRPr="009B783C">
        <w:rPr>
          <w:szCs w:val="21"/>
          <w:lang w:eastAsia="en-AU"/>
        </w:rPr>
        <w:t xml:space="preserve">what was intended </w:t>
      </w:r>
      <w:r w:rsidR="00BB021D" w:rsidRPr="009B783C">
        <w:rPr>
          <w:szCs w:val="21"/>
          <w:lang w:eastAsia="en-AU"/>
        </w:rPr>
        <w:t xml:space="preserve">through </w:t>
      </w:r>
      <w:r w:rsidR="00E5492B" w:rsidRPr="009B783C">
        <w:rPr>
          <w:szCs w:val="21"/>
          <w:lang w:eastAsia="en-AU"/>
        </w:rPr>
        <w:t xml:space="preserve">the design of the </w:t>
      </w:r>
      <w:r w:rsidR="0078033B" w:rsidRPr="009B783C">
        <w:rPr>
          <w:szCs w:val="21"/>
          <w:lang w:eastAsia="en-AU"/>
        </w:rPr>
        <w:t>Program</w:t>
      </w:r>
      <w:r w:rsidR="00BB021D" w:rsidRPr="009B783C">
        <w:rPr>
          <w:szCs w:val="21"/>
          <w:lang w:eastAsia="en-AU"/>
        </w:rPr>
        <w:t>.</w:t>
      </w:r>
    </w:p>
    <w:p w14:paraId="4C9040F5" w14:textId="77777777" w:rsidR="006C3937" w:rsidRPr="009B783C" w:rsidRDefault="00653EB2" w:rsidP="00A93D9C">
      <w:pPr>
        <w:pStyle w:val="Heading2"/>
        <w:ind w:left="567" w:hanging="567"/>
      </w:pPr>
      <w:bookmarkStart w:id="28" w:name="_Toc189639211"/>
      <w:bookmarkStart w:id="29" w:name="_Toc189772011"/>
      <w:r w:rsidRPr="009B783C">
        <w:t>What is a Medicare UCC?</w:t>
      </w:r>
      <w:bookmarkEnd w:id="28"/>
      <w:bookmarkEnd w:id="29"/>
    </w:p>
    <w:p w14:paraId="5518CD52" w14:textId="2B6F74FE" w:rsidR="00BB1B46" w:rsidRPr="009B783C" w:rsidRDefault="00BB1B46" w:rsidP="00642228">
      <w:pPr>
        <w:rPr>
          <w:szCs w:val="21"/>
          <w:lang w:eastAsia="en-AU"/>
        </w:rPr>
      </w:pPr>
      <w:r w:rsidRPr="009B783C">
        <w:rPr>
          <w:szCs w:val="21"/>
          <w:lang w:eastAsia="en-AU"/>
        </w:rPr>
        <w:t xml:space="preserve">Medicare UCCs are </w:t>
      </w:r>
      <w:r w:rsidR="00D7047F" w:rsidRPr="009B783C">
        <w:rPr>
          <w:szCs w:val="21"/>
          <w:lang w:eastAsia="en-AU"/>
        </w:rPr>
        <w:t xml:space="preserve">intended to be </w:t>
      </w:r>
      <w:r w:rsidR="00306056" w:rsidRPr="009B783C">
        <w:rPr>
          <w:szCs w:val="21"/>
          <w:lang w:eastAsia="en-AU"/>
        </w:rPr>
        <w:t>co-</w:t>
      </w:r>
      <w:r w:rsidRPr="009B783C">
        <w:rPr>
          <w:szCs w:val="21"/>
          <w:lang w:eastAsia="en-AU"/>
        </w:rPr>
        <w:t>located with general practices, ACCHS</w:t>
      </w:r>
      <w:r w:rsidR="00C17381" w:rsidRPr="009B783C">
        <w:rPr>
          <w:szCs w:val="21"/>
          <w:lang w:eastAsia="en-AU"/>
        </w:rPr>
        <w:t xml:space="preserve"> and other community health centres.</w:t>
      </w:r>
      <w:r w:rsidRPr="009B783C">
        <w:rPr>
          <w:szCs w:val="21"/>
          <w:lang w:eastAsia="en-AU"/>
        </w:rPr>
        <w:t xml:space="preserve"> Each clinic is partnered with a local public hospital ED to </w:t>
      </w:r>
      <w:r w:rsidR="00B77A0B" w:rsidRPr="009B783C">
        <w:rPr>
          <w:szCs w:val="21"/>
          <w:lang w:eastAsia="en-AU"/>
        </w:rPr>
        <w:t>encourage</w:t>
      </w:r>
      <w:r w:rsidRPr="009B783C">
        <w:rPr>
          <w:szCs w:val="21"/>
          <w:lang w:eastAsia="en-AU"/>
        </w:rPr>
        <w:t xml:space="preserve"> seamless coordination and integration with broader healthcare services.</w:t>
      </w:r>
    </w:p>
    <w:p w14:paraId="3389A638" w14:textId="22ECD44A" w:rsidR="00F26993" w:rsidRPr="009B783C" w:rsidRDefault="00BB1B46" w:rsidP="00642228">
      <w:pPr>
        <w:rPr>
          <w:szCs w:val="21"/>
          <w:lang w:eastAsia="en-AU"/>
        </w:rPr>
      </w:pPr>
      <w:r w:rsidRPr="009B783C">
        <w:rPr>
          <w:szCs w:val="21"/>
          <w:lang w:eastAsia="en-AU"/>
        </w:rPr>
        <w:t>The clinics are designed to be accessible and convenient, offering extended hours, walk-in services without appointments and access to diagnostic services such as pathology and radiology. Importantly, they operate with no out-of-pocket costs for patients.</w:t>
      </w:r>
      <w:r w:rsidR="00F26993" w:rsidRPr="009B783C">
        <w:rPr>
          <w:szCs w:val="21"/>
          <w:lang w:eastAsia="en-AU"/>
        </w:rPr>
        <w:t xml:space="preserve"> The clinics are intended to be welcoming, accessible and safe for all, particularly for priority populations.</w:t>
      </w:r>
    </w:p>
    <w:p w14:paraId="42BA8D9B" w14:textId="7298E4C2" w:rsidR="00BB1B46" w:rsidRPr="009B783C" w:rsidRDefault="00BB1B46" w:rsidP="00642228">
      <w:pPr>
        <w:rPr>
          <w:szCs w:val="21"/>
          <w:lang w:eastAsia="en-AU"/>
        </w:rPr>
      </w:pPr>
      <w:r w:rsidRPr="009B783C">
        <w:rPr>
          <w:szCs w:val="21"/>
          <w:lang w:eastAsia="en-AU"/>
        </w:rPr>
        <w:t xml:space="preserve">Patients can access Medicare UCCs directly or be referred by other services, including GPs, EDs, after-hours services, ambulance, Healthdirect and other primary healthcare services, such as allied health and community-based nursing services. </w:t>
      </w:r>
    </w:p>
    <w:p w14:paraId="09D7564B" w14:textId="2F0A2C7E" w:rsidR="00BB1B46" w:rsidRPr="009B783C" w:rsidRDefault="00BB1B46" w:rsidP="00642228">
      <w:pPr>
        <w:rPr>
          <w:szCs w:val="21"/>
          <w:lang w:eastAsia="en-AU"/>
        </w:rPr>
      </w:pPr>
      <w:r w:rsidRPr="009B783C">
        <w:rPr>
          <w:szCs w:val="21"/>
          <w:lang w:eastAsia="en-AU"/>
        </w:rPr>
        <w:t xml:space="preserve">The Medicare UCCs are expected to establish clear escalation and referral pathways. This includes pathways to the local partner ED for emergency cases and a range of other services such as mental health, community health programs and hospital outpatient clinics. </w:t>
      </w:r>
      <w:r w:rsidR="00A734F7" w:rsidRPr="009B783C">
        <w:rPr>
          <w:szCs w:val="21"/>
          <w:lang w:eastAsia="en-AU"/>
        </w:rPr>
        <w:t>Medicare UCCs are not intended to provide follow-up care or to be the primary coordinator of care</w:t>
      </w:r>
      <w:r w:rsidR="00C818C4" w:rsidRPr="009B783C">
        <w:rPr>
          <w:szCs w:val="21"/>
          <w:lang w:eastAsia="en-AU"/>
        </w:rPr>
        <w:t>. Ins</w:t>
      </w:r>
      <w:r w:rsidR="00A734F7" w:rsidRPr="009B783C">
        <w:rPr>
          <w:szCs w:val="21"/>
          <w:lang w:eastAsia="en-AU"/>
        </w:rPr>
        <w:t>tead</w:t>
      </w:r>
      <w:r w:rsidR="00C818C4" w:rsidRPr="009B783C">
        <w:rPr>
          <w:szCs w:val="21"/>
          <w:lang w:eastAsia="en-AU"/>
        </w:rPr>
        <w:t xml:space="preserve">, </w:t>
      </w:r>
      <w:r w:rsidR="00EC3575" w:rsidRPr="009B783C">
        <w:rPr>
          <w:szCs w:val="21"/>
          <w:lang w:eastAsia="en-AU"/>
        </w:rPr>
        <w:t>they</w:t>
      </w:r>
      <w:r w:rsidRPr="009B783C">
        <w:rPr>
          <w:szCs w:val="21"/>
          <w:lang w:eastAsia="en-AU"/>
        </w:rPr>
        <w:t xml:space="preserve"> are expected to include the usual primary care provider in referrals for diagnostic tests and other services (relevant to the urgent care presentation), facilitate follow-up appointments with patients’ usual primary care providers and ensure that every patient receives a discharge summary, which is communicated back to their primary care provider.</w:t>
      </w:r>
    </w:p>
    <w:p w14:paraId="25162CB3" w14:textId="77777777" w:rsidR="007A706B" w:rsidRPr="009B783C" w:rsidRDefault="007A706B" w:rsidP="00642228">
      <w:pPr>
        <w:rPr>
          <w:szCs w:val="21"/>
          <w:lang w:eastAsia="en-AU"/>
        </w:rPr>
      </w:pPr>
      <w:r w:rsidRPr="009B783C">
        <w:rPr>
          <w:szCs w:val="21"/>
          <w:lang w:eastAsia="en-AU"/>
        </w:rPr>
        <w:t>Some of the clinics transitioned from state and territory-managed urgent care services into the Medicare UCC Program.</w:t>
      </w:r>
    </w:p>
    <w:p w14:paraId="5EBDA45E" w14:textId="013F6590" w:rsidR="000F7638" w:rsidRPr="00606C34" w:rsidRDefault="00605456" w:rsidP="00606C34">
      <w:r w:rsidRPr="009B783C">
        <w:rPr>
          <w:szCs w:val="21"/>
          <w:lang w:eastAsia="en-AU"/>
        </w:rPr>
        <w:fldChar w:fldCharType="begin"/>
      </w:r>
      <w:r w:rsidRPr="009B783C">
        <w:rPr>
          <w:szCs w:val="21"/>
          <w:lang w:eastAsia="en-AU"/>
        </w:rPr>
        <w:instrText xml:space="preserve"> REF _Ref185485278 \h </w:instrText>
      </w:r>
      <w:r w:rsidR="00642228"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4A5E10" w:rsidRPr="009B783C">
        <w:rPr>
          <w:szCs w:val="21"/>
        </w:rPr>
        <w:t xml:space="preserve">Figure </w:t>
      </w:r>
      <w:r w:rsidR="004A5E10">
        <w:rPr>
          <w:szCs w:val="21"/>
        </w:rPr>
        <w:t>1</w:t>
      </w:r>
      <w:r w:rsidRPr="009B783C">
        <w:rPr>
          <w:szCs w:val="21"/>
          <w:lang w:eastAsia="en-AU"/>
        </w:rPr>
        <w:fldChar w:fldCharType="end"/>
      </w:r>
      <w:r w:rsidR="000F7638" w:rsidRPr="009B783C">
        <w:rPr>
          <w:szCs w:val="21"/>
          <w:lang w:eastAsia="en-AU"/>
        </w:rPr>
        <w:t xml:space="preserve"> depicts the intended Medicare UCC patient journey.</w:t>
      </w:r>
    </w:p>
    <w:p w14:paraId="2C57A615" w14:textId="77777777" w:rsidR="005674A2" w:rsidRPr="00606C34" w:rsidRDefault="005674A2" w:rsidP="00606C34"/>
    <w:p w14:paraId="398B37BD" w14:textId="77777777" w:rsidR="005674A2" w:rsidRPr="009B783C" w:rsidRDefault="005674A2" w:rsidP="009B35F5">
      <w:pPr>
        <w:sectPr w:rsidR="005674A2" w:rsidRPr="009B783C" w:rsidSect="006369D0">
          <w:headerReference w:type="even" r:id="rId22"/>
          <w:footerReference w:type="default" r:id="rId23"/>
          <w:headerReference w:type="first" r:id="rId24"/>
          <w:pgSz w:w="11907" w:h="16839" w:code="9"/>
          <w:pgMar w:top="1247" w:right="1418" w:bottom="1560" w:left="1559" w:header="720" w:footer="720" w:gutter="0"/>
          <w:cols w:space="720"/>
          <w:docGrid w:linePitch="360"/>
        </w:sectPr>
      </w:pPr>
    </w:p>
    <w:p w14:paraId="0EC5F292" w14:textId="14B03E04" w:rsidR="00605456" w:rsidRPr="009B783C" w:rsidRDefault="00605456" w:rsidP="00605456">
      <w:pPr>
        <w:pStyle w:val="Caption"/>
        <w:rPr>
          <w:szCs w:val="21"/>
        </w:rPr>
      </w:pPr>
      <w:bookmarkStart w:id="30" w:name="_Ref185485278"/>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4A5E10">
        <w:rPr>
          <w:noProof/>
          <w:szCs w:val="21"/>
        </w:rPr>
        <w:t>1</w:t>
      </w:r>
      <w:r w:rsidRPr="009B783C">
        <w:rPr>
          <w:szCs w:val="21"/>
        </w:rPr>
        <w:fldChar w:fldCharType="end"/>
      </w:r>
      <w:bookmarkEnd w:id="30"/>
      <w:r w:rsidRPr="009B783C">
        <w:rPr>
          <w:szCs w:val="21"/>
        </w:rPr>
        <w:t xml:space="preserve"> | The intended Medicare UCC patient journey</w:t>
      </w:r>
    </w:p>
    <w:p w14:paraId="6558FB3B" w14:textId="14C954AD" w:rsidR="00DF0E5F" w:rsidRPr="009B783C" w:rsidRDefault="00FB5E3C" w:rsidP="00DF0E5F">
      <w:r>
        <w:rPr>
          <w:noProof/>
        </w:rPr>
        <w:drawing>
          <wp:inline distT="0" distB="0" distL="0" distR="0" wp14:anchorId="6154C8B9" wp14:editId="22E1FD5B">
            <wp:extent cx="8910320" cy="5360035"/>
            <wp:effectExtent l="0" t="0" r="5080" b="0"/>
            <wp:docPr id="2043509210" name="Picture 3" descr="A graphic depicting a patient journey beginning with the onset of an urgent but non-life-threatening health issue. This patient may go straight to Medicare UCC or be referred from other providers or services including other healthcare providers, Health direct/phone triage, a GP, Ambulance, or ED. Following triage, the patient will be seen by a Medicare UCC clinician or be referred to ED for emergency care or to the usual GP if their condition is not urgent. Once seen by a Medicare UCC clinician the patient may then be directed to diagnostic imaging or pathology if required. They may also be referred for other services including allied health, mental health, or outpatients. Following the patient’s Medicare UCC presentation, the Medicare UCC clinician will provide a handover back to the patient’s usual GP or connect the patient with a primary care provider if none are identif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509210" name="Picture 3" descr="A graphic depicting a patient journey beginning with the onset of an urgent but non-life-threatening health issue. This patient may go straight to Medicare UCC or be referred from other providers or services including other healthcare providers, Health direct/phone triage, a GP, Ambulance, or ED. Following triage, the patient will be seen by a Medicare UCC clinician or be referred to ED for emergency care or to the usual GP if their condition is not urgent. Once seen by a Medicare UCC clinician the patient may then be directed to diagnostic imaging or pathology if required. They may also be referred for other services including allied health, mental health, or outpatients. Following the patient’s Medicare UCC presentation, the Medicare UCC clinician will provide a handover back to the patient’s usual GP or connect the patient with a primary care provider if none are identifi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8910320" cy="5360035"/>
                    </a:xfrm>
                    <a:prstGeom prst="rect">
                      <a:avLst/>
                    </a:prstGeom>
                  </pic:spPr>
                </pic:pic>
              </a:graphicData>
            </a:graphic>
          </wp:inline>
        </w:drawing>
      </w:r>
    </w:p>
    <w:p w14:paraId="02283ABA" w14:textId="203C67D0" w:rsidR="004D46E3" w:rsidRPr="009B783C" w:rsidRDefault="004D46E3" w:rsidP="003E79FA"/>
    <w:p w14:paraId="0BEF023C" w14:textId="7DE15A59" w:rsidR="005674A2" w:rsidRPr="009B783C" w:rsidRDefault="005674A2" w:rsidP="009B35F5">
      <w:pPr>
        <w:sectPr w:rsidR="005674A2" w:rsidRPr="009B783C" w:rsidSect="00C17381">
          <w:pgSz w:w="16839" w:h="11907" w:orient="landscape" w:code="9"/>
          <w:pgMar w:top="1134" w:right="1247" w:bottom="851" w:left="1560" w:header="720" w:footer="720" w:gutter="0"/>
          <w:cols w:space="720"/>
          <w:docGrid w:linePitch="360"/>
        </w:sectPr>
      </w:pPr>
    </w:p>
    <w:p w14:paraId="6B356C2B" w14:textId="00A890E7" w:rsidR="000C1327" w:rsidRPr="009B783C" w:rsidRDefault="00214D74" w:rsidP="009E519E">
      <w:pPr>
        <w:pStyle w:val="Heading2"/>
        <w:ind w:left="567" w:hanging="567"/>
      </w:pPr>
      <w:bookmarkStart w:id="31" w:name="_Toc189639212"/>
      <w:bookmarkStart w:id="32" w:name="_Toc189772012"/>
      <w:r w:rsidRPr="009B783C">
        <w:lastRenderedPageBreak/>
        <w:t>Where were they to be located?</w:t>
      </w:r>
      <w:bookmarkEnd w:id="31"/>
      <w:bookmarkEnd w:id="32"/>
    </w:p>
    <w:p w14:paraId="7B83AC8C" w14:textId="554DCFC1" w:rsidR="003E1346" w:rsidRPr="009B783C" w:rsidRDefault="003E1346" w:rsidP="00642228">
      <w:pPr>
        <w:rPr>
          <w:szCs w:val="21"/>
          <w:lang w:val="en-US"/>
        </w:rPr>
      </w:pPr>
      <w:r w:rsidRPr="620A8401">
        <w:rPr>
          <w:szCs w:val="21"/>
          <w:lang w:val="en-US"/>
        </w:rPr>
        <w:t xml:space="preserve">Locations of the initial 50 Medicare UCCs established as part of the 2022 election commitment were announced progressively throughout the 2022 election campaign. </w:t>
      </w:r>
      <w:r w:rsidR="00C17381" w:rsidRPr="620A8401">
        <w:rPr>
          <w:szCs w:val="21"/>
          <w:lang w:val="en-US"/>
        </w:rPr>
        <w:t>The remaining</w:t>
      </w:r>
      <w:r w:rsidRPr="620A8401">
        <w:rPr>
          <w:szCs w:val="21"/>
          <w:lang w:val="en-US"/>
        </w:rPr>
        <w:t xml:space="preserve"> </w:t>
      </w:r>
      <w:r w:rsidR="00BE3008" w:rsidRPr="620A8401">
        <w:rPr>
          <w:szCs w:val="21"/>
          <w:lang w:val="en-US"/>
        </w:rPr>
        <w:t xml:space="preserve">eight </w:t>
      </w:r>
      <w:r w:rsidRPr="620A8401">
        <w:rPr>
          <w:szCs w:val="21"/>
          <w:lang w:val="en-US"/>
        </w:rPr>
        <w:t>Medicare UCCs established as part of the 2022 election commitment were determined in partnership with state and territory governments.</w:t>
      </w:r>
      <w:r w:rsidR="008A611A" w:rsidRPr="620A8401">
        <w:rPr>
          <w:szCs w:val="21"/>
          <w:lang w:val="en-US"/>
        </w:rPr>
        <w:t xml:space="preserve"> </w:t>
      </w:r>
    </w:p>
    <w:p w14:paraId="057F6BAD" w14:textId="6DE80365" w:rsidR="003E1346" w:rsidRPr="009B783C" w:rsidRDefault="00205627" w:rsidP="00642228">
      <w:pPr>
        <w:rPr>
          <w:szCs w:val="21"/>
          <w:lang w:val="en-US"/>
        </w:rPr>
      </w:pPr>
      <w:r w:rsidRPr="620A8401">
        <w:rPr>
          <w:szCs w:val="21"/>
          <w:lang w:val="en-US"/>
        </w:rPr>
        <w:t>The Department advised that l</w:t>
      </w:r>
      <w:r w:rsidR="003E1346" w:rsidRPr="620A8401">
        <w:rPr>
          <w:szCs w:val="21"/>
          <w:lang w:val="en-US"/>
        </w:rPr>
        <w:t xml:space="preserve">ocations of the additional 29 clinics being established through the program funding expansion announced </w:t>
      </w:r>
      <w:r w:rsidR="00F41B32" w:rsidRPr="620A8401">
        <w:rPr>
          <w:szCs w:val="21"/>
          <w:lang w:val="en-US"/>
        </w:rPr>
        <w:t xml:space="preserve">by the Australian Government </w:t>
      </w:r>
      <w:r w:rsidR="003E1346" w:rsidRPr="620A8401">
        <w:rPr>
          <w:szCs w:val="21"/>
          <w:lang w:val="en-US"/>
        </w:rPr>
        <w:t>in the 2024</w:t>
      </w:r>
      <w:r w:rsidR="00BF7D73" w:rsidRPr="620A8401">
        <w:rPr>
          <w:rFonts w:eastAsia="Times New Roman"/>
          <w:szCs w:val="21"/>
          <w:lang w:val="en-US"/>
        </w:rPr>
        <w:t>-</w:t>
      </w:r>
      <w:r w:rsidR="003E1346" w:rsidRPr="620A8401">
        <w:rPr>
          <w:szCs w:val="21"/>
          <w:lang w:val="en-US"/>
        </w:rPr>
        <w:t xml:space="preserve">25 </w:t>
      </w:r>
      <w:r w:rsidR="00BF7D73" w:rsidRPr="620A8401">
        <w:rPr>
          <w:szCs w:val="21"/>
          <w:lang w:val="en-US"/>
        </w:rPr>
        <w:t>Budget</w:t>
      </w:r>
      <w:r w:rsidR="003E1346" w:rsidRPr="620A8401" w:rsidDel="00B90036">
        <w:rPr>
          <w:szCs w:val="21"/>
          <w:lang w:val="en-US"/>
        </w:rPr>
        <w:t xml:space="preserve"> </w:t>
      </w:r>
      <w:r w:rsidR="00B90036" w:rsidRPr="620A8401">
        <w:rPr>
          <w:szCs w:val="21"/>
          <w:lang w:val="en-US"/>
        </w:rPr>
        <w:t xml:space="preserve">were </w:t>
      </w:r>
      <w:r w:rsidR="003E1346" w:rsidRPr="620A8401">
        <w:rPr>
          <w:szCs w:val="21"/>
          <w:lang w:val="en-US"/>
        </w:rPr>
        <w:t>informed by a range of factors including</w:t>
      </w:r>
      <w:r w:rsidR="001F7376" w:rsidRPr="620A8401">
        <w:rPr>
          <w:szCs w:val="21"/>
          <w:lang w:val="en-US"/>
        </w:rPr>
        <w:t>:</w:t>
      </w:r>
    </w:p>
    <w:p w14:paraId="04528639" w14:textId="77777777" w:rsidR="000E39C1" w:rsidRPr="009B783C" w:rsidRDefault="000E39C1" w:rsidP="00642228">
      <w:pPr>
        <w:pStyle w:val="Bullet"/>
        <w:rPr>
          <w:szCs w:val="21"/>
        </w:rPr>
      </w:pPr>
      <w:r w:rsidRPr="009B783C">
        <w:rPr>
          <w:szCs w:val="21"/>
        </w:rPr>
        <w:t>equitable distribution of clinics around the country</w:t>
      </w:r>
    </w:p>
    <w:p w14:paraId="6CF3D8EC" w14:textId="0AF0AA05" w:rsidR="00C17381" w:rsidRPr="009B783C" w:rsidRDefault="00C17381" w:rsidP="00642228">
      <w:pPr>
        <w:pStyle w:val="Bullet"/>
        <w:rPr>
          <w:szCs w:val="21"/>
        </w:rPr>
      </w:pPr>
      <w:r w:rsidRPr="009B783C">
        <w:rPr>
          <w:szCs w:val="21"/>
        </w:rPr>
        <w:t xml:space="preserve">analysis of need and likely demand including </w:t>
      </w:r>
      <w:r w:rsidR="00BF7D73" w:rsidRPr="009B783C">
        <w:rPr>
          <w:szCs w:val="21"/>
        </w:rPr>
        <w:t>triage categories</w:t>
      </w:r>
      <w:r w:rsidRPr="009B783C">
        <w:rPr>
          <w:szCs w:val="21"/>
        </w:rPr>
        <w:t xml:space="preserve"> </w:t>
      </w:r>
      <w:r w:rsidR="00BF7D73" w:rsidRPr="009B783C">
        <w:rPr>
          <w:szCs w:val="21"/>
        </w:rPr>
        <w:t xml:space="preserve">four and five </w:t>
      </w:r>
      <w:r w:rsidRPr="009B783C">
        <w:rPr>
          <w:szCs w:val="21"/>
        </w:rPr>
        <w:t>presentations to partner hospital EDs</w:t>
      </w:r>
    </w:p>
    <w:p w14:paraId="61D5D9FB" w14:textId="49540F21" w:rsidR="000E39C1" w:rsidRPr="009B783C" w:rsidRDefault="000E39C1" w:rsidP="00642228">
      <w:pPr>
        <w:pStyle w:val="Bullet"/>
        <w:rPr>
          <w:szCs w:val="21"/>
        </w:rPr>
      </w:pPr>
      <w:r w:rsidRPr="009B783C">
        <w:rPr>
          <w:szCs w:val="21"/>
        </w:rPr>
        <w:t xml:space="preserve">suitability of existing urgent care services to be funded by the </w:t>
      </w:r>
      <w:r w:rsidR="004D0490" w:rsidRPr="009B783C">
        <w:rPr>
          <w:szCs w:val="21"/>
        </w:rPr>
        <w:t xml:space="preserve">Australian Government </w:t>
      </w:r>
      <w:r w:rsidRPr="009B783C">
        <w:rPr>
          <w:szCs w:val="21"/>
        </w:rPr>
        <w:t>under the Medicare UCC Program</w:t>
      </w:r>
    </w:p>
    <w:p w14:paraId="641862F3" w14:textId="77777777" w:rsidR="003E1346" w:rsidRPr="009B783C" w:rsidRDefault="003E1346" w:rsidP="00642228">
      <w:pPr>
        <w:pStyle w:val="Bullet"/>
        <w:rPr>
          <w:szCs w:val="21"/>
        </w:rPr>
      </w:pPr>
      <w:r w:rsidRPr="009B783C">
        <w:rPr>
          <w:szCs w:val="21"/>
        </w:rPr>
        <w:t xml:space="preserve">advice from commissioners on the local operating context and likelihood of establishing a successful service, for example, workforce capacity and capability. </w:t>
      </w:r>
    </w:p>
    <w:p w14:paraId="1698EC48" w14:textId="77777777" w:rsidR="00DD3935" w:rsidRPr="009B783C" w:rsidRDefault="00214D74" w:rsidP="009E519E">
      <w:pPr>
        <w:pStyle w:val="Heading2"/>
        <w:ind w:left="567" w:hanging="567"/>
      </w:pPr>
      <w:bookmarkStart w:id="33" w:name="_Toc189639213"/>
      <w:bookmarkStart w:id="34" w:name="_Toc189772013"/>
      <w:r w:rsidRPr="009B783C">
        <w:t xml:space="preserve">What governance arrangements </w:t>
      </w:r>
      <w:r w:rsidR="00AF4BDC" w:rsidRPr="009B783C">
        <w:t>were put in place?</w:t>
      </w:r>
      <w:bookmarkEnd w:id="33"/>
      <w:bookmarkEnd w:id="34"/>
    </w:p>
    <w:p w14:paraId="03AD3E22" w14:textId="46CABA65" w:rsidR="00C17381" w:rsidRPr="009B783C" w:rsidRDefault="00C17381" w:rsidP="00642228">
      <w:pPr>
        <w:rPr>
          <w:szCs w:val="21"/>
          <w:lang w:eastAsia="en-AU"/>
        </w:rPr>
      </w:pPr>
      <w:r w:rsidRPr="009B783C">
        <w:rPr>
          <w:szCs w:val="21"/>
          <w:lang w:eastAsia="en-AU"/>
        </w:rPr>
        <w:t xml:space="preserve">Medicare UCCs </w:t>
      </w:r>
      <w:r w:rsidR="004D54CF" w:rsidRPr="009B783C">
        <w:rPr>
          <w:szCs w:val="21"/>
          <w:lang w:eastAsia="en-AU"/>
        </w:rPr>
        <w:t xml:space="preserve">were </w:t>
      </w:r>
      <w:r w:rsidRPr="009B783C">
        <w:rPr>
          <w:szCs w:val="21"/>
          <w:lang w:eastAsia="en-AU"/>
        </w:rPr>
        <w:t xml:space="preserve">commissioned by state and territory governments in </w:t>
      </w:r>
      <w:r w:rsidR="00BF7D73" w:rsidRPr="009B783C">
        <w:rPr>
          <w:szCs w:val="21"/>
          <w:lang w:eastAsia="en-AU"/>
        </w:rPr>
        <w:t>VIC, TAS</w:t>
      </w:r>
      <w:r w:rsidRPr="009B783C">
        <w:rPr>
          <w:szCs w:val="21"/>
          <w:lang w:eastAsia="en-AU"/>
        </w:rPr>
        <w:t xml:space="preserve">, </w:t>
      </w:r>
      <w:r w:rsidR="00BF7D73" w:rsidRPr="009B783C">
        <w:rPr>
          <w:szCs w:val="21"/>
          <w:lang w:eastAsia="en-AU"/>
        </w:rPr>
        <w:t xml:space="preserve">the </w:t>
      </w:r>
      <w:r w:rsidRPr="009B783C">
        <w:rPr>
          <w:szCs w:val="21"/>
          <w:lang w:eastAsia="en-AU"/>
        </w:rPr>
        <w:t xml:space="preserve">ACT and </w:t>
      </w:r>
      <w:r w:rsidR="00BF7D73" w:rsidRPr="009B783C">
        <w:rPr>
          <w:szCs w:val="21"/>
          <w:lang w:eastAsia="en-AU"/>
        </w:rPr>
        <w:t>the</w:t>
      </w:r>
      <w:r w:rsidRPr="009B783C">
        <w:rPr>
          <w:szCs w:val="21"/>
          <w:lang w:eastAsia="en-AU"/>
        </w:rPr>
        <w:t xml:space="preserve"> NT</w:t>
      </w:r>
      <w:r w:rsidR="00BF7D73" w:rsidRPr="009B783C">
        <w:rPr>
          <w:szCs w:val="21"/>
          <w:lang w:eastAsia="en-AU"/>
        </w:rPr>
        <w:t>,</w:t>
      </w:r>
      <w:r w:rsidRPr="009B783C">
        <w:rPr>
          <w:szCs w:val="21"/>
          <w:lang w:eastAsia="en-AU"/>
        </w:rPr>
        <w:t xml:space="preserve"> and by PHNs in NSW, </w:t>
      </w:r>
      <w:r w:rsidR="00BF7D73" w:rsidRPr="009B783C">
        <w:rPr>
          <w:szCs w:val="21"/>
          <w:lang w:eastAsia="en-AU"/>
        </w:rPr>
        <w:t>QLD</w:t>
      </w:r>
      <w:r w:rsidRPr="009B783C">
        <w:rPr>
          <w:szCs w:val="21"/>
          <w:lang w:eastAsia="en-AU"/>
        </w:rPr>
        <w:t>, WA and SA. Commissioners undertook independent processes to identify suitable providers, manage the contracts and support the providers to establish and integrate the service within the local health ecosystem.</w:t>
      </w:r>
      <w:r w:rsidR="008A611A" w:rsidRPr="009B783C">
        <w:rPr>
          <w:szCs w:val="21"/>
          <w:lang w:eastAsia="en-AU"/>
        </w:rPr>
        <w:t xml:space="preserve"> </w:t>
      </w:r>
    </w:p>
    <w:p w14:paraId="283545C4" w14:textId="21FB2B8A" w:rsidR="00C17381" w:rsidRPr="009B783C" w:rsidRDefault="00C17381" w:rsidP="00642228">
      <w:pPr>
        <w:rPr>
          <w:szCs w:val="21"/>
          <w:lang w:eastAsia="en-AU"/>
        </w:rPr>
      </w:pPr>
      <w:r w:rsidRPr="009B783C">
        <w:rPr>
          <w:szCs w:val="21"/>
          <w:lang w:eastAsia="en-AU"/>
        </w:rPr>
        <w:t>The Department developed Medicare UCC Operational Guidance</w:t>
      </w:r>
      <w:r w:rsidRPr="009B783C">
        <w:rPr>
          <w:rStyle w:val="FootnoteReference"/>
          <w:szCs w:val="21"/>
          <w:lang w:eastAsia="en-AU"/>
        </w:rPr>
        <w:footnoteReference w:id="25"/>
      </w:r>
      <w:r w:rsidRPr="009B783C">
        <w:rPr>
          <w:szCs w:val="21"/>
          <w:lang w:eastAsia="en-AU"/>
        </w:rPr>
        <w:t xml:space="preserve"> (the Guidance) in consultation with state and territory governments, </w:t>
      </w:r>
      <w:r w:rsidRPr="009B783C">
        <w:rPr>
          <w:szCs w:val="21"/>
        </w:rPr>
        <w:t xml:space="preserve">which outlines the minimum standards and expectations in relation to scope, accessibility, referrals, </w:t>
      </w:r>
      <w:r w:rsidRPr="009B783C">
        <w:rPr>
          <w:szCs w:val="21"/>
          <w:lang w:eastAsia="en-AU"/>
        </w:rPr>
        <w:t xml:space="preserve">activity, infrastructure and staffing at the Medicare UCCs among other things. The Medicare UCC Operational Guidance is based on the Urgent Care Standard developed by the Royal New Zealand College of Urgent Care and further informed by the Western Sydney Care Collective Urgent Care Service Standards and the </w:t>
      </w:r>
      <w:r w:rsidR="004B3715" w:rsidRPr="009B783C">
        <w:rPr>
          <w:szCs w:val="21"/>
          <w:lang w:eastAsia="en-AU"/>
        </w:rPr>
        <w:t>Australian College of Rural and Remote Medicine</w:t>
      </w:r>
      <w:r w:rsidR="004B3715" w:rsidRPr="009B783C" w:rsidDel="004B3715">
        <w:rPr>
          <w:szCs w:val="21"/>
          <w:lang w:eastAsia="en-AU"/>
        </w:rPr>
        <w:t xml:space="preserve"> </w:t>
      </w:r>
      <w:r w:rsidRPr="009B783C">
        <w:rPr>
          <w:szCs w:val="21"/>
          <w:lang w:eastAsia="en-AU"/>
        </w:rPr>
        <w:t xml:space="preserve">Recommended Minimum Standards for small rural hospital </w:t>
      </w:r>
      <w:proofErr w:type="spellStart"/>
      <w:r w:rsidRPr="009B783C">
        <w:rPr>
          <w:szCs w:val="21"/>
          <w:lang w:eastAsia="en-AU"/>
        </w:rPr>
        <w:t>EDs.</w:t>
      </w:r>
      <w:proofErr w:type="spellEnd"/>
      <w:r w:rsidRPr="009B783C">
        <w:rPr>
          <w:szCs w:val="21"/>
          <w:lang w:eastAsia="en-AU"/>
        </w:rPr>
        <w:t xml:space="preserve"> The Guidance aims to support flexibility based on local need and context, including by outlining processes for seeking exemptions to the Guidance in certain circumstances.</w:t>
      </w:r>
    </w:p>
    <w:p w14:paraId="1BFEB7EF" w14:textId="7EFE4960" w:rsidR="005C2862" w:rsidRPr="009B783C" w:rsidRDefault="006215F4" w:rsidP="00642228">
      <w:pPr>
        <w:rPr>
          <w:szCs w:val="21"/>
          <w:lang w:eastAsia="en-AU"/>
        </w:rPr>
      </w:pPr>
      <w:r w:rsidRPr="009B783C">
        <w:rPr>
          <w:szCs w:val="21"/>
          <w:lang w:eastAsia="en-AU"/>
        </w:rPr>
        <w:t xml:space="preserve">The </w:t>
      </w:r>
      <w:r w:rsidR="00807C0E" w:rsidRPr="009B783C">
        <w:rPr>
          <w:szCs w:val="21"/>
          <w:lang w:eastAsia="en-AU"/>
        </w:rPr>
        <w:t>G</w:t>
      </w:r>
      <w:r w:rsidRPr="009B783C">
        <w:rPr>
          <w:szCs w:val="21"/>
          <w:lang w:eastAsia="en-AU"/>
        </w:rPr>
        <w:t xml:space="preserve">uidance </w:t>
      </w:r>
      <w:r w:rsidR="00B06842" w:rsidRPr="009B783C">
        <w:rPr>
          <w:szCs w:val="21"/>
          <w:lang w:eastAsia="en-AU"/>
        </w:rPr>
        <w:t xml:space="preserve">focuses on </w:t>
      </w:r>
      <w:r w:rsidR="00A73061" w:rsidRPr="009B783C">
        <w:rPr>
          <w:szCs w:val="21"/>
          <w:lang w:eastAsia="en-AU"/>
        </w:rPr>
        <w:t xml:space="preserve">specific aspects of urgent care, rather than broader </w:t>
      </w:r>
      <w:r w:rsidR="005919F3" w:rsidRPr="009B783C">
        <w:rPr>
          <w:szCs w:val="21"/>
          <w:lang w:eastAsia="en-AU"/>
        </w:rPr>
        <w:t>clinic</w:t>
      </w:r>
      <w:r w:rsidR="00655BAD" w:rsidRPr="009B783C">
        <w:rPr>
          <w:szCs w:val="21"/>
          <w:lang w:eastAsia="en-AU"/>
        </w:rPr>
        <w:t>a</w:t>
      </w:r>
      <w:r w:rsidR="005919F3" w:rsidRPr="009B783C">
        <w:rPr>
          <w:szCs w:val="21"/>
          <w:lang w:eastAsia="en-AU"/>
        </w:rPr>
        <w:t xml:space="preserve">l governance and quality and safety in patient care. </w:t>
      </w:r>
      <w:r w:rsidR="00655BAD" w:rsidRPr="009B783C">
        <w:rPr>
          <w:szCs w:val="21"/>
          <w:lang w:eastAsia="en-AU"/>
        </w:rPr>
        <w:t xml:space="preserve">As such, </w:t>
      </w:r>
      <w:r w:rsidR="00511ED1" w:rsidRPr="009B783C">
        <w:rPr>
          <w:szCs w:val="21"/>
          <w:lang w:eastAsia="en-AU"/>
        </w:rPr>
        <w:t xml:space="preserve">Medicare UCCs are also required to be accredited to other recognised and relevant </w:t>
      </w:r>
      <w:r w:rsidR="004B3715" w:rsidRPr="009B783C">
        <w:rPr>
          <w:szCs w:val="21"/>
          <w:lang w:eastAsia="en-AU"/>
        </w:rPr>
        <w:t>standards</w:t>
      </w:r>
      <w:r w:rsidR="00511ED1" w:rsidRPr="009B783C">
        <w:rPr>
          <w:szCs w:val="21"/>
          <w:lang w:eastAsia="en-AU"/>
        </w:rPr>
        <w:t>, such as the Royal Australian College of General Practitioner</w:t>
      </w:r>
      <w:r w:rsidR="00BB3B2F" w:rsidRPr="009B783C">
        <w:rPr>
          <w:szCs w:val="21"/>
          <w:lang w:eastAsia="en-AU"/>
        </w:rPr>
        <w:t>s</w:t>
      </w:r>
      <w:r w:rsidR="00732505" w:rsidRPr="009B783C">
        <w:rPr>
          <w:szCs w:val="21"/>
          <w:lang w:eastAsia="en-AU"/>
        </w:rPr>
        <w:t>’</w:t>
      </w:r>
      <w:r w:rsidR="00511ED1" w:rsidRPr="009B783C">
        <w:rPr>
          <w:szCs w:val="21"/>
          <w:lang w:eastAsia="en-AU"/>
        </w:rPr>
        <w:t xml:space="preserve"> </w:t>
      </w:r>
      <w:r w:rsidR="00E87F83" w:rsidRPr="009B783C">
        <w:rPr>
          <w:szCs w:val="21"/>
          <w:lang w:eastAsia="en-AU"/>
        </w:rPr>
        <w:t xml:space="preserve">(RACGP) </w:t>
      </w:r>
      <w:r w:rsidR="00511ED1" w:rsidRPr="009B783C">
        <w:rPr>
          <w:i/>
          <w:iCs/>
          <w:szCs w:val="21"/>
          <w:lang w:eastAsia="en-AU"/>
        </w:rPr>
        <w:t>Standards for general practice</w:t>
      </w:r>
      <w:r w:rsidR="001E3306" w:rsidRPr="009B783C">
        <w:rPr>
          <w:szCs w:val="21"/>
          <w:lang w:eastAsia="en-AU"/>
        </w:rPr>
        <w:t>.</w:t>
      </w:r>
    </w:p>
    <w:p w14:paraId="15E30419" w14:textId="77777777" w:rsidR="004301C0" w:rsidRPr="009B783C" w:rsidRDefault="00EE5C84" w:rsidP="00C17381">
      <w:pPr>
        <w:pStyle w:val="Heading1"/>
        <w:ind w:left="567" w:hanging="567"/>
      </w:pPr>
      <w:bookmarkStart w:id="35" w:name="_Toc189639214"/>
      <w:bookmarkStart w:id="36" w:name="_Toc189772014"/>
      <w:r w:rsidRPr="009B783C">
        <w:lastRenderedPageBreak/>
        <w:t xml:space="preserve">Evaluation </w:t>
      </w:r>
      <w:r w:rsidR="00DE1008" w:rsidRPr="009B783C">
        <w:t>d</w:t>
      </w:r>
      <w:r w:rsidR="00077D88" w:rsidRPr="009B783C">
        <w:t xml:space="preserve">esign and </w:t>
      </w:r>
      <w:r w:rsidR="00DE1008" w:rsidRPr="009B783C">
        <w:t>m</w:t>
      </w:r>
      <w:r w:rsidR="00077D88" w:rsidRPr="009B783C">
        <w:t>ethodology</w:t>
      </w:r>
      <w:bookmarkEnd w:id="35"/>
      <w:bookmarkEnd w:id="36"/>
    </w:p>
    <w:p w14:paraId="4120F65E" w14:textId="721E67B7" w:rsidR="00ED11DD" w:rsidRPr="009B783C" w:rsidRDefault="00ED11DD" w:rsidP="00642228">
      <w:pPr>
        <w:rPr>
          <w:szCs w:val="21"/>
          <w:lang w:eastAsia="en-AU"/>
        </w:rPr>
      </w:pPr>
      <w:r w:rsidRPr="009B783C">
        <w:rPr>
          <w:szCs w:val="21"/>
        </w:rPr>
        <w:t xml:space="preserve">The evaluation is being conducted from 2024 through to 2026. A second Interim Evaluation Report will be delivered at the end of 2025 and a Final Evaluation Report </w:t>
      </w:r>
      <w:r w:rsidR="00C17381" w:rsidRPr="009B783C">
        <w:rPr>
          <w:szCs w:val="21"/>
        </w:rPr>
        <w:t>in</w:t>
      </w:r>
      <w:r w:rsidRPr="009B783C">
        <w:rPr>
          <w:szCs w:val="21"/>
        </w:rPr>
        <w:t xml:space="preserve"> 2026.</w:t>
      </w:r>
    </w:p>
    <w:p w14:paraId="28985256" w14:textId="77777777" w:rsidR="00D63EC3" w:rsidRPr="009B783C" w:rsidRDefault="00A15782" w:rsidP="00642228">
      <w:pPr>
        <w:rPr>
          <w:szCs w:val="21"/>
        </w:rPr>
      </w:pPr>
      <w:r w:rsidRPr="009B783C">
        <w:rPr>
          <w:szCs w:val="21"/>
          <w:lang w:eastAsia="en-AU"/>
        </w:rPr>
        <w:t xml:space="preserve">The </w:t>
      </w:r>
      <w:r w:rsidR="00F661A7" w:rsidRPr="009B783C">
        <w:rPr>
          <w:szCs w:val="21"/>
          <w:lang w:eastAsia="en-AU"/>
        </w:rPr>
        <w:t xml:space="preserve">evaluation is guided by an Evaluation Plan, which </w:t>
      </w:r>
      <w:r w:rsidR="00D63EC3" w:rsidRPr="009B783C">
        <w:rPr>
          <w:szCs w:val="21"/>
          <w:lang w:eastAsia="en-AU"/>
        </w:rPr>
        <w:t>in</w:t>
      </w:r>
      <w:r w:rsidR="00BC7049" w:rsidRPr="009B783C">
        <w:rPr>
          <w:szCs w:val="21"/>
          <w:lang w:eastAsia="en-AU"/>
        </w:rPr>
        <w:t>cludes</w:t>
      </w:r>
      <w:r w:rsidR="00F661A7" w:rsidRPr="009B783C">
        <w:rPr>
          <w:szCs w:val="21"/>
          <w:lang w:eastAsia="en-AU"/>
        </w:rPr>
        <w:t xml:space="preserve"> the theory of cha</w:t>
      </w:r>
      <w:r w:rsidR="0051436C" w:rsidRPr="009B783C">
        <w:rPr>
          <w:szCs w:val="21"/>
          <w:lang w:eastAsia="en-AU"/>
        </w:rPr>
        <w:t xml:space="preserve">nge </w:t>
      </w:r>
      <w:r w:rsidR="00D63EC3" w:rsidRPr="009B783C">
        <w:rPr>
          <w:szCs w:val="21"/>
        </w:rPr>
        <w:t xml:space="preserve">and logic model </w:t>
      </w:r>
      <w:r w:rsidR="003B7E76" w:rsidRPr="009B783C">
        <w:rPr>
          <w:szCs w:val="21"/>
        </w:rPr>
        <w:t>d</w:t>
      </w:r>
      <w:r w:rsidR="00D63EC3" w:rsidRPr="009B783C">
        <w:rPr>
          <w:szCs w:val="21"/>
        </w:rPr>
        <w:t>eveloped to guide the evaluation.</w:t>
      </w:r>
    </w:p>
    <w:p w14:paraId="1D65CDF1" w14:textId="77777777" w:rsidR="001071B3" w:rsidRPr="009B783C" w:rsidRDefault="00D63EC3" w:rsidP="001071B3">
      <w:pPr>
        <w:rPr>
          <w:szCs w:val="21"/>
          <w:lang w:val="en-US"/>
        </w:rPr>
      </w:pPr>
      <w:r w:rsidRPr="620A8401">
        <w:rPr>
          <w:szCs w:val="21"/>
          <w:lang w:val="en-US"/>
        </w:rPr>
        <w:t xml:space="preserve">The theory of change for the Medicare UCC Program is based on the hypothesis that patients with urgent </w:t>
      </w:r>
      <w:r w:rsidR="002C33B8" w:rsidRPr="620A8401">
        <w:rPr>
          <w:szCs w:val="21"/>
          <w:lang w:val="en-US"/>
        </w:rPr>
        <w:t xml:space="preserve">but </w:t>
      </w:r>
      <w:r w:rsidRPr="620A8401">
        <w:rPr>
          <w:szCs w:val="21"/>
          <w:lang w:val="en-US"/>
        </w:rPr>
        <w:t xml:space="preserve">non-life-threatening conditions attend </w:t>
      </w:r>
      <w:r w:rsidR="00F27884" w:rsidRPr="620A8401">
        <w:rPr>
          <w:szCs w:val="21"/>
          <w:lang w:val="en-US"/>
        </w:rPr>
        <w:t>or</w:t>
      </w:r>
      <w:r w:rsidRPr="620A8401">
        <w:rPr>
          <w:szCs w:val="21"/>
          <w:lang w:val="en-US"/>
        </w:rPr>
        <w:t xml:space="preserve"> are referred to EDs due to a lack of accessible, affordable and trusted service alternatives. </w:t>
      </w:r>
      <w:r w:rsidR="00201D6B" w:rsidRPr="620A8401">
        <w:rPr>
          <w:szCs w:val="21"/>
          <w:lang w:val="en-US"/>
        </w:rPr>
        <w:t xml:space="preserve">By </w:t>
      </w:r>
      <w:r w:rsidR="002A3BEE" w:rsidRPr="620A8401">
        <w:rPr>
          <w:szCs w:val="21"/>
          <w:lang w:val="en-US"/>
        </w:rPr>
        <w:t xml:space="preserve">providing </w:t>
      </w:r>
      <w:r w:rsidR="002A1535" w:rsidRPr="620A8401">
        <w:rPr>
          <w:szCs w:val="21"/>
          <w:lang w:val="en-US"/>
        </w:rPr>
        <w:t>this</w:t>
      </w:r>
      <w:r w:rsidR="002A3BEE" w:rsidRPr="620A8401">
        <w:rPr>
          <w:szCs w:val="21"/>
          <w:lang w:val="en-US"/>
        </w:rPr>
        <w:t xml:space="preserve"> alternative, </w:t>
      </w:r>
      <w:r w:rsidR="0052400F" w:rsidRPr="620A8401">
        <w:rPr>
          <w:szCs w:val="21"/>
          <w:lang w:val="en-US"/>
        </w:rPr>
        <w:t>Medicare UCCs</w:t>
      </w:r>
      <w:r w:rsidRPr="620A8401">
        <w:rPr>
          <w:szCs w:val="21"/>
          <w:lang w:val="en-US"/>
        </w:rPr>
        <w:t xml:space="preserve"> may </w:t>
      </w:r>
      <w:r w:rsidR="009C5E6D" w:rsidRPr="620A8401">
        <w:rPr>
          <w:szCs w:val="21"/>
          <w:lang w:val="en-US"/>
        </w:rPr>
        <w:t xml:space="preserve">result in </w:t>
      </w:r>
      <w:r w:rsidR="00351819" w:rsidRPr="620A8401">
        <w:rPr>
          <w:szCs w:val="21"/>
          <w:lang w:val="en-US"/>
        </w:rPr>
        <w:t xml:space="preserve">more effective </w:t>
      </w:r>
      <w:r w:rsidR="009C5E6D" w:rsidRPr="620A8401">
        <w:rPr>
          <w:szCs w:val="21"/>
          <w:lang w:val="en-US"/>
        </w:rPr>
        <w:t>management of patients</w:t>
      </w:r>
      <w:r w:rsidR="00562E65" w:rsidRPr="620A8401">
        <w:rPr>
          <w:szCs w:val="21"/>
          <w:lang w:val="en-US"/>
        </w:rPr>
        <w:t xml:space="preserve"> with these conditions</w:t>
      </w:r>
      <w:r w:rsidR="00351819" w:rsidRPr="620A8401">
        <w:rPr>
          <w:szCs w:val="21"/>
          <w:lang w:val="en-US"/>
        </w:rPr>
        <w:t xml:space="preserve">, potentially </w:t>
      </w:r>
      <w:r w:rsidR="008202EF" w:rsidRPr="620A8401">
        <w:rPr>
          <w:szCs w:val="21"/>
          <w:lang w:val="en-US"/>
        </w:rPr>
        <w:t>reducing</w:t>
      </w:r>
      <w:r w:rsidRPr="620A8401" w:rsidDel="00562E65">
        <w:rPr>
          <w:szCs w:val="21"/>
          <w:lang w:val="en-US"/>
        </w:rPr>
        <w:t xml:space="preserve"> </w:t>
      </w:r>
      <w:r w:rsidRPr="620A8401">
        <w:rPr>
          <w:szCs w:val="21"/>
          <w:lang w:val="en-US"/>
        </w:rPr>
        <w:t>wait</w:t>
      </w:r>
      <w:r w:rsidR="008202EF" w:rsidRPr="620A8401">
        <w:rPr>
          <w:szCs w:val="21"/>
          <w:lang w:val="en-US"/>
        </w:rPr>
        <w:t>ing</w:t>
      </w:r>
      <w:r w:rsidRPr="620A8401">
        <w:rPr>
          <w:szCs w:val="21"/>
          <w:lang w:val="en-US"/>
        </w:rPr>
        <w:t xml:space="preserve"> times, </w:t>
      </w:r>
      <w:r w:rsidR="00356E67" w:rsidRPr="620A8401">
        <w:rPr>
          <w:szCs w:val="21"/>
          <w:lang w:val="en-US"/>
        </w:rPr>
        <w:t>alleviat</w:t>
      </w:r>
      <w:r w:rsidR="008202EF" w:rsidRPr="620A8401">
        <w:rPr>
          <w:szCs w:val="21"/>
          <w:lang w:val="en-US"/>
        </w:rPr>
        <w:t>i</w:t>
      </w:r>
      <w:r w:rsidR="006C4EB2" w:rsidRPr="620A8401">
        <w:rPr>
          <w:szCs w:val="21"/>
          <w:lang w:val="en-US"/>
        </w:rPr>
        <w:t>ng</w:t>
      </w:r>
      <w:r w:rsidR="00356E67" w:rsidRPr="620A8401">
        <w:rPr>
          <w:szCs w:val="21"/>
          <w:lang w:val="en-US"/>
        </w:rPr>
        <w:t xml:space="preserve"> pressure</w:t>
      </w:r>
      <w:r w:rsidRPr="620A8401">
        <w:rPr>
          <w:szCs w:val="21"/>
          <w:lang w:val="en-US"/>
        </w:rPr>
        <w:t xml:space="preserve"> on EDs and </w:t>
      </w:r>
      <w:r w:rsidR="008E38CC" w:rsidRPr="620A8401">
        <w:rPr>
          <w:szCs w:val="21"/>
          <w:lang w:val="en-US"/>
        </w:rPr>
        <w:t xml:space="preserve">improving the overall </w:t>
      </w:r>
      <w:r w:rsidRPr="620A8401">
        <w:rPr>
          <w:szCs w:val="21"/>
          <w:lang w:val="en-US"/>
        </w:rPr>
        <w:t>efficiency of the healthcare system. Th</w:t>
      </w:r>
      <w:r w:rsidR="00281591" w:rsidRPr="620A8401">
        <w:rPr>
          <w:szCs w:val="21"/>
          <w:lang w:val="en-US"/>
        </w:rPr>
        <w:t>e</w:t>
      </w:r>
      <w:r w:rsidRPr="620A8401">
        <w:rPr>
          <w:szCs w:val="21"/>
          <w:lang w:val="en-US"/>
        </w:rPr>
        <w:t xml:space="preserve"> theory of change is </w:t>
      </w:r>
      <w:proofErr w:type="spellStart"/>
      <w:r w:rsidRPr="620A8401">
        <w:rPr>
          <w:szCs w:val="21"/>
          <w:lang w:val="en-US"/>
        </w:rPr>
        <w:t>summarised</w:t>
      </w:r>
      <w:proofErr w:type="spellEnd"/>
      <w:r w:rsidRPr="620A8401">
        <w:rPr>
          <w:szCs w:val="21"/>
          <w:lang w:val="en-US"/>
        </w:rPr>
        <w:t xml:space="preserve"> </w:t>
      </w:r>
      <w:r w:rsidR="00EA5AA7" w:rsidRPr="620A8401">
        <w:rPr>
          <w:szCs w:val="21"/>
          <w:lang w:val="en-US"/>
        </w:rPr>
        <w:t xml:space="preserve">as if </w:t>
      </w:r>
      <w:r w:rsidR="00BE4E4C" w:rsidRPr="620A8401">
        <w:rPr>
          <w:szCs w:val="21"/>
          <w:lang w:val="en-US"/>
        </w:rPr>
        <w:t xml:space="preserve">Medicare UCCs are available, accessible, affordable and trusted, then consumer </w:t>
      </w:r>
      <w:proofErr w:type="spellStart"/>
      <w:r w:rsidR="00BE4E4C" w:rsidRPr="620A8401">
        <w:rPr>
          <w:szCs w:val="21"/>
          <w:lang w:val="en-US"/>
        </w:rPr>
        <w:t>behaviour</w:t>
      </w:r>
      <w:proofErr w:type="spellEnd"/>
      <w:r w:rsidR="00BE4E4C" w:rsidRPr="620A8401">
        <w:rPr>
          <w:szCs w:val="21"/>
          <w:lang w:val="en-US"/>
        </w:rPr>
        <w:t xml:space="preserve"> will shift (as communities come to recognise and use these clinics for urgent but non-life-threatening conditions)</w:t>
      </w:r>
      <w:r w:rsidR="00C17381" w:rsidRPr="620A8401">
        <w:rPr>
          <w:szCs w:val="21"/>
          <w:lang w:val="en-US"/>
        </w:rPr>
        <w:t>.</w:t>
      </w:r>
      <w:r w:rsidR="00BE4E4C" w:rsidRPr="620A8401">
        <w:rPr>
          <w:szCs w:val="21"/>
          <w:lang w:val="en-US"/>
        </w:rPr>
        <w:t xml:space="preserve"> This will lead to </w:t>
      </w:r>
      <w:r w:rsidR="001071B3" w:rsidRPr="620A8401">
        <w:rPr>
          <w:szCs w:val="21"/>
          <w:lang w:val="en-US"/>
        </w:rPr>
        <w:t>enhanced patient access to urgent care, reduced pressure on public hospital EDs and improved efficiency of the healthcare system.</w:t>
      </w:r>
    </w:p>
    <w:p w14:paraId="02A07086" w14:textId="23415BA7" w:rsidR="00C17381" w:rsidRPr="009B783C" w:rsidRDefault="00C17381" w:rsidP="001071B3">
      <w:pPr>
        <w:rPr>
          <w:szCs w:val="21"/>
          <w:lang w:val="en-US" w:eastAsia="en-AU"/>
        </w:rPr>
      </w:pPr>
      <w:r w:rsidRPr="620A8401">
        <w:rPr>
          <w:szCs w:val="21"/>
          <w:lang w:val="en-US"/>
        </w:rPr>
        <w:t xml:space="preserve">The logic model (provided at </w:t>
      </w:r>
      <w:r w:rsidR="00A40960" w:rsidRPr="009B783C">
        <w:rPr>
          <w:szCs w:val="21"/>
        </w:rPr>
        <w:fldChar w:fldCharType="begin"/>
      </w:r>
      <w:r w:rsidR="00A40960" w:rsidRPr="009B783C">
        <w:rPr>
          <w:szCs w:val="21"/>
        </w:rPr>
        <w:instrText xml:space="preserve"> REF _Ref185495260 \n \h </w:instrText>
      </w:r>
      <w:r w:rsidR="00642228" w:rsidRPr="009B783C">
        <w:rPr>
          <w:szCs w:val="21"/>
        </w:rPr>
        <w:instrText xml:space="preserve"> \* MERGEFORMAT </w:instrText>
      </w:r>
      <w:r w:rsidR="00A40960" w:rsidRPr="009B783C">
        <w:rPr>
          <w:szCs w:val="21"/>
        </w:rPr>
      </w:r>
      <w:r w:rsidR="00A40960" w:rsidRPr="009B783C">
        <w:rPr>
          <w:szCs w:val="21"/>
        </w:rPr>
        <w:fldChar w:fldCharType="separate"/>
      </w:r>
      <w:r w:rsidR="0031172E" w:rsidRPr="620A8401">
        <w:rPr>
          <w:szCs w:val="21"/>
          <w:lang w:val="en-US"/>
        </w:rPr>
        <w:t>Appendix A</w:t>
      </w:r>
      <w:r w:rsidR="00A40960" w:rsidRPr="009B783C">
        <w:rPr>
          <w:szCs w:val="21"/>
        </w:rPr>
        <w:fldChar w:fldCharType="end"/>
      </w:r>
      <w:r w:rsidRPr="620A8401">
        <w:rPr>
          <w:szCs w:val="21"/>
          <w:lang w:val="en-US"/>
        </w:rPr>
        <w:t>) complements this theory by mapping the inputs, activities, outputs and outcomes of the Medicare UCC Program. It includes key program components such as staffing, resources, operational activities and the strategic deployment of services that contribute to the desired change. All relevant aspects of the program are considered, from initial service design to outcomes, including the enhancement of patient pathways and the integration of services within local healthcare ecosystems.</w:t>
      </w:r>
    </w:p>
    <w:p w14:paraId="600986B1" w14:textId="77777777" w:rsidR="00C17381" w:rsidRPr="009B783C" w:rsidRDefault="00C17381" w:rsidP="00C17381">
      <w:pPr>
        <w:pStyle w:val="Heading2"/>
        <w:ind w:left="567" w:hanging="567"/>
      </w:pPr>
      <w:bookmarkStart w:id="37" w:name="_Toc189639215"/>
      <w:bookmarkStart w:id="38" w:name="_Toc189772015"/>
      <w:r w:rsidRPr="009B783C">
        <w:t>Nationally agreed Measures of Success for the Medicare UCC Program</w:t>
      </w:r>
      <w:bookmarkEnd w:id="37"/>
      <w:bookmarkEnd w:id="38"/>
    </w:p>
    <w:p w14:paraId="68811A9C" w14:textId="28BADEBD" w:rsidR="0066555E" w:rsidRPr="009B783C" w:rsidRDefault="0066555E" w:rsidP="00642228">
      <w:pPr>
        <w:rPr>
          <w:szCs w:val="21"/>
          <w:lang w:val="en-US"/>
        </w:rPr>
      </w:pPr>
      <w:r w:rsidRPr="620A8401">
        <w:rPr>
          <w:szCs w:val="21"/>
          <w:lang w:val="en-US" w:eastAsia="en-AU"/>
        </w:rPr>
        <w:t xml:space="preserve">The key evaluation questions for this evaluation </w:t>
      </w:r>
      <w:r w:rsidR="00C17381" w:rsidRPr="620A8401">
        <w:rPr>
          <w:szCs w:val="21"/>
          <w:lang w:val="en-US" w:eastAsia="en-AU"/>
        </w:rPr>
        <w:t xml:space="preserve">are </w:t>
      </w:r>
      <w:r w:rsidR="00CE1FE5" w:rsidRPr="620A8401">
        <w:rPr>
          <w:szCs w:val="21"/>
          <w:lang w:val="en-US" w:eastAsia="en-AU"/>
        </w:rPr>
        <w:t xml:space="preserve">based on </w:t>
      </w:r>
      <w:r w:rsidR="00C17381" w:rsidRPr="620A8401">
        <w:rPr>
          <w:szCs w:val="21"/>
          <w:lang w:val="en-US" w:eastAsia="en-AU"/>
        </w:rPr>
        <w:t xml:space="preserve">the </w:t>
      </w:r>
      <w:r w:rsidR="008A611A" w:rsidRPr="620A8401">
        <w:rPr>
          <w:szCs w:val="21"/>
          <w:lang w:val="en-US" w:eastAsia="en-AU"/>
        </w:rPr>
        <w:t>nine</w:t>
      </w:r>
      <w:r w:rsidR="00C17381" w:rsidRPr="620A8401">
        <w:rPr>
          <w:szCs w:val="21"/>
          <w:lang w:val="en-US" w:eastAsia="en-AU"/>
        </w:rPr>
        <w:t xml:space="preserve"> Measures of Success </w:t>
      </w:r>
      <w:r w:rsidR="00864EDA" w:rsidRPr="620A8401">
        <w:rPr>
          <w:szCs w:val="21"/>
          <w:lang w:val="en-US" w:eastAsia="en-AU"/>
        </w:rPr>
        <w:t xml:space="preserve">that </w:t>
      </w:r>
      <w:r w:rsidR="00C17381" w:rsidRPr="620A8401">
        <w:rPr>
          <w:szCs w:val="21"/>
          <w:lang w:val="en-US" w:eastAsia="en-AU"/>
        </w:rPr>
        <w:t xml:space="preserve">were agreed by the </w:t>
      </w:r>
      <w:r w:rsidR="00C17381" w:rsidRPr="620A8401">
        <w:rPr>
          <w:szCs w:val="21"/>
          <w:lang w:val="en-US"/>
        </w:rPr>
        <w:t>Australian</w:t>
      </w:r>
      <w:r w:rsidRPr="620A8401">
        <w:rPr>
          <w:szCs w:val="21"/>
          <w:lang w:val="en-US"/>
        </w:rPr>
        <w:t xml:space="preserve">, and state and territory governments </w:t>
      </w:r>
      <w:r w:rsidR="00FD51E2" w:rsidRPr="620A8401">
        <w:rPr>
          <w:szCs w:val="21"/>
          <w:lang w:val="en-US" w:eastAsia="en-AU"/>
        </w:rPr>
        <w:t>(</w:t>
      </w:r>
      <w:r w:rsidR="000F4A6E" w:rsidRPr="009B783C">
        <w:rPr>
          <w:szCs w:val="21"/>
        </w:rPr>
        <w:fldChar w:fldCharType="begin"/>
      </w:r>
      <w:r w:rsidR="000F4A6E" w:rsidRPr="009B783C">
        <w:rPr>
          <w:szCs w:val="21"/>
        </w:rPr>
        <w:fldChar w:fldCharType="separate"/>
      </w:r>
      <w:r w:rsidR="000F4A6E" w:rsidRPr="620A8401">
        <w:rPr>
          <w:szCs w:val="21"/>
          <w:lang w:val="en-US"/>
        </w:rPr>
        <w:t>Figure 1</w:t>
      </w:r>
      <w:r w:rsidR="000F4A6E" w:rsidRPr="009B783C">
        <w:rPr>
          <w:szCs w:val="21"/>
        </w:rPr>
        <w:fldChar w:fldCharType="end"/>
      </w:r>
      <w:r w:rsidR="008A611A" w:rsidRPr="009B783C">
        <w:rPr>
          <w:szCs w:val="21"/>
        </w:rPr>
        <w:fldChar w:fldCharType="begin"/>
      </w:r>
      <w:r w:rsidR="008A611A" w:rsidRPr="009B783C">
        <w:rPr>
          <w:szCs w:val="21"/>
        </w:rPr>
        <w:instrText xml:space="preserve"> REF _Ref185415033 \h </w:instrText>
      </w:r>
      <w:r w:rsidR="00642228" w:rsidRPr="009B783C">
        <w:rPr>
          <w:szCs w:val="21"/>
        </w:rPr>
        <w:instrText xml:space="preserve"> \* MERGEFORMAT </w:instrText>
      </w:r>
      <w:r w:rsidR="008A611A" w:rsidRPr="009B783C">
        <w:rPr>
          <w:szCs w:val="21"/>
        </w:rPr>
      </w:r>
      <w:r w:rsidR="008A611A" w:rsidRPr="009B783C">
        <w:rPr>
          <w:szCs w:val="21"/>
        </w:rPr>
        <w:fldChar w:fldCharType="separate"/>
      </w:r>
      <w:r w:rsidR="0031172E" w:rsidRPr="620A8401">
        <w:rPr>
          <w:szCs w:val="21"/>
          <w:lang w:val="en-US"/>
        </w:rPr>
        <w:t>Figure 1</w:t>
      </w:r>
      <w:r w:rsidR="008A611A" w:rsidRPr="009B783C">
        <w:rPr>
          <w:szCs w:val="21"/>
        </w:rPr>
        <w:fldChar w:fldCharType="end"/>
      </w:r>
      <w:r w:rsidR="004A4CF5" w:rsidRPr="620A8401">
        <w:rPr>
          <w:szCs w:val="21"/>
          <w:lang w:val="en-US"/>
        </w:rPr>
        <w:t>)</w:t>
      </w:r>
      <w:r w:rsidR="00FD51E2" w:rsidRPr="620A8401">
        <w:rPr>
          <w:szCs w:val="21"/>
          <w:lang w:val="en-US"/>
        </w:rPr>
        <w:t xml:space="preserve">. </w:t>
      </w:r>
      <w:r w:rsidRPr="620A8401">
        <w:rPr>
          <w:szCs w:val="21"/>
          <w:lang w:val="en-US"/>
        </w:rPr>
        <w:t>This Interim Evaluation Report 1 focuses on initial insights into the nine Measures of Success to inform program improvement.</w:t>
      </w:r>
    </w:p>
    <w:p w14:paraId="3BE6D041" w14:textId="2FA54CDE" w:rsidR="00462C27" w:rsidRPr="009B783C" w:rsidRDefault="00462C27" w:rsidP="00642228">
      <w:pPr>
        <w:rPr>
          <w:szCs w:val="21"/>
          <w:lang w:val="en-US" w:eastAsia="en-AU"/>
        </w:rPr>
      </w:pPr>
      <w:r w:rsidRPr="620A8401">
        <w:rPr>
          <w:szCs w:val="21"/>
          <w:lang w:val="en-US" w:eastAsia="en-AU"/>
        </w:rPr>
        <w:t xml:space="preserve">The Measures of Success </w:t>
      </w:r>
      <w:r w:rsidRPr="620A8401">
        <w:rPr>
          <w:szCs w:val="21"/>
          <w:lang w:val="en-US"/>
        </w:rPr>
        <w:t xml:space="preserve">were designed to assess the quality of care, accessibility of services and cost-efficiency in Medicare UCCs, as well as their impact on consumer </w:t>
      </w:r>
      <w:proofErr w:type="spellStart"/>
      <w:r w:rsidRPr="620A8401">
        <w:rPr>
          <w:szCs w:val="21"/>
          <w:lang w:val="en-US"/>
        </w:rPr>
        <w:t>behaviour</w:t>
      </w:r>
      <w:proofErr w:type="spellEnd"/>
      <w:r w:rsidRPr="620A8401">
        <w:rPr>
          <w:szCs w:val="21"/>
          <w:lang w:val="en-US"/>
        </w:rPr>
        <w:t xml:space="preserve"> and the </w:t>
      </w:r>
      <w:r w:rsidR="00E77080" w:rsidRPr="620A8401">
        <w:rPr>
          <w:szCs w:val="21"/>
          <w:lang w:val="en-US"/>
        </w:rPr>
        <w:t xml:space="preserve">extent to which they </w:t>
      </w:r>
      <w:r w:rsidRPr="620A8401">
        <w:rPr>
          <w:szCs w:val="21"/>
          <w:lang w:val="en-US"/>
        </w:rPr>
        <w:t>alleviat</w:t>
      </w:r>
      <w:r w:rsidR="00E77080" w:rsidRPr="620A8401">
        <w:rPr>
          <w:szCs w:val="21"/>
          <w:lang w:val="en-US"/>
        </w:rPr>
        <w:t>e</w:t>
      </w:r>
      <w:r w:rsidRPr="620A8401" w:rsidDel="006C4072">
        <w:rPr>
          <w:szCs w:val="21"/>
          <w:lang w:val="en-US"/>
        </w:rPr>
        <w:t xml:space="preserve"> </w:t>
      </w:r>
      <w:r w:rsidRPr="620A8401">
        <w:rPr>
          <w:szCs w:val="21"/>
          <w:lang w:val="en-US"/>
        </w:rPr>
        <w:t xml:space="preserve">demand pressures on hospital </w:t>
      </w:r>
      <w:proofErr w:type="spellStart"/>
      <w:r w:rsidRPr="620A8401">
        <w:rPr>
          <w:szCs w:val="21"/>
          <w:lang w:val="en-US"/>
        </w:rPr>
        <w:t>EDs.</w:t>
      </w:r>
      <w:proofErr w:type="spellEnd"/>
      <w:r w:rsidRPr="620A8401">
        <w:rPr>
          <w:szCs w:val="21"/>
          <w:lang w:val="en-US"/>
        </w:rPr>
        <w:t xml:space="preserve"> The measures acknowledge the necessity for Medicare UCCs to be integrated effectively into the broader health ecosystem. This includes seamless connections with local GPs and other primary care services, and partner EDs, ensuring a comprehensive and coordinated approach to patient care.</w:t>
      </w:r>
      <w:r w:rsidRPr="620A8401">
        <w:rPr>
          <w:rFonts w:eastAsia="Times New Roman" w:cs="Calibri"/>
          <w:szCs w:val="21"/>
          <w:lang w:val="en-US"/>
        </w:rPr>
        <w:t xml:space="preserve"> </w:t>
      </w:r>
    </w:p>
    <w:p w14:paraId="20D01193" w14:textId="77777777" w:rsidR="00321E1D" w:rsidRPr="009B783C" w:rsidRDefault="00321E1D" w:rsidP="00A93D9C">
      <w:pPr>
        <w:pStyle w:val="Heading2"/>
        <w:ind w:left="567" w:hanging="567"/>
      </w:pPr>
      <w:bookmarkStart w:id="39" w:name="_Toc189639216"/>
      <w:bookmarkStart w:id="40" w:name="_Toc189772016"/>
      <w:r w:rsidRPr="009B783C">
        <w:t xml:space="preserve">Evaluation </w:t>
      </w:r>
      <w:r w:rsidR="004604A5" w:rsidRPr="009B783C">
        <w:t>p</w:t>
      </w:r>
      <w:r w:rsidRPr="009B783C">
        <w:t>hases</w:t>
      </w:r>
      <w:bookmarkEnd w:id="39"/>
      <w:bookmarkEnd w:id="40"/>
    </w:p>
    <w:p w14:paraId="693F0493" w14:textId="2320CE20" w:rsidR="00CD1A66" w:rsidRPr="009B783C" w:rsidRDefault="00B73E1D" w:rsidP="00642228">
      <w:pPr>
        <w:rPr>
          <w:szCs w:val="21"/>
          <w:lang w:val="en-US"/>
        </w:rPr>
      </w:pPr>
      <w:r w:rsidRPr="620A8401">
        <w:rPr>
          <w:szCs w:val="21"/>
          <w:lang w:val="en-US"/>
        </w:rPr>
        <w:t>This</w:t>
      </w:r>
      <w:r w:rsidRPr="620A8401" w:rsidDel="004604A5">
        <w:rPr>
          <w:szCs w:val="21"/>
          <w:lang w:val="en-US"/>
        </w:rPr>
        <w:t xml:space="preserve"> </w:t>
      </w:r>
      <w:r w:rsidRPr="620A8401">
        <w:rPr>
          <w:szCs w:val="21"/>
          <w:lang w:val="en-US"/>
        </w:rPr>
        <w:t xml:space="preserve">Interim </w:t>
      </w:r>
      <w:r w:rsidR="00723437" w:rsidRPr="620A8401">
        <w:rPr>
          <w:szCs w:val="21"/>
          <w:lang w:val="en-US"/>
        </w:rPr>
        <w:t xml:space="preserve">Evaluation </w:t>
      </w:r>
      <w:r w:rsidRPr="620A8401">
        <w:rPr>
          <w:szCs w:val="21"/>
          <w:lang w:val="en-US"/>
        </w:rPr>
        <w:t xml:space="preserve">Report </w:t>
      </w:r>
      <w:r w:rsidR="004604A5" w:rsidRPr="620A8401">
        <w:rPr>
          <w:szCs w:val="21"/>
          <w:lang w:val="en-US"/>
        </w:rPr>
        <w:t xml:space="preserve">1 </w:t>
      </w:r>
      <w:r w:rsidR="007D1889" w:rsidRPr="620A8401">
        <w:rPr>
          <w:szCs w:val="21"/>
          <w:lang w:val="en-US"/>
        </w:rPr>
        <w:t xml:space="preserve">provides </w:t>
      </w:r>
      <w:r w:rsidR="00893AAA" w:rsidRPr="620A8401">
        <w:rPr>
          <w:szCs w:val="21"/>
          <w:lang w:val="en-US"/>
        </w:rPr>
        <w:t xml:space="preserve">early insights </w:t>
      </w:r>
      <w:r w:rsidR="005C6B9A" w:rsidRPr="620A8401">
        <w:rPr>
          <w:szCs w:val="21"/>
          <w:lang w:val="en-US"/>
        </w:rPr>
        <w:t xml:space="preserve">into </w:t>
      </w:r>
      <w:r w:rsidR="00A971BD" w:rsidRPr="620A8401">
        <w:rPr>
          <w:szCs w:val="21"/>
          <w:lang w:val="en-US"/>
        </w:rPr>
        <w:t xml:space="preserve">the nine </w:t>
      </w:r>
      <w:r w:rsidR="00280E9E" w:rsidRPr="620A8401">
        <w:rPr>
          <w:szCs w:val="21"/>
          <w:lang w:val="en-US"/>
        </w:rPr>
        <w:t>M</w:t>
      </w:r>
      <w:r w:rsidR="00A971BD" w:rsidRPr="620A8401">
        <w:rPr>
          <w:szCs w:val="21"/>
          <w:lang w:val="en-US"/>
        </w:rPr>
        <w:t xml:space="preserve">easures of </w:t>
      </w:r>
      <w:r w:rsidR="00280E9E" w:rsidRPr="620A8401">
        <w:rPr>
          <w:szCs w:val="21"/>
          <w:lang w:val="en-US"/>
        </w:rPr>
        <w:t>S</w:t>
      </w:r>
      <w:r w:rsidR="00A971BD" w:rsidRPr="620A8401">
        <w:rPr>
          <w:szCs w:val="21"/>
          <w:lang w:val="en-US"/>
        </w:rPr>
        <w:t xml:space="preserve">uccess, to inform future program improvement. </w:t>
      </w:r>
      <w:r w:rsidR="00604FEE" w:rsidRPr="620A8401">
        <w:rPr>
          <w:szCs w:val="21"/>
          <w:lang w:val="en-US"/>
        </w:rPr>
        <w:t xml:space="preserve">Each phase of the evaluation is described </w:t>
      </w:r>
      <w:r w:rsidR="00B54D4A">
        <w:rPr>
          <w:szCs w:val="21"/>
          <w:lang w:val="en-US"/>
        </w:rPr>
        <w:t>b</w:t>
      </w:r>
      <w:r w:rsidR="00BF3223">
        <w:rPr>
          <w:szCs w:val="21"/>
          <w:lang w:val="en-US"/>
        </w:rPr>
        <w:t>elow.</w:t>
      </w:r>
    </w:p>
    <w:p w14:paraId="51B995DC" w14:textId="313749F6" w:rsidR="009440D8" w:rsidRPr="00830131" w:rsidRDefault="009440D8" w:rsidP="00642228">
      <w:pPr>
        <w:rPr>
          <w:b/>
          <w:bCs/>
          <w:color w:val="00264D" w:themeColor="background2"/>
          <w:sz w:val="23"/>
          <w:szCs w:val="23"/>
        </w:rPr>
      </w:pPr>
      <w:r w:rsidRPr="00830131">
        <w:rPr>
          <w:b/>
          <w:bCs/>
          <w:color w:val="00264D" w:themeColor="background2"/>
          <w:sz w:val="23"/>
          <w:szCs w:val="23"/>
        </w:rPr>
        <w:lastRenderedPageBreak/>
        <w:t>Interim Evaluation 1, 2024</w:t>
      </w:r>
    </w:p>
    <w:p w14:paraId="64AAA1F6" w14:textId="77777777" w:rsidR="009440D8" w:rsidRPr="009B783C" w:rsidRDefault="009440D8" w:rsidP="005968EC">
      <w:pPr>
        <w:rPr>
          <w:szCs w:val="21"/>
        </w:rPr>
      </w:pPr>
      <w:r w:rsidRPr="009B783C">
        <w:rPr>
          <w:szCs w:val="21"/>
        </w:rPr>
        <w:t>Definitions and initial insights for each Measure of Success to inform program improvement:</w:t>
      </w:r>
    </w:p>
    <w:p w14:paraId="0114552E" w14:textId="77777777" w:rsidR="009440D8" w:rsidRPr="009B783C" w:rsidRDefault="009440D8" w:rsidP="005968EC">
      <w:pPr>
        <w:pStyle w:val="Bullet"/>
        <w:rPr>
          <w:szCs w:val="21"/>
        </w:rPr>
      </w:pPr>
      <w:r w:rsidRPr="009B783C">
        <w:rPr>
          <w:szCs w:val="21"/>
        </w:rPr>
        <w:t xml:space="preserve">Define key concepts such as timely treatment and parameters for assessing safety/quality and care coordination. </w:t>
      </w:r>
    </w:p>
    <w:p w14:paraId="04148508" w14:textId="77777777" w:rsidR="009440D8" w:rsidRPr="009B783C" w:rsidRDefault="009440D8" w:rsidP="005968EC">
      <w:pPr>
        <w:pStyle w:val="Bullet"/>
        <w:rPr>
          <w:szCs w:val="21"/>
        </w:rPr>
      </w:pPr>
      <w:r w:rsidRPr="009B783C">
        <w:rPr>
          <w:szCs w:val="21"/>
        </w:rPr>
        <w:t>Assess initial data on referral pathways, patient throughput and care coordination.</w:t>
      </w:r>
    </w:p>
    <w:p w14:paraId="224023AE" w14:textId="77777777" w:rsidR="009440D8" w:rsidRPr="009B783C" w:rsidRDefault="009440D8" w:rsidP="005968EC">
      <w:pPr>
        <w:pStyle w:val="Bullet"/>
        <w:rPr>
          <w:szCs w:val="21"/>
        </w:rPr>
      </w:pPr>
      <w:r w:rsidRPr="009B783C">
        <w:rPr>
          <w:szCs w:val="21"/>
        </w:rPr>
        <w:t>Early insights on wait times and ED diversions.</w:t>
      </w:r>
    </w:p>
    <w:p w14:paraId="11A589C9" w14:textId="77777777" w:rsidR="009440D8" w:rsidRPr="009B783C" w:rsidRDefault="009440D8" w:rsidP="005968EC">
      <w:pPr>
        <w:pStyle w:val="Bullet"/>
        <w:rPr>
          <w:szCs w:val="21"/>
        </w:rPr>
      </w:pPr>
      <w:r w:rsidRPr="009B783C">
        <w:rPr>
          <w:szCs w:val="21"/>
        </w:rPr>
        <w:t>Early insights on unique models.</w:t>
      </w:r>
    </w:p>
    <w:p w14:paraId="16A3A7B8" w14:textId="77777777" w:rsidR="009440D8" w:rsidRPr="009B783C" w:rsidRDefault="009440D8" w:rsidP="005968EC">
      <w:pPr>
        <w:pStyle w:val="Bullet"/>
        <w:rPr>
          <w:szCs w:val="21"/>
        </w:rPr>
      </w:pPr>
      <w:r w:rsidRPr="009B783C">
        <w:rPr>
          <w:szCs w:val="21"/>
        </w:rPr>
        <w:t>Early insights on costs of Medicare UCCs.</w:t>
      </w:r>
    </w:p>
    <w:p w14:paraId="46D2AF00" w14:textId="1F6608D0" w:rsidR="009440D8" w:rsidRPr="009B783C" w:rsidRDefault="009440D8" w:rsidP="005968EC">
      <w:pPr>
        <w:pStyle w:val="Bullet"/>
        <w:rPr>
          <w:szCs w:val="21"/>
        </w:rPr>
      </w:pPr>
      <w:r w:rsidRPr="009B783C">
        <w:rPr>
          <w:szCs w:val="21"/>
        </w:rPr>
        <w:t>Identify early enablers and challenges in addressing the Measures of Success.</w:t>
      </w:r>
    </w:p>
    <w:p w14:paraId="759AD702" w14:textId="21C291FE" w:rsidR="00041975" w:rsidRPr="00830131" w:rsidRDefault="00041975" w:rsidP="00041975">
      <w:pPr>
        <w:rPr>
          <w:b/>
          <w:bCs/>
          <w:color w:val="00264D" w:themeColor="background2"/>
          <w:sz w:val="23"/>
          <w:szCs w:val="23"/>
        </w:rPr>
      </w:pPr>
      <w:r w:rsidRPr="00830131">
        <w:rPr>
          <w:b/>
          <w:bCs/>
          <w:color w:val="00264D" w:themeColor="background2"/>
          <w:sz w:val="23"/>
          <w:szCs w:val="23"/>
        </w:rPr>
        <w:t>Interim Evaluation 2, 2025</w:t>
      </w:r>
    </w:p>
    <w:p w14:paraId="66B462D7" w14:textId="77777777" w:rsidR="005968EC" w:rsidRPr="009B783C" w:rsidRDefault="005968EC" w:rsidP="005968EC">
      <w:pPr>
        <w:rPr>
          <w:szCs w:val="21"/>
        </w:rPr>
      </w:pPr>
      <w:r w:rsidRPr="009B783C">
        <w:rPr>
          <w:szCs w:val="21"/>
        </w:rPr>
        <w:t>Comprehensive insights for each Measure of Success to inform ongoing program improvement:</w:t>
      </w:r>
    </w:p>
    <w:p w14:paraId="3140B5C3" w14:textId="77777777" w:rsidR="005968EC" w:rsidRPr="009B783C" w:rsidRDefault="005968EC" w:rsidP="005968EC">
      <w:pPr>
        <w:pStyle w:val="Bullet"/>
        <w:rPr>
          <w:szCs w:val="21"/>
        </w:rPr>
      </w:pPr>
      <w:r w:rsidRPr="009B783C">
        <w:rPr>
          <w:szCs w:val="21"/>
        </w:rPr>
        <w:t>Detailed analysis of trends and changes since the Interim Evaluation Report 1 (including wait times, ED diversions and patient experience).</w:t>
      </w:r>
    </w:p>
    <w:p w14:paraId="1A89C3A6" w14:textId="77777777" w:rsidR="005968EC" w:rsidRPr="009B783C" w:rsidRDefault="005968EC" w:rsidP="005968EC">
      <w:pPr>
        <w:pStyle w:val="Bullet"/>
        <w:rPr>
          <w:szCs w:val="21"/>
        </w:rPr>
      </w:pPr>
      <w:r w:rsidRPr="009B783C">
        <w:rPr>
          <w:szCs w:val="21"/>
        </w:rPr>
        <w:t>Deeper insights into patient and provider experiences, including differences based on patient characteristics and different models.</w:t>
      </w:r>
    </w:p>
    <w:p w14:paraId="3223678F" w14:textId="77777777" w:rsidR="005968EC" w:rsidRPr="009B783C" w:rsidRDefault="005968EC" w:rsidP="005968EC">
      <w:pPr>
        <w:pStyle w:val="Bullet"/>
        <w:rPr>
          <w:szCs w:val="21"/>
        </w:rPr>
      </w:pPr>
      <w:r w:rsidRPr="009B783C">
        <w:rPr>
          <w:szCs w:val="21"/>
        </w:rPr>
        <w:t>Draw lessons from high-performing clinics and identify key enablers and challenges in addressing the measures of success.</w:t>
      </w:r>
    </w:p>
    <w:p w14:paraId="1348B1E4" w14:textId="77777777" w:rsidR="005968EC" w:rsidRPr="009B783C" w:rsidRDefault="005968EC" w:rsidP="005968EC">
      <w:pPr>
        <w:pStyle w:val="Bullet"/>
        <w:rPr>
          <w:szCs w:val="21"/>
        </w:rPr>
      </w:pPr>
      <w:r w:rsidRPr="009B783C">
        <w:rPr>
          <w:szCs w:val="21"/>
        </w:rPr>
        <w:t>Further insights on costs of Medicare UCCs.</w:t>
      </w:r>
    </w:p>
    <w:p w14:paraId="679F5D01" w14:textId="66DD429B" w:rsidR="00041975" w:rsidRPr="009B783C" w:rsidRDefault="005968EC" w:rsidP="005968EC">
      <w:pPr>
        <w:pStyle w:val="Bullet"/>
        <w:rPr>
          <w:szCs w:val="21"/>
        </w:rPr>
      </w:pPr>
      <w:r w:rsidRPr="009B783C">
        <w:rPr>
          <w:szCs w:val="21"/>
        </w:rPr>
        <w:t>Examine the impact of UCCs on ED presentations and local healthcare systems.</w:t>
      </w:r>
    </w:p>
    <w:p w14:paraId="2AF07B48" w14:textId="7E895D15" w:rsidR="00041975" w:rsidRPr="00830131" w:rsidRDefault="00041975" w:rsidP="00041975">
      <w:pPr>
        <w:rPr>
          <w:b/>
          <w:bCs/>
          <w:color w:val="00264D" w:themeColor="background2"/>
          <w:sz w:val="23"/>
          <w:szCs w:val="23"/>
        </w:rPr>
      </w:pPr>
      <w:r w:rsidRPr="00830131">
        <w:rPr>
          <w:b/>
          <w:bCs/>
          <w:color w:val="00264D" w:themeColor="background2"/>
          <w:sz w:val="23"/>
          <w:szCs w:val="23"/>
        </w:rPr>
        <w:t>Final Evaluation, 2026</w:t>
      </w:r>
    </w:p>
    <w:p w14:paraId="565EC1BE" w14:textId="77777777" w:rsidR="005968EC" w:rsidRPr="009B783C" w:rsidRDefault="005968EC" w:rsidP="005968EC">
      <w:pPr>
        <w:rPr>
          <w:szCs w:val="21"/>
        </w:rPr>
      </w:pPr>
      <w:r w:rsidRPr="009B783C">
        <w:rPr>
          <w:szCs w:val="21"/>
        </w:rPr>
        <w:t>Summative evaluation for each Measure of Success and strategic recommendations:</w:t>
      </w:r>
    </w:p>
    <w:p w14:paraId="0C3B6F57" w14:textId="77777777" w:rsidR="005968EC" w:rsidRPr="009B783C" w:rsidRDefault="005968EC" w:rsidP="005968EC">
      <w:pPr>
        <w:pStyle w:val="Bullet"/>
        <w:rPr>
          <w:szCs w:val="21"/>
        </w:rPr>
      </w:pPr>
      <w:r w:rsidRPr="009B783C">
        <w:rPr>
          <w:szCs w:val="21"/>
        </w:rPr>
        <w:t>Overall effectiveness of UCCs in achieving the Measures of Success.</w:t>
      </w:r>
    </w:p>
    <w:p w14:paraId="5F2B23DC" w14:textId="77777777" w:rsidR="005968EC" w:rsidRPr="009B783C" w:rsidRDefault="005968EC" w:rsidP="005968EC">
      <w:pPr>
        <w:pStyle w:val="Bullet"/>
        <w:rPr>
          <w:szCs w:val="21"/>
        </w:rPr>
      </w:pPr>
      <w:r w:rsidRPr="009B783C">
        <w:rPr>
          <w:szCs w:val="21"/>
        </w:rPr>
        <w:t>Recommendations for improving timeliness of treatment, patient experience, safety and quality, coordination of care and integration of UCCs in the health ecosystem.</w:t>
      </w:r>
    </w:p>
    <w:p w14:paraId="150BA529" w14:textId="77777777" w:rsidR="005968EC" w:rsidRPr="009B783C" w:rsidRDefault="005968EC" w:rsidP="005968EC">
      <w:pPr>
        <w:pStyle w:val="Bullet"/>
        <w:rPr>
          <w:szCs w:val="21"/>
        </w:rPr>
      </w:pPr>
      <w:r w:rsidRPr="009B783C">
        <w:rPr>
          <w:szCs w:val="21"/>
        </w:rPr>
        <w:t>Assess cost savings from providing urgent care through Medicare UCCs, outcomes of the Australian Government's investment in the model, cost-effectiveness and opportunities to improve Medicare UCC efficiency.</w:t>
      </w:r>
    </w:p>
    <w:p w14:paraId="63209FAF" w14:textId="6A63DC0F" w:rsidR="00041975" w:rsidRPr="009B783C" w:rsidRDefault="005968EC" w:rsidP="00041975">
      <w:pPr>
        <w:pStyle w:val="Bullet"/>
        <w:rPr>
          <w:szCs w:val="21"/>
        </w:rPr>
      </w:pPr>
      <w:r w:rsidRPr="009B783C">
        <w:rPr>
          <w:szCs w:val="21"/>
        </w:rPr>
        <w:t>Strategic recommendations to support future consideration and management of the Medicare UCC Program.</w:t>
      </w:r>
    </w:p>
    <w:p w14:paraId="232E88A8" w14:textId="02A6919F" w:rsidR="00C17381" w:rsidRPr="009B783C" w:rsidRDefault="00C17381" w:rsidP="00C17381">
      <w:pPr>
        <w:pStyle w:val="Heading2"/>
        <w:ind w:left="567" w:hanging="567"/>
      </w:pPr>
      <w:bookmarkStart w:id="41" w:name="_Toc189639217"/>
      <w:bookmarkStart w:id="42" w:name="_Toc189772017"/>
      <w:r w:rsidRPr="009B783C">
        <w:t>Data sources</w:t>
      </w:r>
      <w:bookmarkEnd w:id="41"/>
      <w:bookmarkEnd w:id="42"/>
      <w:r w:rsidRPr="009B783C">
        <w:t xml:space="preserve"> </w:t>
      </w:r>
    </w:p>
    <w:p w14:paraId="4B3D5AB7" w14:textId="282E4D73" w:rsidR="00C17381" w:rsidRPr="009B783C" w:rsidRDefault="00CD3A76" w:rsidP="00642228">
      <w:pPr>
        <w:rPr>
          <w:szCs w:val="21"/>
        </w:rPr>
      </w:pPr>
      <w:r w:rsidRPr="009B783C">
        <w:rPr>
          <w:szCs w:val="21"/>
        </w:rPr>
        <w:t>Across all phases, the</w:t>
      </w:r>
      <w:r w:rsidR="00C17381" w:rsidRPr="009B783C">
        <w:rPr>
          <w:szCs w:val="21"/>
        </w:rPr>
        <w:t xml:space="preserve"> evaluation uses a </w:t>
      </w:r>
      <w:proofErr w:type="gramStart"/>
      <w:r w:rsidR="00C17381" w:rsidRPr="009B783C">
        <w:rPr>
          <w:szCs w:val="21"/>
        </w:rPr>
        <w:t>mixed-methods</w:t>
      </w:r>
      <w:proofErr w:type="gramEnd"/>
      <w:r w:rsidR="00C17381" w:rsidRPr="009B783C">
        <w:rPr>
          <w:szCs w:val="21"/>
        </w:rPr>
        <w:t xml:space="preserve"> approach with a convergent parallel design, enabling the simultaneous collection and comparison of quantitative and qualitative data to provide a comprehensive analysis of the findings.</w:t>
      </w:r>
    </w:p>
    <w:p w14:paraId="774EF85F" w14:textId="25D6B6DC" w:rsidR="00C17381" w:rsidRPr="009B783C" w:rsidRDefault="00564B6A" w:rsidP="00642228">
      <w:pPr>
        <w:rPr>
          <w:szCs w:val="21"/>
          <w:lang w:eastAsia="en-AU"/>
        </w:rPr>
      </w:pPr>
      <w:r w:rsidRPr="009B783C">
        <w:rPr>
          <w:szCs w:val="21"/>
          <w:lang w:eastAsia="en-AU"/>
        </w:rPr>
        <w:lastRenderedPageBreak/>
        <w:t xml:space="preserve">The </w:t>
      </w:r>
      <w:r w:rsidR="00C17381" w:rsidRPr="009B783C">
        <w:rPr>
          <w:szCs w:val="21"/>
          <w:lang w:eastAsia="en-AU"/>
        </w:rPr>
        <w:t>data sources</w:t>
      </w:r>
      <w:r w:rsidR="007927D0" w:rsidRPr="009B783C">
        <w:rPr>
          <w:szCs w:val="21"/>
          <w:lang w:eastAsia="en-AU"/>
        </w:rPr>
        <w:t xml:space="preserve"> used for this </w:t>
      </w:r>
      <w:r w:rsidR="007B7C1A" w:rsidRPr="009B783C">
        <w:rPr>
          <w:szCs w:val="21"/>
          <w:lang w:eastAsia="en-AU"/>
        </w:rPr>
        <w:t xml:space="preserve">Interim Evaluation Report 1 are listed below. Subsequent evaluation </w:t>
      </w:r>
      <w:r w:rsidR="003E6E9A" w:rsidRPr="009B783C">
        <w:rPr>
          <w:szCs w:val="21"/>
          <w:lang w:eastAsia="en-AU"/>
        </w:rPr>
        <w:t>phases will expand on the sources listed here.</w:t>
      </w:r>
    </w:p>
    <w:p w14:paraId="10C638A5" w14:textId="45F4DCC3" w:rsidR="006163F3" w:rsidRPr="009B783C" w:rsidRDefault="006163F3" w:rsidP="00642228">
      <w:pPr>
        <w:pStyle w:val="Bullet"/>
        <w:rPr>
          <w:szCs w:val="21"/>
        </w:rPr>
      </w:pPr>
      <w:r w:rsidRPr="009B783C">
        <w:rPr>
          <w:rFonts w:asciiTheme="majorHAnsi" w:hAnsiTheme="majorHAnsi" w:cstheme="majorHAnsi"/>
          <w:szCs w:val="21"/>
        </w:rPr>
        <w:t>Stakeholder engagement</w:t>
      </w:r>
      <w:r w:rsidR="00A42FE7" w:rsidRPr="009B783C">
        <w:rPr>
          <w:rFonts w:asciiTheme="majorHAnsi" w:hAnsiTheme="majorHAnsi" w:cstheme="majorHAnsi"/>
          <w:szCs w:val="21"/>
        </w:rPr>
        <w:t xml:space="preserve">. </w:t>
      </w:r>
      <w:r w:rsidR="003E6E9A" w:rsidRPr="009B783C">
        <w:rPr>
          <w:szCs w:val="21"/>
        </w:rPr>
        <w:t>S</w:t>
      </w:r>
      <w:r w:rsidRPr="009B783C">
        <w:rPr>
          <w:szCs w:val="21"/>
        </w:rPr>
        <w:t xml:space="preserve">takeholder engagement was limited due to the focus on program implementation and establishing initial operations of the Medicare UCCs. </w:t>
      </w:r>
      <w:r w:rsidR="005778EE" w:rsidRPr="009B783C">
        <w:rPr>
          <w:szCs w:val="21"/>
        </w:rPr>
        <w:t>F</w:t>
      </w:r>
      <w:r w:rsidR="006152EC" w:rsidRPr="009B783C">
        <w:rPr>
          <w:szCs w:val="21"/>
        </w:rPr>
        <w:t xml:space="preserve">or this Interim Evaluation Report </w:t>
      </w:r>
      <w:r w:rsidR="00777CD4" w:rsidRPr="009B783C">
        <w:rPr>
          <w:szCs w:val="21"/>
        </w:rPr>
        <w:t>1, stakeholder engagement included:</w:t>
      </w:r>
    </w:p>
    <w:p w14:paraId="765F00F8" w14:textId="0C495B61" w:rsidR="006163F3" w:rsidRPr="009B783C" w:rsidRDefault="00A42FE7" w:rsidP="00642228">
      <w:pPr>
        <w:pStyle w:val="Bullet"/>
        <w:ind w:left="1134" w:hanging="425"/>
        <w:rPr>
          <w:szCs w:val="21"/>
        </w:rPr>
      </w:pPr>
      <w:r w:rsidRPr="009B783C">
        <w:rPr>
          <w:szCs w:val="21"/>
        </w:rPr>
        <w:t>consultations</w:t>
      </w:r>
      <w:r w:rsidR="006163F3" w:rsidRPr="009B783C">
        <w:rPr>
          <w:szCs w:val="21"/>
        </w:rPr>
        <w:t xml:space="preserve"> with all the commissioners across Australia, including 19 PHNs and the </w:t>
      </w:r>
      <w:r w:rsidR="003E3014" w:rsidRPr="009B783C">
        <w:rPr>
          <w:szCs w:val="21"/>
        </w:rPr>
        <w:t>four</w:t>
      </w:r>
      <w:r w:rsidR="006163F3" w:rsidRPr="009B783C">
        <w:rPr>
          <w:szCs w:val="21"/>
        </w:rPr>
        <w:t xml:space="preserve"> state and territory health departments</w:t>
      </w:r>
    </w:p>
    <w:p w14:paraId="35B52F51" w14:textId="1BA41467" w:rsidR="006163F3" w:rsidRPr="009B783C" w:rsidRDefault="00A42FE7" w:rsidP="00642228">
      <w:pPr>
        <w:pStyle w:val="Bullet"/>
        <w:ind w:left="1134" w:hanging="425"/>
        <w:rPr>
          <w:szCs w:val="21"/>
        </w:rPr>
      </w:pPr>
      <w:r w:rsidRPr="009B783C">
        <w:rPr>
          <w:szCs w:val="21"/>
        </w:rPr>
        <w:t>interviews</w:t>
      </w:r>
      <w:r w:rsidR="006163F3" w:rsidRPr="009B783C">
        <w:rPr>
          <w:szCs w:val="21"/>
        </w:rPr>
        <w:t xml:space="preserve"> with staff from selected Medicare UCCs to understand operations in various local contexts, including </w:t>
      </w:r>
      <w:r w:rsidR="00412FF4" w:rsidRPr="009B783C">
        <w:rPr>
          <w:szCs w:val="21"/>
        </w:rPr>
        <w:t xml:space="preserve">one remote NT </w:t>
      </w:r>
      <w:r w:rsidR="006163F3" w:rsidRPr="009B783C">
        <w:rPr>
          <w:szCs w:val="21"/>
        </w:rPr>
        <w:t xml:space="preserve">Medicare UCC, the ACT Medicare UCCs and </w:t>
      </w:r>
      <w:r w:rsidR="00336272" w:rsidRPr="009B783C">
        <w:rPr>
          <w:szCs w:val="21"/>
        </w:rPr>
        <w:t xml:space="preserve">one NSW </w:t>
      </w:r>
      <w:r w:rsidR="006163F3" w:rsidRPr="009B783C">
        <w:rPr>
          <w:szCs w:val="21"/>
        </w:rPr>
        <w:t>Medicare UCC</w:t>
      </w:r>
    </w:p>
    <w:p w14:paraId="02E50EC5" w14:textId="328AD2F1" w:rsidR="006163F3" w:rsidRPr="009B783C" w:rsidRDefault="00A42FE7" w:rsidP="00642228">
      <w:pPr>
        <w:pStyle w:val="Bullet"/>
        <w:ind w:left="1134" w:hanging="425"/>
        <w:rPr>
          <w:szCs w:val="21"/>
        </w:rPr>
      </w:pPr>
      <w:r w:rsidRPr="009B783C">
        <w:rPr>
          <w:szCs w:val="21"/>
        </w:rPr>
        <w:t>an</w:t>
      </w:r>
      <w:r w:rsidR="006163F3" w:rsidRPr="009B783C">
        <w:rPr>
          <w:szCs w:val="21"/>
        </w:rPr>
        <w:t xml:space="preserve"> interview with </w:t>
      </w:r>
      <w:r w:rsidR="00D168D4" w:rsidRPr="009B783C">
        <w:rPr>
          <w:szCs w:val="21"/>
        </w:rPr>
        <w:t>executive from</w:t>
      </w:r>
      <w:r w:rsidR="006163F3" w:rsidRPr="009B783C">
        <w:rPr>
          <w:szCs w:val="21"/>
        </w:rPr>
        <w:t xml:space="preserve"> the CHF</w:t>
      </w:r>
    </w:p>
    <w:p w14:paraId="287454F7" w14:textId="7AB951FA" w:rsidR="006163F3" w:rsidRPr="009B783C" w:rsidRDefault="00A42FE7" w:rsidP="00642228">
      <w:pPr>
        <w:pStyle w:val="Bullet"/>
        <w:ind w:left="1134" w:hanging="425"/>
        <w:rPr>
          <w:szCs w:val="21"/>
        </w:rPr>
      </w:pPr>
      <w:r w:rsidRPr="009B783C">
        <w:rPr>
          <w:szCs w:val="21"/>
        </w:rPr>
        <w:t>a</w:t>
      </w:r>
      <w:r w:rsidR="00B83E22" w:rsidRPr="009B783C">
        <w:rPr>
          <w:szCs w:val="21"/>
        </w:rPr>
        <w:t xml:space="preserve"> meeting </w:t>
      </w:r>
      <w:r w:rsidR="006163F3" w:rsidRPr="009B783C">
        <w:rPr>
          <w:szCs w:val="21"/>
        </w:rPr>
        <w:t>with the Medicare UCC Operational Advisory Group, which advises the Department on program operations and policy.</w:t>
      </w:r>
    </w:p>
    <w:p w14:paraId="2B9B576A" w14:textId="77777777" w:rsidR="009117A1" w:rsidRPr="009B783C" w:rsidRDefault="00FD4E20" w:rsidP="00642228">
      <w:pPr>
        <w:pStyle w:val="Bullet"/>
        <w:rPr>
          <w:szCs w:val="21"/>
        </w:rPr>
      </w:pPr>
      <w:r w:rsidRPr="009B783C">
        <w:rPr>
          <w:rFonts w:asciiTheme="majorHAnsi" w:hAnsiTheme="majorHAnsi" w:cstheme="majorHAnsi"/>
          <w:szCs w:val="21"/>
        </w:rPr>
        <w:t>Program information</w:t>
      </w:r>
      <w:r w:rsidR="000A785D" w:rsidRPr="009B783C">
        <w:rPr>
          <w:rFonts w:asciiTheme="majorHAnsi" w:hAnsiTheme="majorHAnsi" w:cstheme="majorHAnsi"/>
          <w:szCs w:val="21"/>
        </w:rPr>
        <w:t xml:space="preserve"> </w:t>
      </w:r>
      <w:r w:rsidR="000A785D" w:rsidRPr="009B783C">
        <w:rPr>
          <w:szCs w:val="21"/>
        </w:rPr>
        <w:t>provided by the Department</w:t>
      </w:r>
      <w:r w:rsidR="00963648" w:rsidRPr="009B783C">
        <w:rPr>
          <w:szCs w:val="21"/>
        </w:rPr>
        <w:t xml:space="preserve">, </w:t>
      </w:r>
      <w:r w:rsidR="005F0E68" w:rsidRPr="009B783C">
        <w:rPr>
          <w:szCs w:val="21"/>
        </w:rPr>
        <w:t>including</w:t>
      </w:r>
      <w:r w:rsidR="009117A1" w:rsidRPr="009B783C">
        <w:rPr>
          <w:szCs w:val="21"/>
        </w:rPr>
        <w:t>:</w:t>
      </w:r>
    </w:p>
    <w:p w14:paraId="01753D93" w14:textId="0982FD0A" w:rsidR="00F64C9E" w:rsidRPr="009B783C" w:rsidRDefault="008E694D" w:rsidP="00642228">
      <w:pPr>
        <w:pStyle w:val="Bullet"/>
        <w:numPr>
          <w:ilvl w:val="2"/>
          <w:numId w:val="2"/>
        </w:numPr>
        <w:rPr>
          <w:szCs w:val="21"/>
        </w:rPr>
      </w:pPr>
      <w:r w:rsidRPr="009B783C">
        <w:rPr>
          <w:szCs w:val="21"/>
        </w:rPr>
        <w:t>c</w:t>
      </w:r>
      <w:r w:rsidR="00613FDC" w:rsidRPr="009B783C">
        <w:rPr>
          <w:szCs w:val="21"/>
        </w:rPr>
        <w:t>haracteristics of Medicare UCC</w:t>
      </w:r>
      <w:r w:rsidR="00564B6A" w:rsidRPr="009B783C">
        <w:rPr>
          <w:szCs w:val="21"/>
        </w:rPr>
        <w:t>s</w:t>
      </w:r>
      <w:r w:rsidR="00C22875" w:rsidRPr="009B783C">
        <w:rPr>
          <w:szCs w:val="21"/>
        </w:rPr>
        <w:t>, their location</w:t>
      </w:r>
      <w:r w:rsidR="00954F88" w:rsidRPr="009B783C">
        <w:rPr>
          <w:szCs w:val="21"/>
        </w:rPr>
        <w:t>, opening hours, workforce details, radiology and pathology arrangements</w:t>
      </w:r>
    </w:p>
    <w:p w14:paraId="09C7EF7F" w14:textId="0A3BABEF" w:rsidR="009117A1" w:rsidRPr="009B783C" w:rsidRDefault="008E694D" w:rsidP="00642228">
      <w:pPr>
        <w:pStyle w:val="Bullet"/>
        <w:numPr>
          <w:ilvl w:val="2"/>
          <w:numId w:val="2"/>
        </w:numPr>
        <w:rPr>
          <w:szCs w:val="21"/>
        </w:rPr>
      </w:pPr>
      <w:r w:rsidRPr="009B783C">
        <w:rPr>
          <w:szCs w:val="21"/>
        </w:rPr>
        <w:t>g</w:t>
      </w:r>
      <w:r w:rsidR="009117A1" w:rsidRPr="009B783C">
        <w:rPr>
          <w:szCs w:val="21"/>
        </w:rPr>
        <w:t xml:space="preserve">rants provided to Medicare </w:t>
      </w:r>
      <w:r w:rsidR="00C17381" w:rsidRPr="009B783C">
        <w:rPr>
          <w:szCs w:val="21"/>
        </w:rPr>
        <w:t xml:space="preserve">UCC </w:t>
      </w:r>
      <w:r w:rsidR="00F97CF2" w:rsidRPr="009B783C">
        <w:rPr>
          <w:szCs w:val="21"/>
        </w:rPr>
        <w:t>commissioners</w:t>
      </w:r>
    </w:p>
    <w:p w14:paraId="563B8C5D" w14:textId="77777777" w:rsidR="009117A1" w:rsidRPr="009B783C" w:rsidRDefault="00F302C4" w:rsidP="00642228">
      <w:pPr>
        <w:pStyle w:val="Bullet"/>
        <w:numPr>
          <w:ilvl w:val="2"/>
          <w:numId w:val="2"/>
        </w:numPr>
        <w:rPr>
          <w:szCs w:val="21"/>
        </w:rPr>
      </w:pPr>
      <w:r w:rsidRPr="009B783C">
        <w:rPr>
          <w:szCs w:val="21"/>
        </w:rPr>
        <w:t>t</w:t>
      </w:r>
      <w:r w:rsidR="002B421A" w:rsidRPr="009B783C">
        <w:rPr>
          <w:szCs w:val="21"/>
        </w:rPr>
        <w:t>he approach to clinical assessment of Medicare UCCs against Operational Guidance</w:t>
      </w:r>
    </w:p>
    <w:p w14:paraId="4584BE17" w14:textId="77777777" w:rsidR="009117A1" w:rsidRPr="009B783C" w:rsidRDefault="002B421A" w:rsidP="00642228">
      <w:pPr>
        <w:pStyle w:val="Bullet"/>
        <w:numPr>
          <w:ilvl w:val="2"/>
          <w:numId w:val="2"/>
        </w:numPr>
        <w:rPr>
          <w:szCs w:val="21"/>
        </w:rPr>
      </w:pPr>
      <w:r w:rsidRPr="009B783C">
        <w:rPr>
          <w:szCs w:val="21"/>
        </w:rPr>
        <w:t xml:space="preserve">research data on the </w:t>
      </w:r>
      <w:r w:rsidR="00B3516C" w:rsidRPr="009B783C">
        <w:rPr>
          <w:szCs w:val="21"/>
        </w:rPr>
        <w:t xml:space="preserve">performance and </w:t>
      </w:r>
      <w:r w:rsidRPr="009B783C">
        <w:rPr>
          <w:szCs w:val="21"/>
        </w:rPr>
        <w:t>impact of the national communications campaign on community awareness and use of Medicare UCCs</w:t>
      </w:r>
    </w:p>
    <w:p w14:paraId="107D428A" w14:textId="77777777" w:rsidR="008E694D" w:rsidRPr="009B783C" w:rsidRDefault="002878EA" w:rsidP="00642228">
      <w:pPr>
        <w:pStyle w:val="Bullet"/>
        <w:numPr>
          <w:ilvl w:val="2"/>
          <w:numId w:val="2"/>
        </w:numPr>
        <w:rPr>
          <w:szCs w:val="21"/>
        </w:rPr>
      </w:pPr>
      <w:r w:rsidRPr="009B783C">
        <w:rPr>
          <w:szCs w:val="21"/>
        </w:rPr>
        <w:t>de-identified patient stories</w:t>
      </w:r>
    </w:p>
    <w:p w14:paraId="306E54DE" w14:textId="77777777" w:rsidR="008E694D" w:rsidRPr="009B783C" w:rsidRDefault="0040415D" w:rsidP="00642228">
      <w:pPr>
        <w:pStyle w:val="Bullet"/>
        <w:numPr>
          <w:ilvl w:val="2"/>
          <w:numId w:val="2"/>
        </w:numPr>
        <w:rPr>
          <w:szCs w:val="21"/>
        </w:rPr>
      </w:pPr>
      <w:r w:rsidRPr="009B783C">
        <w:rPr>
          <w:szCs w:val="21"/>
        </w:rPr>
        <w:t xml:space="preserve">federation funding agreement </w:t>
      </w:r>
      <w:r w:rsidR="00E32A1A" w:rsidRPr="009B783C">
        <w:rPr>
          <w:szCs w:val="21"/>
        </w:rPr>
        <w:t xml:space="preserve">Medicare UCC </w:t>
      </w:r>
      <w:r w:rsidRPr="009B783C">
        <w:rPr>
          <w:szCs w:val="21"/>
        </w:rPr>
        <w:t>performance reports</w:t>
      </w:r>
    </w:p>
    <w:p w14:paraId="13BA8CFC" w14:textId="4172D12A" w:rsidR="000A785D" w:rsidRPr="009B783C" w:rsidRDefault="00751FF0" w:rsidP="00642228">
      <w:pPr>
        <w:pStyle w:val="Bullet"/>
        <w:numPr>
          <w:ilvl w:val="2"/>
          <w:numId w:val="2"/>
        </w:numPr>
        <w:rPr>
          <w:szCs w:val="21"/>
        </w:rPr>
      </w:pPr>
      <w:r w:rsidRPr="009B783C">
        <w:rPr>
          <w:szCs w:val="21"/>
        </w:rPr>
        <w:t xml:space="preserve">Medicare UCC policies to support </w:t>
      </w:r>
      <w:r w:rsidR="00497A44" w:rsidRPr="009B783C">
        <w:rPr>
          <w:szCs w:val="21"/>
        </w:rPr>
        <w:t>priority populations</w:t>
      </w:r>
      <w:r w:rsidR="002B421A" w:rsidRPr="009B783C">
        <w:rPr>
          <w:szCs w:val="21"/>
        </w:rPr>
        <w:t>.</w:t>
      </w:r>
      <w:r w:rsidR="008A611A" w:rsidRPr="009B783C">
        <w:rPr>
          <w:szCs w:val="21"/>
        </w:rPr>
        <w:t xml:space="preserve"> </w:t>
      </w:r>
    </w:p>
    <w:p w14:paraId="164EFDB5" w14:textId="0244F2C5" w:rsidR="008B40B1" w:rsidRPr="009B783C" w:rsidRDefault="00C17381" w:rsidP="00642228">
      <w:pPr>
        <w:pStyle w:val="Bullet"/>
        <w:rPr>
          <w:szCs w:val="21"/>
        </w:rPr>
      </w:pPr>
      <w:r w:rsidRPr="009B783C">
        <w:rPr>
          <w:rFonts w:asciiTheme="majorHAnsi" w:hAnsiTheme="majorHAnsi" w:cstheme="majorHAnsi"/>
          <w:szCs w:val="21"/>
        </w:rPr>
        <w:t>Medicare UCC aggregate presentation counts</w:t>
      </w:r>
      <w:r w:rsidR="00A42FE7" w:rsidRPr="009B783C">
        <w:rPr>
          <w:szCs w:val="21"/>
        </w:rPr>
        <w:t>.</w:t>
      </w:r>
      <w:r w:rsidRPr="009B783C">
        <w:rPr>
          <w:szCs w:val="21"/>
        </w:rPr>
        <w:t xml:space="preserve"> Each Medicare UCC reported an aggregate count of presentations for each day from the date it opened</w:t>
      </w:r>
      <w:r w:rsidR="004264BE" w:rsidRPr="009B783C">
        <w:rPr>
          <w:szCs w:val="21"/>
        </w:rPr>
        <w:t>, up to 30 June 2024</w:t>
      </w:r>
      <w:r w:rsidRPr="009B783C">
        <w:rPr>
          <w:szCs w:val="21"/>
        </w:rPr>
        <w:t xml:space="preserve">. </w:t>
      </w:r>
      <w:r w:rsidR="00985A36" w:rsidRPr="009B783C">
        <w:rPr>
          <w:szCs w:val="21"/>
        </w:rPr>
        <w:t xml:space="preserve">From 1 July 2024 the Medicare UCC </w:t>
      </w:r>
      <w:r w:rsidR="004E7366" w:rsidRPr="009B783C">
        <w:rPr>
          <w:szCs w:val="21"/>
        </w:rPr>
        <w:t>Module</w:t>
      </w:r>
      <w:r w:rsidR="008B40B1" w:rsidRPr="009B783C">
        <w:rPr>
          <w:szCs w:val="21"/>
        </w:rPr>
        <w:t xml:space="preserve"> is the only form of data reporting for most </w:t>
      </w:r>
      <w:r w:rsidR="00564B6A" w:rsidRPr="009B783C">
        <w:rPr>
          <w:szCs w:val="21"/>
        </w:rPr>
        <w:t xml:space="preserve">Medicare </w:t>
      </w:r>
      <w:r w:rsidR="008B40B1" w:rsidRPr="009B783C">
        <w:rPr>
          <w:szCs w:val="21"/>
        </w:rPr>
        <w:t>UCCs</w:t>
      </w:r>
      <w:r w:rsidR="00564B6A" w:rsidRPr="009B783C">
        <w:rPr>
          <w:szCs w:val="21"/>
        </w:rPr>
        <w:t>,</w:t>
      </w:r>
      <w:r w:rsidR="008B40B1" w:rsidRPr="009B783C">
        <w:rPr>
          <w:szCs w:val="21"/>
        </w:rPr>
        <w:t xml:space="preserve"> including newly onboarded </w:t>
      </w:r>
      <w:r w:rsidR="00564B6A" w:rsidRPr="009B783C">
        <w:rPr>
          <w:szCs w:val="21"/>
        </w:rPr>
        <w:t xml:space="preserve">Medicare </w:t>
      </w:r>
      <w:r w:rsidR="008B40B1" w:rsidRPr="009B783C">
        <w:rPr>
          <w:szCs w:val="21"/>
        </w:rPr>
        <w:t>UCCs.</w:t>
      </w:r>
      <w:r w:rsidR="008A611A" w:rsidRPr="009B783C">
        <w:rPr>
          <w:szCs w:val="21"/>
        </w:rPr>
        <w:t xml:space="preserve"> </w:t>
      </w:r>
      <w:proofErr w:type="gramStart"/>
      <w:r w:rsidR="00564B6A" w:rsidRPr="009B783C">
        <w:rPr>
          <w:szCs w:val="21"/>
        </w:rPr>
        <w:t>At</w:t>
      </w:r>
      <w:proofErr w:type="gramEnd"/>
      <w:r w:rsidR="00564B6A" w:rsidRPr="009B783C">
        <w:rPr>
          <w:szCs w:val="21"/>
        </w:rPr>
        <w:t xml:space="preserve"> </w:t>
      </w:r>
      <w:r w:rsidR="00A34E59" w:rsidRPr="009B783C">
        <w:rPr>
          <w:szCs w:val="21"/>
        </w:rPr>
        <w:t xml:space="preserve">30 </w:t>
      </w:r>
      <w:r w:rsidR="007E03C7" w:rsidRPr="009B783C">
        <w:rPr>
          <w:szCs w:val="21"/>
        </w:rPr>
        <w:t>September 2024</w:t>
      </w:r>
      <w:r w:rsidR="00A21455" w:rsidRPr="009B783C">
        <w:rPr>
          <w:szCs w:val="21"/>
        </w:rPr>
        <w:t xml:space="preserve">, </w:t>
      </w:r>
      <w:r w:rsidR="008B40B1" w:rsidRPr="009B783C">
        <w:rPr>
          <w:szCs w:val="21"/>
        </w:rPr>
        <w:t xml:space="preserve">ACT </w:t>
      </w:r>
      <w:r w:rsidR="003751FC" w:rsidRPr="009B783C">
        <w:rPr>
          <w:szCs w:val="21"/>
        </w:rPr>
        <w:t xml:space="preserve">Medicare UCCs, </w:t>
      </w:r>
      <w:r w:rsidR="00077055" w:rsidRPr="009B783C">
        <w:rPr>
          <w:szCs w:val="21"/>
        </w:rPr>
        <w:t xml:space="preserve">three </w:t>
      </w:r>
      <w:r w:rsidR="008B40B1" w:rsidRPr="009B783C">
        <w:rPr>
          <w:szCs w:val="21"/>
        </w:rPr>
        <w:t xml:space="preserve">remote NT </w:t>
      </w:r>
      <w:r w:rsidR="00397DCB" w:rsidRPr="009B783C">
        <w:rPr>
          <w:szCs w:val="21"/>
        </w:rPr>
        <w:t xml:space="preserve">Medicare </w:t>
      </w:r>
      <w:r w:rsidR="008B40B1" w:rsidRPr="009B783C">
        <w:rPr>
          <w:szCs w:val="21"/>
        </w:rPr>
        <w:t xml:space="preserve">UCCs </w:t>
      </w:r>
      <w:r w:rsidR="003751FC" w:rsidRPr="009B783C">
        <w:rPr>
          <w:szCs w:val="21"/>
        </w:rPr>
        <w:t xml:space="preserve">and four other Medicare </w:t>
      </w:r>
      <w:r w:rsidR="008B40B1" w:rsidRPr="009B783C">
        <w:rPr>
          <w:szCs w:val="21"/>
        </w:rPr>
        <w:t>UCCs continue</w:t>
      </w:r>
      <w:r w:rsidR="00564B6A" w:rsidRPr="009B783C">
        <w:rPr>
          <w:szCs w:val="21"/>
        </w:rPr>
        <w:t>d</w:t>
      </w:r>
      <w:r w:rsidR="008B40B1" w:rsidRPr="009B783C">
        <w:rPr>
          <w:szCs w:val="21"/>
        </w:rPr>
        <w:t xml:space="preserve"> to report aggregate data rather than </w:t>
      </w:r>
      <w:r w:rsidR="00A21455" w:rsidRPr="009B783C">
        <w:rPr>
          <w:szCs w:val="21"/>
        </w:rPr>
        <w:t xml:space="preserve">through the Medicare UCC </w:t>
      </w:r>
      <w:r w:rsidR="004E7366" w:rsidRPr="009B783C">
        <w:rPr>
          <w:szCs w:val="21"/>
        </w:rPr>
        <w:t>Module</w:t>
      </w:r>
      <w:r w:rsidR="008B40B1" w:rsidRPr="009B783C">
        <w:rPr>
          <w:szCs w:val="21"/>
        </w:rPr>
        <w:t>.</w:t>
      </w:r>
    </w:p>
    <w:p w14:paraId="28A6B366" w14:textId="75D45974" w:rsidR="00C17381" w:rsidRPr="009B783C" w:rsidRDefault="00C17381" w:rsidP="00642228">
      <w:pPr>
        <w:pStyle w:val="Bullet"/>
        <w:rPr>
          <w:szCs w:val="21"/>
        </w:rPr>
      </w:pPr>
      <w:r w:rsidRPr="009B783C">
        <w:rPr>
          <w:rFonts w:asciiTheme="majorHAnsi" w:hAnsiTheme="majorHAnsi" w:cstheme="majorHAnsi"/>
          <w:szCs w:val="21"/>
        </w:rPr>
        <w:t xml:space="preserve">Medicare UCC </w:t>
      </w:r>
      <w:r w:rsidR="004E7366" w:rsidRPr="009B783C">
        <w:rPr>
          <w:rFonts w:asciiTheme="majorHAnsi" w:hAnsiTheme="majorHAnsi" w:cstheme="majorHAnsi"/>
          <w:szCs w:val="21"/>
        </w:rPr>
        <w:t>Module</w:t>
      </w:r>
      <w:r w:rsidR="00F7463E" w:rsidRPr="009B783C">
        <w:rPr>
          <w:rFonts w:asciiTheme="majorHAnsi" w:hAnsiTheme="majorHAnsi" w:cstheme="majorHAnsi"/>
          <w:szCs w:val="21"/>
        </w:rPr>
        <w:t xml:space="preserve"> </w:t>
      </w:r>
      <w:r w:rsidRPr="009B783C">
        <w:rPr>
          <w:rFonts w:asciiTheme="majorHAnsi" w:hAnsiTheme="majorHAnsi" w:cstheme="majorHAnsi"/>
          <w:szCs w:val="21"/>
        </w:rPr>
        <w:t>data</w:t>
      </w:r>
      <w:r w:rsidRPr="009B783C">
        <w:rPr>
          <w:szCs w:val="21"/>
        </w:rPr>
        <w:t xml:space="preserve"> </w:t>
      </w:r>
      <w:r w:rsidRPr="009B783C">
        <w:rPr>
          <w:rFonts w:asciiTheme="majorHAnsi" w:hAnsiTheme="majorHAnsi" w:cstheme="majorHAnsi"/>
          <w:szCs w:val="21"/>
        </w:rPr>
        <w:t xml:space="preserve">and data extracts implemented prior to the </w:t>
      </w:r>
      <w:r w:rsidR="004E7366" w:rsidRPr="009B783C">
        <w:rPr>
          <w:rFonts w:asciiTheme="majorHAnsi" w:hAnsiTheme="majorHAnsi" w:cstheme="majorHAnsi"/>
          <w:szCs w:val="21"/>
        </w:rPr>
        <w:t>Module</w:t>
      </w:r>
      <w:r w:rsidR="00F7463E" w:rsidRPr="009B783C">
        <w:rPr>
          <w:rFonts w:asciiTheme="majorHAnsi" w:hAnsiTheme="majorHAnsi" w:cstheme="majorHAnsi"/>
          <w:szCs w:val="21"/>
        </w:rPr>
        <w:t xml:space="preserve"> </w:t>
      </w:r>
      <w:r w:rsidRPr="009B783C">
        <w:rPr>
          <w:rFonts w:asciiTheme="majorHAnsi" w:hAnsiTheme="majorHAnsi" w:cstheme="majorHAnsi"/>
          <w:szCs w:val="21"/>
        </w:rPr>
        <w:t>being implemented</w:t>
      </w:r>
      <w:r w:rsidR="00A42FE7" w:rsidRPr="009B783C">
        <w:rPr>
          <w:szCs w:val="21"/>
        </w:rPr>
        <w:t>.</w:t>
      </w:r>
      <w:r w:rsidRPr="009B783C">
        <w:rPr>
          <w:szCs w:val="21"/>
        </w:rPr>
        <w:t xml:space="preserve"> Unit record data is available for 63 Medicare UCCs, whereas for another 12 clinics, only aggregate counts of presentations are available. </w:t>
      </w:r>
      <w:r w:rsidR="004B4A0F" w:rsidRPr="009B783C">
        <w:rPr>
          <w:szCs w:val="21"/>
        </w:rPr>
        <w:t xml:space="preserve">These </w:t>
      </w:r>
      <w:r w:rsidR="00397DCB" w:rsidRPr="009B783C">
        <w:rPr>
          <w:szCs w:val="21"/>
        </w:rPr>
        <w:t>12</w:t>
      </w:r>
      <w:r w:rsidR="004B4A0F" w:rsidRPr="009B783C">
        <w:rPr>
          <w:szCs w:val="21"/>
        </w:rPr>
        <w:t xml:space="preserve"> include the ACT Medicare UCCs</w:t>
      </w:r>
      <w:r w:rsidR="003751FC" w:rsidRPr="009B783C">
        <w:rPr>
          <w:szCs w:val="21"/>
        </w:rPr>
        <w:t>,</w:t>
      </w:r>
      <w:r w:rsidR="004B4A0F" w:rsidRPr="009B783C">
        <w:rPr>
          <w:szCs w:val="21"/>
        </w:rPr>
        <w:t xml:space="preserve"> the remote NT Medicare UCCs and </w:t>
      </w:r>
      <w:r w:rsidR="003751FC" w:rsidRPr="009B783C">
        <w:rPr>
          <w:szCs w:val="21"/>
        </w:rPr>
        <w:t>four other Medicare UCCs</w:t>
      </w:r>
      <w:r w:rsidR="005966B3" w:rsidRPr="009B783C">
        <w:rPr>
          <w:szCs w:val="21"/>
        </w:rPr>
        <w:t>.</w:t>
      </w:r>
    </w:p>
    <w:p w14:paraId="1E3D2600" w14:textId="25FC554A" w:rsidR="00C17381" w:rsidRPr="009B783C" w:rsidRDefault="00C17381" w:rsidP="00642228">
      <w:pPr>
        <w:pStyle w:val="Bullet"/>
        <w:rPr>
          <w:szCs w:val="21"/>
        </w:rPr>
      </w:pPr>
      <w:r w:rsidRPr="009B783C">
        <w:rPr>
          <w:rFonts w:asciiTheme="majorHAnsi" w:hAnsiTheme="majorHAnsi" w:cstheme="majorHAnsi"/>
          <w:szCs w:val="21"/>
        </w:rPr>
        <w:t>MBS data</w:t>
      </w:r>
      <w:r w:rsidR="00A42FE7" w:rsidRPr="009B783C">
        <w:rPr>
          <w:rFonts w:asciiTheme="majorHAnsi" w:hAnsiTheme="majorHAnsi" w:cstheme="majorHAnsi"/>
          <w:szCs w:val="21"/>
        </w:rPr>
        <w:t>.</w:t>
      </w:r>
      <w:r w:rsidRPr="009B783C">
        <w:rPr>
          <w:szCs w:val="21"/>
        </w:rPr>
        <w:t xml:space="preserve"> </w:t>
      </w:r>
      <w:r w:rsidR="003E2948" w:rsidRPr="009B783C">
        <w:rPr>
          <w:szCs w:val="21"/>
        </w:rPr>
        <w:t>For</w:t>
      </w:r>
      <w:r w:rsidRPr="009B783C">
        <w:rPr>
          <w:szCs w:val="21"/>
        </w:rPr>
        <w:t xml:space="preserve"> claims </w:t>
      </w:r>
      <w:r w:rsidR="00397DCB" w:rsidRPr="009B783C">
        <w:rPr>
          <w:szCs w:val="21"/>
        </w:rPr>
        <w:t xml:space="preserve">related to provider numbers </w:t>
      </w:r>
      <w:r w:rsidR="003E2948" w:rsidRPr="009B783C">
        <w:rPr>
          <w:szCs w:val="21"/>
        </w:rPr>
        <w:t>associated with the</w:t>
      </w:r>
      <w:r w:rsidR="00397DCB" w:rsidRPr="009B783C">
        <w:rPr>
          <w:szCs w:val="21"/>
        </w:rPr>
        <w:t xml:space="preserve"> </w:t>
      </w:r>
      <w:r w:rsidRPr="009B783C">
        <w:rPr>
          <w:szCs w:val="21"/>
        </w:rPr>
        <w:t xml:space="preserve">Medicare UCCs. </w:t>
      </w:r>
    </w:p>
    <w:p w14:paraId="2AE78E97" w14:textId="06F3538F" w:rsidR="00F302C4" w:rsidRPr="009B783C" w:rsidRDefault="00F302C4" w:rsidP="00642228">
      <w:pPr>
        <w:pStyle w:val="Bullet"/>
        <w:rPr>
          <w:szCs w:val="21"/>
        </w:rPr>
      </w:pPr>
      <w:r w:rsidRPr="009B783C">
        <w:rPr>
          <w:rFonts w:asciiTheme="majorHAnsi" w:hAnsiTheme="majorHAnsi" w:cstheme="majorHAnsi"/>
          <w:szCs w:val="21"/>
        </w:rPr>
        <w:t>Publicly available ED data</w:t>
      </w:r>
      <w:r w:rsidR="00A42FE7" w:rsidRPr="009B783C">
        <w:rPr>
          <w:rFonts w:asciiTheme="majorHAnsi" w:hAnsiTheme="majorHAnsi" w:cstheme="majorHAnsi"/>
          <w:szCs w:val="21"/>
        </w:rPr>
        <w:t>.</w:t>
      </w:r>
      <w:r w:rsidRPr="009B783C">
        <w:rPr>
          <w:szCs w:val="21"/>
        </w:rPr>
        <w:t xml:space="preserve"> ED data reported by the </w:t>
      </w:r>
      <w:r w:rsidR="0006582B" w:rsidRPr="009B783C">
        <w:rPr>
          <w:szCs w:val="21"/>
        </w:rPr>
        <w:t>A</w:t>
      </w:r>
      <w:r w:rsidRPr="009B783C">
        <w:rPr>
          <w:szCs w:val="21"/>
        </w:rPr>
        <w:t>IHW</w:t>
      </w:r>
      <w:r w:rsidR="00C17381" w:rsidRPr="009B783C">
        <w:rPr>
          <w:szCs w:val="21"/>
        </w:rPr>
        <w:t xml:space="preserve"> and state and territory health departments.</w:t>
      </w:r>
      <w:r w:rsidR="008A611A" w:rsidRPr="009B783C">
        <w:rPr>
          <w:szCs w:val="21"/>
        </w:rPr>
        <w:t xml:space="preserve"> </w:t>
      </w:r>
    </w:p>
    <w:p w14:paraId="1056005D" w14:textId="0D99D0D3" w:rsidR="009B6B42" w:rsidRPr="009B783C" w:rsidRDefault="00F302C4" w:rsidP="00642228">
      <w:pPr>
        <w:pStyle w:val="Bullet"/>
        <w:rPr>
          <w:szCs w:val="21"/>
        </w:rPr>
      </w:pPr>
      <w:r w:rsidRPr="009B783C">
        <w:rPr>
          <w:rFonts w:asciiTheme="majorHAnsi" w:hAnsiTheme="majorHAnsi" w:cstheme="majorHAnsi"/>
          <w:szCs w:val="21"/>
        </w:rPr>
        <w:lastRenderedPageBreak/>
        <w:t>Other publicly available data</w:t>
      </w:r>
      <w:r w:rsidR="00A42FE7" w:rsidRPr="009B783C">
        <w:rPr>
          <w:rFonts w:asciiTheme="majorHAnsi" w:hAnsiTheme="majorHAnsi" w:cstheme="majorHAnsi"/>
          <w:szCs w:val="21"/>
        </w:rPr>
        <w:t>.</w:t>
      </w:r>
      <w:r w:rsidRPr="009B783C">
        <w:rPr>
          <w:szCs w:val="21"/>
        </w:rPr>
        <w:t xml:space="preserve"> A range of external data sources are used for comparisons, designed to provide a deeper understanding of the Medicare UCCs. They are used for example to compare demographic characteristics of patients attending Medicare UCCs with the general population and the geographic distribution of the Medicare UCCs compared with the distribution of the Australian population.</w:t>
      </w:r>
    </w:p>
    <w:p w14:paraId="6699A7F4" w14:textId="2C049C9B" w:rsidR="00933CEC" w:rsidRPr="009B783C" w:rsidRDefault="00D06703" w:rsidP="00642228">
      <w:pPr>
        <w:rPr>
          <w:szCs w:val="21"/>
        </w:rPr>
      </w:pPr>
      <w:r w:rsidRPr="009B783C">
        <w:rPr>
          <w:szCs w:val="21"/>
        </w:rPr>
        <w:fldChar w:fldCharType="begin"/>
      </w:r>
      <w:r w:rsidRPr="009B783C">
        <w:rPr>
          <w:szCs w:val="21"/>
        </w:rPr>
        <w:instrText xml:space="preserve"> REF _Ref184973700 \r \h </w:instrText>
      </w:r>
      <w:r w:rsidR="00642228" w:rsidRPr="009B783C">
        <w:rPr>
          <w:szCs w:val="21"/>
        </w:rPr>
        <w:instrText xml:space="preserve"> \* MERGEFORMAT </w:instrText>
      </w:r>
      <w:r w:rsidRPr="009B783C">
        <w:rPr>
          <w:szCs w:val="21"/>
        </w:rPr>
      </w:r>
      <w:r w:rsidRPr="009B783C">
        <w:rPr>
          <w:szCs w:val="21"/>
        </w:rPr>
        <w:fldChar w:fldCharType="separate"/>
      </w:r>
      <w:r w:rsidR="0031172E" w:rsidRPr="009B783C">
        <w:rPr>
          <w:szCs w:val="21"/>
        </w:rPr>
        <w:t>Appendix B</w:t>
      </w:r>
      <w:r w:rsidRPr="009B783C">
        <w:rPr>
          <w:szCs w:val="21"/>
        </w:rPr>
        <w:fldChar w:fldCharType="end"/>
      </w:r>
      <w:r w:rsidR="00933CEC" w:rsidRPr="009B783C">
        <w:rPr>
          <w:szCs w:val="21"/>
        </w:rPr>
        <w:t xml:space="preserve"> provides a comprehensive overview of the data sources</w:t>
      </w:r>
      <w:r w:rsidR="007E0136" w:rsidRPr="009B783C">
        <w:rPr>
          <w:szCs w:val="21"/>
        </w:rPr>
        <w:t xml:space="preserve"> and </w:t>
      </w:r>
      <w:r w:rsidRPr="009B783C">
        <w:rPr>
          <w:szCs w:val="21"/>
        </w:rPr>
        <w:fldChar w:fldCharType="begin"/>
      </w:r>
      <w:r w:rsidRPr="009B783C">
        <w:rPr>
          <w:szCs w:val="21"/>
        </w:rPr>
        <w:instrText xml:space="preserve"> REF _Ref184973730 \r \h </w:instrText>
      </w:r>
      <w:r w:rsidR="00642228" w:rsidRPr="009B783C">
        <w:rPr>
          <w:szCs w:val="21"/>
        </w:rPr>
        <w:instrText xml:space="preserve"> \* MERGEFORMAT </w:instrText>
      </w:r>
      <w:r w:rsidRPr="009B783C">
        <w:rPr>
          <w:szCs w:val="21"/>
        </w:rPr>
      </w:r>
      <w:r w:rsidRPr="009B783C">
        <w:rPr>
          <w:szCs w:val="21"/>
        </w:rPr>
        <w:fldChar w:fldCharType="separate"/>
      </w:r>
      <w:r w:rsidR="0031172E" w:rsidRPr="009B783C">
        <w:rPr>
          <w:szCs w:val="21"/>
        </w:rPr>
        <w:t>Appendix C</w:t>
      </w:r>
      <w:r w:rsidRPr="009B783C">
        <w:rPr>
          <w:szCs w:val="21"/>
        </w:rPr>
        <w:fldChar w:fldCharType="end"/>
      </w:r>
      <w:r w:rsidR="007E0136" w:rsidRPr="009B783C">
        <w:rPr>
          <w:szCs w:val="21"/>
        </w:rPr>
        <w:t xml:space="preserve"> </w:t>
      </w:r>
      <w:r w:rsidR="004402DC" w:rsidRPr="009B783C">
        <w:rPr>
          <w:szCs w:val="21"/>
        </w:rPr>
        <w:t>provides</w:t>
      </w:r>
      <w:r w:rsidR="004E6D8A" w:rsidRPr="009B783C">
        <w:rPr>
          <w:szCs w:val="21"/>
        </w:rPr>
        <w:t xml:space="preserve"> the </w:t>
      </w:r>
      <w:r w:rsidR="004402DC" w:rsidRPr="009B783C">
        <w:rPr>
          <w:szCs w:val="21"/>
        </w:rPr>
        <w:t xml:space="preserve">list of </w:t>
      </w:r>
      <w:r w:rsidR="005F0D4B" w:rsidRPr="009B783C">
        <w:rPr>
          <w:szCs w:val="21"/>
        </w:rPr>
        <w:t xml:space="preserve">stakeholders </w:t>
      </w:r>
      <w:r w:rsidR="004402DC" w:rsidRPr="009B783C">
        <w:rPr>
          <w:szCs w:val="21"/>
        </w:rPr>
        <w:t>who were engaged for Interim Evaluation Report 1</w:t>
      </w:r>
      <w:r w:rsidR="00933CEC" w:rsidRPr="009B783C" w:rsidDel="007E0136">
        <w:rPr>
          <w:szCs w:val="21"/>
        </w:rPr>
        <w:t>.</w:t>
      </w:r>
    </w:p>
    <w:p w14:paraId="2FCD38C6" w14:textId="00CE3BD8" w:rsidR="00C17381" w:rsidRPr="009B783C" w:rsidRDefault="00C17381" w:rsidP="00C17381">
      <w:pPr>
        <w:pStyle w:val="Heading2"/>
      </w:pPr>
      <w:bookmarkStart w:id="43" w:name="_Ref185478021"/>
      <w:bookmarkStart w:id="44" w:name="_Toc189639218"/>
      <w:bookmarkStart w:id="45" w:name="_Toc189772018"/>
      <w:r w:rsidRPr="009B783C">
        <w:t xml:space="preserve">Data </w:t>
      </w:r>
      <w:r w:rsidR="008F6580" w:rsidRPr="009B783C">
        <w:t>limitations</w:t>
      </w:r>
      <w:bookmarkEnd w:id="43"/>
      <w:bookmarkEnd w:id="44"/>
      <w:bookmarkEnd w:id="45"/>
    </w:p>
    <w:p w14:paraId="6F07C471" w14:textId="77777777" w:rsidR="00C17381" w:rsidRPr="009B783C" w:rsidRDefault="00C17381" w:rsidP="00642228">
      <w:pPr>
        <w:rPr>
          <w:szCs w:val="21"/>
          <w:lang w:eastAsia="en-AU"/>
        </w:rPr>
      </w:pPr>
      <w:r w:rsidRPr="009B783C">
        <w:rPr>
          <w:szCs w:val="21"/>
          <w:lang w:eastAsia="en-AU"/>
        </w:rPr>
        <w:t>The data analysed for this interim evaluation is limited in several areas, including:</w:t>
      </w:r>
    </w:p>
    <w:p w14:paraId="18080BF4" w14:textId="44E1F205" w:rsidR="00E64FBD" w:rsidRPr="009B783C" w:rsidRDefault="006A3810" w:rsidP="00642228">
      <w:pPr>
        <w:pStyle w:val="Bullet"/>
        <w:rPr>
          <w:szCs w:val="21"/>
        </w:rPr>
      </w:pPr>
      <w:r w:rsidRPr="009B783C">
        <w:rPr>
          <w:rFonts w:asciiTheme="majorHAnsi" w:hAnsiTheme="majorHAnsi" w:cstheme="majorHAnsi"/>
          <w:szCs w:val="21"/>
        </w:rPr>
        <w:t>R</w:t>
      </w:r>
      <w:r w:rsidR="00E64FBD" w:rsidRPr="009B783C">
        <w:rPr>
          <w:rFonts w:asciiTheme="majorHAnsi" w:hAnsiTheme="majorHAnsi" w:cstheme="majorHAnsi"/>
          <w:szCs w:val="21"/>
        </w:rPr>
        <w:t>ecency of program</w:t>
      </w:r>
      <w:r w:rsidRPr="009B783C">
        <w:rPr>
          <w:rFonts w:asciiTheme="majorHAnsi" w:hAnsiTheme="majorHAnsi" w:cstheme="majorHAnsi"/>
          <w:szCs w:val="21"/>
        </w:rPr>
        <w:t xml:space="preserve"> implementation</w:t>
      </w:r>
      <w:r w:rsidR="00F7463E" w:rsidRPr="009B783C">
        <w:rPr>
          <w:rFonts w:asciiTheme="majorHAnsi" w:hAnsiTheme="majorHAnsi" w:cstheme="majorHAnsi"/>
          <w:szCs w:val="21"/>
        </w:rPr>
        <w:t>.</w:t>
      </w:r>
      <w:r w:rsidR="00E64FBD" w:rsidRPr="009B783C">
        <w:rPr>
          <w:szCs w:val="21"/>
        </w:rPr>
        <w:t xml:space="preserve"> The first Medicare UCCs commenced operation on 30 June 2023, </w:t>
      </w:r>
      <w:r w:rsidR="00B65842" w:rsidRPr="009B783C">
        <w:rPr>
          <w:szCs w:val="21"/>
        </w:rPr>
        <w:t xml:space="preserve">with the first 58 opening </w:t>
      </w:r>
      <w:r w:rsidR="00DE1B5B" w:rsidRPr="009B783C">
        <w:rPr>
          <w:szCs w:val="21"/>
        </w:rPr>
        <w:t>before</w:t>
      </w:r>
      <w:r w:rsidR="00B65842" w:rsidRPr="009B783C">
        <w:rPr>
          <w:szCs w:val="21"/>
        </w:rPr>
        <w:t xml:space="preserve"> </w:t>
      </w:r>
      <w:r w:rsidR="0074370E" w:rsidRPr="009B783C">
        <w:rPr>
          <w:szCs w:val="21"/>
        </w:rPr>
        <w:t>31 December 2023</w:t>
      </w:r>
      <w:r w:rsidR="003C0610" w:rsidRPr="009B783C">
        <w:rPr>
          <w:szCs w:val="21"/>
        </w:rPr>
        <w:t xml:space="preserve"> and a further </w:t>
      </w:r>
      <w:r w:rsidR="00946966" w:rsidRPr="009B783C">
        <w:rPr>
          <w:szCs w:val="21"/>
        </w:rPr>
        <w:t xml:space="preserve">17 opening between </w:t>
      </w:r>
      <w:r w:rsidR="00312C8B" w:rsidRPr="009B783C">
        <w:rPr>
          <w:szCs w:val="21"/>
        </w:rPr>
        <w:t>July and September 202</w:t>
      </w:r>
      <w:r w:rsidR="004F4CB0" w:rsidRPr="009B783C">
        <w:rPr>
          <w:szCs w:val="21"/>
        </w:rPr>
        <w:t>4</w:t>
      </w:r>
      <w:r w:rsidR="0074370E" w:rsidRPr="009B783C">
        <w:rPr>
          <w:szCs w:val="21"/>
        </w:rPr>
        <w:t xml:space="preserve">. </w:t>
      </w:r>
      <w:r w:rsidR="004F4CB0" w:rsidRPr="009B783C">
        <w:rPr>
          <w:szCs w:val="21"/>
        </w:rPr>
        <w:t>Consequently,</w:t>
      </w:r>
      <w:r w:rsidR="00E64FBD" w:rsidRPr="009B783C">
        <w:rPr>
          <w:szCs w:val="21"/>
        </w:rPr>
        <w:t xml:space="preserve"> many clinics had not yet completed 12 months of operation at the time data was gathered and analysed for this report. As a result, the available data is insufficient to fully assess the clinics’ performance or comprehensively measure their impact.</w:t>
      </w:r>
    </w:p>
    <w:p w14:paraId="280DF0D7" w14:textId="47F8C3BE" w:rsidR="0021071A" w:rsidRPr="009B783C" w:rsidRDefault="00C17381" w:rsidP="00642228">
      <w:pPr>
        <w:pStyle w:val="Bullet"/>
        <w:rPr>
          <w:szCs w:val="21"/>
        </w:rPr>
      </w:pPr>
      <w:r w:rsidRPr="009B783C">
        <w:rPr>
          <w:rFonts w:asciiTheme="majorHAnsi" w:hAnsiTheme="majorHAnsi" w:cstheme="majorHAnsi"/>
          <w:szCs w:val="21"/>
        </w:rPr>
        <w:t>Data only available as aggregate counts</w:t>
      </w:r>
      <w:r w:rsidR="00F7463E" w:rsidRPr="009B783C">
        <w:rPr>
          <w:rFonts w:asciiTheme="majorHAnsi" w:hAnsiTheme="majorHAnsi" w:cstheme="majorHAnsi"/>
          <w:szCs w:val="21"/>
        </w:rPr>
        <w:t>.</w:t>
      </w:r>
      <w:r w:rsidRPr="009B783C">
        <w:rPr>
          <w:szCs w:val="21"/>
        </w:rPr>
        <w:t xml:space="preserve"> The remote NT and the ACT Medicare UCCs are not providing unit record data for program monitoring and evaluation. The three small remote NT clinics do not currently use compatible software and are therefore manually collecting counts of presentation data and providing these to the Department. The five ACT Medicare UCCs have been impacted by a territory-wide implementation of the Digital Health Record in the ACT in November 2022, which has changed source data for health service activity in the territory. For four additional Medicare UCCs that opened after 1 September 2024</w:t>
      </w:r>
      <w:r w:rsidR="00B920D5" w:rsidRPr="009B783C">
        <w:rPr>
          <w:szCs w:val="21"/>
        </w:rPr>
        <w:t>,</w:t>
      </w:r>
      <w:r w:rsidRPr="009B783C">
        <w:rPr>
          <w:szCs w:val="21"/>
        </w:rPr>
        <w:t xml:space="preserve"> the Medicare UCC </w:t>
      </w:r>
      <w:r w:rsidR="004E7366" w:rsidRPr="009B783C">
        <w:rPr>
          <w:szCs w:val="21"/>
        </w:rPr>
        <w:t>Module</w:t>
      </w:r>
      <w:r w:rsidRPr="009B783C">
        <w:rPr>
          <w:szCs w:val="21"/>
        </w:rPr>
        <w:t xml:space="preserve"> </w:t>
      </w:r>
      <w:r w:rsidR="007C35C9" w:rsidRPr="009B783C">
        <w:rPr>
          <w:szCs w:val="21"/>
        </w:rPr>
        <w:t xml:space="preserve">data </w:t>
      </w:r>
      <w:r w:rsidR="00077055" w:rsidRPr="009B783C">
        <w:rPr>
          <w:szCs w:val="21"/>
        </w:rPr>
        <w:t>was not</w:t>
      </w:r>
      <w:r w:rsidRPr="009B783C">
        <w:rPr>
          <w:szCs w:val="21"/>
        </w:rPr>
        <w:t xml:space="preserve"> yet fully implemented</w:t>
      </w:r>
      <w:r w:rsidR="00387021" w:rsidRPr="009B783C">
        <w:rPr>
          <w:szCs w:val="21"/>
        </w:rPr>
        <w:t xml:space="preserve"> by 30 September 2024 (the cut-off date for data analysis)</w:t>
      </w:r>
      <w:r w:rsidRPr="009B783C">
        <w:rPr>
          <w:szCs w:val="21"/>
        </w:rPr>
        <w:t xml:space="preserve">. Prior to the implementation of the Medicare UCC </w:t>
      </w:r>
      <w:r w:rsidR="004E7366" w:rsidRPr="009B783C">
        <w:rPr>
          <w:szCs w:val="21"/>
        </w:rPr>
        <w:t>Module</w:t>
      </w:r>
      <w:r w:rsidR="00B11D2B" w:rsidRPr="009B783C">
        <w:rPr>
          <w:szCs w:val="21"/>
        </w:rPr>
        <w:t xml:space="preserve"> data</w:t>
      </w:r>
      <w:r w:rsidRPr="009B783C">
        <w:rPr>
          <w:szCs w:val="21"/>
        </w:rPr>
        <w:t>, some clinics only provided aggregate counts of activity. Additionally</w:t>
      </w:r>
      <w:r w:rsidR="00145B92" w:rsidRPr="009B783C">
        <w:rPr>
          <w:szCs w:val="21"/>
        </w:rPr>
        <w:t>,</w:t>
      </w:r>
      <w:r w:rsidRPr="009B783C">
        <w:rPr>
          <w:szCs w:val="21"/>
        </w:rPr>
        <w:t xml:space="preserve"> aggregate counts are provided where the patient has specifically requested that data not be released through the Medicare UCC </w:t>
      </w:r>
      <w:r w:rsidR="004E7366" w:rsidRPr="009B783C">
        <w:rPr>
          <w:szCs w:val="21"/>
        </w:rPr>
        <w:t>Module</w:t>
      </w:r>
      <w:r w:rsidRPr="009B783C">
        <w:rPr>
          <w:szCs w:val="21"/>
        </w:rPr>
        <w:t>. For a small number of data items, an interim data extract was implemented prior to the availability of the Medicare UCC</w:t>
      </w:r>
      <w:r w:rsidRPr="009B783C" w:rsidDel="0026285F">
        <w:rPr>
          <w:szCs w:val="21"/>
        </w:rPr>
        <w:t xml:space="preserve"> </w:t>
      </w:r>
      <w:r w:rsidR="004E7366" w:rsidRPr="009B783C">
        <w:rPr>
          <w:szCs w:val="21"/>
        </w:rPr>
        <w:t>Module</w:t>
      </w:r>
      <w:r w:rsidRPr="009B783C">
        <w:rPr>
          <w:szCs w:val="21"/>
        </w:rPr>
        <w:t>, which provided unit record data on a limited number of data items. In the tables throughout this report ‘</w:t>
      </w:r>
      <w:r w:rsidRPr="009B783C">
        <w:rPr>
          <w:rFonts w:eastAsia="Segoe UI" w:cs="Segoe UI"/>
          <w:color w:val="000000" w:themeColor="text1"/>
          <w:szCs w:val="21"/>
        </w:rPr>
        <w:t xml:space="preserve">Aggregate and other unit records counts’ have been </w:t>
      </w:r>
      <w:r w:rsidR="00EE262A" w:rsidRPr="009B783C">
        <w:rPr>
          <w:rFonts w:eastAsia="Segoe UI" w:cs="Segoe UI"/>
          <w:color w:val="000000" w:themeColor="text1"/>
          <w:szCs w:val="21"/>
        </w:rPr>
        <w:t xml:space="preserve">used </w:t>
      </w:r>
      <w:r w:rsidRPr="009B783C">
        <w:rPr>
          <w:rFonts w:eastAsia="Segoe UI" w:cs="Segoe UI"/>
          <w:color w:val="000000" w:themeColor="text1"/>
          <w:szCs w:val="21"/>
        </w:rPr>
        <w:t>as appropriate. S</w:t>
      </w:r>
      <w:r w:rsidRPr="009B783C">
        <w:rPr>
          <w:rFonts w:asciiTheme="minorHAnsi" w:hAnsiTheme="minorHAnsi" w:cstheme="minorHAnsi"/>
          <w:szCs w:val="21"/>
        </w:rPr>
        <w:t xml:space="preserve">ee </w:t>
      </w:r>
      <w:r w:rsidR="009626AB" w:rsidRPr="009B783C">
        <w:rPr>
          <w:rFonts w:asciiTheme="minorHAnsi" w:hAnsiTheme="minorHAnsi" w:cstheme="minorHAnsi"/>
          <w:szCs w:val="21"/>
        </w:rPr>
        <w:fldChar w:fldCharType="begin"/>
      </w:r>
      <w:r w:rsidR="009626AB" w:rsidRPr="009B783C">
        <w:rPr>
          <w:rFonts w:asciiTheme="minorHAnsi" w:hAnsiTheme="minorHAnsi" w:cstheme="minorHAnsi"/>
          <w:szCs w:val="21"/>
        </w:rPr>
        <w:instrText xml:space="preserve"> REF _Ref185495780 \n \h </w:instrText>
      </w:r>
      <w:r w:rsidR="00642228" w:rsidRPr="009B783C">
        <w:rPr>
          <w:rFonts w:asciiTheme="minorHAnsi" w:hAnsiTheme="minorHAnsi" w:cstheme="minorHAnsi"/>
          <w:szCs w:val="21"/>
        </w:rPr>
        <w:instrText xml:space="preserve"> \* MERGEFORMAT </w:instrText>
      </w:r>
      <w:r w:rsidR="009626AB" w:rsidRPr="009B783C">
        <w:rPr>
          <w:rFonts w:asciiTheme="minorHAnsi" w:hAnsiTheme="minorHAnsi" w:cstheme="minorHAnsi"/>
          <w:szCs w:val="21"/>
        </w:rPr>
      </w:r>
      <w:r w:rsidR="009626AB" w:rsidRPr="009B783C">
        <w:rPr>
          <w:rFonts w:asciiTheme="minorHAnsi" w:hAnsiTheme="minorHAnsi" w:cstheme="minorHAnsi"/>
          <w:szCs w:val="21"/>
        </w:rPr>
        <w:fldChar w:fldCharType="separate"/>
      </w:r>
      <w:r w:rsidR="0031172E" w:rsidRPr="009B783C">
        <w:rPr>
          <w:rFonts w:asciiTheme="minorHAnsi" w:hAnsiTheme="minorHAnsi" w:cstheme="minorHAnsi"/>
          <w:szCs w:val="21"/>
        </w:rPr>
        <w:t>Appendix B</w:t>
      </w:r>
      <w:r w:rsidR="009626AB" w:rsidRPr="009B783C">
        <w:rPr>
          <w:rFonts w:asciiTheme="minorHAnsi" w:hAnsiTheme="minorHAnsi" w:cstheme="minorHAnsi"/>
          <w:szCs w:val="21"/>
        </w:rPr>
        <w:fldChar w:fldCharType="end"/>
      </w:r>
      <w:r w:rsidRPr="009B783C">
        <w:rPr>
          <w:rFonts w:asciiTheme="minorHAnsi" w:hAnsiTheme="minorHAnsi" w:cstheme="minorHAnsi"/>
          <w:szCs w:val="21"/>
        </w:rPr>
        <w:t xml:space="preserve"> for further information.</w:t>
      </w:r>
    </w:p>
    <w:p w14:paraId="513393E9" w14:textId="2DE1B8A4" w:rsidR="0030151C" w:rsidRPr="009B783C" w:rsidRDefault="00C17381" w:rsidP="00642228">
      <w:pPr>
        <w:pStyle w:val="Bullet"/>
        <w:rPr>
          <w:szCs w:val="21"/>
        </w:rPr>
      </w:pPr>
      <w:r w:rsidRPr="009B783C">
        <w:rPr>
          <w:rFonts w:asciiTheme="majorHAnsi" w:hAnsiTheme="majorHAnsi" w:cstheme="majorHAnsi"/>
          <w:szCs w:val="21"/>
        </w:rPr>
        <w:t xml:space="preserve">Non-mandatory data items specified for the </w:t>
      </w:r>
      <w:r w:rsidR="0021071A" w:rsidRPr="009B783C">
        <w:rPr>
          <w:rFonts w:asciiTheme="majorHAnsi" w:hAnsiTheme="majorHAnsi" w:cstheme="majorHAnsi"/>
          <w:szCs w:val="21"/>
        </w:rPr>
        <w:t>Medicare UCC</w:t>
      </w:r>
      <w:r w:rsidR="00145D3A" w:rsidRPr="009B783C">
        <w:rPr>
          <w:rFonts w:asciiTheme="majorHAnsi" w:hAnsiTheme="majorHAnsi" w:cstheme="majorHAnsi"/>
          <w:szCs w:val="21"/>
        </w:rPr>
        <w:t xml:space="preserve"> </w:t>
      </w:r>
      <w:r w:rsidR="004E7366" w:rsidRPr="009B783C">
        <w:rPr>
          <w:rFonts w:asciiTheme="majorHAnsi" w:hAnsiTheme="majorHAnsi" w:cstheme="majorHAnsi"/>
          <w:szCs w:val="21"/>
        </w:rPr>
        <w:t>Module</w:t>
      </w:r>
      <w:r w:rsidR="00B7056C" w:rsidRPr="009B783C">
        <w:rPr>
          <w:rFonts w:asciiTheme="majorHAnsi" w:hAnsiTheme="majorHAnsi" w:cstheme="majorHAnsi"/>
          <w:szCs w:val="21"/>
        </w:rPr>
        <w:t xml:space="preserve"> </w:t>
      </w:r>
      <w:r w:rsidR="00145D3A" w:rsidRPr="009B783C">
        <w:rPr>
          <w:rFonts w:asciiTheme="majorHAnsi" w:hAnsiTheme="majorHAnsi" w:cstheme="majorHAnsi"/>
          <w:szCs w:val="21"/>
        </w:rPr>
        <w:t>data</w:t>
      </w:r>
      <w:r w:rsidR="00B7056C" w:rsidRPr="009B783C">
        <w:rPr>
          <w:rFonts w:asciiTheme="majorHAnsi" w:hAnsiTheme="majorHAnsi" w:cstheme="majorHAnsi"/>
          <w:szCs w:val="21"/>
        </w:rPr>
        <w:t>.</w:t>
      </w:r>
      <w:r w:rsidR="000404B2" w:rsidRPr="009B783C">
        <w:rPr>
          <w:szCs w:val="21"/>
        </w:rPr>
        <w:t xml:space="preserve"> Several data variables in the </w:t>
      </w:r>
      <w:r w:rsidR="004E7366" w:rsidRPr="009B783C">
        <w:rPr>
          <w:szCs w:val="21"/>
        </w:rPr>
        <w:t>Module</w:t>
      </w:r>
      <w:r w:rsidR="00B7056C" w:rsidRPr="009B783C">
        <w:rPr>
          <w:szCs w:val="21"/>
        </w:rPr>
        <w:t xml:space="preserve"> </w:t>
      </w:r>
      <w:r w:rsidR="000404B2" w:rsidRPr="009B783C">
        <w:rPr>
          <w:szCs w:val="21"/>
        </w:rPr>
        <w:t xml:space="preserve">data </w:t>
      </w:r>
      <w:r w:rsidR="005927E7" w:rsidRPr="009B783C">
        <w:rPr>
          <w:szCs w:val="21"/>
        </w:rPr>
        <w:t>that</w:t>
      </w:r>
      <w:r w:rsidR="000404B2" w:rsidRPr="009B783C">
        <w:rPr>
          <w:szCs w:val="21"/>
        </w:rPr>
        <w:t xml:space="preserve"> are</w:t>
      </w:r>
      <w:r w:rsidR="005927E7" w:rsidRPr="009B783C">
        <w:rPr>
          <w:szCs w:val="21"/>
        </w:rPr>
        <w:t xml:space="preserve"> directly</w:t>
      </w:r>
      <w:r w:rsidR="000404B2" w:rsidRPr="009B783C">
        <w:rPr>
          <w:szCs w:val="21"/>
        </w:rPr>
        <w:t xml:space="preserve"> relevant to </w:t>
      </w:r>
      <w:r w:rsidR="00AF5EA7" w:rsidRPr="009B783C">
        <w:rPr>
          <w:szCs w:val="21"/>
        </w:rPr>
        <w:t>the M</w:t>
      </w:r>
      <w:r w:rsidR="000404B2" w:rsidRPr="009B783C">
        <w:rPr>
          <w:szCs w:val="21"/>
        </w:rPr>
        <w:t xml:space="preserve">easures of </w:t>
      </w:r>
      <w:r w:rsidR="00AF5EA7" w:rsidRPr="009B783C">
        <w:rPr>
          <w:szCs w:val="21"/>
        </w:rPr>
        <w:t>S</w:t>
      </w:r>
      <w:r w:rsidR="000404B2" w:rsidRPr="009B783C">
        <w:rPr>
          <w:szCs w:val="21"/>
        </w:rPr>
        <w:t xml:space="preserve">uccess </w:t>
      </w:r>
      <w:r w:rsidR="00EE262A" w:rsidRPr="009B783C">
        <w:rPr>
          <w:szCs w:val="21"/>
        </w:rPr>
        <w:t>are</w:t>
      </w:r>
      <w:r w:rsidR="00A66B66" w:rsidRPr="009B783C" w:rsidDel="00EE262A">
        <w:rPr>
          <w:szCs w:val="21"/>
        </w:rPr>
        <w:t xml:space="preserve"> not </w:t>
      </w:r>
      <w:r w:rsidR="00A66B66" w:rsidRPr="009B783C">
        <w:rPr>
          <w:szCs w:val="21"/>
        </w:rPr>
        <w:t xml:space="preserve">mandatory </w:t>
      </w:r>
      <w:r w:rsidR="00003CC7" w:rsidRPr="009B783C">
        <w:rPr>
          <w:szCs w:val="21"/>
        </w:rPr>
        <w:t>f</w:t>
      </w:r>
      <w:r w:rsidR="00A66B66" w:rsidRPr="009B783C">
        <w:rPr>
          <w:szCs w:val="21"/>
        </w:rPr>
        <w:t xml:space="preserve">or data collection. </w:t>
      </w:r>
      <w:r w:rsidR="004C6BC1" w:rsidRPr="009B783C">
        <w:rPr>
          <w:szCs w:val="21"/>
        </w:rPr>
        <w:t>This part</w:t>
      </w:r>
      <w:r w:rsidR="00AF5EA7" w:rsidRPr="009B783C">
        <w:rPr>
          <w:szCs w:val="21"/>
        </w:rPr>
        <w:t>ly</w:t>
      </w:r>
      <w:r w:rsidR="004C6BC1" w:rsidRPr="009B783C">
        <w:rPr>
          <w:szCs w:val="21"/>
        </w:rPr>
        <w:t xml:space="preserve"> reflects </w:t>
      </w:r>
      <w:r w:rsidR="00AF5EA7" w:rsidRPr="009B783C">
        <w:rPr>
          <w:szCs w:val="21"/>
        </w:rPr>
        <w:t>the v</w:t>
      </w:r>
      <w:r w:rsidR="009C0635" w:rsidRPr="009B783C">
        <w:rPr>
          <w:szCs w:val="21"/>
        </w:rPr>
        <w:t xml:space="preserve">ariability </w:t>
      </w:r>
      <w:r w:rsidR="00891B38" w:rsidRPr="009B783C">
        <w:rPr>
          <w:szCs w:val="21"/>
        </w:rPr>
        <w:t xml:space="preserve">across source primary care </w:t>
      </w:r>
      <w:r w:rsidR="001052BD" w:rsidRPr="009B783C">
        <w:rPr>
          <w:szCs w:val="21"/>
        </w:rPr>
        <w:t xml:space="preserve">patient management systems </w:t>
      </w:r>
      <w:r w:rsidR="009C0635" w:rsidRPr="009B783C">
        <w:rPr>
          <w:szCs w:val="21"/>
        </w:rPr>
        <w:t xml:space="preserve">in the </w:t>
      </w:r>
      <w:r w:rsidR="001052BD" w:rsidRPr="009B783C">
        <w:rPr>
          <w:szCs w:val="21"/>
        </w:rPr>
        <w:t>way</w:t>
      </w:r>
      <w:r w:rsidR="009C0635" w:rsidRPr="009B783C">
        <w:rPr>
          <w:szCs w:val="21"/>
        </w:rPr>
        <w:t xml:space="preserve"> </w:t>
      </w:r>
      <w:r w:rsidR="00891B38" w:rsidRPr="009B783C">
        <w:rPr>
          <w:szCs w:val="21"/>
        </w:rPr>
        <w:t xml:space="preserve">data items </w:t>
      </w:r>
      <w:r w:rsidR="001052BD" w:rsidRPr="009B783C">
        <w:rPr>
          <w:szCs w:val="21"/>
        </w:rPr>
        <w:t xml:space="preserve">are defined and collected. </w:t>
      </w:r>
      <w:r w:rsidR="0052281C" w:rsidRPr="009B783C">
        <w:rPr>
          <w:szCs w:val="21"/>
        </w:rPr>
        <w:t>For many Medicare UCC</w:t>
      </w:r>
      <w:r w:rsidR="0052281C" w:rsidRPr="009B783C" w:rsidDel="00003CC7">
        <w:rPr>
          <w:szCs w:val="21"/>
        </w:rPr>
        <w:t xml:space="preserve"> </w:t>
      </w:r>
      <w:r w:rsidR="004E7366" w:rsidRPr="009B783C">
        <w:rPr>
          <w:szCs w:val="21"/>
        </w:rPr>
        <w:t>Module</w:t>
      </w:r>
      <w:r w:rsidR="00B7056C" w:rsidRPr="009B783C">
        <w:rPr>
          <w:szCs w:val="21"/>
        </w:rPr>
        <w:t xml:space="preserve"> </w:t>
      </w:r>
      <w:r w:rsidR="0052281C" w:rsidRPr="009B783C">
        <w:rPr>
          <w:szCs w:val="21"/>
        </w:rPr>
        <w:t xml:space="preserve">data items, the data is populated from these source systems. </w:t>
      </w:r>
    </w:p>
    <w:p w14:paraId="42BE44CF" w14:textId="312DC1CF" w:rsidR="008D3942" w:rsidRPr="009B783C" w:rsidRDefault="008D3942" w:rsidP="00642228">
      <w:pPr>
        <w:pStyle w:val="Bullet"/>
        <w:rPr>
          <w:szCs w:val="21"/>
        </w:rPr>
      </w:pPr>
      <w:r w:rsidRPr="009B783C">
        <w:rPr>
          <w:rFonts w:asciiTheme="majorHAnsi" w:hAnsiTheme="majorHAnsi" w:cstheme="majorHAnsi"/>
          <w:szCs w:val="21"/>
        </w:rPr>
        <w:t>Missing data</w:t>
      </w:r>
      <w:r w:rsidR="00B7056C" w:rsidRPr="009B783C">
        <w:rPr>
          <w:rFonts w:asciiTheme="majorHAnsi" w:hAnsiTheme="majorHAnsi" w:cstheme="majorHAnsi"/>
          <w:szCs w:val="21"/>
        </w:rPr>
        <w:t>.</w:t>
      </w:r>
      <w:r w:rsidRPr="009B783C">
        <w:rPr>
          <w:rFonts w:asciiTheme="majorHAnsi" w:hAnsiTheme="majorHAnsi" w:cstheme="majorHAnsi"/>
          <w:szCs w:val="21"/>
        </w:rPr>
        <w:t xml:space="preserve"> </w:t>
      </w:r>
      <w:r w:rsidRPr="009B783C">
        <w:rPr>
          <w:szCs w:val="21"/>
        </w:rPr>
        <w:t xml:space="preserve">Some variables collected </w:t>
      </w:r>
      <w:r w:rsidR="00C32823" w:rsidRPr="009B783C">
        <w:rPr>
          <w:szCs w:val="21"/>
        </w:rPr>
        <w:t xml:space="preserve">through the </w:t>
      </w:r>
      <w:r w:rsidRPr="009B783C">
        <w:rPr>
          <w:szCs w:val="21"/>
        </w:rPr>
        <w:t>Medicare UCC</w:t>
      </w:r>
      <w:r w:rsidR="00C32823" w:rsidRPr="009B783C" w:rsidDel="00003CC7">
        <w:rPr>
          <w:szCs w:val="21"/>
        </w:rPr>
        <w:t xml:space="preserve"> </w:t>
      </w:r>
      <w:r w:rsidR="004E7366" w:rsidRPr="009B783C">
        <w:rPr>
          <w:szCs w:val="21"/>
        </w:rPr>
        <w:t>Module</w:t>
      </w:r>
      <w:r w:rsidR="00B7056C" w:rsidRPr="009B783C">
        <w:rPr>
          <w:szCs w:val="21"/>
        </w:rPr>
        <w:t xml:space="preserve"> </w:t>
      </w:r>
      <w:r w:rsidRPr="009B783C">
        <w:rPr>
          <w:szCs w:val="21"/>
        </w:rPr>
        <w:t>are poorly completed</w:t>
      </w:r>
      <w:r w:rsidR="00C32823" w:rsidRPr="009B783C">
        <w:rPr>
          <w:szCs w:val="21"/>
        </w:rPr>
        <w:t xml:space="preserve"> or missing</w:t>
      </w:r>
      <w:r w:rsidRPr="009B783C">
        <w:rPr>
          <w:szCs w:val="21"/>
        </w:rPr>
        <w:t xml:space="preserve">. For example, Aboriginal and Torres Strait Islander status was not recorded </w:t>
      </w:r>
      <w:r w:rsidR="00BC0F45" w:rsidRPr="009B783C">
        <w:rPr>
          <w:szCs w:val="21"/>
        </w:rPr>
        <w:t xml:space="preserve">or reported as unknown </w:t>
      </w:r>
      <w:r w:rsidRPr="009B783C">
        <w:rPr>
          <w:szCs w:val="21"/>
        </w:rPr>
        <w:t xml:space="preserve">for about 20 per cent of </w:t>
      </w:r>
      <w:r w:rsidR="00423D88" w:rsidRPr="009B783C">
        <w:rPr>
          <w:szCs w:val="21"/>
        </w:rPr>
        <w:t xml:space="preserve">presentations in the Medicare UCC </w:t>
      </w:r>
      <w:r w:rsidR="004E7366" w:rsidRPr="009B783C">
        <w:rPr>
          <w:szCs w:val="21"/>
        </w:rPr>
        <w:t>Module</w:t>
      </w:r>
      <w:r w:rsidR="00B7056C" w:rsidRPr="009B783C">
        <w:rPr>
          <w:szCs w:val="21"/>
        </w:rPr>
        <w:t xml:space="preserve"> </w:t>
      </w:r>
      <w:r w:rsidR="00423D88" w:rsidRPr="009B783C">
        <w:rPr>
          <w:szCs w:val="21"/>
        </w:rPr>
        <w:t xml:space="preserve">data and </w:t>
      </w:r>
      <w:r w:rsidR="00945AC0" w:rsidRPr="009B783C">
        <w:rPr>
          <w:szCs w:val="21"/>
        </w:rPr>
        <w:t>about</w:t>
      </w:r>
      <w:r w:rsidR="00423D88" w:rsidRPr="009B783C">
        <w:rPr>
          <w:szCs w:val="21"/>
        </w:rPr>
        <w:t xml:space="preserve"> 26 per c</w:t>
      </w:r>
      <w:r w:rsidR="008342A4" w:rsidRPr="009B783C">
        <w:rPr>
          <w:szCs w:val="21"/>
        </w:rPr>
        <w:t xml:space="preserve">ent </w:t>
      </w:r>
      <w:r w:rsidR="00276454" w:rsidRPr="009B783C">
        <w:rPr>
          <w:szCs w:val="21"/>
        </w:rPr>
        <w:t>in</w:t>
      </w:r>
      <w:r w:rsidR="008342A4" w:rsidRPr="009B783C">
        <w:rPr>
          <w:szCs w:val="21"/>
        </w:rPr>
        <w:t xml:space="preserve"> the full set of unit record data reported (the </w:t>
      </w:r>
      <w:r w:rsidR="004E7366" w:rsidRPr="009B783C">
        <w:rPr>
          <w:szCs w:val="21"/>
        </w:rPr>
        <w:lastRenderedPageBreak/>
        <w:t>Module</w:t>
      </w:r>
      <w:r w:rsidR="00B7056C" w:rsidRPr="009B783C">
        <w:rPr>
          <w:szCs w:val="21"/>
        </w:rPr>
        <w:t xml:space="preserve"> </w:t>
      </w:r>
      <w:r w:rsidR="008342A4" w:rsidRPr="009B783C">
        <w:rPr>
          <w:szCs w:val="21"/>
        </w:rPr>
        <w:t xml:space="preserve">data plus the interim data extract reported prior to the </w:t>
      </w:r>
      <w:r w:rsidR="004E7366" w:rsidRPr="009B783C">
        <w:rPr>
          <w:szCs w:val="21"/>
        </w:rPr>
        <w:t>Module</w:t>
      </w:r>
      <w:r w:rsidR="00B7056C" w:rsidRPr="009B783C">
        <w:rPr>
          <w:szCs w:val="21"/>
        </w:rPr>
        <w:t xml:space="preserve"> </w:t>
      </w:r>
      <w:r w:rsidR="008342A4" w:rsidRPr="009B783C">
        <w:rPr>
          <w:szCs w:val="21"/>
        </w:rPr>
        <w:t>being implemented)</w:t>
      </w:r>
      <w:r w:rsidRPr="009B783C">
        <w:rPr>
          <w:szCs w:val="21"/>
        </w:rPr>
        <w:t>. This is higher than for EDs, where this information was not recorded for about 0.8 per cent of patients in the 2022</w:t>
      </w:r>
      <w:r w:rsidR="00B7056C" w:rsidRPr="009B783C">
        <w:rPr>
          <w:szCs w:val="21"/>
        </w:rPr>
        <w:t>-</w:t>
      </w:r>
      <w:r w:rsidRPr="009B783C">
        <w:rPr>
          <w:szCs w:val="21"/>
        </w:rPr>
        <w:t xml:space="preserve">23 </w:t>
      </w:r>
      <w:r w:rsidR="008E615D" w:rsidRPr="009B783C">
        <w:rPr>
          <w:szCs w:val="21"/>
        </w:rPr>
        <w:t>national data</w:t>
      </w:r>
      <w:r w:rsidRPr="009B783C">
        <w:rPr>
          <w:szCs w:val="21"/>
        </w:rPr>
        <w:t xml:space="preserve">. </w:t>
      </w:r>
      <w:r w:rsidR="00C17381" w:rsidRPr="009B783C">
        <w:rPr>
          <w:szCs w:val="21"/>
        </w:rPr>
        <w:t>A reason for visit was not recorded for 20</w:t>
      </w:r>
      <w:r w:rsidRPr="009B783C">
        <w:rPr>
          <w:szCs w:val="21"/>
        </w:rPr>
        <w:t xml:space="preserve"> </w:t>
      </w:r>
      <w:r w:rsidR="00B7056C" w:rsidRPr="009B783C">
        <w:rPr>
          <w:szCs w:val="21"/>
        </w:rPr>
        <w:t>per cent</w:t>
      </w:r>
      <w:r w:rsidRPr="009B783C">
        <w:rPr>
          <w:szCs w:val="21"/>
        </w:rPr>
        <w:t xml:space="preserve"> of Medicare UCC </w:t>
      </w:r>
      <w:r w:rsidR="005712FF" w:rsidRPr="009B783C">
        <w:rPr>
          <w:szCs w:val="21"/>
        </w:rPr>
        <w:t>presentations reported through the Module data</w:t>
      </w:r>
      <w:r w:rsidRPr="009B783C">
        <w:rPr>
          <w:szCs w:val="21"/>
        </w:rPr>
        <w:t>.</w:t>
      </w:r>
    </w:p>
    <w:p w14:paraId="5BB67A5F" w14:textId="5D825FD5" w:rsidR="0084431E" w:rsidRPr="009B783C" w:rsidRDefault="0084431E" w:rsidP="00642228">
      <w:pPr>
        <w:pStyle w:val="Bullet"/>
        <w:rPr>
          <w:szCs w:val="21"/>
        </w:rPr>
      </w:pPr>
      <w:r w:rsidRPr="009B783C">
        <w:rPr>
          <w:rFonts w:asciiTheme="majorHAnsi" w:hAnsiTheme="majorHAnsi" w:cstheme="majorBidi"/>
          <w:szCs w:val="21"/>
        </w:rPr>
        <w:t>Variation in the interpretation of data items identified for the Module data</w:t>
      </w:r>
      <w:r w:rsidR="00E501A5" w:rsidRPr="009B783C">
        <w:rPr>
          <w:rFonts w:asciiTheme="majorHAnsi" w:hAnsiTheme="majorHAnsi" w:cstheme="majorBidi"/>
          <w:szCs w:val="21"/>
        </w:rPr>
        <w:t>.</w:t>
      </w:r>
      <w:r w:rsidRPr="009B783C">
        <w:rPr>
          <w:szCs w:val="21"/>
        </w:rPr>
        <w:t xml:space="preserve"> </w:t>
      </w:r>
      <w:r w:rsidR="00452B91" w:rsidRPr="009B783C">
        <w:rPr>
          <w:szCs w:val="21"/>
        </w:rPr>
        <w:t xml:space="preserve">Several mandatory and non-mandatory data items may be interpreted and reported differently by </w:t>
      </w:r>
      <w:r w:rsidR="00171C2C" w:rsidRPr="009B783C">
        <w:rPr>
          <w:szCs w:val="21"/>
        </w:rPr>
        <w:t>Medicare UCC clinicians a</w:t>
      </w:r>
      <w:r w:rsidR="009D2CA8" w:rsidRPr="009B783C">
        <w:rPr>
          <w:szCs w:val="21"/>
        </w:rPr>
        <w:t>nd other</w:t>
      </w:r>
      <w:r w:rsidR="00171C2C" w:rsidRPr="009B783C">
        <w:rPr>
          <w:szCs w:val="21"/>
        </w:rPr>
        <w:t xml:space="preserve"> staff</w:t>
      </w:r>
      <w:r w:rsidR="008D3942" w:rsidRPr="009B783C">
        <w:rPr>
          <w:szCs w:val="21"/>
        </w:rPr>
        <w:t>. Analyses based on these items should be treated with caution.</w:t>
      </w:r>
      <w:r w:rsidRPr="009B783C">
        <w:rPr>
          <w:szCs w:val="21"/>
        </w:rPr>
        <w:t xml:space="preserve"> </w:t>
      </w:r>
      <w:r w:rsidR="00C607EB" w:rsidRPr="009B783C">
        <w:rPr>
          <w:szCs w:val="21"/>
        </w:rPr>
        <w:t>Examples of these include:</w:t>
      </w:r>
    </w:p>
    <w:p w14:paraId="6F11ED78" w14:textId="58C50A52" w:rsidR="00FD0824" w:rsidRPr="009B783C" w:rsidRDefault="00CF38CC" w:rsidP="00642228">
      <w:pPr>
        <w:pStyle w:val="Bullet"/>
        <w:numPr>
          <w:ilvl w:val="2"/>
          <w:numId w:val="2"/>
        </w:numPr>
        <w:rPr>
          <w:szCs w:val="21"/>
        </w:rPr>
      </w:pPr>
      <w:r w:rsidRPr="009B783C">
        <w:rPr>
          <w:szCs w:val="21"/>
        </w:rPr>
        <w:t>Where patient would have gone otherwise</w:t>
      </w:r>
      <w:r w:rsidR="00A42FE7" w:rsidRPr="009B783C">
        <w:rPr>
          <w:szCs w:val="21"/>
        </w:rPr>
        <w:t>.</w:t>
      </w:r>
      <w:r w:rsidRPr="009B783C">
        <w:rPr>
          <w:szCs w:val="21"/>
        </w:rPr>
        <w:t xml:space="preserve"> </w:t>
      </w:r>
      <w:r w:rsidR="00FD0824" w:rsidRPr="009B783C">
        <w:rPr>
          <w:szCs w:val="21"/>
        </w:rPr>
        <w:t xml:space="preserve">Although this variable is intended to be collected by asking patients where they would have gone or sought advice from if a Medicare UCC was not available, </w:t>
      </w:r>
      <w:r w:rsidR="00C57881" w:rsidRPr="009B783C">
        <w:rPr>
          <w:szCs w:val="21"/>
        </w:rPr>
        <w:t xml:space="preserve">some commissioners </w:t>
      </w:r>
      <w:r w:rsidR="00FD0824" w:rsidRPr="009B783C">
        <w:rPr>
          <w:szCs w:val="21"/>
        </w:rPr>
        <w:t>reported that clinic staff sometimes make this assessment on behalf of the patient.</w:t>
      </w:r>
      <w:r w:rsidR="008F240B" w:rsidRPr="009B783C">
        <w:rPr>
          <w:szCs w:val="21"/>
        </w:rPr>
        <w:t xml:space="preserve"> </w:t>
      </w:r>
      <w:r w:rsidR="00B849A0" w:rsidRPr="009B783C">
        <w:rPr>
          <w:szCs w:val="21"/>
        </w:rPr>
        <w:t>Other issues with this variable are detailed in Measure of Success 6</w:t>
      </w:r>
      <w:r w:rsidR="00926732" w:rsidRPr="009B783C">
        <w:rPr>
          <w:szCs w:val="21"/>
        </w:rPr>
        <w:t xml:space="preserve"> (section </w:t>
      </w:r>
      <w:r w:rsidR="00926732" w:rsidRPr="009B783C">
        <w:rPr>
          <w:szCs w:val="21"/>
        </w:rPr>
        <w:fldChar w:fldCharType="begin"/>
      </w:r>
      <w:r w:rsidR="00926732" w:rsidRPr="009B783C">
        <w:rPr>
          <w:szCs w:val="21"/>
        </w:rPr>
        <w:instrText xml:space="preserve"> REF _Ref185323061 \n \h </w:instrText>
      </w:r>
      <w:r w:rsidR="00A42FE7" w:rsidRPr="009B783C">
        <w:rPr>
          <w:szCs w:val="21"/>
        </w:rPr>
        <w:instrText xml:space="preserve"> \* MERGEFORMAT </w:instrText>
      </w:r>
      <w:r w:rsidR="00926732" w:rsidRPr="009B783C">
        <w:rPr>
          <w:szCs w:val="21"/>
        </w:rPr>
      </w:r>
      <w:r w:rsidR="00926732" w:rsidRPr="009B783C">
        <w:rPr>
          <w:szCs w:val="21"/>
        </w:rPr>
        <w:fldChar w:fldCharType="separate"/>
      </w:r>
      <w:r w:rsidR="0031172E" w:rsidRPr="009B783C">
        <w:rPr>
          <w:szCs w:val="21"/>
        </w:rPr>
        <w:t>5.6</w:t>
      </w:r>
      <w:r w:rsidR="00926732" w:rsidRPr="009B783C">
        <w:rPr>
          <w:szCs w:val="21"/>
        </w:rPr>
        <w:fldChar w:fldCharType="end"/>
      </w:r>
      <w:r w:rsidR="00926732" w:rsidRPr="009B783C">
        <w:rPr>
          <w:szCs w:val="21"/>
        </w:rPr>
        <w:t>)</w:t>
      </w:r>
      <w:r w:rsidR="00B849A0" w:rsidRPr="009B783C">
        <w:rPr>
          <w:szCs w:val="21"/>
        </w:rPr>
        <w:t>.</w:t>
      </w:r>
    </w:p>
    <w:p w14:paraId="18629A02" w14:textId="0BA22F65" w:rsidR="00C17381" w:rsidRPr="009B783C" w:rsidRDefault="00C607EB" w:rsidP="00642228">
      <w:pPr>
        <w:pStyle w:val="Bullet"/>
        <w:numPr>
          <w:ilvl w:val="2"/>
          <w:numId w:val="2"/>
        </w:numPr>
        <w:rPr>
          <w:szCs w:val="21"/>
        </w:rPr>
      </w:pPr>
      <w:r w:rsidRPr="009B783C">
        <w:rPr>
          <w:szCs w:val="21"/>
        </w:rPr>
        <w:t>Reason for visit</w:t>
      </w:r>
      <w:r w:rsidR="00A42FE7" w:rsidRPr="009B783C">
        <w:rPr>
          <w:szCs w:val="21"/>
        </w:rPr>
        <w:t>.</w:t>
      </w:r>
      <w:r w:rsidRPr="009B783C">
        <w:rPr>
          <w:szCs w:val="21"/>
        </w:rPr>
        <w:t xml:space="preserve"> </w:t>
      </w:r>
      <w:r w:rsidR="00C17381" w:rsidRPr="009B783C">
        <w:rPr>
          <w:szCs w:val="21"/>
        </w:rPr>
        <w:t>Understanding the reasons patients attend Medicare UCCs is critical for analysing visit patterns and how these may change over time. Currently, the reason for visit is recorded as a text variable by the clinics, leading to numerous variations in how the same condition or symptom is described (</w:t>
      </w:r>
      <w:r w:rsidR="008C297D" w:rsidRPr="009B783C">
        <w:rPr>
          <w:szCs w:val="21"/>
        </w:rPr>
        <w:t>for example</w:t>
      </w:r>
      <w:r w:rsidR="00C17381" w:rsidRPr="009B783C">
        <w:rPr>
          <w:szCs w:val="21"/>
        </w:rPr>
        <w:t>, "</w:t>
      </w:r>
      <w:proofErr w:type="spellStart"/>
      <w:r w:rsidR="00C17381" w:rsidRPr="009B783C">
        <w:rPr>
          <w:szCs w:val="21"/>
        </w:rPr>
        <w:t>abdo</w:t>
      </w:r>
      <w:proofErr w:type="spellEnd"/>
      <w:r w:rsidR="00C17381" w:rsidRPr="009B783C">
        <w:rPr>
          <w:szCs w:val="21"/>
        </w:rPr>
        <w:t xml:space="preserve"> pain"</w:t>
      </w:r>
      <w:r w:rsidR="008C297D" w:rsidRPr="009B783C">
        <w:rPr>
          <w:szCs w:val="21"/>
        </w:rPr>
        <w:t>,</w:t>
      </w:r>
      <w:r w:rsidR="00C17381" w:rsidRPr="009B783C">
        <w:rPr>
          <w:szCs w:val="21"/>
        </w:rPr>
        <w:t xml:space="preserve"> "abdominal pain"</w:t>
      </w:r>
      <w:r w:rsidR="008C297D" w:rsidRPr="009B783C">
        <w:rPr>
          <w:szCs w:val="21"/>
        </w:rPr>
        <w:t>,</w:t>
      </w:r>
      <w:r w:rsidR="00C17381" w:rsidRPr="009B783C">
        <w:rPr>
          <w:szCs w:val="21"/>
        </w:rPr>
        <w:t xml:space="preserve"> "</w:t>
      </w:r>
      <w:proofErr w:type="spellStart"/>
      <w:r w:rsidR="00C17381" w:rsidRPr="009B783C">
        <w:rPr>
          <w:szCs w:val="21"/>
        </w:rPr>
        <w:t>abdo</w:t>
      </w:r>
      <w:proofErr w:type="spellEnd"/>
      <w:r w:rsidR="00C17381" w:rsidRPr="009B783C">
        <w:rPr>
          <w:szCs w:val="21"/>
        </w:rPr>
        <w:t xml:space="preserve"> pain for investigation"</w:t>
      </w:r>
      <w:r w:rsidR="008C297D" w:rsidRPr="009B783C">
        <w:rPr>
          <w:szCs w:val="21"/>
        </w:rPr>
        <w:t>,</w:t>
      </w:r>
      <w:r w:rsidR="00C17381" w:rsidRPr="009B783C">
        <w:rPr>
          <w:szCs w:val="21"/>
        </w:rPr>
        <w:t xml:space="preserve"> "</w:t>
      </w:r>
      <w:proofErr w:type="spellStart"/>
      <w:r w:rsidR="00C17381" w:rsidRPr="009B783C">
        <w:rPr>
          <w:szCs w:val="21"/>
        </w:rPr>
        <w:t>abdo</w:t>
      </w:r>
      <w:proofErr w:type="spellEnd"/>
      <w:r w:rsidR="00C17381" w:rsidRPr="009B783C">
        <w:rPr>
          <w:szCs w:val="21"/>
        </w:rPr>
        <w:t xml:space="preserve"> ache"). Implementing a classification system with a short list of reasons would standardise these representations, improving data consistency and facilitating more meaningful analysis. </w:t>
      </w:r>
      <w:r w:rsidR="0021071A" w:rsidRPr="009B783C">
        <w:rPr>
          <w:szCs w:val="21"/>
        </w:rPr>
        <w:t xml:space="preserve">For example, EDs across Australia use the ED </w:t>
      </w:r>
      <w:r w:rsidR="001A33C8" w:rsidRPr="009B783C">
        <w:rPr>
          <w:szCs w:val="21"/>
        </w:rPr>
        <w:t>International Classification of Diseases-10th Revision</w:t>
      </w:r>
      <w:r w:rsidR="008C297D" w:rsidRPr="009B783C">
        <w:rPr>
          <w:szCs w:val="21"/>
        </w:rPr>
        <w:t xml:space="preserve"> –</w:t>
      </w:r>
      <w:r w:rsidR="001A33C8" w:rsidRPr="009B783C">
        <w:rPr>
          <w:szCs w:val="21"/>
        </w:rPr>
        <w:t xml:space="preserve"> Australian Modification (</w:t>
      </w:r>
      <w:r w:rsidR="0021071A" w:rsidRPr="009B783C">
        <w:rPr>
          <w:szCs w:val="21"/>
        </w:rPr>
        <w:t>ICD-10-AM</w:t>
      </w:r>
      <w:r w:rsidR="001A33C8" w:rsidRPr="009B783C">
        <w:rPr>
          <w:szCs w:val="21"/>
        </w:rPr>
        <w:t>)</w:t>
      </w:r>
      <w:r w:rsidR="0021071A" w:rsidRPr="009B783C">
        <w:rPr>
          <w:szCs w:val="21"/>
        </w:rPr>
        <w:t xml:space="preserve"> Diagnosis Short List maintained by the Independent Health and Aged Care Pricing Authority (IHACPA)</w:t>
      </w:r>
      <w:r w:rsidR="00DF7994" w:rsidRPr="009B783C">
        <w:rPr>
          <w:szCs w:val="21"/>
        </w:rPr>
        <w:t xml:space="preserve">. </w:t>
      </w:r>
      <w:r w:rsidR="00C17381" w:rsidRPr="009B783C">
        <w:rPr>
          <w:szCs w:val="21"/>
        </w:rPr>
        <w:t>Additionally, providing education on accurately assigning the reason for visit would be beneficial. Instances were observed where the patient’s medical history (</w:t>
      </w:r>
      <w:r w:rsidR="008C297D" w:rsidRPr="009B783C">
        <w:rPr>
          <w:szCs w:val="21"/>
        </w:rPr>
        <w:t>for example,</w:t>
      </w:r>
      <w:r w:rsidR="00C17381" w:rsidRPr="009B783C">
        <w:rPr>
          <w:szCs w:val="21"/>
        </w:rPr>
        <w:t xml:space="preserve"> premature birth), or a hospital-based procedure (</w:t>
      </w:r>
      <w:r w:rsidR="008C297D" w:rsidRPr="009B783C">
        <w:rPr>
          <w:szCs w:val="21"/>
        </w:rPr>
        <w:t>for example,</w:t>
      </w:r>
      <w:r w:rsidR="00C17381" w:rsidRPr="009B783C">
        <w:rPr>
          <w:szCs w:val="21"/>
        </w:rPr>
        <w:t xml:space="preserve"> hip replacement) were incorrectly recorded as the reason for the visit, pointing to </w:t>
      </w:r>
      <w:r w:rsidR="00C736C8" w:rsidRPr="009B783C">
        <w:rPr>
          <w:szCs w:val="21"/>
        </w:rPr>
        <w:t xml:space="preserve">a potential data extraction issue or </w:t>
      </w:r>
      <w:r w:rsidR="00C17381" w:rsidRPr="009B783C">
        <w:rPr>
          <w:szCs w:val="21"/>
        </w:rPr>
        <w:t>the need for better training and guidance on collecting these data.</w:t>
      </w:r>
    </w:p>
    <w:p w14:paraId="19BB0C48" w14:textId="2FF051A8" w:rsidR="00E64FBD" w:rsidRPr="009B783C" w:rsidRDefault="00E64FBD" w:rsidP="00642228">
      <w:pPr>
        <w:pStyle w:val="Bullet"/>
        <w:rPr>
          <w:szCs w:val="21"/>
        </w:rPr>
      </w:pPr>
      <w:r w:rsidRPr="009B783C">
        <w:rPr>
          <w:rFonts w:asciiTheme="majorHAnsi" w:hAnsiTheme="majorHAnsi" w:cstheme="majorBidi"/>
          <w:szCs w:val="21"/>
        </w:rPr>
        <w:t>Data availability for key program measures</w:t>
      </w:r>
      <w:r w:rsidR="008C297D" w:rsidRPr="009B783C">
        <w:rPr>
          <w:rFonts w:asciiTheme="majorHAnsi" w:hAnsiTheme="majorHAnsi" w:cstheme="majorBidi"/>
          <w:szCs w:val="21"/>
        </w:rPr>
        <w:t>.</w:t>
      </w:r>
      <w:r w:rsidRPr="009B783C">
        <w:rPr>
          <w:szCs w:val="21"/>
        </w:rPr>
        <w:t xml:space="preserve"> Medicare </w:t>
      </w:r>
      <w:r w:rsidR="00C17381" w:rsidRPr="009B783C">
        <w:rPr>
          <w:szCs w:val="21"/>
        </w:rPr>
        <w:t>UCCs</w:t>
      </w:r>
      <w:r w:rsidRPr="009B783C">
        <w:rPr>
          <w:szCs w:val="21"/>
        </w:rPr>
        <w:t xml:space="preserve"> </w:t>
      </w:r>
      <w:r w:rsidR="00C17381" w:rsidRPr="009B783C">
        <w:rPr>
          <w:szCs w:val="21"/>
        </w:rPr>
        <w:t>are intended to be accessible for priority populations.</w:t>
      </w:r>
      <w:r w:rsidR="008A611A" w:rsidRPr="009B783C">
        <w:rPr>
          <w:szCs w:val="21"/>
        </w:rPr>
        <w:t xml:space="preserve"> </w:t>
      </w:r>
      <w:r w:rsidR="00F75AF3" w:rsidRPr="009B783C">
        <w:rPr>
          <w:szCs w:val="21"/>
        </w:rPr>
        <w:t>T</w:t>
      </w:r>
      <w:r w:rsidRPr="009B783C">
        <w:rPr>
          <w:szCs w:val="21"/>
        </w:rPr>
        <w:t>he data available to measure clinic usage by these groups is limited. For instance, there is no definitive metric for cultural and linguistic divers</w:t>
      </w:r>
      <w:r w:rsidR="003D13C0" w:rsidRPr="009B783C">
        <w:rPr>
          <w:szCs w:val="21"/>
        </w:rPr>
        <w:t>ity</w:t>
      </w:r>
      <w:r w:rsidRPr="009B783C">
        <w:rPr>
          <w:szCs w:val="21"/>
        </w:rPr>
        <w:t xml:space="preserve">. </w:t>
      </w:r>
      <w:r w:rsidR="00C85D98" w:rsidRPr="009B783C">
        <w:rPr>
          <w:szCs w:val="21"/>
        </w:rPr>
        <w:t>Through</w:t>
      </w:r>
      <w:r w:rsidRPr="009B783C">
        <w:rPr>
          <w:szCs w:val="21"/>
        </w:rPr>
        <w:t xml:space="preserve"> the </w:t>
      </w:r>
      <w:r w:rsidR="00C85D98" w:rsidRPr="009B783C">
        <w:rPr>
          <w:szCs w:val="21"/>
        </w:rPr>
        <w:t>Module data</w:t>
      </w:r>
      <w:r w:rsidR="00606323" w:rsidRPr="009B783C">
        <w:rPr>
          <w:szCs w:val="21"/>
        </w:rPr>
        <w:t>,</w:t>
      </w:r>
      <w:r w:rsidRPr="009B783C">
        <w:rPr>
          <w:szCs w:val="21"/>
        </w:rPr>
        <w:t xml:space="preserve"> information on country of birth, language spoken at home and interpreter usage</w:t>
      </w:r>
      <w:r w:rsidR="00C85D98" w:rsidRPr="009B783C">
        <w:rPr>
          <w:szCs w:val="21"/>
        </w:rPr>
        <w:t xml:space="preserve"> are defined and reported</w:t>
      </w:r>
      <w:r w:rsidR="0004485B" w:rsidRPr="009B783C">
        <w:rPr>
          <w:szCs w:val="21"/>
        </w:rPr>
        <w:t>. However</w:t>
      </w:r>
      <w:r w:rsidRPr="009B783C">
        <w:rPr>
          <w:szCs w:val="21"/>
        </w:rPr>
        <w:t xml:space="preserve">, these variables </w:t>
      </w:r>
      <w:r w:rsidR="0004485B" w:rsidRPr="009B783C">
        <w:rPr>
          <w:szCs w:val="21"/>
        </w:rPr>
        <w:t>appear to be relatively poorly reported</w:t>
      </w:r>
      <w:r w:rsidR="00BE348D" w:rsidRPr="009B783C">
        <w:rPr>
          <w:szCs w:val="21"/>
        </w:rPr>
        <w:t>. Additionally</w:t>
      </w:r>
      <w:r w:rsidR="00137B15" w:rsidRPr="009B783C">
        <w:rPr>
          <w:szCs w:val="21"/>
        </w:rPr>
        <w:t>,</w:t>
      </w:r>
      <w:r w:rsidR="00BE348D" w:rsidRPr="009B783C">
        <w:rPr>
          <w:szCs w:val="21"/>
        </w:rPr>
        <w:t xml:space="preserve"> these items, </w:t>
      </w:r>
      <w:r w:rsidRPr="009B783C">
        <w:rPr>
          <w:szCs w:val="21"/>
        </w:rPr>
        <w:t>individually or together</w:t>
      </w:r>
      <w:r w:rsidR="00BE348D" w:rsidRPr="009B783C">
        <w:rPr>
          <w:szCs w:val="21"/>
        </w:rPr>
        <w:t>,</w:t>
      </w:r>
      <w:r w:rsidRPr="009B783C">
        <w:rPr>
          <w:szCs w:val="21"/>
        </w:rPr>
        <w:t xml:space="preserve"> </w:t>
      </w:r>
      <w:r w:rsidR="00DA1D6F" w:rsidRPr="009B783C">
        <w:rPr>
          <w:szCs w:val="21"/>
        </w:rPr>
        <w:t xml:space="preserve">provide only a partial insight into accessibility for </w:t>
      </w:r>
      <w:r w:rsidRPr="009B783C">
        <w:rPr>
          <w:szCs w:val="21"/>
        </w:rPr>
        <w:t>cultural</w:t>
      </w:r>
      <w:r w:rsidR="00D74BFF" w:rsidRPr="009B783C">
        <w:rPr>
          <w:szCs w:val="21"/>
        </w:rPr>
        <w:t>ly</w:t>
      </w:r>
      <w:r w:rsidRPr="009B783C">
        <w:rPr>
          <w:szCs w:val="21"/>
        </w:rPr>
        <w:t xml:space="preserve"> and linguistic</w:t>
      </w:r>
      <w:r w:rsidR="00D74BFF" w:rsidRPr="009B783C">
        <w:rPr>
          <w:szCs w:val="21"/>
        </w:rPr>
        <w:t>ally</w:t>
      </w:r>
      <w:r w:rsidRPr="009B783C">
        <w:rPr>
          <w:szCs w:val="21"/>
        </w:rPr>
        <w:t xml:space="preserve"> divers</w:t>
      </w:r>
      <w:r w:rsidR="00DA1D6F" w:rsidRPr="009B783C">
        <w:rPr>
          <w:szCs w:val="21"/>
        </w:rPr>
        <w:t xml:space="preserve">e </w:t>
      </w:r>
      <w:r w:rsidR="00115496" w:rsidRPr="009B783C">
        <w:rPr>
          <w:szCs w:val="21"/>
        </w:rPr>
        <w:t xml:space="preserve">(CALD) </w:t>
      </w:r>
      <w:r w:rsidR="00C17381" w:rsidRPr="009B783C">
        <w:rPr>
          <w:szCs w:val="21"/>
        </w:rPr>
        <w:t>populations.</w:t>
      </w:r>
      <w:r w:rsidRPr="009B783C">
        <w:rPr>
          <w:szCs w:val="21"/>
        </w:rPr>
        <w:t xml:space="preserve"> Another issue is the inability to separate out time of triage from clinical commencement time, which is </w:t>
      </w:r>
      <w:r w:rsidR="00137B15" w:rsidRPr="009B783C">
        <w:rPr>
          <w:szCs w:val="21"/>
        </w:rPr>
        <w:t>important</w:t>
      </w:r>
      <w:r w:rsidRPr="009B783C">
        <w:rPr>
          <w:szCs w:val="21"/>
        </w:rPr>
        <w:t xml:space="preserve"> for accurately measuring waiting times for treatment.</w:t>
      </w:r>
    </w:p>
    <w:p w14:paraId="37D2D98F" w14:textId="02A35990" w:rsidR="008F0F00" w:rsidRPr="009B783C" w:rsidRDefault="00E64FBD" w:rsidP="00642228">
      <w:pPr>
        <w:pStyle w:val="Bullet"/>
        <w:rPr>
          <w:szCs w:val="21"/>
        </w:rPr>
      </w:pPr>
      <w:r w:rsidRPr="009B783C">
        <w:rPr>
          <w:rFonts w:asciiTheme="majorHAnsi" w:hAnsiTheme="majorHAnsi" w:cstheme="majorHAnsi"/>
          <w:szCs w:val="21"/>
        </w:rPr>
        <w:t xml:space="preserve">Limitations of data for measuring impact on partner hospital </w:t>
      </w:r>
      <w:proofErr w:type="spellStart"/>
      <w:r w:rsidRPr="009B783C">
        <w:rPr>
          <w:rFonts w:asciiTheme="majorHAnsi" w:hAnsiTheme="majorHAnsi" w:cstheme="majorHAnsi"/>
          <w:szCs w:val="21"/>
        </w:rPr>
        <w:t>E</w:t>
      </w:r>
      <w:r w:rsidR="00600342" w:rsidRPr="009B783C">
        <w:rPr>
          <w:rFonts w:asciiTheme="majorHAnsi" w:hAnsiTheme="majorHAnsi" w:cstheme="majorHAnsi"/>
          <w:szCs w:val="21"/>
        </w:rPr>
        <w:t>D</w:t>
      </w:r>
      <w:r w:rsidRPr="009B783C">
        <w:rPr>
          <w:rFonts w:asciiTheme="majorHAnsi" w:hAnsiTheme="majorHAnsi" w:cstheme="majorHAnsi"/>
          <w:szCs w:val="21"/>
        </w:rPr>
        <w:t>s</w:t>
      </w:r>
      <w:r w:rsidR="00567E62" w:rsidRPr="009B783C">
        <w:rPr>
          <w:rFonts w:asciiTheme="majorHAnsi" w:hAnsiTheme="majorHAnsi" w:cstheme="majorHAnsi"/>
          <w:szCs w:val="21"/>
        </w:rPr>
        <w:t>.</w:t>
      </w:r>
      <w:proofErr w:type="spellEnd"/>
      <w:r w:rsidRPr="009B783C">
        <w:rPr>
          <w:szCs w:val="21"/>
        </w:rPr>
        <w:t xml:space="preserve"> At this stage of the evaluation, the report draws on two primary data sources to assess the impact of Medicare UCCs on partner hospital </w:t>
      </w:r>
      <w:proofErr w:type="spellStart"/>
      <w:r w:rsidRPr="009B783C">
        <w:rPr>
          <w:szCs w:val="21"/>
        </w:rPr>
        <w:t>EDs.</w:t>
      </w:r>
      <w:proofErr w:type="spellEnd"/>
      <w:r w:rsidRPr="009B783C">
        <w:rPr>
          <w:szCs w:val="21"/>
        </w:rPr>
        <w:t xml:space="preserve"> The first is data from Medicare UCCs, where patients are asked where they would have gone or sought advice if the Medicare UCC </w:t>
      </w:r>
      <w:r w:rsidR="00717EF3" w:rsidRPr="009B783C">
        <w:rPr>
          <w:szCs w:val="21"/>
        </w:rPr>
        <w:t>was not</w:t>
      </w:r>
      <w:r w:rsidRPr="009B783C">
        <w:rPr>
          <w:szCs w:val="21"/>
        </w:rPr>
        <w:t xml:space="preserve"> available. </w:t>
      </w:r>
      <w:r w:rsidRPr="009B783C">
        <w:rPr>
          <w:szCs w:val="21"/>
        </w:rPr>
        <w:lastRenderedPageBreak/>
        <w:t xml:space="preserve">This data is subject to potential bias, as </w:t>
      </w:r>
      <w:r w:rsidR="00CB32BC" w:rsidRPr="009B783C">
        <w:rPr>
          <w:szCs w:val="21"/>
        </w:rPr>
        <w:t xml:space="preserve">some commissioners reported </w:t>
      </w:r>
      <w:r w:rsidRPr="009B783C">
        <w:rPr>
          <w:szCs w:val="21"/>
        </w:rPr>
        <w:t xml:space="preserve">responses may vary depending on how the question is phrased, how patients interpret it, or how clinic staff assess the patient’s condition. The second source is publicly available ED data, which tracks trends in triage </w:t>
      </w:r>
      <w:r w:rsidR="00C17381" w:rsidRPr="009B783C">
        <w:rPr>
          <w:szCs w:val="21"/>
        </w:rPr>
        <w:t>categor</w:t>
      </w:r>
      <w:r w:rsidR="00567E62" w:rsidRPr="009B783C">
        <w:rPr>
          <w:szCs w:val="21"/>
        </w:rPr>
        <w:t>ies four and five</w:t>
      </w:r>
      <w:r w:rsidR="00C17381" w:rsidRPr="009B783C">
        <w:rPr>
          <w:szCs w:val="21"/>
        </w:rPr>
        <w:t xml:space="preserve"> presentations before and after the establishment of Medicare UCCs.</w:t>
      </w:r>
      <w:r w:rsidRPr="009B783C">
        <w:rPr>
          <w:szCs w:val="21"/>
        </w:rPr>
        <w:t xml:space="preserve"> While this data provides valuable insights, it has limitations, including the inability to </w:t>
      </w:r>
      <w:r w:rsidR="009138A1" w:rsidRPr="009B783C">
        <w:rPr>
          <w:szCs w:val="21"/>
        </w:rPr>
        <w:t xml:space="preserve">apply robust methods for </w:t>
      </w:r>
      <w:r w:rsidR="004011CC" w:rsidRPr="009B783C">
        <w:rPr>
          <w:szCs w:val="21"/>
        </w:rPr>
        <w:t>assess</w:t>
      </w:r>
      <w:r w:rsidR="009138A1" w:rsidRPr="009B783C">
        <w:rPr>
          <w:szCs w:val="21"/>
        </w:rPr>
        <w:t>ing</w:t>
      </w:r>
      <w:r w:rsidR="000108E2" w:rsidRPr="009B783C">
        <w:rPr>
          <w:szCs w:val="21"/>
        </w:rPr>
        <w:t xml:space="preserve"> </w:t>
      </w:r>
      <w:r w:rsidR="009138A1" w:rsidRPr="009B783C">
        <w:rPr>
          <w:szCs w:val="21"/>
        </w:rPr>
        <w:t>causal relationships</w:t>
      </w:r>
      <w:r w:rsidRPr="009B783C">
        <w:rPr>
          <w:szCs w:val="21"/>
        </w:rPr>
        <w:t>. Limitations inherent in observational data will be addressed in subsequent analyses through</w:t>
      </w:r>
      <w:r w:rsidR="008F0F00" w:rsidRPr="009B783C">
        <w:rPr>
          <w:szCs w:val="21"/>
        </w:rPr>
        <w:t>:</w:t>
      </w:r>
      <w:r w:rsidRPr="009B783C">
        <w:rPr>
          <w:szCs w:val="21"/>
        </w:rPr>
        <w:t xml:space="preserve"> </w:t>
      </w:r>
    </w:p>
    <w:p w14:paraId="2EF10DA7" w14:textId="29A0361E" w:rsidR="00E64FBD" w:rsidRPr="009B783C" w:rsidRDefault="008F0F00" w:rsidP="00642228">
      <w:pPr>
        <w:pStyle w:val="Bullet"/>
        <w:numPr>
          <w:ilvl w:val="2"/>
          <w:numId w:val="2"/>
        </w:numPr>
        <w:rPr>
          <w:szCs w:val="21"/>
        </w:rPr>
      </w:pPr>
      <w:r w:rsidRPr="009B783C">
        <w:rPr>
          <w:szCs w:val="21"/>
        </w:rPr>
        <w:t>Applying a</w:t>
      </w:r>
      <w:r w:rsidR="00E64FBD" w:rsidRPr="009B783C">
        <w:rPr>
          <w:szCs w:val="21"/>
        </w:rPr>
        <w:t xml:space="preserve"> </w:t>
      </w:r>
      <w:proofErr w:type="spellStart"/>
      <w:r w:rsidR="00E64FBD" w:rsidRPr="009B783C">
        <w:rPr>
          <w:szCs w:val="21"/>
        </w:rPr>
        <w:t>DiD</w:t>
      </w:r>
      <w:proofErr w:type="spellEnd"/>
      <w:r w:rsidR="00E64FBD" w:rsidRPr="009B783C">
        <w:rPr>
          <w:szCs w:val="21"/>
        </w:rPr>
        <w:t xml:space="preserve"> method to strengthen causal inferences through use of a comparison group.</w:t>
      </w:r>
      <w:r w:rsidR="008A611A" w:rsidRPr="009B783C">
        <w:rPr>
          <w:szCs w:val="21"/>
        </w:rPr>
        <w:t xml:space="preserve"> </w:t>
      </w:r>
    </w:p>
    <w:p w14:paraId="70A59D2D" w14:textId="0FF664D3" w:rsidR="00C17381" w:rsidRPr="009B783C" w:rsidRDefault="00C17381" w:rsidP="00642228">
      <w:pPr>
        <w:pStyle w:val="Bullet"/>
        <w:numPr>
          <w:ilvl w:val="2"/>
          <w:numId w:val="2"/>
        </w:numPr>
        <w:rPr>
          <w:szCs w:val="21"/>
        </w:rPr>
      </w:pPr>
      <w:r w:rsidRPr="009B783C">
        <w:rPr>
          <w:szCs w:val="21"/>
        </w:rPr>
        <w:t>Narrowing the focus to ED presentations that are more likely to have been impacted by the presence of a Medicare UCC, specifically through estimating the effect for populations within the catchments of the Medicare UCCs and focusing on the subset of triage categor</w:t>
      </w:r>
      <w:r w:rsidR="00567E62" w:rsidRPr="009B783C">
        <w:rPr>
          <w:szCs w:val="21"/>
        </w:rPr>
        <w:t>ies four and five</w:t>
      </w:r>
      <w:r w:rsidRPr="009B783C">
        <w:rPr>
          <w:szCs w:val="21"/>
        </w:rPr>
        <w:t xml:space="preserve"> ED presentations that better align with the definition of urgent care.</w:t>
      </w:r>
    </w:p>
    <w:p w14:paraId="1C8BBB90" w14:textId="77777777" w:rsidR="00E21772" w:rsidRPr="009B783C" w:rsidRDefault="00A8741B" w:rsidP="00642228">
      <w:pPr>
        <w:pStyle w:val="Bullet"/>
        <w:numPr>
          <w:ilvl w:val="2"/>
          <w:numId w:val="2"/>
        </w:numPr>
        <w:rPr>
          <w:szCs w:val="21"/>
        </w:rPr>
      </w:pPr>
      <w:r w:rsidRPr="009B783C">
        <w:rPr>
          <w:szCs w:val="21"/>
        </w:rPr>
        <w:t xml:space="preserve">Exploring the </w:t>
      </w:r>
      <w:r w:rsidR="00FB6B81" w:rsidRPr="009B783C">
        <w:rPr>
          <w:szCs w:val="21"/>
        </w:rPr>
        <w:t xml:space="preserve">potential </w:t>
      </w:r>
      <w:r w:rsidRPr="009B783C">
        <w:rPr>
          <w:szCs w:val="21"/>
        </w:rPr>
        <w:t xml:space="preserve">use of linked MBS and ED data to assess the extent to which patients </w:t>
      </w:r>
      <w:r w:rsidR="00FB6B81" w:rsidRPr="009B783C">
        <w:rPr>
          <w:szCs w:val="21"/>
        </w:rPr>
        <w:t xml:space="preserve">who have attended a Medicare UCC </w:t>
      </w:r>
      <w:r w:rsidR="00492E5A" w:rsidRPr="009B783C">
        <w:rPr>
          <w:szCs w:val="21"/>
        </w:rPr>
        <w:t xml:space="preserve">subsequently attend an ED and comparing populations </w:t>
      </w:r>
      <w:r w:rsidR="00D05F74" w:rsidRPr="009B783C">
        <w:rPr>
          <w:szCs w:val="21"/>
        </w:rPr>
        <w:t>for whom</w:t>
      </w:r>
      <w:r w:rsidR="00212A5C" w:rsidRPr="009B783C">
        <w:rPr>
          <w:szCs w:val="21"/>
        </w:rPr>
        <w:t xml:space="preserve"> a Medicare UCC is available with other</w:t>
      </w:r>
      <w:r w:rsidR="00D05F74" w:rsidRPr="009B783C">
        <w:rPr>
          <w:szCs w:val="21"/>
        </w:rPr>
        <w:t>s where it is not available</w:t>
      </w:r>
      <w:r w:rsidR="00212A5C" w:rsidRPr="009B783C">
        <w:rPr>
          <w:szCs w:val="21"/>
        </w:rPr>
        <w:t>.</w:t>
      </w:r>
    </w:p>
    <w:p w14:paraId="60C53002" w14:textId="5FFE3B3E" w:rsidR="0076476F" w:rsidRPr="009B783C" w:rsidRDefault="00F85695" w:rsidP="00642228">
      <w:pPr>
        <w:rPr>
          <w:szCs w:val="21"/>
        </w:rPr>
      </w:pPr>
      <w:r w:rsidRPr="009B783C">
        <w:rPr>
          <w:szCs w:val="21"/>
        </w:rPr>
        <w:t xml:space="preserve">The Department reported it is working with </w:t>
      </w:r>
      <w:r w:rsidR="001D67CD" w:rsidRPr="009B783C">
        <w:rPr>
          <w:szCs w:val="21"/>
        </w:rPr>
        <w:t>commissioners to uplift the quality of data captured</w:t>
      </w:r>
      <w:r w:rsidR="0076476F" w:rsidRPr="009B783C">
        <w:rPr>
          <w:szCs w:val="21"/>
        </w:rPr>
        <w:t xml:space="preserve">, for example, </w:t>
      </w:r>
      <w:r w:rsidR="00F00477" w:rsidRPr="009B783C">
        <w:rPr>
          <w:szCs w:val="21"/>
        </w:rPr>
        <w:t xml:space="preserve">through development of the data manual and </w:t>
      </w:r>
      <w:r w:rsidR="0076476F" w:rsidRPr="009B783C">
        <w:rPr>
          <w:szCs w:val="21"/>
        </w:rPr>
        <w:t xml:space="preserve">support </w:t>
      </w:r>
      <w:r w:rsidR="002E4CB0" w:rsidRPr="009B783C">
        <w:rPr>
          <w:szCs w:val="21"/>
        </w:rPr>
        <w:t xml:space="preserve">with onboarding clinics to the Medicare UCC </w:t>
      </w:r>
      <w:r w:rsidR="00484890" w:rsidRPr="009B783C">
        <w:rPr>
          <w:szCs w:val="21"/>
        </w:rPr>
        <w:t>Module</w:t>
      </w:r>
      <w:r w:rsidR="00F00477" w:rsidRPr="009B783C">
        <w:rPr>
          <w:szCs w:val="21"/>
        </w:rPr>
        <w:t>.</w:t>
      </w:r>
    </w:p>
    <w:tbl>
      <w:tblPr>
        <w:tblStyle w:val="NousLongformcallout"/>
        <w:tblpPr w:leftFromText="180" w:rightFromText="180" w:vertAnchor="text" w:horzAnchor="margin" w:tblpY="197"/>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C17381" w:rsidRPr="009B783C" w14:paraId="449DB369" w14:textId="77777777" w:rsidTr="00610A5B">
        <w:tc>
          <w:tcPr>
            <w:tcW w:w="8907" w:type="dxa"/>
            <w:tcBorders>
              <w:left w:val="single" w:sz="18" w:space="0" w:color="2D358E"/>
            </w:tcBorders>
          </w:tcPr>
          <w:p w14:paraId="37A752AA" w14:textId="5186B266" w:rsidR="00C17381" w:rsidRPr="00646FE9" w:rsidRDefault="00A6618A" w:rsidP="00642228">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 xml:space="preserve">Data </w:t>
            </w:r>
            <w:r w:rsidR="005D1D88" w:rsidRPr="00646FE9">
              <w:rPr>
                <w:rFonts w:asciiTheme="majorHAnsi" w:hAnsiTheme="majorHAnsi" w:cstheme="majorHAnsi"/>
                <w:color w:val="2D358E"/>
                <w:sz w:val="28"/>
                <w:szCs w:val="28"/>
              </w:rPr>
              <w:t>i</w:t>
            </w:r>
            <w:r w:rsidRPr="00646FE9">
              <w:rPr>
                <w:rFonts w:asciiTheme="majorHAnsi" w:hAnsiTheme="majorHAnsi" w:cstheme="majorHAnsi"/>
                <w:color w:val="2D358E"/>
                <w:sz w:val="28"/>
                <w:szCs w:val="28"/>
              </w:rPr>
              <w:t xml:space="preserve">mprovement </w:t>
            </w:r>
            <w:r w:rsidR="005D1D88" w:rsidRPr="00646FE9">
              <w:rPr>
                <w:rFonts w:asciiTheme="majorHAnsi" w:hAnsiTheme="majorHAnsi" w:cstheme="majorHAnsi"/>
                <w:color w:val="2D358E"/>
                <w:sz w:val="28"/>
                <w:szCs w:val="28"/>
              </w:rPr>
              <w:t>o</w:t>
            </w:r>
            <w:r w:rsidRPr="00646FE9">
              <w:rPr>
                <w:rFonts w:asciiTheme="majorHAnsi" w:hAnsiTheme="majorHAnsi" w:cstheme="majorHAnsi"/>
                <w:color w:val="2D358E"/>
                <w:sz w:val="28"/>
                <w:szCs w:val="28"/>
              </w:rPr>
              <w:t>pportunities</w:t>
            </w:r>
          </w:p>
          <w:p w14:paraId="291B04F2" w14:textId="1CD6582F" w:rsidR="00C17381" w:rsidRPr="009B783C" w:rsidRDefault="00C17381" w:rsidP="00642228">
            <w:pPr>
              <w:pStyle w:val="Longformcallout"/>
              <w:rPr>
                <w:szCs w:val="21"/>
              </w:rPr>
            </w:pPr>
            <w:r w:rsidRPr="009B783C">
              <w:rPr>
                <w:szCs w:val="21"/>
              </w:rPr>
              <w:t xml:space="preserve">There are opportunities to improve the quality of data reported through the Medicare UCC Module, through the following steps: </w:t>
            </w:r>
          </w:p>
          <w:p w14:paraId="0C9992CE" w14:textId="6F87DA0F" w:rsidR="00C17381" w:rsidRPr="009B783C" w:rsidRDefault="00C17381" w:rsidP="00642228">
            <w:pPr>
              <w:pStyle w:val="longformcalloutbullet"/>
              <w:rPr>
                <w:szCs w:val="21"/>
              </w:rPr>
            </w:pPr>
            <w:r w:rsidRPr="009B783C">
              <w:rPr>
                <w:szCs w:val="21"/>
              </w:rPr>
              <w:t>Explore with Medicare UCCs and clinicians the data items within the</w:t>
            </w:r>
            <w:r w:rsidRPr="009B783C" w:rsidDel="00003CC7">
              <w:rPr>
                <w:szCs w:val="21"/>
              </w:rPr>
              <w:t xml:space="preserve"> </w:t>
            </w:r>
            <w:r w:rsidRPr="009B783C">
              <w:rPr>
                <w:szCs w:val="21"/>
              </w:rPr>
              <w:t>Module data that are the most challenging to capture, seeking their views on improvements that could be made.</w:t>
            </w:r>
          </w:p>
          <w:p w14:paraId="7AA1A8F9" w14:textId="1D47CD36" w:rsidR="00C17381" w:rsidRPr="009B783C" w:rsidRDefault="00C17381" w:rsidP="00642228">
            <w:pPr>
              <w:pStyle w:val="longformcalloutbullet"/>
              <w:rPr>
                <w:szCs w:val="21"/>
              </w:rPr>
            </w:pPr>
            <w:r w:rsidRPr="009B783C">
              <w:rPr>
                <w:szCs w:val="21"/>
              </w:rPr>
              <w:t>Review and refine definitions of key data items and add guidance for interpreting areas identified as problematic</w:t>
            </w:r>
            <w:r w:rsidR="00193EED" w:rsidRPr="009B783C">
              <w:rPr>
                <w:szCs w:val="21"/>
              </w:rPr>
              <w:t xml:space="preserve"> within the Medicare UCC data dictionary</w:t>
            </w:r>
            <w:r w:rsidRPr="009B783C">
              <w:rPr>
                <w:szCs w:val="21"/>
              </w:rPr>
              <w:t xml:space="preserve">. </w:t>
            </w:r>
            <w:r w:rsidR="0084062A" w:rsidRPr="009B783C">
              <w:rPr>
                <w:szCs w:val="21"/>
              </w:rPr>
              <w:t xml:space="preserve">This </w:t>
            </w:r>
            <w:r w:rsidRPr="009B783C">
              <w:rPr>
                <w:szCs w:val="21"/>
              </w:rPr>
              <w:t>would be particularly useful on “</w:t>
            </w:r>
            <w:r w:rsidR="005A10C0" w:rsidRPr="009B783C">
              <w:rPr>
                <w:szCs w:val="21"/>
              </w:rPr>
              <w:t>Reason for visit”</w:t>
            </w:r>
            <w:r w:rsidR="00647D40" w:rsidRPr="009B783C">
              <w:rPr>
                <w:szCs w:val="21"/>
              </w:rPr>
              <w:t xml:space="preserve"> and</w:t>
            </w:r>
            <w:r w:rsidRPr="009B783C">
              <w:rPr>
                <w:szCs w:val="21"/>
              </w:rPr>
              <w:t xml:space="preserve"> “Where patient would have gone </w:t>
            </w:r>
            <w:proofErr w:type="gramStart"/>
            <w:r w:rsidRPr="009B783C">
              <w:rPr>
                <w:szCs w:val="21"/>
              </w:rPr>
              <w:t>otherwise“</w:t>
            </w:r>
            <w:proofErr w:type="gramEnd"/>
            <w:r w:rsidRPr="009B783C">
              <w:rPr>
                <w:szCs w:val="21"/>
              </w:rPr>
              <w:t>.</w:t>
            </w:r>
          </w:p>
          <w:p w14:paraId="26DC44E1" w14:textId="6839079B" w:rsidR="00C17381" w:rsidRPr="009B783C" w:rsidRDefault="00C17381" w:rsidP="00642228">
            <w:pPr>
              <w:pStyle w:val="longformcalloutbullet"/>
              <w:rPr>
                <w:szCs w:val="21"/>
                <w:lang w:val="en-US"/>
              </w:rPr>
            </w:pPr>
            <w:r w:rsidRPr="620A8401">
              <w:rPr>
                <w:szCs w:val="21"/>
                <w:lang w:val="en-US"/>
              </w:rPr>
              <w:t xml:space="preserve">Develop a short list of </w:t>
            </w:r>
            <w:r w:rsidR="00621F64" w:rsidRPr="620A8401">
              <w:rPr>
                <w:szCs w:val="21"/>
                <w:lang w:val="en-US"/>
              </w:rPr>
              <w:t>“R</w:t>
            </w:r>
            <w:r w:rsidRPr="620A8401">
              <w:rPr>
                <w:szCs w:val="21"/>
                <w:lang w:val="en-US"/>
              </w:rPr>
              <w:t>easons for visit</w:t>
            </w:r>
            <w:r w:rsidR="00621F64" w:rsidRPr="620A8401">
              <w:rPr>
                <w:szCs w:val="21"/>
                <w:lang w:val="en-US"/>
              </w:rPr>
              <w:t>”</w:t>
            </w:r>
            <w:r w:rsidRPr="620A8401">
              <w:rPr>
                <w:szCs w:val="21"/>
                <w:lang w:val="en-US"/>
              </w:rPr>
              <w:t xml:space="preserve"> that could be implemented in the Module data. A starting point for this could be the ED ICD-10-AM Diagnosis Short List, but this will need to be modified to be more suitable for urgent care settings. </w:t>
            </w:r>
            <w:r w:rsidR="004A3045" w:rsidRPr="620A8401">
              <w:rPr>
                <w:szCs w:val="21"/>
                <w:lang w:val="en-US"/>
              </w:rPr>
              <w:t xml:space="preserve">This </w:t>
            </w:r>
            <w:r w:rsidR="00033F4D" w:rsidRPr="620A8401">
              <w:rPr>
                <w:szCs w:val="21"/>
                <w:lang w:val="en-US"/>
              </w:rPr>
              <w:t>could</w:t>
            </w:r>
            <w:r w:rsidR="004A3045" w:rsidRPr="620A8401">
              <w:rPr>
                <w:szCs w:val="21"/>
                <w:lang w:val="en-US"/>
              </w:rPr>
              <w:t xml:space="preserve"> be provided as a pick list for clinicians </w:t>
            </w:r>
            <w:r w:rsidR="00DC2D6B" w:rsidRPr="620A8401">
              <w:rPr>
                <w:szCs w:val="21"/>
                <w:lang w:val="en-US"/>
              </w:rPr>
              <w:t>to select the appropriate reason(s) for visit.</w:t>
            </w:r>
          </w:p>
          <w:p w14:paraId="6B4B3F48" w14:textId="2A211150" w:rsidR="00C17381" w:rsidRPr="009B783C" w:rsidRDefault="00C17381" w:rsidP="00642228">
            <w:pPr>
              <w:pStyle w:val="longformcalloutbullet"/>
              <w:rPr>
                <w:szCs w:val="21"/>
                <w:lang w:val="en-US"/>
              </w:rPr>
            </w:pPr>
            <w:r w:rsidRPr="620A8401">
              <w:rPr>
                <w:szCs w:val="21"/>
                <w:lang w:val="en-US"/>
              </w:rPr>
              <w:t xml:space="preserve">Associated with the </w:t>
            </w:r>
            <w:r w:rsidR="009B6710" w:rsidRPr="620A8401">
              <w:rPr>
                <w:szCs w:val="21"/>
                <w:lang w:val="en-US"/>
              </w:rPr>
              <w:t>short list</w:t>
            </w:r>
            <w:r w:rsidRPr="620A8401">
              <w:rPr>
                <w:szCs w:val="21"/>
                <w:lang w:val="en-US"/>
              </w:rPr>
              <w:t>, implement an approach to flag reasons for visit that relate to a prior condition or medical events that may be relevant to the current presentation, but are not the reason for the current presentation.</w:t>
            </w:r>
          </w:p>
          <w:p w14:paraId="40C79B4D" w14:textId="722A88EE" w:rsidR="00C17381" w:rsidRPr="009B783C" w:rsidRDefault="00C17381" w:rsidP="00642228">
            <w:pPr>
              <w:pStyle w:val="longformcalloutbullet"/>
            </w:pPr>
            <w:r w:rsidRPr="620A8401">
              <w:rPr>
                <w:szCs w:val="21"/>
                <w:lang w:val="en-US"/>
              </w:rPr>
              <w:lastRenderedPageBreak/>
              <w:t xml:space="preserve">Identify Medicare UCCs with low reporting of Indigenous status, country of birth, language spoken at home and interpreter use and request that </w:t>
            </w:r>
            <w:r w:rsidR="009B6710" w:rsidRPr="620A8401">
              <w:rPr>
                <w:szCs w:val="21"/>
                <w:lang w:val="en-US"/>
              </w:rPr>
              <w:t>commissioners</w:t>
            </w:r>
            <w:r w:rsidRPr="620A8401">
              <w:rPr>
                <w:szCs w:val="21"/>
                <w:lang w:val="en-US"/>
              </w:rPr>
              <w:t xml:space="preserve"> troubleshoot with these Medicare UCCs the reasons for low reporting and identify steps to improve reporting.</w:t>
            </w:r>
          </w:p>
        </w:tc>
      </w:tr>
    </w:tbl>
    <w:p w14:paraId="0F0E9556" w14:textId="77777777" w:rsidR="00B25F64" w:rsidRPr="009B783C" w:rsidRDefault="00B25F64" w:rsidP="00C17381">
      <w:pPr>
        <w:pStyle w:val="Heading1"/>
        <w:ind w:left="567" w:hanging="567"/>
      </w:pPr>
      <w:bookmarkStart w:id="46" w:name="_Toc189639219"/>
      <w:bookmarkStart w:id="47" w:name="_Toc189772019"/>
      <w:r w:rsidRPr="009B783C">
        <w:lastRenderedPageBreak/>
        <w:t xml:space="preserve">Implementation: </w:t>
      </w:r>
      <w:r w:rsidR="00C17381" w:rsidRPr="009B783C">
        <w:t>what</w:t>
      </w:r>
      <w:r w:rsidRPr="009B783C">
        <w:t xml:space="preserve"> has been implemented so far?</w:t>
      </w:r>
      <w:bookmarkEnd w:id="46"/>
      <w:bookmarkEnd w:id="47"/>
    </w:p>
    <w:p w14:paraId="3D83C0B6" w14:textId="62B4A722" w:rsidR="007B7B0C" w:rsidRPr="009B783C" w:rsidRDefault="0008766A" w:rsidP="00642228">
      <w:pPr>
        <w:rPr>
          <w:szCs w:val="21"/>
        </w:rPr>
      </w:pPr>
      <w:r w:rsidRPr="009B783C">
        <w:rPr>
          <w:szCs w:val="21"/>
        </w:rPr>
        <w:t xml:space="preserve">This </w:t>
      </w:r>
      <w:r w:rsidR="00FB1B74" w:rsidRPr="009B783C">
        <w:rPr>
          <w:szCs w:val="21"/>
        </w:rPr>
        <w:t>section</w:t>
      </w:r>
      <w:r w:rsidRPr="009B783C">
        <w:rPr>
          <w:szCs w:val="21"/>
        </w:rPr>
        <w:t xml:space="preserve"> provides a national overview of Medicare UCC locations, accessibility, workforce composition and patient presentations. It highlights variations in operating hours, workforce models, patient volumes and the conditions managed by Medicare UCCs, which are shaped by local contexts and community needs. </w:t>
      </w:r>
      <w:r w:rsidR="00AC0ABB" w:rsidRPr="009B783C">
        <w:rPr>
          <w:szCs w:val="21"/>
        </w:rPr>
        <w:t>As noted earlier, the</w:t>
      </w:r>
      <w:r w:rsidRPr="009B783C">
        <w:rPr>
          <w:szCs w:val="21"/>
          <w:lang w:eastAsia="en-AU"/>
        </w:rPr>
        <w:t xml:space="preserve"> Medicare UCC Operational Guidance aims to support flexibility based on local need and context, including by outlining processes for seeking exemptions to the guidance in certain circumstances.</w:t>
      </w:r>
      <w:r w:rsidRPr="009B783C">
        <w:rPr>
          <w:szCs w:val="21"/>
        </w:rPr>
        <w:t xml:space="preserve"> </w:t>
      </w:r>
    </w:p>
    <w:p w14:paraId="3C2C4739" w14:textId="77777777" w:rsidR="0008766A" w:rsidRPr="009B783C" w:rsidRDefault="0008766A" w:rsidP="004E6754">
      <w:pPr>
        <w:pStyle w:val="Heading2"/>
        <w:ind w:left="567" w:hanging="567"/>
      </w:pPr>
      <w:bookmarkStart w:id="48" w:name="_Toc188533755"/>
      <w:bookmarkStart w:id="49" w:name="_Toc188534012"/>
      <w:bookmarkStart w:id="50" w:name="_Toc188534270"/>
      <w:bookmarkStart w:id="51" w:name="_Toc188546548"/>
      <w:bookmarkStart w:id="52" w:name="_Toc188946087"/>
      <w:bookmarkStart w:id="53" w:name="_Toc189639220"/>
      <w:bookmarkStart w:id="54" w:name="_Toc189772020"/>
      <w:bookmarkEnd w:id="48"/>
      <w:bookmarkEnd w:id="49"/>
      <w:bookmarkEnd w:id="50"/>
      <w:bookmarkEnd w:id="51"/>
      <w:bookmarkEnd w:id="52"/>
      <w:r w:rsidRPr="009B783C">
        <w:t xml:space="preserve">Number of </w:t>
      </w:r>
      <w:r w:rsidR="00EB5592" w:rsidRPr="009B783C">
        <w:t xml:space="preserve">Medicare </w:t>
      </w:r>
      <w:r w:rsidRPr="009B783C">
        <w:t>UCCs</w:t>
      </w:r>
      <w:bookmarkEnd w:id="53"/>
      <w:bookmarkEnd w:id="54"/>
    </w:p>
    <w:p w14:paraId="09B52A88" w14:textId="7380E8BC" w:rsidR="00E05ADE" w:rsidRPr="009B783C" w:rsidRDefault="00D413DA" w:rsidP="00642228">
      <w:pPr>
        <w:rPr>
          <w:szCs w:val="21"/>
          <w:lang w:val="en-US"/>
        </w:rPr>
      </w:pPr>
      <w:r w:rsidRPr="620A8401">
        <w:rPr>
          <w:szCs w:val="21"/>
          <w:lang w:val="en-US"/>
        </w:rPr>
        <w:t>By</w:t>
      </w:r>
      <w:r w:rsidR="004C3B7A" w:rsidRPr="620A8401">
        <w:rPr>
          <w:szCs w:val="21"/>
          <w:lang w:val="en-US"/>
        </w:rPr>
        <w:t xml:space="preserve"> 30 Sept</w:t>
      </w:r>
      <w:r w:rsidR="00C55598" w:rsidRPr="620A8401">
        <w:rPr>
          <w:szCs w:val="21"/>
          <w:lang w:val="en-US"/>
        </w:rPr>
        <w:t>e</w:t>
      </w:r>
      <w:r w:rsidR="004C3B7A" w:rsidRPr="620A8401">
        <w:rPr>
          <w:szCs w:val="21"/>
          <w:lang w:val="en-US"/>
        </w:rPr>
        <w:t xml:space="preserve">mber 2024, 75 Medicare UCCs had </w:t>
      </w:r>
      <w:r w:rsidR="001437AD" w:rsidRPr="620A8401">
        <w:rPr>
          <w:szCs w:val="21"/>
          <w:lang w:val="en-US"/>
        </w:rPr>
        <w:t>opened</w:t>
      </w:r>
      <w:r w:rsidR="00E95EEB" w:rsidRPr="620A8401">
        <w:rPr>
          <w:szCs w:val="21"/>
          <w:lang w:val="en-US"/>
        </w:rPr>
        <w:t xml:space="preserve">. Of </w:t>
      </w:r>
      <w:r w:rsidR="009E478C" w:rsidRPr="620A8401">
        <w:rPr>
          <w:szCs w:val="21"/>
          <w:lang w:val="en-US"/>
        </w:rPr>
        <w:t>these</w:t>
      </w:r>
      <w:r w:rsidR="00E95EEB" w:rsidRPr="620A8401">
        <w:rPr>
          <w:szCs w:val="21"/>
          <w:lang w:val="en-US"/>
        </w:rPr>
        <w:t xml:space="preserve">, </w:t>
      </w:r>
      <w:r w:rsidR="00501E52" w:rsidRPr="620A8401">
        <w:rPr>
          <w:szCs w:val="21"/>
          <w:lang w:val="en-US"/>
        </w:rPr>
        <w:t>58</w:t>
      </w:r>
      <w:r w:rsidR="002D2514" w:rsidRPr="620A8401">
        <w:rPr>
          <w:szCs w:val="21"/>
          <w:lang w:val="en-US"/>
        </w:rPr>
        <w:t xml:space="preserve"> </w:t>
      </w:r>
      <w:r w:rsidR="001437AD" w:rsidRPr="620A8401">
        <w:rPr>
          <w:szCs w:val="21"/>
          <w:lang w:val="en-US"/>
        </w:rPr>
        <w:t xml:space="preserve">opened </w:t>
      </w:r>
      <w:r w:rsidR="007608C0" w:rsidRPr="620A8401">
        <w:rPr>
          <w:szCs w:val="21"/>
          <w:lang w:val="en-US"/>
        </w:rPr>
        <w:t>before</w:t>
      </w:r>
      <w:r w:rsidR="002D2514" w:rsidRPr="620A8401">
        <w:rPr>
          <w:szCs w:val="21"/>
          <w:lang w:val="en-US"/>
        </w:rPr>
        <w:t xml:space="preserve"> 31 December</w:t>
      </w:r>
      <w:r w:rsidR="00236B0B" w:rsidRPr="620A8401">
        <w:rPr>
          <w:szCs w:val="21"/>
          <w:lang w:val="en-US"/>
        </w:rPr>
        <w:t xml:space="preserve"> 2023</w:t>
      </w:r>
      <w:r w:rsidR="002D2514" w:rsidRPr="620A8401">
        <w:rPr>
          <w:szCs w:val="21"/>
          <w:lang w:val="en-US"/>
        </w:rPr>
        <w:t xml:space="preserve"> </w:t>
      </w:r>
      <w:r w:rsidR="00C55598" w:rsidRPr="620A8401">
        <w:rPr>
          <w:szCs w:val="21"/>
          <w:lang w:val="en-US"/>
        </w:rPr>
        <w:t xml:space="preserve">and </w:t>
      </w:r>
      <w:r w:rsidR="00E95EEB" w:rsidRPr="620A8401">
        <w:rPr>
          <w:szCs w:val="21"/>
          <w:lang w:val="en-US"/>
        </w:rPr>
        <w:t xml:space="preserve">17 </w:t>
      </w:r>
      <w:r w:rsidR="001437AD" w:rsidRPr="620A8401">
        <w:rPr>
          <w:szCs w:val="21"/>
          <w:lang w:val="en-US"/>
        </w:rPr>
        <w:t>opened</w:t>
      </w:r>
      <w:r w:rsidR="00E95EEB" w:rsidRPr="620A8401">
        <w:rPr>
          <w:szCs w:val="21"/>
          <w:lang w:val="en-US"/>
        </w:rPr>
        <w:t xml:space="preserve"> </w:t>
      </w:r>
      <w:r w:rsidR="00A03B36" w:rsidRPr="620A8401">
        <w:rPr>
          <w:szCs w:val="21"/>
          <w:lang w:val="en-US"/>
        </w:rPr>
        <w:t>between</w:t>
      </w:r>
      <w:r w:rsidR="00BD7946" w:rsidRPr="620A8401">
        <w:rPr>
          <w:szCs w:val="21"/>
          <w:lang w:val="en-US"/>
        </w:rPr>
        <w:t xml:space="preserve"> 1 July</w:t>
      </w:r>
      <w:r w:rsidR="0025121E" w:rsidRPr="620A8401">
        <w:rPr>
          <w:szCs w:val="21"/>
          <w:lang w:val="en-US"/>
        </w:rPr>
        <w:t xml:space="preserve"> 2024</w:t>
      </w:r>
      <w:r w:rsidR="00A03B36" w:rsidRPr="620A8401">
        <w:rPr>
          <w:szCs w:val="21"/>
          <w:lang w:val="en-US"/>
        </w:rPr>
        <w:t xml:space="preserve"> and 30 September 2024</w:t>
      </w:r>
      <w:r w:rsidR="00E95EEB" w:rsidRPr="620A8401">
        <w:rPr>
          <w:szCs w:val="21"/>
          <w:lang w:val="en-US"/>
        </w:rPr>
        <w:t>.</w:t>
      </w:r>
      <w:r w:rsidR="002D2514" w:rsidRPr="620A8401">
        <w:rPr>
          <w:szCs w:val="21"/>
          <w:lang w:val="en-US"/>
        </w:rPr>
        <w:t xml:space="preserve"> </w:t>
      </w:r>
      <w:r w:rsidR="004477C3" w:rsidRPr="620A8401">
        <w:rPr>
          <w:szCs w:val="21"/>
          <w:lang w:val="en-US"/>
        </w:rPr>
        <w:t>A</w:t>
      </w:r>
      <w:r w:rsidR="00C55598" w:rsidRPr="620A8401">
        <w:rPr>
          <w:szCs w:val="21"/>
          <w:lang w:val="en-US"/>
        </w:rPr>
        <w:t xml:space="preserve"> further 12 </w:t>
      </w:r>
      <w:r w:rsidR="006F72B4" w:rsidRPr="620A8401">
        <w:rPr>
          <w:szCs w:val="21"/>
          <w:lang w:val="en-US"/>
        </w:rPr>
        <w:t>clinics</w:t>
      </w:r>
      <w:r w:rsidR="004477C3" w:rsidRPr="620A8401">
        <w:rPr>
          <w:szCs w:val="21"/>
          <w:lang w:val="en-US"/>
        </w:rPr>
        <w:t xml:space="preserve"> will open </w:t>
      </w:r>
      <w:r w:rsidR="00A03B36" w:rsidRPr="620A8401">
        <w:rPr>
          <w:szCs w:val="21"/>
          <w:lang w:val="en-US"/>
        </w:rPr>
        <w:t>progressively from 1 October 2024</w:t>
      </w:r>
      <w:r w:rsidR="00BB6E83" w:rsidRPr="620A8401">
        <w:rPr>
          <w:szCs w:val="21"/>
          <w:lang w:val="en-US"/>
        </w:rPr>
        <w:t xml:space="preserve">, making a total of </w:t>
      </w:r>
      <w:r w:rsidR="004B174E" w:rsidRPr="620A8401">
        <w:rPr>
          <w:szCs w:val="21"/>
          <w:lang w:val="en-US"/>
        </w:rPr>
        <w:t>87 clinics</w:t>
      </w:r>
      <w:r w:rsidR="00BB4802" w:rsidRPr="620A8401">
        <w:rPr>
          <w:szCs w:val="21"/>
          <w:lang w:val="en-US"/>
        </w:rPr>
        <w:t xml:space="preserve"> </w:t>
      </w:r>
      <w:r w:rsidR="00893942" w:rsidRPr="620A8401">
        <w:rPr>
          <w:szCs w:val="21"/>
          <w:lang w:val="en-US"/>
        </w:rPr>
        <w:t xml:space="preserve">to be </w:t>
      </w:r>
      <w:r w:rsidR="00BB4802" w:rsidRPr="620A8401">
        <w:rPr>
          <w:szCs w:val="21"/>
          <w:lang w:val="en-US"/>
        </w:rPr>
        <w:t xml:space="preserve">funded </w:t>
      </w:r>
      <w:r w:rsidR="00893942" w:rsidRPr="620A8401">
        <w:rPr>
          <w:szCs w:val="21"/>
          <w:lang w:val="en-US"/>
        </w:rPr>
        <w:t>through</w:t>
      </w:r>
      <w:r w:rsidR="00BB4802" w:rsidRPr="620A8401">
        <w:rPr>
          <w:szCs w:val="21"/>
          <w:lang w:val="en-US"/>
        </w:rPr>
        <w:t xml:space="preserve"> this program</w:t>
      </w:r>
      <w:r w:rsidR="00893942" w:rsidRPr="620A8401">
        <w:rPr>
          <w:szCs w:val="21"/>
          <w:lang w:val="en-US"/>
        </w:rPr>
        <w:t>.</w:t>
      </w:r>
    </w:p>
    <w:p w14:paraId="062D5F34" w14:textId="2135EB83" w:rsidR="00801B7A" w:rsidRPr="009B783C" w:rsidRDefault="00D845B8" w:rsidP="00642228">
      <w:pPr>
        <w:rPr>
          <w:szCs w:val="21"/>
          <w:lang w:val="en-US"/>
        </w:rPr>
      </w:pPr>
      <w:r w:rsidRPr="620A8401">
        <w:rPr>
          <w:szCs w:val="21"/>
          <w:lang w:val="en-US"/>
        </w:rPr>
        <w:t>At the time of writing</w:t>
      </w:r>
      <w:r w:rsidR="00AE0605" w:rsidRPr="620A8401">
        <w:rPr>
          <w:szCs w:val="21"/>
          <w:lang w:val="en-US"/>
        </w:rPr>
        <w:t xml:space="preserve">, one Medicare UCC is being </w:t>
      </w:r>
      <w:proofErr w:type="gramStart"/>
      <w:r w:rsidR="00AE0605" w:rsidRPr="620A8401">
        <w:rPr>
          <w:szCs w:val="21"/>
          <w:lang w:val="en-US"/>
        </w:rPr>
        <w:t>recommissioned</w:t>
      </w:r>
      <w:proofErr w:type="gramEnd"/>
      <w:r w:rsidR="00AE0605" w:rsidRPr="620A8401">
        <w:rPr>
          <w:szCs w:val="21"/>
          <w:lang w:val="en-US"/>
        </w:rPr>
        <w:t xml:space="preserve"> and a new provider is expected to be stood up</w:t>
      </w:r>
      <w:r w:rsidR="009807C9" w:rsidRPr="620A8401">
        <w:rPr>
          <w:szCs w:val="21"/>
          <w:lang w:val="en-US"/>
        </w:rPr>
        <w:t xml:space="preserve"> in early 2025</w:t>
      </w:r>
      <w:r w:rsidR="00AE0605" w:rsidRPr="620A8401">
        <w:rPr>
          <w:szCs w:val="21"/>
          <w:lang w:val="en-US"/>
        </w:rPr>
        <w:t>. This Medicare UCC was operational in the period up to 30 September 2024</w:t>
      </w:r>
      <w:r w:rsidR="00E53F70" w:rsidRPr="620A8401">
        <w:rPr>
          <w:szCs w:val="21"/>
          <w:lang w:val="en-US"/>
        </w:rPr>
        <w:t>.</w:t>
      </w:r>
    </w:p>
    <w:p w14:paraId="15A9FF6C" w14:textId="07469941" w:rsidR="006C5B6F" w:rsidRPr="009B783C" w:rsidRDefault="00BF7A92" w:rsidP="00642228">
      <w:pPr>
        <w:rPr>
          <w:szCs w:val="21"/>
          <w:lang w:val="en-US"/>
        </w:rPr>
      </w:pPr>
      <w:r w:rsidRPr="620A8401">
        <w:rPr>
          <w:szCs w:val="21"/>
          <w:lang w:val="en-US"/>
        </w:rPr>
        <w:t xml:space="preserve">The </w:t>
      </w:r>
      <w:r w:rsidR="006F24C7" w:rsidRPr="620A8401">
        <w:rPr>
          <w:szCs w:val="21"/>
          <w:lang w:val="en-US"/>
        </w:rPr>
        <w:t xml:space="preserve">first clinics opened on 30 June </w:t>
      </w:r>
      <w:proofErr w:type="gramStart"/>
      <w:r w:rsidR="006F24C7" w:rsidRPr="620A8401">
        <w:rPr>
          <w:szCs w:val="21"/>
          <w:lang w:val="en-US"/>
        </w:rPr>
        <w:t>202</w:t>
      </w:r>
      <w:r w:rsidR="00792349" w:rsidRPr="620A8401">
        <w:rPr>
          <w:szCs w:val="21"/>
          <w:lang w:val="en-US"/>
        </w:rPr>
        <w:t>3</w:t>
      </w:r>
      <w:proofErr w:type="gramEnd"/>
      <w:r w:rsidR="00792349" w:rsidRPr="620A8401">
        <w:rPr>
          <w:szCs w:val="21"/>
          <w:lang w:val="en-US"/>
        </w:rPr>
        <w:t xml:space="preserve"> and</w:t>
      </w:r>
      <w:r w:rsidR="006F24C7" w:rsidRPr="620A8401">
        <w:rPr>
          <w:szCs w:val="21"/>
          <w:lang w:val="en-US"/>
        </w:rPr>
        <w:t xml:space="preserve"> </w:t>
      </w:r>
      <w:r w:rsidR="00792349" w:rsidRPr="620A8401">
        <w:rPr>
          <w:szCs w:val="21"/>
          <w:lang w:val="en-US"/>
        </w:rPr>
        <w:t>many</w:t>
      </w:r>
      <w:r w:rsidR="006F24C7" w:rsidRPr="620A8401">
        <w:rPr>
          <w:szCs w:val="21"/>
          <w:lang w:val="en-US"/>
        </w:rPr>
        <w:t xml:space="preserve"> </w:t>
      </w:r>
      <w:r w:rsidR="006F24C7" w:rsidRPr="620A8401" w:rsidDel="002B6B52">
        <w:rPr>
          <w:szCs w:val="21"/>
          <w:lang w:val="en-US"/>
        </w:rPr>
        <w:t>have</w:t>
      </w:r>
      <w:r w:rsidR="00792349" w:rsidRPr="620A8401" w:rsidDel="002B6B52">
        <w:rPr>
          <w:szCs w:val="21"/>
          <w:lang w:val="en-US"/>
        </w:rPr>
        <w:t xml:space="preserve"> </w:t>
      </w:r>
      <w:r w:rsidR="002B6B52" w:rsidRPr="620A8401">
        <w:rPr>
          <w:szCs w:val="21"/>
          <w:lang w:val="en-US"/>
        </w:rPr>
        <w:t>yet to complete</w:t>
      </w:r>
      <w:r w:rsidR="006F24C7" w:rsidRPr="620A8401">
        <w:rPr>
          <w:szCs w:val="21"/>
          <w:lang w:val="en-US"/>
        </w:rPr>
        <w:t xml:space="preserve"> 12 months</w:t>
      </w:r>
      <w:r w:rsidR="000C2DF4" w:rsidRPr="620A8401">
        <w:rPr>
          <w:szCs w:val="21"/>
          <w:lang w:val="en-US"/>
        </w:rPr>
        <w:t xml:space="preserve"> of operation</w:t>
      </w:r>
      <w:r w:rsidR="00E257AC" w:rsidRPr="620A8401">
        <w:rPr>
          <w:szCs w:val="21"/>
          <w:lang w:val="en-US"/>
        </w:rPr>
        <w:t xml:space="preserve">. </w:t>
      </w:r>
      <w:r w:rsidR="000C2DF4" w:rsidRPr="620A8401">
        <w:rPr>
          <w:szCs w:val="21"/>
          <w:lang w:val="en-US"/>
        </w:rPr>
        <w:t>I</w:t>
      </w:r>
      <w:r w:rsidR="006F24C7" w:rsidRPr="620A8401">
        <w:rPr>
          <w:szCs w:val="21"/>
          <w:lang w:val="en-US"/>
        </w:rPr>
        <w:t>nitially</w:t>
      </w:r>
      <w:r w:rsidR="00BC3A6B" w:rsidRPr="620A8401">
        <w:rPr>
          <w:szCs w:val="21"/>
          <w:lang w:val="en-US"/>
        </w:rPr>
        <w:t>, efforts have</w:t>
      </w:r>
      <w:r w:rsidR="006F24C7" w:rsidRPr="620A8401" w:rsidDel="00BC3A6B">
        <w:rPr>
          <w:szCs w:val="21"/>
          <w:lang w:val="en-US"/>
        </w:rPr>
        <w:t xml:space="preserve"> </w:t>
      </w:r>
      <w:r w:rsidR="00ED01E7" w:rsidRPr="620A8401">
        <w:rPr>
          <w:szCs w:val="21"/>
          <w:lang w:val="en-US"/>
        </w:rPr>
        <w:t xml:space="preserve">concentrated </w:t>
      </w:r>
      <w:r w:rsidR="008D6A82" w:rsidRPr="620A8401">
        <w:rPr>
          <w:szCs w:val="21"/>
          <w:lang w:val="en-US"/>
        </w:rPr>
        <w:t>on establishing and</w:t>
      </w:r>
      <w:r w:rsidR="006F24C7" w:rsidRPr="620A8401">
        <w:rPr>
          <w:szCs w:val="21"/>
          <w:lang w:val="en-US"/>
        </w:rPr>
        <w:t xml:space="preserve"> </w:t>
      </w:r>
      <w:proofErr w:type="spellStart"/>
      <w:r w:rsidR="006F24C7" w:rsidRPr="620A8401">
        <w:rPr>
          <w:szCs w:val="21"/>
          <w:lang w:val="en-US"/>
        </w:rPr>
        <w:t>operationalis</w:t>
      </w:r>
      <w:r w:rsidR="008D6A82" w:rsidRPr="620A8401">
        <w:rPr>
          <w:szCs w:val="21"/>
          <w:lang w:val="en-US"/>
        </w:rPr>
        <w:t>ing</w:t>
      </w:r>
      <w:proofErr w:type="spellEnd"/>
      <w:r w:rsidR="008D6A82" w:rsidRPr="620A8401">
        <w:rPr>
          <w:szCs w:val="21"/>
          <w:lang w:val="en-US"/>
        </w:rPr>
        <w:t xml:space="preserve"> these</w:t>
      </w:r>
      <w:r w:rsidR="005B7117" w:rsidRPr="620A8401">
        <w:rPr>
          <w:szCs w:val="21"/>
          <w:lang w:val="en-US"/>
        </w:rPr>
        <w:t xml:space="preserve"> clinics</w:t>
      </w:r>
      <w:r w:rsidR="00876348" w:rsidRPr="620A8401">
        <w:rPr>
          <w:szCs w:val="21"/>
          <w:lang w:val="en-US"/>
        </w:rPr>
        <w:t xml:space="preserve">. </w:t>
      </w:r>
      <w:r w:rsidR="00891E39" w:rsidRPr="620A8401">
        <w:rPr>
          <w:szCs w:val="21"/>
          <w:lang w:val="en-US"/>
        </w:rPr>
        <w:t>For t</w:t>
      </w:r>
      <w:r w:rsidR="002F3B37" w:rsidRPr="620A8401">
        <w:rPr>
          <w:szCs w:val="21"/>
          <w:lang w:val="en-US"/>
        </w:rPr>
        <w:t>h</w:t>
      </w:r>
      <w:r w:rsidR="008D6A82" w:rsidRPr="620A8401">
        <w:rPr>
          <w:szCs w:val="21"/>
          <w:lang w:val="en-US"/>
        </w:rPr>
        <w:t>ose</w:t>
      </w:r>
      <w:r w:rsidR="002F3B37" w:rsidRPr="620A8401">
        <w:rPr>
          <w:szCs w:val="21"/>
          <w:lang w:val="en-US"/>
        </w:rPr>
        <w:t xml:space="preserve"> clinics </w:t>
      </w:r>
      <w:r w:rsidR="00891E39" w:rsidRPr="620A8401">
        <w:rPr>
          <w:szCs w:val="21"/>
          <w:lang w:val="en-US"/>
        </w:rPr>
        <w:t xml:space="preserve">that have been </w:t>
      </w:r>
      <w:r w:rsidR="002C6F2D" w:rsidRPr="620A8401">
        <w:rPr>
          <w:szCs w:val="21"/>
          <w:lang w:val="en-US"/>
        </w:rPr>
        <w:t>operating for</w:t>
      </w:r>
      <w:r w:rsidR="00891E39" w:rsidRPr="620A8401">
        <w:rPr>
          <w:szCs w:val="21"/>
          <w:lang w:val="en-US"/>
        </w:rPr>
        <w:t xml:space="preserve"> longer, </w:t>
      </w:r>
      <w:r w:rsidR="006F24C7" w:rsidRPr="620A8401">
        <w:rPr>
          <w:szCs w:val="21"/>
          <w:lang w:val="en-US"/>
        </w:rPr>
        <w:t xml:space="preserve">the focus </w:t>
      </w:r>
      <w:r w:rsidR="00891E39" w:rsidRPr="620A8401">
        <w:rPr>
          <w:szCs w:val="21"/>
          <w:lang w:val="en-US"/>
        </w:rPr>
        <w:t xml:space="preserve">has </w:t>
      </w:r>
      <w:r w:rsidR="002C6F2D" w:rsidRPr="620A8401">
        <w:rPr>
          <w:szCs w:val="21"/>
          <w:lang w:val="en-US"/>
        </w:rPr>
        <w:t xml:space="preserve">shifted </w:t>
      </w:r>
      <w:r w:rsidR="00891E39" w:rsidRPr="620A8401">
        <w:rPr>
          <w:szCs w:val="21"/>
          <w:lang w:val="en-US"/>
        </w:rPr>
        <w:t xml:space="preserve">to </w:t>
      </w:r>
      <w:proofErr w:type="spellStart"/>
      <w:r w:rsidR="006F24C7" w:rsidRPr="620A8401">
        <w:rPr>
          <w:szCs w:val="21"/>
          <w:lang w:val="en-US"/>
        </w:rPr>
        <w:t>optimising</w:t>
      </w:r>
      <w:proofErr w:type="spellEnd"/>
      <w:r w:rsidR="006F24C7" w:rsidRPr="620A8401">
        <w:rPr>
          <w:szCs w:val="21"/>
          <w:lang w:val="en-US"/>
        </w:rPr>
        <w:t xml:space="preserve"> </w:t>
      </w:r>
      <w:r w:rsidR="002C6F2D" w:rsidRPr="620A8401">
        <w:rPr>
          <w:szCs w:val="21"/>
          <w:lang w:val="en-US"/>
        </w:rPr>
        <w:t xml:space="preserve">their </w:t>
      </w:r>
      <w:r w:rsidR="00D2238E" w:rsidRPr="620A8401">
        <w:rPr>
          <w:szCs w:val="21"/>
          <w:lang w:val="en-US"/>
        </w:rPr>
        <w:t>operations</w:t>
      </w:r>
      <w:r w:rsidR="002C6F2D" w:rsidRPr="620A8401">
        <w:rPr>
          <w:szCs w:val="21"/>
          <w:lang w:val="en-US"/>
        </w:rPr>
        <w:t>,</w:t>
      </w:r>
      <w:r w:rsidR="006F24C7" w:rsidRPr="620A8401">
        <w:rPr>
          <w:szCs w:val="21"/>
          <w:lang w:val="en-US"/>
        </w:rPr>
        <w:t xml:space="preserve"> including</w:t>
      </w:r>
      <w:r w:rsidR="006C608B" w:rsidRPr="620A8401">
        <w:rPr>
          <w:szCs w:val="21"/>
          <w:lang w:val="en-US"/>
        </w:rPr>
        <w:t xml:space="preserve"> refining</w:t>
      </w:r>
      <w:r w:rsidR="006F24C7" w:rsidRPr="620A8401">
        <w:rPr>
          <w:szCs w:val="21"/>
          <w:lang w:val="en-US"/>
        </w:rPr>
        <w:t xml:space="preserve"> referral pathways </w:t>
      </w:r>
      <w:r w:rsidR="00B6492B" w:rsidRPr="620A8401">
        <w:rPr>
          <w:szCs w:val="21"/>
          <w:lang w:val="en-US"/>
        </w:rPr>
        <w:t xml:space="preserve">and </w:t>
      </w:r>
      <w:r w:rsidR="00226D86" w:rsidRPr="620A8401">
        <w:rPr>
          <w:szCs w:val="21"/>
          <w:lang w:val="en-US"/>
        </w:rPr>
        <w:t xml:space="preserve">integrating </w:t>
      </w:r>
      <w:r w:rsidR="006C608B" w:rsidRPr="620A8401">
        <w:rPr>
          <w:szCs w:val="21"/>
          <w:lang w:val="en-US"/>
        </w:rPr>
        <w:t>the</w:t>
      </w:r>
      <w:r w:rsidR="00226D86" w:rsidRPr="620A8401">
        <w:rPr>
          <w:szCs w:val="21"/>
          <w:lang w:val="en-US"/>
        </w:rPr>
        <w:t>m</w:t>
      </w:r>
      <w:r w:rsidR="006F24C7" w:rsidRPr="620A8401">
        <w:rPr>
          <w:szCs w:val="21"/>
          <w:lang w:val="en-US"/>
        </w:rPr>
        <w:t xml:space="preserve"> into local health ecosystems</w:t>
      </w:r>
      <w:r w:rsidR="00891E39" w:rsidRPr="620A8401">
        <w:rPr>
          <w:szCs w:val="21"/>
          <w:lang w:val="en-US"/>
        </w:rPr>
        <w:t xml:space="preserve">. </w:t>
      </w:r>
    </w:p>
    <w:p w14:paraId="35B8882F" w14:textId="77777777" w:rsidR="002B6EA5" w:rsidRPr="009B783C" w:rsidRDefault="00326683" w:rsidP="004E6754">
      <w:pPr>
        <w:pStyle w:val="Heading2"/>
        <w:ind w:left="567" w:hanging="567"/>
      </w:pPr>
      <w:bookmarkStart w:id="55" w:name="_Ref185510938"/>
      <w:bookmarkStart w:id="56" w:name="_Toc189639221"/>
      <w:bookmarkStart w:id="57" w:name="_Toc189772021"/>
      <w:r w:rsidRPr="009B783C">
        <w:t>Locations of Medicare UCCs</w:t>
      </w:r>
      <w:bookmarkEnd w:id="55"/>
      <w:bookmarkEnd w:id="56"/>
      <w:bookmarkEnd w:id="57"/>
    </w:p>
    <w:p w14:paraId="034D4486" w14:textId="77777777" w:rsidR="009761B2" w:rsidRPr="00E352B1" w:rsidRDefault="00B0727E" w:rsidP="00E352B1">
      <w:pPr>
        <w:spacing w:before="240"/>
        <w:rPr>
          <w:rFonts w:asciiTheme="majorHAnsi" w:hAnsiTheme="majorHAnsi" w:cstheme="majorHAnsi"/>
          <w:b/>
          <w:color w:val="00264D" w:themeColor="background2"/>
          <w:sz w:val="22"/>
        </w:rPr>
      </w:pPr>
      <w:r w:rsidRPr="00E352B1">
        <w:rPr>
          <w:rFonts w:asciiTheme="majorHAnsi" w:hAnsiTheme="majorHAnsi" w:cstheme="majorHAnsi"/>
          <w:color w:val="00264D" w:themeColor="background2"/>
          <w:sz w:val="22"/>
        </w:rPr>
        <w:t>Medicare UCC</w:t>
      </w:r>
      <w:r w:rsidR="00805FA6" w:rsidRPr="00E352B1">
        <w:rPr>
          <w:rFonts w:asciiTheme="majorHAnsi" w:hAnsiTheme="majorHAnsi" w:cstheme="majorHAnsi"/>
          <w:color w:val="00264D" w:themeColor="background2"/>
          <w:sz w:val="22"/>
        </w:rPr>
        <w:t xml:space="preserve"> location</w:t>
      </w:r>
      <w:r w:rsidR="00651B69" w:rsidRPr="00E352B1">
        <w:rPr>
          <w:rFonts w:asciiTheme="majorHAnsi" w:hAnsiTheme="majorHAnsi" w:cstheme="majorHAnsi"/>
          <w:color w:val="00264D" w:themeColor="background2"/>
          <w:sz w:val="22"/>
        </w:rPr>
        <w:t>s</w:t>
      </w:r>
      <w:r w:rsidR="00805FA6" w:rsidRPr="00E352B1">
        <w:rPr>
          <w:rFonts w:asciiTheme="majorHAnsi" w:hAnsiTheme="majorHAnsi" w:cstheme="majorHAnsi"/>
          <w:color w:val="00264D" w:themeColor="background2"/>
          <w:sz w:val="22"/>
        </w:rPr>
        <w:t xml:space="preserve"> broadly follow the</w:t>
      </w:r>
      <w:r w:rsidRPr="00E352B1">
        <w:rPr>
          <w:rFonts w:asciiTheme="majorHAnsi" w:hAnsiTheme="majorHAnsi" w:cstheme="majorHAnsi"/>
          <w:color w:val="00264D" w:themeColor="background2"/>
          <w:sz w:val="22"/>
        </w:rPr>
        <w:t xml:space="preserve"> </w:t>
      </w:r>
      <w:r w:rsidR="00805FA6" w:rsidRPr="00E352B1">
        <w:rPr>
          <w:rFonts w:asciiTheme="majorHAnsi" w:hAnsiTheme="majorHAnsi" w:cstheme="majorHAnsi"/>
          <w:color w:val="00264D" w:themeColor="background2"/>
          <w:sz w:val="22"/>
        </w:rPr>
        <w:t xml:space="preserve">distribution of the Australian </w:t>
      </w:r>
      <w:r w:rsidRPr="00E352B1">
        <w:rPr>
          <w:rFonts w:asciiTheme="majorHAnsi" w:hAnsiTheme="majorHAnsi" w:cstheme="majorHAnsi"/>
          <w:color w:val="00264D" w:themeColor="background2"/>
          <w:sz w:val="22"/>
        </w:rPr>
        <w:t>populatio</w:t>
      </w:r>
      <w:r w:rsidR="00805FA6" w:rsidRPr="00E352B1">
        <w:rPr>
          <w:rFonts w:asciiTheme="majorHAnsi" w:hAnsiTheme="majorHAnsi" w:cstheme="majorHAnsi"/>
          <w:color w:val="00264D" w:themeColor="background2"/>
          <w:sz w:val="22"/>
        </w:rPr>
        <w:t>n</w:t>
      </w:r>
    </w:p>
    <w:p w14:paraId="464A8D2A" w14:textId="572A611B" w:rsidR="00327C37" w:rsidRPr="009B783C" w:rsidRDefault="00AA021C" w:rsidP="00642228">
      <w:pPr>
        <w:rPr>
          <w:szCs w:val="21"/>
          <w:lang w:val="en-US" w:eastAsia="en-AU"/>
        </w:rPr>
      </w:pPr>
      <w:r w:rsidRPr="620A8401">
        <w:rPr>
          <w:szCs w:val="21"/>
          <w:lang w:val="en-US"/>
        </w:rPr>
        <w:t xml:space="preserve">Medicare UCC locations and commissioning arrangements </w:t>
      </w:r>
      <w:r w:rsidR="00D221D9" w:rsidRPr="620A8401">
        <w:rPr>
          <w:szCs w:val="21"/>
          <w:lang w:val="en-US"/>
        </w:rPr>
        <w:t xml:space="preserve">in place to 30 September 2024 </w:t>
      </w:r>
      <w:r w:rsidR="005A2329" w:rsidRPr="620A8401">
        <w:rPr>
          <w:szCs w:val="21"/>
          <w:lang w:val="en-US"/>
        </w:rPr>
        <w:t>are shown</w:t>
      </w:r>
      <w:r w:rsidR="004A3300" w:rsidRPr="620A8401">
        <w:rPr>
          <w:szCs w:val="21"/>
          <w:lang w:val="en-US"/>
        </w:rPr>
        <w:t xml:space="preserve"> in </w:t>
      </w:r>
      <w:r w:rsidR="00605456" w:rsidRPr="009B783C">
        <w:rPr>
          <w:szCs w:val="21"/>
        </w:rPr>
        <w:fldChar w:fldCharType="begin"/>
      </w:r>
      <w:r w:rsidR="00605456" w:rsidRPr="009B783C">
        <w:rPr>
          <w:szCs w:val="21"/>
        </w:rPr>
        <w:instrText xml:space="preserve"> REF _Ref185485328 \h </w:instrText>
      </w:r>
      <w:r w:rsidR="00642228" w:rsidRPr="009B783C">
        <w:rPr>
          <w:szCs w:val="21"/>
        </w:rPr>
        <w:instrText xml:space="preserve"> \* MERGEFORMAT </w:instrText>
      </w:r>
      <w:r w:rsidR="00605456" w:rsidRPr="009B783C">
        <w:rPr>
          <w:szCs w:val="21"/>
        </w:rPr>
      </w:r>
      <w:r w:rsidR="00605456" w:rsidRPr="009B783C">
        <w:rPr>
          <w:szCs w:val="21"/>
        </w:rPr>
        <w:fldChar w:fldCharType="separate"/>
      </w:r>
      <w:r w:rsidR="00830131" w:rsidRPr="00830131">
        <w:rPr>
          <w:szCs w:val="21"/>
          <w:lang w:val="en-US"/>
        </w:rPr>
        <w:t>Figure 2</w:t>
      </w:r>
      <w:r w:rsidR="00605456" w:rsidRPr="009B783C">
        <w:rPr>
          <w:szCs w:val="21"/>
        </w:rPr>
        <w:fldChar w:fldCharType="end"/>
      </w:r>
      <w:r w:rsidR="002F300B" w:rsidRPr="620A8401">
        <w:rPr>
          <w:szCs w:val="21"/>
          <w:lang w:val="en-US"/>
        </w:rPr>
        <w:t>. The number</w:t>
      </w:r>
      <w:r w:rsidR="00BC5600" w:rsidRPr="620A8401">
        <w:rPr>
          <w:szCs w:val="21"/>
          <w:lang w:val="en-US"/>
        </w:rPr>
        <w:t xml:space="preserve"> of Medicare UCCs</w:t>
      </w:r>
      <w:r w:rsidR="002F300B" w:rsidRPr="620A8401">
        <w:rPr>
          <w:szCs w:val="21"/>
          <w:lang w:val="en-US"/>
        </w:rPr>
        <w:t xml:space="preserve"> in each jurisdiction broadly follows the </w:t>
      </w:r>
      <w:r w:rsidR="00AE42AD" w:rsidRPr="620A8401">
        <w:rPr>
          <w:szCs w:val="21"/>
          <w:lang w:val="en-US"/>
        </w:rPr>
        <w:t xml:space="preserve">Australian </w:t>
      </w:r>
      <w:r w:rsidR="002F300B" w:rsidRPr="620A8401">
        <w:rPr>
          <w:szCs w:val="21"/>
          <w:lang w:val="en-US"/>
        </w:rPr>
        <w:t>population distribution</w:t>
      </w:r>
      <w:r w:rsidR="006B368A" w:rsidRPr="620A8401">
        <w:rPr>
          <w:szCs w:val="21"/>
          <w:lang w:val="en-US"/>
        </w:rPr>
        <w:t>,</w:t>
      </w:r>
      <w:r w:rsidR="002F300B" w:rsidRPr="620A8401">
        <w:rPr>
          <w:szCs w:val="21"/>
          <w:lang w:val="en-US"/>
        </w:rPr>
        <w:t xml:space="preserve"> with a slightly higher proportion of clinics located in the smaller states and territories. </w:t>
      </w:r>
      <w:r w:rsidR="00EB36C7" w:rsidRPr="620A8401">
        <w:rPr>
          <w:szCs w:val="21"/>
          <w:lang w:val="en-US"/>
        </w:rPr>
        <w:t xml:space="preserve">This will be re-examined in the next </w:t>
      </w:r>
      <w:r w:rsidR="00516FC1" w:rsidRPr="620A8401">
        <w:rPr>
          <w:szCs w:val="21"/>
          <w:lang w:val="en-US"/>
        </w:rPr>
        <w:t>evaluation phase</w:t>
      </w:r>
      <w:r w:rsidR="00EB36C7" w:rsidRPr="620A8401">
        <w:rPr>
          <w:szCs w:val="21"/>
          <w:lang w:val="en-US"/>
        </w:rPr>
        <w:t xml:space="preserve"> once the remaining clinics are in place.</w:t>
      </w:r>
    </w:p>
    <w:p w14:paraId="35165ED9" w14:textId="3F79EBF5" w:rsidR="00C17381" w:rsidRPr="009B783C" w:rsidRDefault="00907621" w:rsidP="00C17381">
      <w:pPr>
        <w:pStyle w:val="Caption"/>
        <w:rPr>
          <w:szCs w:val="21"/>
        </w:rPr>
      </w:pPr>
      <w:bookmarkStart w:id="58" w:name="_Ref185485328"/>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830131">
        <w:rPr>
          <w:noProof/>
          <w:szCs w:val="21"/>
        </w:rPr>
        <w:t>2</w:t>
      </w:r>
      <w:r w:rsidRPr="009B783C">
        <w:rPr>
          <w:szCs w:val="21"/>
        </w:rPr>
        <w:fldChar w:fldCharType="end"/>
      </w:r>
      <w:bookmarkEnd w:id="58"/>
      <w:r w:rsidR="00C17381" w:rsidRPr="009B783C">
        <w:rPr>
          <w:szCs w:val="21"/>
        </w:rPr>
        <w:t xml:space="preserve"> | Commissioning arrangements of operational Medicare UCCs on 30 September 2024</w:t>
      </w:r>
    </w:p>
    <w:p w14:paraId="36418C77" w14:textId="3A721932" w:rsidR="00C17381" w:rsidRPr="009B783C" w:rsidRDefault="00AB6D93" w:rsidP="00C17381">
      <w:r w:rsidRPr="009B783C">
        <w:rPr>
          <w:noProof/>
        </w:rPr>
        <w:drawing>
          <wp:inline distT="0" distB="0" distL="0" distR="0" wp14:anchorId="18E8538E" wp14:editId="2FDFC761">
            <wp:extent cx="5645955" cy="4015086"/>
            <wp:effectExtent l="0" t="0" r="0" b="5080"/>
            <wp:docPr id="1860882789" name="Picture 10" descr="The 75 operational Medicare UCCs nationally are either State government led or PHN led. There are 17 in Victoria, 5 in the Northern Territory, and 4 in Tasmania which are all State government led, under Federation Funding Agreements. The remainder are PHN led with 20 in New South Wales, 12 in Queensland, 7 in Western Australia, and 5 in South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0882789" name="Picture 10" descr="The 75 operational Medicare UCCs nationally are either State government led or PHN led. There are 17 in Victoria, 5 in the Northern Territory, and 4 in Tasmania which are all State government led, under Federation Funding Agreements. The remainder are PHN led with 20 in New South Wales, 12 in Queensland, 7 in Western Australia, and 5 in South Australia."/>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645955" cy="4015086"/>
                    </a:xfrm>
                    <a:prstGeom prst="rect">
                      <a:avLst/>
                    </a:prstGeom>
                  </pic:spPr>
                </pic:pic>
              </a:graphicData>
            </a:graphic>
          </wp:inline>
        </w:drawing>
      </w:r>
    </w:p>
    <w:p w14:paraId="0BB67EB6" w14:textId="7CDA2D0A" w:rsidR="005B44D1" w:rsidRPr="009B783C" w:rsidRDefault="00605456" w:rsidP="00642228">
      <w:pPr>
        <w:spacing w:after="240"/>
        <w:rPr>
          <w:szCs w:val="21"/>
          <w:lang w:eastAsia="en-AU"/>
        </w:rPr>
      </w:pPr>
      <w:r w:rsidRPr="009B783C">
        <w:rPr>
          <w:szCs w:val="21"/>
          <w:lang w:eastAsia="en-AU"/>
        </w:rPr>
        <w:fldChar w:fldCharType="begin"/>
      </w:r>
      <w:r w:rsidRPr="009B783C">
        <w:rPr>
          <w:szCs w:val="21"/>
          <w:lang w:eastAsia="en-AU"/>
        </w:rPr>
        <w:instrText xml:space="preserve"> REF _Ref185485348 \h </w:instrText>
      </w:r>
      <w:r w:rsidR="00642228"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830131" w:rsidRPr="009B783C">
        <w:rPr>
          <w:szCs w:val="21"/>
        </w:rPr>
        <w:t xml:space="preserve">Table </w:t>
      </w:r>
      <w:r w:rsidR="00830131">
        <w:rPr>
          <w:szCs w:val="21"/>
        </w:rPr>
        <w:t>2</w:t>
      </w:r>
      <w:r w:rsidRPr="009B783C">
        <w:rPr>
          <w:szCs w:val="21"/>
          <w:lang w:eastAsia="en-AU"/>
        </w:rPr>
        <w:fldChar w:fldCharType="end"/>
      </w:r>
      <w:r w:rsidR="00FB1A01" w:rsidRPr="009B783C">
        <w:rPr>
          <w:szCs w:val="21"/>
          <w:lang w:eastAsia="en-AU"/>
        </w:rPr>
        <w:t xml:space="preserve"> </w:t>
      </w:r>
      <w:r w:rsidR="00636210" w:rsidRPr="009B783C">
        <w:rPr>
          <w:szCs w:val="21"/>
          <w:lang w:eastAsia="en-AU"/>
        </w:rPr>
        <w:t>shows the location of</w:t>
      </w:r>
      <w:r w:rsidR="00EB36C7" w:rsidRPr="009B783C">
        <w:rPr>
          <w:szCs w:val="21"/>
          <w:lang w:eastAsia="en-AU"/>
        </w:rPr>
        <w:t xml:space="preserve"> the</w:t>
      </w:r>
      <w:r w:rsidR="00636210" w:rsidRPr="009B783C">
        <w:rPr>
          <w:szCs w:val="21"/>
          <w:lang w:eastAsia="en-AU"/>
        </w:rPr>
        <w:t xml:space="preserve"> Medicare UCCs</w:t>
      </w:r>
      <w:r w:rsidR="00EB36C7" w:rsidRPr="009B783C">
        <w:rPr>
          <w:szCs w:val="21"/>
          <w:lang w:eastAsia="en-AU"/>
        </w:rPr>
        <w:t xml:space="preserve"> </w:t>
      </w:r>
      <w:r w:rsidR="00516FC1" w:rsidRPr="009B783C">
        <w:rPr>
          <w:szCs w:val="21"/>
          <w:lang w:eastAsia="en-AU"/>
        </w:rPr>
        <w:t>operational</w:t>
      </w:r>
      <w:r w:rsidR="007935DC" w:rsidRPr="009B783C">
        <w:rPr>
          <w:szCs w:val="21"/>
          <w:lang w:eastAsia="en-AU"/>
        </w:rPr>
        <w:t xml:space="preserve"> by </w:t>
      </w:r>
      <w:r w:rsidR="008409DB" w:rsidRPr="009B783C">
        <w:rPr>
          <w:szCs w:val="21"/>
          <w:lang w:eastAsia="en-AU"/>
        </w:rPr>
        <w:t>30 September 2024</w:t>
      </w:r>
      <w:r w:rsidR="00636210" w:rsidRPr="009B783C">
        <w:rPr>
          <w:szCs w:val="21"/>
          <w:lang w:eastAsia="en-AU"/>
        </w:rPr>
        <w:t xml:space="preserve"> by </w:t>
      </w:r>
      <w:r w:rsidR="0062447B" w:rsidRPr="009B783C">
        <w:rPr>
          <w:szCs w:val="21"/>
        </w:rPr>
        <w:t>Modified Monash Model</w:t>
      </w:r>
      <w:r w:rsidR="0062447B" w:rsidRPr="009B783C">
        <w:rPr>
          <w:szCs w:val="21"/>
          <w:lang w:eastAsia="en-AU"/>
        </w:rPr>
        <w:t xml:space="preserve"> (</w:t>
      </w:r>
      <w:r w:rsidR="00636210" w:rsidRPr="009B783C">
        <w:rPr>
          <w:szCs w:val="21"/>
          <w:lang w:eastAsia="en-AU"/>
        </w:rPr>
        <w:t>MMM</w:t>
      </w:r>
      <w:r w:rsidR="0062447B" w:rsidRPr="009B783C">
        <w:rPr>
          <w:szCs w:val="21"/>
          <w:lang w:eastAsia="en-AU"/>
        </w:rPr>
        <w:t>)</w:t>
      </w:r>
      <w:r w:rsidR="00636210" w:rsidRPr="009B783C">
        <w:rPr>
          <w:szCs w:val="21"/>
          <w:lang w:eastAsia="en-AU"/>
        </w:rPr>
        <w:t xml:space="preserve"> categor</w:t>
      </w:r>
      <w:r w:rsidR="0020445C" w:rsidRPr="009B783C">
        <w:rPr>
          <w:szCs w:val="21"/>
          <w:lang w:eastAsia="en-AU"/>
        </w:rPr>
        <w:t>y</w:t>
      </w:r>
      <w:r w:rsidR="00636210" w:rsidRPr="009B783C">
        <w:rPr>
          <w:szCs w:val="21"/>
          <w:lang w:eastAsia="en-AU"/>
        </w:rPr>
        <w:t xml:space="preserve">, which </w:t>
      </w:r>
      <w:r w:rsidR="00494CC4" w:rsidRPr="009B783C">
        <w:rPr>
          <w:szCs w:val="21"/>
          <w:lang w:eastAsia="en-AU"/>
        </w:rPr>
        <w:t xml:space="preserve">classifies </w:t>
      </w:r>
      <w:r w:rsidR="0053782F" w:rsidRPr="009B783C">
        <w:rPr>
          <w:szCs w:val="21"/>
          <w:lang w:eastAsia="en-AU"/>
        </w:rPr>
        <w:t xml:space="preserve">regions </w:t>
      </w:r>
      <w:r w:rsidR="003C3661" w:rsidRPr="009B783C">
        <w:rPr>
          <w:szCs w:val="21"/>
          <w:lang w:eastAsia="en-AU"/>
        </w:rPr>
        <w:t>in Aus</w:t>
      </w:r>
      <w:r w:rsidR="00340ADC" w:rsidRPr="009B783C">
        <w:rPr>
          <w:szCs w:val="21"/>
          <w:lang w:eastAsia="en-AU"/>
        </w:rPr>
        <w:t xml:space="preserve">tralia </w:t>
      </w:r>
      <w:r w:rsidR="0053782F" w:rsidRPr="009B783C">
        <w:rPr>
          <w:szCs w:val="21"/>
          <w:lang w:eastAsia="en-AU"/>
        </w:rPr>
        <w:t>based on their remoteness and population size</w:t>
      </w:r>
      <w:r w:rsidR="00636210" w:rsidRPr="009B783C">
        <w:rPr>
          <w:szCs w:val="21"/>
          <w:lang w:eastAsia="en-AU"/>
        </w:rPr>
        <w:t xml:space="preserve">. </w:t>
      </w:r>
      <w:r w:rsidR="002F682D" w:rsidRPr="009B783C">
        <w:rPr>
          <w:szCs w:val="21"/>
          <w:lang w:eastAsia="en-AU"/>
        </w:rPr>
        <w:t>Most clinics (</w:t>
      </w:r>
      <w:r w:rsidR="00826DFA" w:rsidRPr="009B783C">
        <w:rPr>
          <w:szCs w:val="21"/>
          <w:lang w:eastAsia="en-AU"/>
        </w:rPr>
        <w:t>6</w:t>
      </w:r>
      <w:r w:rsidR="008D63E0" w:rsidRPr="009B783C">
        <w:rPr>
          <w:szCs w:val="21"/>
          <w:lang w:eastAsia="en-AU"/>
        </w:rPr>
        <w:t>5</w:t>
      </w:r>
      <w:r w:rsidR="003F35A4" w:rsidRPr="009B783C">
        <w:rPr>
          <w:szCs w:val="21"/>
          <w:lang w:eastAsia="en-AU"/>
        </w:rPr>
        <w:t xml:space="preserve"> per cent</w:t>
      </w:r>
      <w:r w:rsidR="002F682D" w:rsidRPr="009B783C">
        <w:rPr>
          <w:szCs w:val="21"/>
          <w:lang w:eastAsia="en-AU"/>
        </w:rPr>
        <w:t xml:space="preserve">) </w:t>
      </w:r>
      <w:r w:rsidR="00812A00" w:rsidRPr="009B783C">
        <w:rPr>
          <w:szCs w:val="21"/>
          <w:lang w:eastAsia="en-AU"/>
        </w:rPr>
        <w:t>are in</w:t>
      </w:r>
      <w:r w:rsidR="002F682D" w:rsidRPr="009B783C">
        <w:rPr>
          <w:szCs w:val="21"/>
          <w:lang w:eastAsia="en-AU"/>
        </w:rPr>
        <w:t xml:space="preserve"> MM1 </w:t>
      </w:r>
      <w:r w:rsidR="007C2789" w:rsidRPr="009B783C">
        <w:rPr>
          <w:szCs w:val="21"/>
          <w:lang w:eastAsia="en-AU"/>
        </w:rPr>
        <w:t>(</w:t>
      </w:r>
      <w:r w:rsidR="002F682D" w:rsidRPr="009B783C">
        <w:rPr>
          <w:szCs w:val="21"/>
          <w:lang w:eastAsia="en-AU"/>
        </w:rPr>
        <w:t>Metropolitan areas</w:t>
      </w:r>
      <w:r w:rsidR="007C2789" w:rsidRPr="009B783C">
        <w:rPr>
          <w:szCs w:val="21"/>
          <w:lang w:eastAsia="en-AU"/>
        </w:rPr>
        <w:t>)</w:t>
      </w:r>
      <w:r w:rsidR="00C10464" w:rsidRPr="009B783C">
        <w:rPr>
          <w:i/>
          <w:iCs/>
          <w:szCs w:val="21"/>
          <w:lang w:eastAsia="en-AU"/>
        </w:rPr>
        <w:t>.</w:t>
      </w:r>
      <w:r w:rsidR="002F682D" w:rsidRPr="009B783C">
        <w:rPr>
          <w:i/>
          <w:iCs/>
          <w:szCs w:val="21"/>
          <w:lang w:eastAsia="en-AU"/>
        </w:rPr>
        <w:t xml:space="preserve"> </w:t>
      </w:r>
      <w:r w:rsidR="002F682D" w:rsidRPr="009B783C">
        <w:rPr>
          <w:szCs w:val="21"/>
          <w:lang w:eastAsia="en-AU"/>
        </w:rPr>
        <w:t xml:space="preserve">About </w:t>
      </w:r>
      <w:r w:rsidR="00F466E1" w:rsidRPr="009B783C">
        <w:rPr>
          <w:szCs w:val="21"/>
          <w:lang w:eastAsia="en-AU"/>
        </w:rPr>
        <w:t>72</w:t>
      </w:r>
      <w:r w:rsidR="003F35A4" w:rsidRPr="009B783C">
        <w:rPr>
          <w:szCs w:val="21"/>
          <w:lang w:eastAsia="en-AU"/>
        </w:rPr>
        <w:t xml:space="preserve"> per cent</w:t>
      </w:r>
      <w:r w:rsidR="00F466E1" w:rsidRPr="009B783C">
        <w:rPr>
          <w:szCs w:val="21"/>
          <w:lang w:eastAsia="en-AU"/>
        </w:rPr>
        <w:t xml:space="preserve"> of the Australian population lived in these areas in 2021</w:t>
      </w:r>
      <w:r w:rsidR="00D001DF" w:rsidRPr="009B783C">
        <w:rPr>
          <w:szCs w:val="21"/>
          <w:lang w:eastAsia="en-AU"/>
        </w:rPr>
        <w:t>.</w:t>
      </w:r>
      <w:r w:rsidR="00206B8D" w:rsidRPr="009B783C">
        <w:rPr>
          <w:rStyle w:val="FootnoteReference"/>
          <w:szCs w:val="21"/>
          <w:lang w:eastAsia="en-AU"/>
        </w:rPr>
        <w:footnoteReference w:id="26"/>
      </w:r>
      <w:r w:rsidR="00F466E1" w:rsidRPr="009B783C">
        <w:rPr>
          <w:szCs w:val="21"/>
          <w:lang w:eastAsia="en-AU"/>
        </w:rPr>
        <w:t xml:space="preserve"> </w:t>
      </w:r>
    </w:p>
    <w:p w14:paraId="7327B88C" w14:textId="53B65E85" w:rsidR="000C3839" w:rsidRPr="009B783C" w:rsidRDefault="00AB44B1" w:rsidP="000C3839">
      <w:pPr>
        <w:pStyle w:val="Caption"/>
        <w:rPr>
          <w:szCs w:val="21"/>
        </w:rPr>
      </w:pPr>
      <w:bookmarkStart w:id="59" w:name="_Ref185485348"/>
      <w:r w:rsidRPr="009B783C">
        <w:rPr>
          <w:szCs w:val="21"/>
        </w:rPr>
        <w:t>Table</w:t>
      </w:r>
      <w:r w:rsidR="000C3839" w:rsidRPr="009B783C">
        <w:rPr>
          <w:szCs w:val="21"/>
        </w:rPr>
        <w:t xml:space="preserve"> </w:t>
      </w:r>
      <w:r w:rsidRPr="009B783C">
        <w:rPr>
          <w:szCs w:val="21"/>
        </w:rPr>
        <w:fldChar w:fldCharType="begin"/>
      </w:r>
      <w:r w:rsidRPr="009B783C">
        <w:rPr>
          <w:szCs w:val="21"/>
        </w:rPr>
        <w:instrText xml:space="preserve"> SEQ Table \* ARABIC </w:instrText>
      </w:r>
      <w:r w:rsidRPr="009B783C">
        <w:rPr>
          <w:szCs w:val="21"/>
        </w:rPr>
        <w:fldChar w:fldCharType="separate"/>
      </w:r>
      <w:r w:rsidR="00830131">
        <w:rPr>
          <w:noProof/>
          <w:szCs w:val="21"/>
        </w:rPr>
        <w:t>2</w:t>
      </w:r>
      <w:r w:rsidRPr="009B783C">
        <w:rPr>
          <w:szCs w:val="21"/>
        </w:rPr>
        <w:fldChar w:fldCharType="end"/>
      </w:r>
      <w:bookmarkEnd w:id="59"/>
      <w:r w:rsidR="000C3839" w:rsidRPr="009B783C">
        <w:rPr>
          <w:szCs w:val="21"/>
        </w:rPr>
        <w:t xml:space="preserve"> </w:t>
      </w:r>
      <w:r w:rsidR="00AE3F8A" w:rsidRPr="009B783C">
        <w:rPr>
          <w:szCs w:val="21"/>
        </w:rPr>
        <w:t xml:space="preserve">| </w:t>
      </w:r>
      <w:r w:rsidR="000C3839" w:rsidRPr="009B783C">
        <w:rPr>
          <w:szCs w:val="21"/>
        </w:rPr>
        <w:t xml:space="preserve">Medicare UCC locations by </w:t>
      </w:r>
      <w:r w:rsidR="0062447B" w:rsidRPr="009B783C">
        <w:rPr>
          <w:szCs w:val="21"/>
        </w:rPr>
        <w:t>M</w:t>
      </w:r>
      <w:r w:rsidR="000C3839" w:rsidRPr="009B783C">
        <w:rPr>
          <w:szCs w:val="21"/>
        </w:rPr>
        <w:t>MM categories</w:t>
      </w:r>
      <w:r w:rsidR="006160FF" w:rsidRPr="009B783C">
        <w:rPr>
          <w:szCs w:val="21"/>
        </w:rPr>
        <w:t xml:space="preserve"> and comparison with Australian population usual residence, 2021</w:t>
      </w:r>
    </w:p>
    <w:tbl>
      <w:tblPr>
        <w:tblStyle w:val="MediumShading1-Accent5"/>
        <w:tblW w:w="0" w:type="auto"/>
        <w:tblLook w:val="04A0" w:firstRow="1" w:lastRow="0" w:firstColumn="1" w:lastColumn="0" w:noHBand="0" w:noVBand="1"/>
      </w:tblPr>
      <w:tblGrid>
        <w:gridCol w:w="2694"/>
        <w:gridCol w:w="2126"/>
        <w:gridCol w:w="1984"/>
        <w:gridCol w:w="2126"/>
      </w:tblGrid>
      <w:tr w:rsidR="00F2049C" w:rsidRPr="009B783C" w14:paraId="4ECA1B4A" w14:textId="77777777" w:rsidTr="00546BB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E6E6E1" w:themeColor="accent5"/>
              <w:left w:val="nil"/>
              <w:bottom w:val="single" w:sz="4" w:space="0" w:color="00264D" w:themeColor="background2"/>
              <w:right w:val="single" w:sz="4" w:space="0" w:color="FFFFFF" w:themeColor="background1"/>
            </w:tcBorders>
            <w:shd w:val="clear" w:color="auto" w:fill="00264D" w:themeFill="background2"/>
          </w:tcPr>
          <w:p w14:paraId="6C0B83A7" w14:textId="52D8C062" w:rsidR="00F2049C" w:rsidRPr="00EB6740" w:rsidRDefault="00F2049C" w:rsidP="00786482">
            <w:pPr>
              <w:pStyle w:val="TableNheader"/>
            </w:pPr>
            <w:r w:rsidRPr="00EB6740">
              <w:t>MMM category</w:t>
            </w:r>
          </w:p>
        </w:tc>
        <w:tc>
          <w:tcPr>
            <w:tcW w:w="2126" w:type="dxa"/>
            <w:tcBorders>
              <w:top w:val="single" w:sz="4" w:space="0" w:color="E6E6E1" w:themeColor="accent5"/>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10C68958" w14:textId="20712E0E" w:rsidR="00F2049C" w:rsidRPr="00EB6740" w:rsidRDefault="00F2049C" w:rsidP="00786482">
            <w:pPr>
              <w:pStyle w:val="TableNheader"/>
              <w:cnfStyle w:val="100000000000" w:firstRow="1" w:lastRow="0" w:firstColumn="0" w:lastColumn="0" w:oddVBand="0" w:evenVBand="0" w:oddHBand="0" w:evenHBand="0" w:firstRowFirstColumn="0" w:firstRowLastColumn="0" w:lastRowFirstColumn="0" w:lastRowLastColumn="0"/>
            </w:pPr>
            <w:r w:rsidRPr="00EB6740">
              <w:t>Medicare UCCs operational 30 Sept 2024, Number</w:t>
            </w:r>
          </w:p>
        </w:tc>
        <w:tc>
          <w:tcPr>
            <w:tcW w:w="1984" w:type="dxa"/>
            <w:tcBorders>
              <w:top w:val="single" w:sz="4" w:space="0" w:color="E6E6E1" w:themeColor="accent5"/>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2B8FA932" w14:textId="4151F72A" w:rsidR="00F2049C" w:rsidRPr="00EB6740" w:rsidRDefault="00F2049C" w:rsidP="00786482">
            <w:pPr>
              <w:pStyle w:val="TableNheader"/>
              <w:cnfStyle w:val="100000000000" w:firstRow="1" w:lastRow="0" w:firstColumn="0" w:lastColumn="0" w:oddVBand="0" w:evenVBand="0" w:oddHBand="0" w:evenHBand="0" w:firstRowFirstColumn="0" w:firstRowLastColumn="0" w:lastRowFirstColumn="0" w:lastRowLastColumn="0"/>
            </w:pPr>
            <w:r w:rsidRPr="00EB6740">
              <w:t>Medicare UCCs operational 30 Sept 2024, Percentage</w:t>
            </w:r>
          </w:p>
        </w:tc>
        <w:tc>
          <w:tcPr>
            <w:tcW w:w="2126" w:type="dxa"/>
            <w:tcBorders>
              <w:top w:val="single" w:sz="4" w:space="0" w:color="E6E6E1" w:themeColor="accent5"/>
              <w:left w:val="single" w:sz="4" w:space="0" w:color="FFFFFF" w:themeColor="background1"/>
              <w:bottom w:val="single" w:sz="4" w:space="0" w:color="00264D" w:themeColor="background2"/>
              <w:right w:val="nil"/>
            </w:tcBorders>
            <w:shd w:val="clear" w:color="auto" w:fill="00264D" w:themeFill="background2"/>
          </w:tcPr>
          <w:p w14:paraId="415AADCB" w14:textId="12C2A670" w:rsidR="00F2049C" w:rsidRPr="00EB6740" w:rsidRDefault="00F2049C" w:rsidP="00786482">
            <w:pPr>
              <w:pStyle w:val="TableNheader"/>
              <w:cnfStyle w:val="100000000000" w:firstRow="1" w:lastRow="0" w:firstColumn="0" w:lastColumn="0" w:oddVBand="0" w:evenVBand="0" w:oddHBand="0" w:evenHBand="0" w:firstRowFirstColumn="0" w:firstRowLastColumn="0" w:lastRowFirstColumn="0" w:lastRowLastColumn="0"/>
            </w:pPr>
            <w:r w:rsidRPr="00EB6740">
              <w:t>Australian population 2021 (a)</w:t>
            </w:r>
          </w:p>
        </w:tc>
      </w:tr>
      <w:tr w:rsidR="00C01A14" w:rsidRPr="009B783C" w14:paraId="120BE43D" w14:textId="77777777" w:rsidTr="009F21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4E49085" w14:textId="77777777" w:rsidR="00C01A14" w:rsidRPr="009B783C" w:rsidRDefault="00C01A14" w:rsidP="00C01A14">
            <w:pPr>
              <w:pStyle w:val="TableNText"/>
              <w:rPr>
                <w:b w:val="0"/>
                <w:sz w:val="21"/>
                <w:szCs w:val="21"/>
              </w:rPr>
            </w:pPr>
            <w:r w:rsidRPr="009B783C">
              <w:rPr>
                <w:b w:val="0"/>
                <w:sz w:val="21"/>
                <w:szCs w:val="21"/>
              </w:rPr>
              <w:t>MM1: Metropolitan areas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0F8929D7"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b/>
                <w:sz w:val="21"/>
                <w:szCs w:val="21"/>
              </w:rPr>
            </w:pPr>
            <w:r w:rsidRPr="009B783C">
              <w:rPr>
                <w:sz w:val="21"/>
                <w:szCs w:val="21"/>
              </w:rPr>
              <w:t>49</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C16E9AF"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b/>
                <w:sz w:val="21"/>
                <w:szCs w:val="21"/>
              </w:rPr>
            </w:pPr>
            <w:r w:rsidRPr="009B783C">
              <w:rPr>
                <w:sz w:val="21"/>
                <w:szCs w:val="21"/>
              </w:rPr>
              <w:t>65%</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60FAA7A" w14:textId="77777777" w:rsidR="00C01A14" w:rsidRPr="009B783C" w:rsidRDefault="00A6153C" w:rsidP="00C01A14">
            <w:pPr>
              <w:pStyle w:val="TableNText"/>
              <w:jc w:val="center"/>
              <w:cnfStyle w:val="000000100000" w:firstRow="0" w:lastRow="0" w:firstColumn="0" w:lastColumn="0" w:oddVBand="0" w:evenVBand="0" w:oddHBand="1" w:evenHBand="0" w:firstRowFirstColumn="0" w:firstRowLastColumn="0" w:lastRowFirstColumn="0" w:lastRowLastColumn="0"/>
              <w:rPr>
                <w:b/>
                <w:sz w:val="21"/>
                <w:szCs w:val="21"/>
              </w:rPr>
            </w:pPr>
            <w:r w:rsidRPr="009B783C">
              <w:rPr>
                <w:sz w:val="21"/>
                <w:szCs w:val="21"/>
              </w:rPr>
              <w:t>72</w:t>
            </w:r>
            <w:r w:rsidR="00197307" w:rsidRPr="009B783C">
              <w:rPr>
                <w:sz w:val="21"/>
                <w:szCs w:val="21"/>
              </w:rPr>
              <w:t>.0%</w:t>
            </w:r>
          </w:p>
        </w:tc>
      </w:tr>
      <w:tr w:rsidR="00C01A14" w:rsidRPr="009B783C" w14:paraId="6FBD61CC" w14:textId="77777777" w:rsidTr="009F219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6D3FAA6F" w14:textId="77777777" w:rsidR="00C01A14" w:rsidRPr="009B783C" w:rsidRDefault="00C01A14" w:rsidP="00C01A14">
            <w:pPr>
              <w:pStyle w:val="TableNText"/>
              <w:rPr>
                <w:b w:val="0"/>
                <w:sz w:val="21"/>
                <w:szCs w:val="21"/>
              </w:rPr>
            </w:pPr>
            <w:r w:rsidRPr="009B783C">
              <w:rPr>
                <w:b w:val="0"/>
                <w:sz w:val="21"/>
                <w:szCs w:val="21"/>
              </w:rPr>
              <w:t>MM2: Regional centres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E7A5FF5"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13</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7C008C0"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17%</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D1CAA49" w14:textId="77777777" w:rsidR="00C01A14" w:rsidRPr="009B783C" w:rsidRDefault="00197307"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8.7%</w:t>
            </w:r>
          </w:p>
        </w:tc>
      </w:tr>
      <w:tr w:rsidR="00C01A14" w:rsidRPr="009B783C" w14:paraId="2926A3BA" w14:textId="77777777" w:rsidTr="009F21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F5DC08D" w14:textId="77777777" w:rsidR="00C01A14" w:rsidRPr="009B783C" w:rsidRDefault="00C01A14" w:rsidP="00C01A14">
            <w:pPr>
              <w:pStyle w:val="TableNText"/>
              <w:rPr>
                <w:b w:val="0"/>
                <w:sz w:val="21"/>
                <w:szCs w:val="21"/>
              </w:rPr>
            </w:pPr>
            <w:r w:rsidRPr="009B783C">
              <w:rPr>
                <w:b w:val="0"/>
                <w:sz w:val="21"/>
                <w:szCs w:val="21"/>
              </w:rPr>
              <w:t>MM3: Large rural towns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5AB0BB5C"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7</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910A5F8"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9%</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EBBE400" w14:textId="77777777" w:rsidR="00C01A14" w:rsidRPr="009B783C" w:rsidRDefault="00197307"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6.4%</w:t>
            </w:r>
          </w:p>
        </w:tc>
      </w:tr>
      <w:tr w:rsidR="00C01A14" w:rsidRPr="009B783C" w14:paraId="6F0C609F" w14:textId="77777777" w:rsidTr="009F219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A63D43C" w14:textId="77777777" w:rsidR="00C01A14" w:rsidRPr="009B783C" w:rsidRDefault="00C01A14" w:rsidP="00C01A14">
            <w:pPr>
              <w:pStyle w:val="TableNText"/>
              <w:rPr>
                <w:b w:val="0"/>
                <w:sz w:val="21"/>
                <w:szCs w:val="21"/>
              </w:rPr>
            </w:pPr>
            <w:r w:rsidRPr="009B783C">
              <w:rPr>
                <w:b w:val="0"/>
                <w:sz w:val="21"/>
                <w:szCs w:val="21"/>
              </w:rPr>
              <w:t>MM4: Medium rural towns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2D1EE71"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1</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AB54D6C"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1%</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868297D" w14:textId="77777777" w:rsidR="00C01A14" w:rsidRPr="009B783C" w:rsidRDefault="00197307"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5.5%</w:t>
            </w:r>
          </w:p>
        </w:tc>
      </w:tr>
      <w:tr w:rsidR="00C01A14" w:rsidRPr="009B783C" w14:paraId="7492C040" w14:textId="77777777" w:rsidTr="009F21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8E3A727" w14:textId="77777777" w:rsidR="00C01A14" w:rsidRPr="009B783C" w:rsidRDefault="00C01A14" w:rsidP="00C01A14">
            <w:pPr>
              <w:pStyle w:val="TableNText"/>
              <w:rPr>
                <w:b w:val="0"/>
                <w:sz w:val="21"/>
                <w:szCs w:val="21"/>
              </w:rPr>
            </w:pPr>
            <w:r w:rsidRPr="009B783C">
              <w:rPr>
                <w:b w:val="0"/>
                <w:sz w:val="21"/>
                <w:szCs w:val="21"/>
              </w:rPr>
              <w:t>MM6: Remote communities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60905284"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2</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BBA7982"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3%</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5BD424C0" w14:textId="77777777" w:rsidR="00C01A14" w:rsidRPr="009B783C" w:rsidRDefault="00197307" w:rsidP="00C01A14">
            <w:pPr>
              <w:pStyle w:val="TableNText"/>
              <w:jc w:val="center"/>
              <w:cnfStyle w:val="000000100000" w:firstRow="0" w:lastRow="0" w:firstColumn="0" w:lastColumn="0" w:oddVBand="0" w:evenVBand="0" w:oddHBand="1" w:evenHBand="0" w:firstRowFirstColumn="0" w:firstRowLastColumn="0" w:lastRowFirstColumn="0" w:lastRowLastColumn="0"/>
              <w:rPr>
                <w:sz w:val="21"/>
                <w:szCs w:val="21"/>
              </w:rPr>
            </w:pPr>
            <w:r w:rsidRPr="009B783C">
              <w:rPr>
                <w:sz w:val="21"/>
                <w:szCs w:val="21"/>
              </w:rPr>
              <w:t>5.7%</w:t>
            </w:r>
          </w:p>
        </w:tc>
      </w:tr>
      <w:tr w:rsidR="00C01A14" w:rsidRPr="009B783C" w14:paraId="3B7F9731" w14:textId="77777777" w:rsidTr="009F219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CE643AC" w14:textId="77777777" w:rsidR="00C01A14" w:rsidRPr="009B783C" w:rsidRDefault="00C01A14" w:rsidP="00C01A14">
            <w:pPr>
              <w:pStyle w:val="TableNText"/>
              <w:rPr>
                <w:b w:val="0"/>
                <w:sz w:val="21"/>
                <w:szCs w:val="21"/>
              </w:rPr>
            </w:pPr>
            <w:r w:rsidRPr="009B783C">
              <w:rPr>
                <w:b w:val="0"/>
                <w:sz w:val="21"/>
                <w:szCs w:val="21"/>
              </w:rPr>
              <w:lastRenderedPageBreak/>
              <w:t>MM7: Very remote communities</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68BEF107"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3</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003187B1" w14:textId="77777777" w:rsidR="00C01A14" w:rsidRPr="009B783C" w:rsidRDefault="00C01A14"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4%</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072F453B" w14:textId="77777777" w:rsidR="00C01A14" w:rsidRPr="009B783C" w:rsidRDefault="00197307" w:rsidP="00C01A14">
            <w:pPr>
              <w:pStyle w:val="TableNText"/>
              <w:jc w:val="center"/>
              <w:cnfStyle w:val="000000010000" w:firstRow="0" w:lastRow="0" w:firstColumn="0" w:lastColumn="0" w:oddVBand="0" w:evenVBand="0" w:oddHBand="0" w:evenHBand="1" w:firstRowFirstColumn="0" w:firstRowLastColumn="0" w:lastRowFirstColumn="0" w:lastRowLastColumn="0"/>
              <w:rPr>
                <w:sz w:val="21"/>
                <w:szCs w:val="21"/>
              </w:rPr>
            </w:pPr>
            <w:r w:rsidRPr="009B783C">
              <w:rPr>
                <w:sz w:val="21"/>
                <w:szCs w:val="21"/>
              </w:rPr>
              <w:t>1.0%</w:t>
            </w:r>
          </w:p>
        </w:tc>
      </w:tr>
      <w:tr w:rsidR="00C01A14" w:rsidRPr="009B783C" w14:paraId="1FC2D589" w14:textId="77777777" w:rsidTr="009F21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8D801D8" w14:textId="77777777" w:rsidR="00C01A14" w:rsidRPr="009B783C" w:rsidRDefault="00C01A14" w:rsidP="00C01A14">
            <w:pPr>
              <w:pStyle w:val="TableNText"/>
              <w:rPr>
                <w:rFonts w:asciiTheme="majorHAnsi" w:hAnsiTheme="majorHAnsi" w:cstheme="majorHAnsi"/>
                <w:b w:val="0"/>
                <w:sz w:val="21"/>
                <w:szCs w:val="21"/>
              </w:rPr>
            </w:pPr>
            <w:r w:rsidRPr="009B783C">
              <w:rPr>
                <w:rFonts w:asciiTheme="majorHAnsi" w:hAnsiTheme="majorHAnsi" w:cstheme="majorHAnsi"/>
                <w:b w:val="0"/>
                <w:sz w:val="21"/>
                <w:szCs w:val="21"/>
              </w:rPr>
              <w:t>Total</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01CB77DD"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1"/>
                <w:szCs w:val="21"/>
              </w:rPr>
            </w:pPr>
            <w:r w:rsidRPr="009B783C">
              <w:rPr>
                <w:rFonts w:asciiTheme="majorHAnsi" w:hAnsiTheme="majorHAnsi" w:cstheme="majorHAnsi"/>
                <w:sz w:val="21"/>
                <w:szCs w:val="21"/>
              </w:rPr>
              <w:t>75</w:t>
            </w:r>
          </w:p>
        </w:tc>
        <w:tc>
          <w:tcPr>
            <w:tcW w:w="198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75C21C31"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1"/>
                <w:szCs w:val="21"/>
              </w:rPr>
            </w:pPr>
            <w:r w:rsidRPr="009B783C">
              <w:rPr>
                <w:rFonts w:asciiTheme="majorHAnsi" w:hAnsiTheme="majorHAnsi" w:cstheme="majorHAnsi"/>
                <w:sz w:val="21"/>
                <w:szCs w:val="21"/>
              </w:rPr>
              <w:t>100%</w:t>
            </w:r>
          </w:p>
        </w:tc>
        <w:tc>
          <w:tcPr>
            <w:tcW w:w="212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32C08BE0" w14:textId="77777777" w:rsidR="00C01A14" w:rsidRPr="009B783C" w:rsidRDefault="00C01A14" w:rsidP="00C01A14">
            <w:pPr>
              <w:pStyle w:val="TableNText"/>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1"/>
                <w:szCs w:val="21"/>
              </w:rPr>
            </w:pPr>
            <w:r w:rsidRPr="009B783C">
              <w:rPr>
                <w:rFonts w:asciiTheme="majorHAnsi" w:hAnsiTheme="majorHAnsi" w:cstheme="majorHAnsi"/>
                <w:sz w:val="21"/>
                <w:szCs w:val="21"/>
              </w:rPr>
              <w:t>100</w:t>
            </w:r>
            <w:r w:rsidR="00DE29EE" w:rsidRPr="009B783C">
              <w:rPr>
                <w:rFonts w:asciiTheme="majorHAnsi" w:hAnsiTheme="majorHAnsi" w:cstheme="majorHAnsi"/>
                <w:sz w:val="21"/>
                <w:szCs w:val="21"/>
              </w:rPr>
              <w:t>.0</w:t>
            </w:r>
            <w:r w:rsidRPr="009B783C">
              <w:rPr>
                <w:rFonts w:asciiTheme="majorHAnsi" w:hAnsiTheme="majorHAnsi" w:cstheme="majorHAnsi"/>
                <w:sz w:val="21"/>
                <w:szCs w:val="21"/>
              </w:rPr>
              <w:t>%</w:t>
            </w:r>
          </w:p>
        </w:tc>
      </w:tr>
    </w:tbl>
    <w:p w14:paraId="4B013B72" w14:textId="09525A5C" w:rsidR="00642228" w:rsidRPr="00447F47" w:rsidRDefault="00642228" w:rsidP="00642228">
      <w:pPr>
        <w:pStyle w:val="TableExpText"/>
        <w:rPr>
          <w:sz w:val="20"/>
          <w:szCs w:val="20"/>
        </w:rPr>
      </w:pPr>
      <w:r w:rsidRPr="00447F47">
        <w:rPr>
          <w:sz w:val="20"/>
          <w:szCs w:val="20"/>
        </w:rPr>
        <w:t>Note: Table reflects data from 30 June 2023 to 30 September 2024 and extracted on 6 November 2024. (a) Source: Australian Bureau of Statistics (ABS).</w:t>
      </w:r>
      <w:r w:rsidRPr="00447F47">
        <w:rPr>
          <w:rStyle w:val="FootnoteReference"/>
          <w:sz w:val="20"/>
          <w:szCs w:val="20"/>
          <w:lang w:eastAsia="en-AU"/>
        </w:rPr>
        <w:footnoteReference w:id="27"/>
      </w:r>
    </w:p>
    <w:p w14:paraId="4D054EB6" w14:textId="3BB5DD8D" w:rsidR="00E751A3" w:rsidRPr="00E352B1" w:rsidRDefault="00BF3255" w:rsidP="00E352B1">
      <w:pPr>
        <w:spacing w:before="240"/>
        <w:rPr>
          <w:rFonts w:asciiTheme="majorHAnsi" w:hAnsiTheme="majorHAnsi" w:cstheme="majorHAnsi"/>
          <w:b/>
          <w:color w:val="00264D" w:themeColor="background2"/>
          <w:sz w:val="22"/>
        </w:rPr>
      </w:pPr>
      <w:r w:rsidRPr="00E352B1">
        <w:rPr>
          <w:rFonts w:asciiTheme="majorHAnsi" w:hAnsiTheme="majorHAnsi" w:cstheme="majorHAnsi"/>
          <w:color w:val="00264D" w:themeColor="background2"/>
          <w:sz w:val="22"/>
        </w:rPr>
        <w:t xml:space="preserve">Medicare UCCs </w:t>
      </w:r>
      <w:proofErr w:type="gramStart"/>
      <w:r w:rsidR="00347146" w:rsidRPr="00E352B1">
        <w:rPr>
          <w:rFonts w:asciiTheme="majorHAnsi" w:hAnsiTheme="majorHAnsi" w:cstheme="majorHAnsi"/>
          <w:color w:val="00264D" w:themeColor="background2"/>
          <w:sz w:val="22"/>
        </w:rPr>
        <w:t xml:space="preserve">are </w:t>
      </w:r>
      <w:r w:rsidRPr="00E352B1">
        <w:rPr>
          <w:rFonts w:asciiTheme="majorHAnsi" w:hAnsiTheme="majorHAnsi" w:cstheme="majorHAnsi"/>
          <w:color w:val="00264D" w:themeColor="background2"/>
          <w:sz w:val="22"/>
        </w:rPr>
        <w:t>located in</w:t>
      </w:r>
      <w:proofErr w:type="gramEnd"/>
      <w:r w:rsidRPr="00E352B1">
        <w:rPr>
          <w:rFonts w:asciiTheme="majorHAnsi" w:hAnsiTheme="majorHAnsi" w:cstheme="majorHAnsi"/>
          <w:color w:val="00264D" w:themeColor="background2"/>
          <w:sz w:val="22"/>
        </w:rPr>
        <w:t xml:space="preserve"> more socio-economically disadvantaged areas</w:t>
      </w:r>
    </w:p>
    <w:p w14:paraId="5FA974C1" w14:textId="3294BF3B" w:rsidR="00A70FD0" w:rsidRPr="009B783C" w:rsidRDefault="00605456" w:rsidP="00866F22">
      <w:pPr>
        <w:rPr>
          <w:szCs w:val="21"/>
          <w:lang w:eastAsia="en-AU"/>
        </w:rPr>
      </w:pPr>
      <w:r w:rsidRPr="009B783C">
        <w:rPr>
          <w:szCs w:val="21"/>
          <w:lang w:eastAsia="en-AU"/>
        </w:rPr>
        <w:fldChar w:fldCharType="begin"/>
      </w:r>
      <w:r w:rsidRPr="009B783C">
        <w:rPr>
          <w:szCs w:val="21"/>
          <w:lang w:eastAsia="en-AU"/>
        </w:rPr>
        <w:instrText xml:space="preserve"> REF _Ref185485359 \h </w:instrText>
      </w:r>
      <w:r w:rsidR="00866F22"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5F1752" w:rsidRPr="009B783C">
        <w:rPr>
          <w:szCs w:val="21"/>
        </w:rPr>
        <w:t xml:space="preserve">Table </w:t>
      </w:r>
      <w:r w:rsidR="005F1752">
        <w:rPr>
          <w:szCs w:val="21"/>
        </w:rPr>
        <w:t>3</w:t>
      </w:r>
      <w:r w:rsidRPr="009B783C">
        <w:rPr>
          <w:szCs w:val="21"/>
          <w:lang w:eastAsia="en-AU"/>
        </w:rPr>
        <w:fldChar w:fldCharType="end"/>
      </w:r>
      <w:r w:rsidR="000A5E07" w:rsidRPr="009B783C">
        <w:rPr>
          <w:szCs w:val="21"/>
          <w:lang w:eastAsia="en-AU"/>
        </w:rPr>
        <w:t xml:space="preserve"> shows the </w:t>
      </w:r>
      <w:r w:rsidR="003650F5" w:rsidRPr="009B783C">
        <w:rPr>
          <w:szCs w:val="21"/>
          <w:lang w:eastAsia="en-AU"/>
        </w:rPr>
        <w:t xml:space="preserve">location of </w:t>
      </w:r>
      <w:r w:rsidR="008159C2" w:rsidRPr="009B783C">
        <w:rPr>
          <w:szCs w:val="21"/>
          <w:lang w:eastAsia="en-AU"/>
        </w:rPr>
        <w:t xml:space="preserve">existing </w:t>
      </w:r>
      <w:r w:rsidR="003650F5" w:rsidRPr="009B783C">
        <w:rPr>
          <w:szCs w:val="21"/>
          <w:lang w:eastAsia="en-AU"/>
        </w:rPr>
        <w:t xml:space="preserve">Medicare UCCs by the ABS </w:t>
      </w:r>
      <w:r w:rsidR="00FD528F" w:rsidRPr="009B783C">
        <w:rPr>
          <w:szCs w:val="21"/>
          <w:lang w:eastAsia="en-AU"/>
        </w:rPr>
        <w:t>I</w:t>
      </w:r>
      <w:r w:rsidR="003650F5" w:rsidRPr="009B783C">
        <w:rPr>
          <w:szCs w:val="21"/>
          <w:lang w:eastAsia="en-AU"/>
        </w:rPr>
        <w:t xml:space="preserve">ndex of </w:t>
      </w:r>
      <w:r w:rsidR="00FD528F" w:rsidRPr="009B783C">
        <w:rPr>
          <w:szCs w:val="21"/>
          <w:lang w:eastAsia="en-AU"/>
        </w:rPr>
        <w:t xml:space="preserve">Relative </w:t>
      </w:r>
      <w:r w:rsidR="00C17381" w:rsidRPr="009B783C">
        <w:rPr>
          <w:szCs w:val="21"/>
          <w:lang w:eastAsia="en-AU"/>
        </w:rPr>
        <w:t>Soci</w:t>
      </w:r>
      <w:r w:rsidR="007640E5" w:rsidRPr="009B783C">
        <w:rPr>
          <w:szCs w:val="21"/>
          <w:lang w:eastAsia="en-AU"/>
        </w:rPr>
        <w:t>o</w:t>
      </w:r>
      <w:r w:rsidR="00EC0009" w:rsidRPr="009B783C">
        <w:rPr>
          <w:szCs w:val="21"/>
          <w:lang w:eastAsia="en-AU"/>
        </w:rPr>
        <w:t>-</w:t>
      </w:r>
      <w:r w:rsidR="00567176" w:rsidRPr="009B783C">
        <w:rPr>
          <w:szCs w:val="21"/>
          <w:lang w:eastAsia="en-AU"/>
        </w:rPr>
        <w:t>E</w:t>
      </w:r>
      <w:r w:rsidR="00E518C7" w:rsidRPr="009B783C">
        <w:rPr>
          <w:szCs w:val="21"/>
          <w:lang w:eastAsia="en-AU"/>
        </w:rPr>
        <w:t>conomic</w:t>
      </w:r>
      <w:r w:rsidR="00FD528F" w:rsidRPr="009B783C">
        <w:rPr>
          <w:szCs w:val="21"/>
          <w:lang w:eastAsia="en-AU"/>
        </w:rPr>
        <w:t xml:space="preserve"> Disadvantage</w:t>
      </w:r>
      <w:r w:rsidR="00567176" w:rsidRPr="009B783C">
        <w:rPr>
          <w:szCs w:val="21"/>
          <w:lang w:eastAsia="en-AU"/>
        </w:rPr>
        <w:t xml:space="preserve"> (IRS</w:t>
      </w:r>
      <w:r w:rsidR="003A6997" w:rsidRPr="009B783C">
        <w:rPr>
          <w:szCs w:val="21"/>
          <w:lang w:eastAsia="en-AU"/>
        </w:rPr>
        <w:t>D</w:t>
      </w:r>
      <w:r w:rsidR="00567176" w:rsidRPr="009B783C">
        <w:rPr>
          <w:szCs w:val="21"/>
          <w:lang w:eastAsia="en-AU"/>
        </w:rPr>
        <w:t>)</w:t>
      </w:r>
      <w:r w:rsidR="00AB0A1F" w:rsidRPr="009B783C">
        <w:rPr>
          <w:szCs w:val="21"/>
          <w:lang w:eastAsia="en-AU"/>
        </w:rPr>
        <w:t>, based on Statistical Areas Level 2 (SA2).</w:t>
      </w:r>
      <w:r w:rsidR="00A13415" w:rsidRPr="009B783C">
        <w:rPr>
          <w:rStyle w:val="FootnoteReference"/>
          <w:szCs w:val="21"/>
          <w:lang w:eastAsia="en-AU"/>
        </w:rPr>
        <w:footnoteReference w:id="28"/>
      </w:r>
      <w:r w:rsidR="00FD528F" w:rsidRPr="009B783C">
        <w:rPr>
          <w:szCs w:val="21"/>
          <w:lang w:eastAsia="en-AU"/>
        </w:rPr>
        <w:t xml:space="preserve"> </w:t>
      </w:r>
    </w:p>
    <w:p w14:paraId="02F10BC0" w14:textId="002E850C" w:rsidR="00C17381" w:rsidRPr="009B783C" w:rsidRDefault="00C17381" w:rsidP="00866F22">
      <w:pPr>
        <w:rPr>
          <w:szCs w:val="21"/>
          <w:lang w:eastAsia="en-AU"/>
        </w:rPr>
      </w:pPr>
      <w:r w:rsidRPr="009B783C">
        <w:rPr>
          <w:szCs w:val="21"/>
          <w:lang w:eastAsia="en-AU"/>
        </w:rPr>
        <w:t xml:space="preserve">The index is divided into quintiles, with each quintile containing approximately 20 per cent of SA2 areas ranked by disadvantage level. </w:t>
      </w:r>
      <w:r w:rsidR="00357DF7" w:rsidRPr="009B783C">
        <w:rPr>
          <w:szCs w:val="21"/>
          <w:lang w:eastAsia="en-AU"/>
        </w:rPr>
        <w:t>As</w:t>
      </w:r>
      <w:r w:rsidRPr="009B783C">
        <w:rPr>
          <w:szCs w:val="21"/>
          <w:lang w:eastAsia="en-AU"/>
        </w:rPr>
        <w:t xml:space="preserve"> the quintiles are area-based, the population distributions across the quintiles may vary. However, each quintile contains approximately 20 per cent of the Australian population (ranging between 19 and 21 per cent based on the 2021 Usual Resident Population of each SA2). Medicare UCCs tend to </w:t>
      </w:r>
      <w:proofErr w:type="gramStart"/>
      <w:r w:rsidRPr="009B783C">
        <w:rPr>
          <w:szCs w:val="21"/>
          <w:lang w:eastAsia="en-AU"/>
        </w:rPr>
        <w:t>be</w:t>
      </w:r>
      <w:r w:rsidR="00C3217F" w:rsidRPr="009B783C">
        <w:rPr>
          <w:szCs w:val="21"/>
          <w:lang w:eastAsia="en-AU"/>
        </w:rPr>
        <w:t xml:space="preserve"> located</w:t>
      </w:r>
      <w:r w:rsidRPr="009B783C">
        <w:rPr>
          <w:szCs w:val="21"/>
          <w:lang w:eastAsia="en-AU"/>
        </w:rPr>
        <w:t xml:space="preserve"> in</w:t>
      </w:r>
      <w:proofErr w:type="gramEnd"/>
      <w:r w:rsidRPr="009B783C">
        <w:rPr>
          <w:szCs w:val="21"/>
          <w:lang w:eastAsia="en-AU"/>
        </w:rPr>
        <w:t xml:space="preserve"> more disadvantaged SA2s, with 23 per cent located in the most disadvantaged quintile (</w:t>
      </w:r>
      <w:r w:rsidR="00357DF7" w:rsidRPr="009B783C">
        <w:rPr>
          <w:szCs w:val="21"/>
          <w:lang w:eastAsia="en-AU"/>
        </w:rPr>
        <w:t>Q</w:t>
      </w:r>
      <w:r w:rsidRPr="009B783C">
        <w:rPr>
          <w:szCs w:val="21"/>
          <w:lang w:eastAsia="en-AU"/>
        </w:rPr>
        <w:t>uintile 1) and 27 per cent in the next most disadvantaged quintile (</w:t>
      </w:r>
      <w:r w:rsidR="00357DF7" w:rsidRPr="009B783C">
        <w:rPr>
          <w:szCs w:val="21"/>
          <w:lang w:eastAsia="en-AU"/>
        </w:rPr>
        <w:t>Q</w:t>
      </w:r>
      <w:r w:rsidRPr="009B783C">
        <w:rPr>
          <w:szCs w:val="21"/>
          <w:lang w:eastAsia="en-AU"/>
        </w:rPr>
        <w:t>uintile 2).</w:t>
      </w:r>
    </w:p>
    <w:p w14:paraId="745C6CFC" w14:textId="7182139F" w:rsidR="00C17381" w:rsidRPr="009B783C" w:rsidRDefault="00AB44B1" w:rsidP="00C17381">
      <w:pPr>
        <w:pStyle w:val="Caption"/>
        <w:rPr>
          <w:szCs w:val="21"/>
        </w:rPr>
      </w:pPr>
      <w:bookmarkStart w:id="60" w:name="_Ref185485359"/>
      <w:r w:rsidRPr="009B783C">
        <w:rPr>
          <w:szCs w:val="21"/>
        </w:rPr>
        <w:t>Table</w:t>
      </w:r>
      <w:r w:rsidR="000772AA" w:rsidRPr="009B783C">
        <w:rPr>
          <w:szCs w:val="21"/>
        </w:rPr>
        <w:t xml:space="preserve"> </w:t>
      </w:r>
      <w:r w:rsidRPr="009B783C">
        <w:rPr>
          <w:szCs w:val="21"/>
        </w:rPr>
        <w:fldChar w:fldCharType="begin"/>
      </w:r>
      <w:r w:rsidRPr="009B783C">
        <w:rPr>
          <w:szCs w:val="21"/>
        </w:rPr>
        <w:instrText xml:space="preserve"> SEQ Table \* ARABIC </w:instrText>
      </w:r>
      <w:r w:rsidRPr="009B783C">
        <w:rPr>
          <w:szCs w:val="21"/>
        </w:rPr>
        <w:fldChar w:fldCharType="separate"/>
      </w:r>
      <w:r w:rsidR="005F1752">
        <w:rPr>
          <w:noProof/>
          <w:szCs w:val="21"/>
        </w:rPr>
        <w:t>3</w:t>
      </w:r>
      <w:r w:rsidRPr="009B783C">
        <w:rPr>
          <w:szCs w:val="21"/>
        </w:rPr>
        <w:fldChar w:fldCharType="end"/>
      </w:r>
      <w:bookmarkEnd w:id="60"/>
      <w:r w:rsidR="00C17381" w:rsidRPr="009B783C">
        <w:rPr>
          <w:szCs w:val="21"/>
        </w:rPr>
        <w:t xml:space="preserve"> | Medicare UCC locations by ABS IRSD</w:t>
      </w:r>
    </w:p>
    <w:tbl>
      <w:tblPr>
        <w:tblStyle w:val="NOUSSideHeader1"/>
        <w:tblW w:w="5000" w:type="pct"/>
        <w:tblLook w:val="04A0" w:firstRow="1" w:lastRow="0" w:firstColumn="1" w:lastColumn="0" w:noHBand="0" w:noVBand="1"/>
      </w:tblPr>
      <w:tblGrid>
        <w:gridCol w:w="2170"/>
        <w:gridCol w:w="2254"/>
        <w:gridCol w:w="2254"/>
        <w:gridCol w:w="2252"/>
      </w:tblGrid>
      <w:tr w:rsidR="009772E1" w:rsidRPr="009B783C" w14:paraId="49938671" w14:textId="77777777" w:rsidTr="009F2196">
        <w:trPr>
          <w:cnfStyle w:val="100000000000" w:firstRow="1" w:lastRow="0" w:firstColumn="0" w:lastColumn="0" w:oddVBand="0" w:evenVBand="0" w:oddHBand="0" w:evenHBand="0" w:firstRowFirstColumn="0" w:firstRowLastColumn="0" w:lastRowFirstColumn="0" w:lastRowLastColumn="0"/>
        </w:trPr>
        <w:tc>
          <w:tcPr>
            <w:tcW w:w="1215" w:type="pct"/>
            <w:tcBorders>
              <w:top w:val="single" w:sz="2" w:space="0" w:color="00264D" w:themeColor="background2"/>
              <w:bottom w:val="single" w:sz="4" w:space="0" w:color="00264D" w:themeColor="background2"/>
            </w:tcBorders>
            <w:shd w:val="clear" w:color="auto" w:fill="00264D" w:themeFill="background2"/>
          </w:tcPr>
          <w:p w14:paraId="2EC75115" w14:textId="4D1DFDB8" w:rsidR="009772E1" w:rsidRPr="00EB6740" w:rsidRDefault="009772E1" w:rsidP="00786482">
            <w:pPr>
              <w:pStyle w:val="TableNheader"/>
            </w:pPr>
            <w:r w:rsidRPr="00EB6740">
              <w:t>SEIFA IRSD Quintile (a)</w:t>
            </w:r>
          </w:p>
        </w:tc>
        <w:tc>
          <w:tcPr>
            <w:tcW w:w="1262" w:type="pct"/>
            <w:tcBorders>
              <w:top w:val="single" w:sz="2" w:space="0" w:color="00264D" w:themeColor="background2"/>
              <w:bottom w:val="single" w:sz="4" w:space="0" w:color="00264D" w:themeColor="background2"/>
            </w:tcBorders>
            <w:shd w:val="clear" w:color="auto" w:fill="00264D" w:themeFill="background2"/>
          </w:tcPr>
          <w:p w14:paraId="0BBC7632" w14:textId="77777777" w:rsidR="009772E1" w:rsidRPr="00EB6740" w:rsidRDefault="009772E1" w:rsidP="00786482">
            <w:pPr>
              <w:pStyle w:val="TableNheader"/>
            </w:pPr>
            <w:r w:rsidRPr="00EB6740">
              <w:t>Medicare UCCs operational</w:t>
            </w:r>
          </w:p>
          <w:p w14:paraId="2F7E5970" w14:textId="3D9FE13F" w:rsidR="009772E1" w:rsidRPr="00EB6740" w:rsidRDefault="009772E1" w:rsidP="00786482">
            <w:pPr>
              <w:pStyle w:val="TableNheader"/>
            </w:pPr>
            <w:r w:rsidRPr="00EB6740">
              <w:t>30 September 2024 (75 clinics)</w:t>
            </w:r>
            <w:r w:rsidR="00A46C09" w:rsidRPr="00EB6740">
              <w:t>, Number</w:t>
            </w:r>
          </w:p>
        </w:tc>
        <w:tc>
          <w:tcPr>
            <w:tcW w:w="1262" w:type="pct"/>
            <w:tcBorders>
              <w:top w:val="single" w:sz="2" w:space="0" w:color="00264D" w:themeColor="background2"/>
              <w:bottom w:val="single" w:sz="4" w:space="0" w:color="00264D" w:themeColor="background2"/>
            </w:tcBorders>
            <w:shd w:val="clear" w:color="auto" w:fill="00264D" w:themeFill="background2"/>
          </w:tcPr>
          <w:p w14:paraId="3990FB37" w14:textId="77777777" w:rsidR="00A46C09" w:rsidRPr="00EB6740" w:rsidRDefault="00A46C09" w:rsidP="00786482">
            <w:pPr>
              <w:pStyle w:val="TableNheader"/>
            </w:pPr>
            <w:r w:rsidRPr="00EB6740">
              <w:t>Medicare UCCs operational</w:t>
            </w:r>
          </w:p>
          <w:p w14:paraId="1D39EA1E" w14:textId="6E4D6B95" w:rsidR="009772E1" w:rsidRPr="00EB6740" w:rsidRDefault="00A46C09" w:rsidP="00786482">
            <w:pPr>
              <w:pStyle w:val="TableNheader"/>
            </w:pPr>
            <w:r w:rsidRPr="00EB6740">
              <w:t>30 September 2024 (75 clinics), Percentage</w:t>
            </w:r>
          </w:p>
        </w:tc>
        <w:tc>
          <w:tcPr>
            <w:tcW w:w="1261" w:type="pct"/>
            <w:tcBorders>
              <w:top w:val="single" w:sz="2" w:space="0" w:color="00264D" w:themeColor="background2"/>
              <w:bottom w:val="single" w:sz="4" w:space="0" w:color="00264D" w:themeColor="background2"/>
            </w:tcBorders>
            <w:shd w:val="clear" w:color="auto" w:fill="00264D" w:themeFill="background2"/>
            <w:vAlign w:val="top"/>
          </w:tcPr>
          <w:p w14:paraId="51D73EDD" w14:textId="6B3587DE" w:rsidR="009772E1" w:rsidRPr="00EB6740" w:rsidRDefault="00A46C09" w:rsidP="00786482">
            <w:pPr>
              <w:pStyle w:val="TableNheader"/>
            </w:pPr>
            <w:r w:rsidRPr="00EB6740">
              <w:t>Australian population 2021, Percentage</w:t>
            </w:r>
          </w:p>
        </w:tc>
      </w:tr>
      <w:tr w:rsidR="009772E1" w:rsidRPr="009B783C" w14:paraId="29E1257B" w14:textId="77777777" w:rsidTr="009F2196">
        <w:trPr>
          <w:cnfStyle w:val="000000100000" w:firstRow="0" w:lastRow="0" w:firstColumn="0" w:lastColumn="0" w:oddVBand="0" w:evenVBand="0" w:oddHBand="1" w:evenHBand="0" w:firstRowFirstColumn="0" w:firstRowLastColumn="0" w:lastRowFirstColumn="0" w:lastRowLastColumn="0"/>
        </w:trPr>
        <w:tc>
          <w:tcPr>
            <w:tcW w:w="12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C219DC0" w14:textId="77777777" w:rsidR="009772E1" w:rsidRPr="009B783C" w:rsidRDefault="009772E1" w:rsidP="009772E1">
            <w:pPr>
              <w:pStyle w:val="TableNText"/>
              <w:rPr>
                <w:sz w:val="21"/>
                <w:szCs w:val="21"/>
              </w:rPr>
            </w:pPr>
            <w:r w:rsidRPr="009B783C">
              <w:rPr>
                <w:sz w:val="21"/>
                <w:szCs w:val="21"/>
              </w:rPr>
              <w:t>1 (most disadvantaged)</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0AD836E" w14:textId="77777777" w:rsidR="009772E1" w:rsidRPr="009B783C" w:rsidRDefault="009772E1" w:rsidP="00A46C09">
            <w:pPr>
              <w:pStyle w:val="TableNText"/>
              <w:jc w:val="center"/>
              <w:rPr>
                <w:sz w:val="21"/>
                <w:szCs w:val="21"/>
              </w:rPr>
            </w:pPr>
            <w:r w:rsidRPr="009B783C">
              <w:rPr>
                <w:sz w:val="21"/>
                <w:szCs w:val="21"/>
              </w:rPr>
              <w:t>17</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B97BAAD" w14:textId="77777777" w:rsidR="009772E1" w:rsidRPr="009B783C" w:rsidRDefault="009772E1" w:rsidP="00A46C09">
            <w:pPr>
              <w:pStyle w:val="TableNText"/>
              <w:jc w:val="center"/>
              <w:rPr>
                <w:sz w:val="21"/>
                <w:szCs w:val="21"/>
              </w:rPr>
            </w:pPr>
            <w:r w:rsidRPr="009B783C">
              <w:rPr>
                <w:sz w:val="21"/>
                <w:szCs w:val="21"/>
              </w:rPr>
              <w:t>22.6%</w:t>
            </w:r>
          </w:p>
        </w:tc>
        <w:tc>
          <w:tcPr>
            <w:tcW w:w="12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6E13CAB" w14:textId="77777777" w:rsidR="009772E1" w:rsidRPr="009B783C" w:rsidRDefault="009772E1" w:rsidP="00A46C09">
            <w:pPr>
              <w:pStyle w:val="TableNText"/>
              <w:jc w:val="center"/>
              <w:rPr>
                <w:sz w:val="21"/>
                <w:szCs w:val="21"/>
              </w:rPr>
            </w:pPr>
            <w:r w:rsidRPr="009B783C">
              <w:rPr>
                <w:sz w:val="21"/>
                <w:szCs w:val="21"/>
              </w:rPr>
              <w:t>16.9%</w:t>
            </w:r>
          </w:p>
        </w:tc>
      </w:tr>
      <w:tr w:rsidR="009772E1" w:rsidRPr="009B783C" w14:paraId="4530E0DD" w14:textId="77777777" w:rsidTr="009F2196">
        <w:trPr>
          <w:cnfStyle w:val="000000010000" w:firstRow="0" w:lastRow="0" w:firstColumn="0" w:lastColumn="0" w:oddVBand="0" w:evenVBand="0" w:oddHBand="0" w:evenHBand="1" w:firstRowFirstColumn="0" w:firstRowLastColumn="0" w:lastRowFirstColumn="0" w:lastRowLastColumn="0"/>
        </w:trPr>
        <w:tc>
          <w:tcPr>
            <w:tcW w:w="12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D67A81A" w14:textId="77777777" w:rsidR="009772E1" w:rsidRPr="009B783C" w:rsidRDefault="009772E1" w:rsidP="009772E1">
            <w:pPr>
              <w:pStyle w:val="TableNText"/>
              <w:rPr>
                <w:sz w:val="21"/>
                <w:szCs w:val="21"/>
              </w:rPr>
            </w:pPr>
            <w:r w:rsidRPr="009B783C">
              <w:rPr>
                <w:sz w:val="21"/>
                <w:szCs w:val="21"/>
              </w:rPr>
              <w:t>2</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CA8C96B" w14:textId="77777777" w:rsidR="009772E1" w:rsidRPr="009B783C" w:rsidRDefault="009772E1" w:rsidP="00A46C09">
            <w:pPr>
              <w:pStyle w:val="TableNText"/>
              <w:jc w:val="center"/>
              <w:rPr>
                <w:sz w:val="21"/>
                <w:szCs w:val="21"/>
              </w:rPr>
            </w:pPr>
            <w:r w:rsidRPr="009B783C">
              <w:rPr>
                <w:sz w:val="21"/>
                <w:szCs w:val="21"/>
              </w:rPr>
              <w:t>20</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243F979" w14:textId="77777777" w:rsidR="009772E1" w:rsidRPr="009B783C" w:rsidRDefault="009772E1" w:rsidP="00A46C09">
            <w:pPr>
              <w:pStyle w:val="TableNText"/>
              <w:jc w:val="center"/>
              <w:rPr>
                <w:sz w:val="21"/>
                <w:szCs w:val="21"/>
              </w:rPr>
            </w:pPr>
            <w:r w:rsidRPr="009B783C">
              <w:rPr>
                <w:sz w:val="21"/>
                <w:szCs w:val="21"/>
              </w:rPr>
              <w:t>26.6%</w:t>
            </w:r>
          </w:p>
        </w:tc>
        <w:tc>
          <w:tcPr>
            <w:tcW w:w="12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4C64425" w14:textId="77777777" w:rsidR="009772E1" w:rsidRPr="009B783C" w:rsidRDefault="009772E1" w:rsidP="00A46C09">
            <w:pPr>
              <w:pStyle w:val="TableNText"/>
              <w:jc w:val="center"/>
              <w:rPr>
                <w:sz w:val="21"/>
                <w:szCs w:val="21"/>
              </w:rPr>
            </w:pPr>
            <w:r w:rsidRPr="009B783C">
              <w:rPr>
                <w:sz w:val="21"/>
                <w:szCs w:val="21"/>
              </w:rPr>
              <w:t>17.2%</w:t>
            </w:r>
          </w:p>
        </w:tc>
      </w:tr>
      <w:tr w:rsidR="009772E1" w:rsidRPr="009B783C" w14:paraId="0B9E674A" w14:textId="77777777" w:rsidTr="009F2196">
        <w:trPr>
          <w:cnfStyle w:val="000000100000" w:firstRow="0" w:lastRow="0" w:firstColumn="0" w:lastColumn="0" w:oddVBand="0" w:evenVBand="0" w:oddHBand="1" w:evenHBand="0" w:firstRowFirstColumn="0" w:firstRowLastColumn="0" w:lastRowFirstColumn="0" w:lastRowLastColumn="0"/>
        </w:trPr>
        <w:tc>
          <w:tcPr>
            <w:tcW w:w="12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F2F4933" w14:textId="77777777" w:rsidR="009772E1" w:rsidRPr="009B783C" w:rsidRDefault="009772E1" w:rsidP="009772E1">
            <w:pPr>
              <w:pStyle w:val="TableNText"/>
              <w:rPr>
                <w:sz w:val="21"/>
                <w:szCs w:val="21"/>
              </w:rPr>
            </w:pPr>
            <w:r w:rsidRPr="009B783C">
              <w:rPr>
                <w:sz w:val="21"/>
                <w:szCs w:val="21"/>
              </w:rPr>
              <w:t>3</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4183305" w14:textId="77777777" w:rsidR="009772E1" w:rsidRPr="009B783C" w:rsidRDefault="009772E1" w:rsidP="00A46C09">
            <w:pPr>
              <w:pStyle w:val="TableNText"/>
              <w:jc w:val="center"/>
              <w:rPr>
                <w:sz w:val="21"/>
                <w:szCs w:val="21"/>
              </w:rPr>
            </w:pPr>
            <w:r w:rsidRPr="009B783C">
              <w:rPr>
                <w:sz w:val="21"/>
                <w:szCs w:val="21"/>
              </w:rPr>
              <w:t>19</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F6A2CA5" w14:textId="77777777" w:rsidR="009772E1" w:rsidRPr="009B783C" w:rsidRDefault="009772E1" w:rsidP="00A46C09">
            <w:pPr>
              <w:pStyle w:val="TableNText"/>
              <w:jc w:val="center"/>
              <w:rPr>
                <w:sz w:val="21"/>
                <w:szCs w:val="21"/>
              </w:rPr>
            </w:pPr>
            <w:r w:rsidRPr="009B783C">
              <w:rPr>
                <w:sz w:val="21"/>
                <w:szCs w:val="21"/>
              </w:rPr>
              <w:t>25.3%</w:t>
            </w:r>
          </w:p>
        </w:tc>
        <w:tc>
          <w:tcPr>
            <w:tcW w:w="12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73F8A02" w14:textId="77777777" w:rsidR="009772E1" w:rsidRPr="009B783C" w:rsidRDefault="009772E1" w:rsidP="00A46C09">
            <w:pPr>
              <w:pStyle w:val="TableNText"/>
              <w:jc w:val="center"/>
              <w:rPr>
                <w:sz w:val="21"/>
                <w:szCs w:val="21"/>
              </w:rPr>
            </w:pPr>
            <w:r w:rsidRPr="009B783C">
              <w:rPr>
                <w:sz w:val="21"/>
                <w:szCs w:val="21"/>
              </w:rPr>
              <w:t>21.9%</w:t>
            </w:r>
          </w:p>
        </w:tc>
      </w:tr>
      <w:tr w:rsidR="009772E1" w:rsidRPr="009B783C" w14:paraId="7384C6E1" w14:textId="77777777" w:rsidTr="009F2196">
        <w:trPr>
          <w:cnfStyle w:val="000000010000" w:firstRow="0" w:lastRow="0" w:firstColumn="0" w:lastColumn="0" w:oddVBand="0" w:evenVBand="0" w:oddHBand="0" w:evenHBand="1" w:firstRowFirstColumn="0" w:firstRowLastColumn="0" w:lastRowFirstColumn="0" w:lastRowLastColumn="0"/>
        </w:trPr>
        <w:tc>
          <w:tcPr>
            <w:tcW w:w="12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6ED3F53" w14:textId="77777777" w:rsidR="009772E1" w:rsidRPr="009B783C" w:rsidRDefault="009772E1" w:rsidP="009772E1">
            <w:pPr>
              <w:pStyle w:val="TableNText"/>
              <w:rPr>
                <w:sz w:val="21"/>
                <w:szCs w:val="21"/>
              </w:rPr>
            </w:pPr>
            <w:r w:rsidRPr="009B783C">
              <w:rPr>
                <w:sz w:val="21"/>
                <w:szCs w:val="21"/>
              </w:rPr>
              <w:t>4</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A32AE4" w14:textId="77777777" w:rsidR="009772E1" w:rsidRPr="009B783C" w:rsidRDefault="009772E1" w:rsidP="00A46C09">
            <w:pPr>
              <w:pStyle w:val="TableNText"/>
              <w:jc w:val="center"/>
              <w:rPr>
                <w:sz w:val="21"/>
                <w:szCs w:val="21"/>
              </w:rPr>
            </w:pPr>
            <w:r w:rsidRPr="009B783C">
              <w:rPr>
                <w:sz w:val="21"/>
                <w:szCs w:val="21"/>
              </w:rPr>
              <w:t>14</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CB16192" w14:textId="77777777" w:rsidR="009772E1" w:rsidRPr="009B783C" w:rsidRDefault="009772E1" w:rsidP="00A46C09">
            <w:pPr>
              <w:pStyle w:val="TableNText"/>
              <w:jc w:val="center"/>
              <w:rPr>
                <w:sz w:val="21"/>
                <w:szCs w:val="21"/>
              </w:rPr>
            </w:pPr>
            <w:r w:rsidRPr="009B783C">
              <w:rPr>
                <w:sz w:val="21"/>
                <w:szCs w:val="21"/>
              </w:rPr>
              <w:t>18.6%</w:t>
            </w:r>
          </w:p>
        </w:tc>
        <w:tc>
          <w:tcPr>
            <w:tcW w:w="12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BF8D15D" w14:textId="77777777" w:rsidR="009772E1" w:rsidRPr="009B783C" w:rsidRDefault="009772E1" w:rsidP="00A46C09">
            <w:pPr>
              <w:pStyle w:val="TableNText"/>
              <w:jc w:val="center"/>
              <w:rPr>
                <w:sz w:val="21"/>
                <w:szCs w:val="21"/>
              </w:rPr>
            </w:pPr>
            <w:r w:rsidRPr="009B783C">
              <w:rPr>
                <w:sz w:val="21"/>
                <w:szCs w:val="21"/>
              </w:rPr>
              <w:t>21.8%</w:t>
            </w:r>
          </w:p>
        </w:tc>
      </w:tr>
      <w:tr w:rsidR="009772E1" w:rsidRPr="009B783C" w14:paraId="68118E07" w14:textId="77777777" w:rsidTr="009F2196">
        <w:trPr>
          <w:cnfStyle w:val="000000100000" w:firstRow="0" w:lastRow="0" w:firstColumn="0" w:lastColumn="0" w:oddVBand="0" w:evenVBand="0" w:oddHBand="1" w:evenHBand="0" w:firstRowFirstColumn="0" w:firstRowLastColumn="0" w:lastRowFirstColumn="0" w:lastRowLastColumn="0"/>
        </w:trPr>
        <w:tc>
          <w:tcPr>
            <w:tcW w:w="12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7CEADBC" w14:textId="77777777" w:rsidR="009772E1" w:rsidRPr="009B783C" w:rsidRDefault="009772E1" w:rsidP="009772E1">
            <w:pPr>
              <w:pStyle w:val="TableNText"/>
              <w:rPr>
                <w:sz w:val="21"/>
                <w:szCs w:val="21"/>
              </w:rPr>
            </w:pPr>
            <w:r w:rsidRPr="009B783C">
              <w:rPr>
                <w:sz w:val="21"/>
                <w:szCs w:val="21"/>
              </w:rPr>
              <w:t>5 (least disadvantaged)</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EEBD2D9" w14:textId="77777777" w:rsidR="009772E1" w:rsidRPr="009B783C" w:rsidRDefault="009772E1" w:rsidP="00A46C09">
            <w:pPr>
              <w:pStyle w:val="TableNText"/>
              <w:jc w:val="center"/>
              <w:rPr>
                <w:sz w:val="21"/>
                <w:szCs w:val="21"/>
              </w:rPr>
            </w:pPr>
            <w:r w:rsidRPr="009B783C">
              <w:rPr>
                <w:sz w:val="21"/>
                <w:szCs w:val="21"/>
              </w:rPr>
              <w:t>5</w:t>
            </w:r>
          </w:p>
        </w:tc>
        <w:tc>
          <w:tcPr>
            <w:tcW w:w="12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804A899" w14:textId="77777777" w:rsidR="009772E1" w:rsidRPr="009B783C" w:rsidRDefault="009772E1" w:rsidP="00A46C09">
            <w:pPr>
              <w:pStyle w:val="TableNText"/>
              <w:jc w:val="center"/>
              <w:rPr>
                <w:sz w:val="21"/>
                <w:szCs w:val="21"/>
              </w:rPr>
            </w:pPr>
            <w:r w:rsidRPr="009B783C">
              <w:rPr>
                <w:sz w:val="21"/>
                <w:szCs w:val="21"/>
              </w:rPr>
              <w:t>6.7%</w:t>
            </w:r>
          </w:p>
        </w:tc>
        <w:tc>
          <w:tcPr>
            <w:tcW w:w="12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5C4C04A" w14:textId="77777777" w:rsidR="009772E1" w:rsidRPr="009B783C" w:rsidRDefault="009772E1" w:rsidP="00A46C09">
            <w:pPr>
              <w:pStyle w:val="TableNText"/>
              <w:jc w:val="center"/>
              <w:rPr>
                <w:sz w:val="21"/>
                <w:szCs w:val="21"/>
              </w:rPr>
            </w:pPr>
            <w:r w:rsidRPr="009B783C">
              <w:rPr>
                <w:sz w:val="21"/>
                <w:szCs w:val="21"/>
              </w:rPr>
              <w:t>22.1%</w:t>
            </w:r>
          </w:p>
        </w:tc>
      </w:tr>
    </w:tbl>
    <w:p w14:paraId="62237C62" w14:textId="4FBB2698" w:rsidR="00866F22" w:rsidRPr="00ED1544" w:rsidRDefault="00866F22" w:rsidP="00ED1544">
      <w:bookmarkStart w:id="61" w:name="_Toc188946090"/>
      <w:bookmarkStart w:id="62" w:name="_Ref185508921"/>
      <w:bookmarkEnd w:id="61"/>
      <w:r w:rsidRPr="00ED1544">
        <w:lastRenderedPageBreak/>
        <w:t>Note: Table reflects data from 30 June 2024 to 30 September 2024 and extracted on 6 November 2024. (a) Based on the quintile of the ABS IRSD of Medicare UCC location.</w:t>
      </w:r>
    </w:p>
    <w:p w14:paraId="0E0C2956" w14:textId="4E565C65" w:rsidR="009F1C60" w:rsidRPr="009B783C" w:rsidRDefault="002B6EA5" w:rsidP="00005E36">
      <w:pPr>
        <w:pStyle w:val="Heading2"/>
        <w:spacing w:before="240"/>
        <w:ind w:left="578" w:hanging="578"/>
      </w:pPr>
      <w:bookmarkStart w:id="63" w:name="_Toc189639222"/>
      <w:bookmarkStart w:id="64" w:name="_Toc189772022"/>
      <w:r w:rsidRPr="009B783C">
        <w:t>Accessibility</w:t>
      </w:r>
      <w:r w:rsidR="009F1C60" w:rsidRPr="009B783C">
        <w:t xml:space="preserve"> of Medicare UCCs</w:t>
      </w:r>
      <w:bookmarkEnd w:id="62"/>
      <w:bookmarkEnd w:id="63"/>
      <w:bookmarkEnd w:id="64"/>
    </w:p>
    <w:p w14:paraId="039A80E4" w14:textId="77777777" w:rsidR="00677B0B" w:rsidRPr="00E352B1" w:rsidRDefault="00677B0B" w:rsidP="000D706D">
      <w:pPr>
        <w:pStyle w:val="Heading3"/>
        <w:rPr>
          <w:b/>
        </w:rPr>
      </w:pPr>
      <w:r w:rsidRPr="00E352B1">
        <w:t>Medicare UCCs operate for an average of 12 hours per day</w:t>
      </w:r>
    </w:p>
    <w:p w14:paraId="594F6A97" w14:textId="1CC916BF" w:rsidR="001005B7" w:rsidRPr="009B783C" w:rsidRDefault="00A748D4" w:rsidP="00866F22">
      <w:pPr>
        <w:rPr>
          <w:szCs w:val="21"/>
        </w:rPr>
      </w:pPr>
      <w:r w:rsidRPr="009B783C">
        <w:rPr>
          <w:szCs w:val="21"/>
        </w:rPr>
        <w:t xml:space="preserve">Medicare UCC Operational Guidance </w:t>
      </w:r>
      <w:r w:rsidR="001E04A6" w:rsidRPr="009B783C">
        <w:rPr>
          <w:szCs w:val="21"/>
        </w:rPr>
        <w:t>s</w:t>
      </w:r>
      <w:r w:rsidR="001D2C0E" w:rsidRPr="009B783C">
        <w:rPr>
          <w:szCs w:val="21"/>
        </w:rPr>
        <w:t xml:space="preserve">tipulates that </w:t>
      </w:r>
      <w:r w:rsidR="00661870" w:rsidRPr="009B783C">
        <w:rPr>
          <w:szCs w:val="21"/>
        </w:rPr>
        <w:t>Medicare UCCs</w:t>
      </w:r>
      <w:r w:rsidR="00BD1861" w:rsidRPr="009B783C">
        <w:rPr>
          <w:szCs w:val="21"/>
        </w:rPr>
        <w:t xml:space="preserve"> are to be open for extended hours </w:t>
      </w:r>
      <w:r w:rsidR="00CF52A2" w:rsidRPr="009B783C">
        <w:rPr>
          <w:szCs w:val="21"/>
        </w:rPr>
        <w:t>seven</w:t>
      </w:r>
      <w:r w:rsidR="00BD1861" w:rsidRPr="009B783C">
        <w:rPr>
          <w:szCs w:val="21"/>
        </w:rPr>
        <w:t xml:space="preserve"> days a week, with exact hours dependent on local conditions and needs. </w:t>
      </w:r>
    </w:p>
    <w:p w14:paraId="56B912CC" w14:textId="66CB4F1E" w:rsidR="00677B0B" w:rsidRPr="009B783C" w:rsidRDefault="00605456" w:rsidP="00866F22">
      <w:pPr>
        <w:rPr>
          <w:szCs w:val="21"/>
        </w:rPr>
      </w:pPr>
      <w:r w:rsidRPr="009B783C">
        <w:rPr>
          <w:szCs w:val="21"/>
        </w:rPr>
        <w:fldChar w:fldCharType="begin"/>
      </w:r>
      <w:r w:rsidRPr="009B783C">
        <w:rPr>
          <w:szCs w:val="21"/>
        </w:rPr>
        <w:instrText xml:space="preserve"> REF _Ref185485367 \h </w:instrText>
      </w:r>
      <w:r w:rsidR="00866F22" w:rsidRPr="009B783C">
        <w:rPr>
          <w:szCs w:val="21"/>
        </w:rPr>
        <w:instrText xml:space="preserve"> \* MERGEFORMAT </w:instrText>
      </w:r>
      <w:r w:rsidRPr="009B783C">
        <w:rPr>
          <w:szCs w:val="21"/>
        </w:rPr>
      </w:r>
      <w:r w:rsidRPr="009B783C">
        <w:rPr>
          <w:szCs w:val="21"/>
        </w:rPr>
        <w:fldChar w:fldCharType="separate"/>
      </w:r>
      <w:r w:rsidR="005F1752" w:rsidRPr="009B783C">
        <w:rPr>
          <w:szCs w:val="21"/>
        </w:rPr>
        <w:t xml:space="preserve">Table </w:t>
      </w:r>
      <w:r w:rsidR="005F1752">
        <w:rPr>
          <w:szCs w:val="21"/>
        </w:rPr>
        <w:t>4</w:t>
      </w:r>
      <w:r w:rsidRPr="009B783C">
        <w:rPr>
          <w:szCs w:val="21"/>
        </w:rPr>
        <w:fldChar w:fldCharType="end"/>
      </w:r>
      <w:r w:rsidR="00606D68" w:rsidRPr="009B783C">
        <w:rPr>
          <w:szCs w:val="21"/>
        </w:rPr>
        <w:t xml:space="preserve"> </w:t>
      </w:r>
      <w:r w:rsidR="00677B0B" w:rsidRPr="009B783C">
        <w:rPr>
          <w:szCs w:val="21"/>
        </w:rPr>
        <w:t xml:space="preserve">shows the </w:t>
      </w:r>
      <w:r w:rsidR="00606D68" w:rsidRPr="009B783C">
        <w:rPr>
          <w:szCs w:val="21"/>
        </w:rPr>
        <w:t xml:space="preserve">days of the week </w:t>
      </w:r>
      <w:r w:rsidR="00155A1C" w:rsidRPr="009B783C">
        <w:rPr>
          <w:szCs w:val="21"/>
        </w:rPr>
        <w:t>Medicare UCCs are open and statistics on the hours open</w:t>
      </w:r>
      <w:r w:rsidR="00677B0B" w:rsidRPr="009B783C">
        <w:rPr>
          <w:szCs w:val="21"/>
        </w:rPr>
        <w:t>.</w:t>
      </w:r>
      <w:r w:rsidR="00677B0B" w:rsidRPr="009B783C">
        <w:rPr>
          <w:szCs w:val="21"/>
          <w:lang w:eastAsia="en-AU"/>
        </w:rPr>
        <w:t xml:space="preserve"> </w:t>
      </w:r>
      <w:r w:rsidR="002B270B" w:rsidRPr="009B783C">
        <w:rPr>
          <w:szCs w:val="21"/>
          <w:lang w:eastAsia="en-AU"/>
        </w:rPr>
        <w:t>A</w:t>
      </w:r>
      <w:r w:rsidR="00677B0B" w:rsidRPr="009B783C">
        <w:rPr>
          <w:szCs w:val="21"/>
          <w:lang w:eastAsia="en-AU"/>
        </w:rPr>
        <w:t>ll were open on weekdays for an average of 12</w:t>
      </w:r>
      <w:r w:rsidR="00A57C2E" w:rsidRPr="009B783C">
        <w:rPr>
          <w:szCs w:val="21"/>
          <w:lang w:eastAsia="en-AU"/>
        </w:rPr>
        <w:t>.3</w:t>
      </w:r>
      <w:r w:rsidR="00677B0B" w:rsidRPr="009B783C">
        <w:rPr>
          <w:szCs w:val="21"/>
          <w:lang w:eastAsia="en-AU"/>
        </w:rPr>
        <w:t xml:space="preserve"> hours. On weekends, </w:t>
      </w:r>
      <w:r w:rsidR="00A57C2E" w:rsidRPr="009B783C">
        <w:rPr>
          <w:szCs w:val="21"/>
          <w:lang w:eastAsia="en-AU"/>
        </w:rPr>
        <w:t>73</w:t>
      </w:r>
      <w:r w:rsidR="00677B0B" w:rsidRPr="009B783C">
        <w:rPr>
          <w:szCs w:val="21"/>
          <w:lang w:eastAsia="en-AU"/>
        </w:rPr>
        <w:t xml:space="preserve"> clinics operated with a similar average of 12 hours on both Saturdays and Sundays. </w:t>
      </w:r>
      <w:r w:rsidR="00855A3A" w:rsidRPr="009B783C">
        <w:rPr>
          <w:szCs w:val="21"/>
          <w:lang w:eastAsia="en-AU"/>
        </w:rPr>
        <w:t xml:space="preserve">The </w:t>
      </w:r>
      <w:r w:rsidR="00A57CC6" w:rsidRPr="009B783C">
        <w:rPr>
          <w:szCs w:val="21"/>
          <w:lang w:eastAsia="en-AU"/>
        </w:rPr>
        <w:t>two</w:t>
      </w:r>
      <w:r w:rsidR="00855A3A" w:rsidRPr="009B783C">
        <w:rPr>
          <w:szCs w:val="21"/>
          <w:lang w:eastAsia="en-AU"/>
        </w:rPr>
        <w:t xml:space="preserve"> clinics that </w:t>
      </w:r>
      <w:r w:rsidR="007E7B31" w:rsidRPr="009B783C">
        <w:rPr>
          <w:szCs w:val="21"/>
          <w:lang w:eastAsia="en-AU"/>
        </w:rPr>
        <w:t xml:space="preserve">are not open on the weekend are based in remote areas of </w:t>
      </w:r>
      <w:r w:rsidR="00D15EB1" w:rsidRPr="009B783C">
        <w:rPr>
          <w:szCs w:val="21"/>
          <w:lang w:eastAsia="en-AU"/>
        </w:rPr>
        <w:t xml:space="preserve">the </w:t>
      </w:r>
      <w:r w:rsidR="00955A7E" w:rsidRPr="009B783C">
        <w:rPr>
          <w:szCs w:val="21"/>
          <w:lang w:eastAsia="en-AU"/>
        </w:rPr>
        <w:t>NT</w:t>
      </w:r>
      <w:r w:rsidR="004244CD" w:rsidRPr="009B783C">
        <w:rPr>
          <w:szCs w:val="21"/>
          <w:lang w:eastAsia="en-AU"/>
        </w:rPr>
        <w:t xml:space="preserve"> and </w:t>
      </w:r>
      <w:r w:rsidR="003A1F80" w:rsidRPr="009B783C">
        <w:rPr>
          <w:szCs w:val="21"/>
          <w:lang w:eastAsia="en-AU"/>
        </w:rPr>
        <w:t>have</w:t>
      </w:r>
      <w:r w:rsidR="004244CD" w:rsidRPr="009B783C">
        <w:rPr>
          <w:szCs w:val="21"/>
          <w:lang w:eastAsia="en-AU"/>
        </w:rPr>
        <w:t xml:space="preserve"> </w:t>
      </w:r>
      <w:r w:rsidR="003F1988" w:rsidRPr="009B783C">
        <w:rPr>
          <w:szCs w:val="21"/>
          <w:lang w:eastAsia="en-AU"/>
        </w:rPr>
        <w:t>GP on</w:t>
      </w:r>
      <w:r w:rsidR="00FF67FF" w:rsidRPr="009B783C">
        <w:rPr>
          <w:szCs w:val="21"/>
          <w:lang w:eastAsia="en-AU"/>
        </w:rPr>
        <w:t>-</w:t>
      </w:r>
      <w:r w:rsidR="003F1988" w:rsidRPr="009B783C">
        <w:rPr>
          <w:szCs w:val="21"/>
          <w:lang w:eastAsia="en-AU"/>
        </w:rPr>
        <w:t xml:space="preserve">call arrangements </w:t>
      </w:r>
      <w:r w:rsidR="00D15EB1" w:rsidRPr="009B783C">
        <w:rPr>
          <w:szCs w:val="21"/>
          <w:lang w:eastAsia="en-AU"/>
        </w:rPr>
        <w:t>in place</w:t>
      </w:r>
      <w:r w:rsidR="00690CDB" w:rsidRPr="009B783C">
        <w:rPr>
          <w:szCs w:val="21"/>
          <w:lang w:eastAsia="en-AU"/>
        </w:rPr>
        <w:t>.</w:t>
      </w:r>
      <w:r w:rsidR="00A009AC" w:rsidRPr="009B783C">
        <w:rPr>
          <w:szCs w:val="21"/>
          <w:lang w:eastAsia="en-AU"/>
        </w:rPr>
        <w:t xml:space="preserve"> </w:t>
      </w:r>
    </w:p>
    <w:p w14:paraId="15130430" w14:textId="09A67E51" w:rsidR="00677B0B" w:rsidRPr="009B783C" w:rsidRDefault="00677B0B" w:rsidP="00677B0B">
      <w:pPr>
        <w:pStyle w:val="Caption"/>
        <w:rPr>
          <w:szCs w:val="21"/>
        </w:rPr>
      </w:pPr>
      <w:bookmarkStart w:id="65" w:name="_Ref185485367"/>
      <w:r w:rsidRPr="009B783C">
        <w:rPr>
          <w:szCs w:val="21"/>
        </w:rPr>
        <w:t xml:space="preserve">Table </w:t>
      </w:r>
      <w:r w:rsidR="00606D68" w:rsidRPr="009B783C">
        <w:rPr>
          <w:szCs w:val="21"/>
        </w:rPr>
        <w:fldChar w:fldCharType="begin"/>
      </w:r>
      <w:r w:rsidR="00606D68" w:rsidRPr="009B783C">
        <w:rPr>
          <w:szCs w:val="21"/>
        </w:rPr>
        <w:instrText xml:space="preserve"> SEQ Table \* ARABIC </w:instrText>
      </w:r>
      <w:r w:rsidR="00606D68" w:rsidRPr="009B783C">
        <w:rPr>
          <w:szCs w:val="21"/>
        </w:rPr>
        <w:fldChar w:fldCharType="separate"/>
      </w:r>
      <w:r w:rsidR="005F1752">
        <w:rPr>
          <w:noProof/>
          <w:szCs w:val="21"/>
        </w:rPr>
        <w:t>4</w:t>
      </w:r>
      <w:r w:rsidR="00606D68" w:rsidRPr="009B783C">
        <w:rPr>
          <w:szCs w:val="21"/>
        </w:rPr>
        <w:fldChar w:fldCharType="end"/>
      </w:r>
      <w:bookmarkEnd w:id="65"/>
      <w:r w:rsidRPr="009B783C">
        <w:rPr>
          <w:szCs w:val="21"/>
        </w:rPr>
        <w:t xml:space="preserve"> | Medicare UCCs</w:t>
      </w:r>
      <w:r w:rsidR="00155A1C" w:rsidRPr="009B783C">
        <w:rPr>
          <w:szCs w:val="21"/>
        </w:rPr>
        <w:t xml:space="preserve"> open by day of week and statistics on hours open</w:t>
      </w:r>
      <w:r w:rsidR="00C17381" w:rsidRPr="009B783C">
        <w:rPr>
          <w:rStyle w:val="FootnoteReference"/>
          <w:szCs w:val="21"/>
        </w:rPr>
        <w:footnoteReference w:id="29"/>
      </w:r>
    </w:p>
    <w:tbl>
      <w:tblPr>
        <w:tblW w:w="4988" w:type="pct"/>
        <w:jc w:val="center"/>
        <w:tblLayout w:type="fixed"/>
        <w:tblLook w:val="0420" w:firstRow="1" w:lastRow="0" w:firstColumn="0" w:lastColumn="0" w:noHBand="0" w:noVBand="1"/>
      </w:tblPr>
      <w:tblGrid>
        <w:gridCol w:w="1911"/>
        <w:gridCol w:w="1658"/>
        <w:gridCol w:w="1658"/>
        <w:gridCol w:w="1659"/>
        <w:gridCol w:w="2023"/>
      </w:tblGrid>
      <w:tr w:rsidR="00A46C09" w:rsidRPr="009B783C" w14:paraId="4C6D63FB" w14:textId="77777777" w:rsidTr="00C27645">
        <w:trPr>
          <w:trHeight w:val="226"/>
          <w:tblHeader/>
          <w:jc w:val="center"/>
        </w:trPr>
        <w:tc>
          <w:tcPr>
            <w:tcW w:w="1911" w:type="dxa"/>
            <w:tcBorders>
              <w:top w:val="single" w:sz="2" w:space="0" w:color="00264D" w:themeColor="background2"/>
              <w:bottom w:val="single" w:sz="4" w:space="0" w:color="00264D" w:themeColor="background2"/>
            </w:tcBorders>
            <w:shd w:val="clear" w:color="auto" w:fill="00264D" w:themeFill="background2"/>
            <w:tcMar>
              <w:top w:w="40" w:type="dxa"/>
              <w:left w:w="80" w:type="dxa"/>
              <w:bottom w:w="40" w:type="dxa"/>
              <w:right w:w="80" w:type="dxa"/>
            </w:tcMar>
            <w:vAlign w:val="center"/>
          </w:tcPr>
          <w:p w14:paraId="669D82EF" w14:textId="58A09BE6" w:rsidR="00677B0B" w:rsidRPr="00B77982" w:rsidRDefault="00A46C09" w:rsidP="00786482">
            <w:pPr>
              <w:pStyle w:val="TableNheader"/>
            </w:pPr>
            <w:r w:rsidRPr="00B77982">
              <w:rPr>
                <w:rFonts w:eastAsia="Segoe UI Semibold"/>
              </w:rPr>
              <w:t>Day of week</w:t>
            </w:r>
          </w:p>
        </w:tc>
        <w:tc>
          <w:tcPr>
            <w:tcW w:w="1658" w:type="dxa"/>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40" w:type="dxa"/>
              <w:left w:w="80" w:type="dxa"/>
              <w:bottom w:w="40" w:type="dxa"/>
              <w:right w:w="80" w:type="dxa"/>
            </w:tcMar>
            <w:vAlign w:val="center"/>
          </w:tcPr>
          <w:p w14:paraId="43B4EE1B" w14:textId="56CA1672" w:rsidR="00677B0B" w:rsidRPr="00B77982" w:rsidRDefault="00A46C09" w:rsidP="00786482">
            <w:pPr>
              <w:pStyle w:val="TableNheader"/>
            </w:pPr>
            <w:r w:rsidRPr="00B77982">
              <w:rPr>
                <w:rFonts w:eastAsia="Segoe UI Semibold"/>
              </w:rPr>
              <w:t xml:space="preserve">Hours open (a), </w:t>
            </w:r>
            <w:r w:rsidR="00677B0B" w:rsidRPr="00B77982">
              <w:rPr>
                <w:rFonts w:eastAsia="Segoe UI Semibold"/>
              </w:rPr>
              <w:t>Mean</w:t>
            </w:r>
          </w:p>
        </w:tc>
        <w:tc>
          <w:tcPr>
            <w:tcW w:w="1658" w:type="dxa"/>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40" w:type="dxa"/>
              <w:left w:w="80" w:type="dxa"/>
              <w:bottom w:w="40" w:type="dxa"/>
              <w:right w:w="80" w:type="dxa"/>
            </w:tcMar>
            <w:vAlign w:val="center"/>
          </w:tcPr>
          <w:p w14:paraId="0F1F4F23" w14:textId="5A5850A8" w:rsidR="00677B0B" w:rsidRPr="00B77982" w:rsidRDefault="00A46C09" w:rsidP="00786482">
            <w:pPr>
              <w:pStyle w:val="TableNheader"/>
            </w:pPr>
            <w:r w:rsidRPr="00B77982">
              <w:rPr>
                <w:rFonts w:eastAsia="Segoe UI Semibold"/>
              </w:rPr>
              <w:t xml:space="preserve">Hours open (a), </w:t>
            </w:r>
            <w:r w:rsidR="00677B0B" w:rsidRPr="00B77982">
              <w:rPr>
                <w:rFonts w:eastAsia="Segoe UI Semibold"/>
              </w:rPr>
              <w:t>Minimum</w:t>
            </w:r>
          </w:p>
        </w:tc>
        <w:tc>
          <w:tcPr>
            <w:tcW w:w="1659" w:type="dxa"/>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40" w:type="dxa"/>
              <w:left w:w="80" w:type="dxa"/>
              <w:bottom w:w="40" w:type="dxa"/>
              <w:right w:w="80" w:type="dxa"/>
            </w:tcMar>
            <w:vAlign w:val="center"/>
          </w:tcPr>
          <w:p w14:paraId="3F2BB693" w14:textId="33F82998" w:rsidR="00677B0B" w:rsidRPr="00B77982" w:rsidRDefault="00A46C09" w:rsidP="00786482">
            <w:pPr>
              <w:pStyle w:val="TableNheader"/>
            </w:pPr>
            <w:r w:rsidRPr="00B77982">
              <w:rPr>
                <w:rFonts w:eastAsia="Segoe UI Semibold"/>
              </w:rPr>
              <w:t xml:space="preserve">Hours open (a), </w:t>
            </w:r>
            <w:r w:rsidR="00677B0B" w:rsidRPr="00B77982">
              <w:rPr>
                <w:rFonts w:eastAsia="Segoe UI Semibold"/>
              </w:rPr>
              <w:t>Maximum</w:t>
            </w:r>
          </w:p>
        </w:tc>
        <w:tc>
          <w:tcPr>
            <w:tcW w:w="2023" w:type="dxa"/>
            <w:tcBorders>
              <w:top w:val="single" w:sz="2" w:space="0" w:color="00264D" w:themeColor="background2"/>
              <w:bottom w:val="single" w:sz="4" w:space="0" w:color="00264D" w:themeColor="background2"/>
            </w:tcBorders>
            <w:shd w:val="clear" w:color="auto" w:fill="00264D" w:themeFill="background2"/>
            <w:tcMar>
              <w:top w:w="40" w:type="dxa"/>
              <w:left w:w="80" w:type="dxa"/>
              <w:bottom w:w="40" w:type="dxa"/>
              <w:right w:w="80" w:type="dxa"/>
            </w:tcMar>
            <w:vAlign w:val="center"/>
          </w:tcPr>
          <w:p w14:paraId="0B07FC79" w14:textId="406D87D4" w:rsidR="00677B0B" w:rsidRPr="00B77982" w:rsidRDefault="00A46C09" w:rsidP="00786482">
            <w:pPr>
              <w:pStyle w:val="TableNheader"/>
            </w:pPr>
            <w:r w:rsidRPr="00B77982">
              <w:rPr>
                <w:rFonts w:eastAsia="Segoe UI Semibold"/>
              </w:rPr>
              <w:t>Number of clinics open</w:t>
            </w:r>
          </w:p>
        </w:tc>
      </w:tr>
      <w:tr w:rsidR="00677B0B" w:rsidRPr="009B783C" w14:paraId="6D184156" w14:textId="77777777" w:rsidTr="00C27645">
        <w:trPr>
          <w:jc w:val="center"/>
        </w:trPr>
        <w:tc>
          <w:tcPr>
            <w:tcW w:w="1911"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1BA16C9A" w14:textId="77777777" w:rsidR="00677B0B" w:rsidRPr="009B783C" w:rsidRDefault="00677B0B" w:rsidP="00C77F9F">
            <w:pPr>
              <w:pStyle w:val="TableNText"/>
              <w:rPr>
                <w:sz w:val="21"/>
                <w:szCs w:val="21"/>
              </w:rPr>
            </w:pPr>
            <w:r w:rsidRPr="009B783C">
              <w:rPr>
                <w:sz w:val="21"/>
                <w:szCs w:val="21"/>
              </w:rPr>
              <w:t>Weekdays</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1AD01050" w14:textId="77777777" w:rsidR="00677B0B" w:rsidRPr="009B783C" w:rsidRDefault="00677B0B" w:rsidP="00C77F9F">
            <w:pPr>
              <w:pStyle w:val="TableNText"/>
              <w:jc w:val="center"/>
              <w:rPr>
                <w:sz w:val="21"/>
                <w:szCs w:val="21"/>
              </w:rPr>
            </w:pPr>
            <w:r w:rsidRPr="009B783C">
              <w:rPr>
                <w:sz w:val="21"/>
                <w:szCs w:val="21"/>
              </w:rPr>
              <w:t>12.</w:t>
            </w:r>
            <w:r w:rsidR="00F74E5F" w:rsidRPr="009B783C">
              <w:rPr>
                <w:sz w:val="21"/>
                <w:szCs w:val="21"/>
              </w:rPr>
              <w:t>3</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3B0E81AA" w14:textId="77777777" w:rsidR="00677B0B" w:rsidRPr="009B783C" w:rsidRDefault="00677B0B" w:rsidP="00C77F9F">
            <w:pPr>
              <w:pStyle w:val="TableNText"/>
              <w:jc w:val="center"/>
              <w:rPr>
                <w:sz w:val="21"/>
                <w:szCs w:val="21"/>
              </w:rPr>
            </w:pPr>
            <w:r w:rsidRPr="009B783C">
              <w:rPr>
                <w:sz w:val="21"/>
                <w:szCs w:val="21"/>
              </w:rPr>
              <w:t>6</w:t>
            </w:r>
            <w:r w:rsidR="00C2412B" w:rsidRPr="009B783C">
              <w:rPr>
                <w:sz w:val="21"/>
                <w:szCs w:val="21"/>
              </w:rPr>
              <w:t>.0</w:t>
            </w:r>
          </w:p>
        </w:tc>
        <w:tc>
          <w:tcPr>
            <w:tcW w:w="165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36911DDE" w14:textId="77777777" w:rsidR="00677B0B" w:rsidRPr="009B783C" w:rsidRDefault="00C2412B" w:rsidP="00C77F9F">
            <w:pPr>
              <w:pStyle w:val="TableNText"/>
              <w:jc w:val="center"/>
              <w:rPr>
                <w:sz w:val="21"/>
                <w:szCs w:val="21"/>
              </w:rPr>
            </w:pPr>
            <w:r w:rsidRPr="009B783C">
              <w:rPr>
                <w:sz w:val="21"/>
                <w:szCs w:val="21"/>
              </w:rPr>
              <w:t>15.0</w:t>
            </w:r>
          </w:p>
        </w:tc>
        <w:tc>
          <w:tcPr>
            <w:tcW w:w="202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78338F95" w14:textId="77777777" w:rsidR="00677B0B" w:rsidRPr="009B783C" w:rsidRDefault="00C2412B" w:rsidP="00C77F9F">
            <w:pPr>
              <w:pStyle w:val="TableNText"/>
              <w:jc w:val="center"/>
              <w:rPr>
                <w:sz w:val="21"/>
                <w:szCs w:val="21"/>
              </w:rPr>
            </w:pPr>
            <w:r w:rsidRPr="009B783C">
              <w:rPr>
                <w:sz w:val="21"/>
                <w:szCs w:val="21"/>
              </w:rPr>
              <w:t>75</w:t>
            </w:r>
          </w:p>
        </w:tc>
      </w:tr>
      <w:tr w:rsidR="00677B0B" w:rsidRPr="009B783C" w14:paraId="30DB1D77" w14:textId="77777777" w:rsidTr="00C27645">
        <w:trPr>
          <w:jc w:val="center"/>
        </w:trPr>
        <w:tc>
          <w:tcPr>
            <w:tcW w:w="1911"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568F63F8" w14:textId="77777777" w:rsidR="00677B0B" w:rsidRPr="009B783C" w:rsidRDefault="00677B0B" w:rsidP="00C77F9F">
            <w:pPr>
              <w:pStyle w:val="TableNText"/>
              <w:rPr>
                <w:sz w:val="21"/>
                <w:szCs w:val="21"/>
              </w:rPr>
            </w:pPr>
            <w:r w:rsidRPr="009B783C">
              <w:rPr>
                <w:sz w:val="21"/>
                <w:szCs w:val="21"/>
              </w:rPr>
              <w:t>Saturday</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55FB184E" w14:textId="77777777" w:rsidR="00677B0B" w:rsidRPr="009B783C" w:rsidRDefault="00C2412B" w:rsidP="00C77F9F">
            <w:pPr>
              <w:pStyle w:val="TableNText"/>
              <w:jc w:val="center"/>
              <w:rPr>
                <w:sz w:val="21"/>
                <w:szCs w:val="21"/>
              </w:rPr>
            </w:pPr>
            <w:r w:rsidRPr="009B783C">
              <w:rPr>
                <w:sz w:val="21"/>
                <w:szCs w:val="21"/>
              </w:rPr>
              <w:t>12.0</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1CE041CE" w14:textId="77777777" w:rsidR="00677B0B" w:rsidRPr="009B783C" w:rsidRDefault="00677B0B" w:rsidP="00C77F9F">
            <w:pPr>
              <w:pStyle w:val="TableNText"/>
              <w:jc w:val="center"/>
              <w:rPr>
                <w:sz w:val="21"/>
                <w:szCs w:val="21"/>
              </w:rPr>
            </w:pPr>
            <w:r w:rsidRPr="009B783C">
              <w:rPr>
                <w:sz w:val="21"/>
                <w:szCs w:val="21"/>
              </w:rPr>
              <w:t>4</w:t>
            </w:r>
            <w:r w:rsidR="00C2412B" w:rsidRPr="009B783C">
              <w:rPr>
                <w:sz w:val="21"/>
                <w:szCs w:val="21"/>
              </w:rPr>
              <w:t>.0</w:t>
            </w:r>
          </w:p>
        </w:tc>
        <w:tc>
          <w:tcPr>
            <w:tcW w:w="165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62492AAA" w14:textId="77777777" w:rsidR="00677B0B" w:rsidRPr="009B783C" w:rsidRDefault="00C2412B" w:rsidP="00C77F9F">
            <w:pPr>
              <w:pStyle w:val="TableNText"/>
              <w:jc w:val="center"/>
              <w:rPr>
                <w:sz w:val="21"/>
                <w:szCs w:val="21"/>
              </w:rPr>
            </w:pPr>
            <w:r w:rsidRPr="009B783C">
              <w:rPr>
                <w:sz w:val="21"/>
                <w:szCs w:val="21"/>
              </w:rPr>
              <w:t>14.5</w:t>
            </w:r>
          </w:p>
        </w:tc>
        <w:tc>
          <w:tcPr>
            <w:tcW w:w="202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2BF6A9C1" w14:textId="77777777" w:rsidR="00677B0B" w:rsidRPr="009B783C" w:rsidRDefault="002B270B" w:rsidP="00C77F9F">
            <w:pPr>
              <w:pStyle w:val="TableNText"/>
              <w:jc w:val="center"/>
              <w:rPr>
                <w:sz w:val="21"/>
                <w:szCs w:val="21"/>
              </w:rPr>
            </w:pPr>
            <w:r w:rsidRPr="009B783C">
              <w:rPr>
                <w:sz w:val="21"/>
                <w:szCs w:val="21"/>
              </w:rPr>
              <w:t>73</w:t>
            </w:r>
          </w:p>
        </w:tc>
      </w:tr>
      <w:tr w:rsidR="00677B0B" w:rsidRPr="009B783C" w14:paraId="3A4D5E46" w14:textId="77777777" w:rsidTr="00C27645">
        <w:trPr>
          <w:jc w:val="center"/>
        </w:trPr>
        <w:tc>
          <w:tcPr>
            <w:tcW w:w="1911"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61063B97" w14:textId="77777777" w:rsidR="00677B0B" w:rsidRPr="009B783C" w:rsidRDefault="00677B0B" w:rsidP="00C77F9F">
            <w:pPr>
              <w:pStyle w:val="TableNText"/>
              <w:rPr>
                <w:sz w:val="21"/>
                <w:szCs w:val="21"/>
              </w:rPr>
            </w:pPr>
            <w:r w:rsidRPr="009B783C">
              <w:rPr>
                <w:sz w:val="21"/>
                <w:szCs w:val="21"/>
              </w:rPr>
              <w:t>Sunday</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4728F622" w14:textId="77777777" w:rsidR="00677B0B" w:rsidRPr="009B783C" w:rsidRDefault="00C2412B" w:rsidP="00C77F9F">
            <w:pPr>
              <w:pStyle w:val="TableNText"/>
              <w:jc w:val="center"/>
              <w:rPr>
                <w:sz w:val="21"/>
                <w:szCs w:val="21"/>
              </w:rPr>
            </w:pPr>
            <w:r w:rsidRPr="009B783C">
              <w:rPr>
                <w:sz w:val="21"/>
                <w:szCs w:val="21"/>
              </w:rPr>
              <w:t>12.0</w:t>
            </w:r>
          </w:p>
        </w:tc>
        <w:tc>
          <w:tcPr>
            <w:tcW w:w="1658"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09774DDF" w14:textId="77777777" w:rsidR="00677B0B" w:rsidRPr="009B783C" w:rsidRDefault="00677B0B" w:rsidP="00C77F9F">
            <w:pPr>
              <w:pStyle w:val="TableNText"/>
              <w:jc w:val="center"/>
              <w:rPr>
                <w:sz w:val="21"/>
                <w:szCs w:val="21"/>
              </w:rPr>
            </w:pPr>
            <w:r w:rsidRPr="009B783C">
              <w:rPr>
                <w:sz w:val="21"/>
                <w:szCs w:val="21"/>
              </w:rPr>
              <w:t>4</w:t>
            </w:r>
            <w:r w:rsidR="00C2412B" w:rsidRPr="009B783C">
              <w:rPr>
                <w:sz w:val="21"/>
                <w:szCs w:val="21"/>
              </w:rPr>
              <w:t>.0</w:t>
            </w:r>
          </w:p>
        </w:tc>
        <w:tc>
          <w:tcPr>
            <w:tcW w:w="165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40F31D7B" w14:textId="77777777" w:rsidR="00677B0B" w:rsidRPr="009B783C" w:rsidRDefault="00C2412B" w:rsidP="00C77F9F">
            <w:pPr>
              <w:pStyle w:val="TableNText"/>
              <w:jc w:val="center"/>
              <w:rPr>
                <w:sz w:val="21"/>
                <w:szCs w:val="21"/>
              </w:rPr>
            </w:pPr>
            <w:r w:rsidRPr="009B783C">
              <w:rPr>
                <w:sz w:val="21"/>
                <w:szCs w:val="21"/>
              </w:rPr>
              <w:t>14.5</w:t>
            </w:r>
          </w:p>
        </w:tc>
        <w:tc>
          <w:tcPr>
            <w:tcW w:w="202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40" w:type="dxa"/>
              <w:left w:w="80" w:type="dxa"/>
              <w:bottom w:w="40" w:type="dxa"/>
              <w:right w:w="80" w:type="dxa"/>
            </w:tcMar>
            <w:vAlign w:val="center"/>
          </w:tcPr>
          <w:p w14:paraId="49BEDDBC" w14:textId="77777777" w:rsidR="00677B0B" w:rsidRPr="009B783C" w:rsidRDefault="002B270B" w:rsidP="00C77F9F">
            <w:pPr>
              <w:pStyle w:val="TableNText"/>
              <w:jc w:val="center"/>
              <w:rPr>
                <w:sz w:val="21"/>
                <w:szCs w:val="21"/>
              </w:rPr>
            </w:pPr>
            <w:r w:rsidRPr="009B783C">
              <w:rPr>
                <w:sz w:val="21"/>
                <w:szCs w:val="21"/>
              </w:rPr>
              <w:t>73</w:t>
            </w:r>
          </w:p>
        </w:tc>
      </w:tr>
    </w:tbl>
    <w:p w14:paraId="3A61B41F" w14:textId="5147CCE2" w:rsidR="00866F22" w:rsidRPr="00ED1544" w:rsidRDefault="00866F22" w:rsidP="00ED1544">
      <w:r w:rsidRPr="00ED1544">
        <w:t>Note: Table includes data from 75 clinics open at 30 September 2024. (a) Excludes public holidays.</w:t>
      </w:r>
    </w:p>
    <w:p w14:paraId="4D12EFF5" w14:textId="170F2095" w:rsidR="00677B0B" w:rsidRPr="000D706D" w:rsidRDefault="00677B0B" w:rsidP="000D706D">
      <w:pPr>
        <w:pStyle w:val="Heading3"/>
      </w:pPr>
      <w:r w:rsidRPr="000D706D">
        <w:t>Medicare UCCs are mostly open by 8</w:t>
      </w:r>
      <w:r w:rsidR="005B2A20" w:rsidRPr="000D706D">
        <w:t xml:space="preserve">:00 </w:t>
      </w:r>
      <w:r w:rsidRPr="000D706D">
        <w:t xml:space="preserve">am and close at </w:t>
      </w:r>
      <w:r w:rsidR="00ED6DCC" w:rsidRPr="000D706D">
        <w:t>8</w:t>
      </w:r>
      <w:r w:rsidR="005B2A20" w:rsidRPr="000D706D">
        <w:t xml:space="preserve">:00 </w:t>
      </w:r>
      <w:r w:rsidRPr="000D706D">
        <w:t>pm or later and operate for an average of 12 hours per day</w:t>
      </w:r>
    </w:p>
    <w:p w14:paraId="6A8C773F" w14:textId="033C93F1" w:rsidR="00A824C1" w:rsidRPr="009B783C" w:rsidRDefault="00605456" w:rsidP="00866F22">
      <w:pPr>
        <w:rPr>
          <w:szCs w:val="21"/>
          <w:lang w:val="en-US" w:eastAsia="en-AU"/>
        </w:rPr>
      </w:pPr>
      <w:r w:rsidRPr="009B783C">
        <w:rPr>
          <w:szCs w:val="21"/>
          <w:lang w:eastAsia="en-AU"/>
        </w:rPr>
        <w:fldChar w:fldCharType="begin"/>
      </w:r>
      <w:r w:rsidRPr="009B783C">
        <w:rPr>
          <w:szCs w:val="21"/>
          <w:lang w:eastAsia="en-AU"/>
        </w:rPr>
        <w:instrText xml:space="preserve"> REF _Ref185485382 \h </w:instrText>
      </w:r>
      <w:r w:rsidR="00866F22"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5F1752" w:rsidRPr="005F1752">
        <w:rPr>
          <w:szCs w:val="21"/>
          <w:lang w:val="en-US"/>
        </w:rPr>
        <w:t>Figure 3</w:t>
      </w:r>
      <w:r w:rsidRPr="009B783C">
        <w:rPr>
          <w:szCs w:val="21"/>
          <w:lang w:eastAsia="en-AU"/>
        </w:rPr>
        <w:fldChar w:fldCharType="end"/>
      </w:r>
      <w:r w:rsidR="00474509" w:rsidRPr="620A8401">
        <w:rPr>
          <w:szCs w:val="21"/>
          <w:lang w:val="en-US" w:eastAsia="en-AU"/>
        </w:rPr>
        <w:t xml:space="preserve"> </w:t>
      </w:r>
      <w:r w:rsidR="00474509" w:rsidRPr="620A8401">
        <w:rPr>
          <w:szCs w:val="21"/>
          <w:lang w:val="en-US"/>
        </w:rPr>
        <w:t xml:space="preserve">shows the number of Medicare UCCs open by hour of day and day of week. </w:t>
      </w:r>
      <w:r w:rsidR="00C17381" w:rsidRPr="620A8401">
        <w:rPr>
          <w:szCs w:val="21"/>
          <w:lang w:val="en-US"/>
        </w:rPr>
        <w:t>On weekdays, 62 clinics (8</w:t>
      </w:r>
      <w:r w:rsidR="00597DE6" w:rsidRPr="620A8401">
        <w:rPr>
          <w:szCs w:val="21"/>
          <w:lang w:val="en-US"/>
        </w:rPr>
        <w:t>3</w:t>
      </w:r>
      <w:r w:rsidR="00356E0A" w:rsidRPr="620A8401">
        <w:rPr>
          <w:szCs w:val="21"/>
          <w:lang w:val="en-US"/>
        </w:rPr>
        <w:t xml:space="preserve"> per cent</w:t>
      </w:r>
      <w:r w:rsidR="00180517" w:rsidRPr="620A8401">
        <w:rPr>
          <w:szCs w:val="21"/>
          <w:lang w:val="en-US"/>
        </w:rPr>
        <w:t>)</w:t>
      </w:r>
      <w:r w:rsidR="00356E0A" w:rsidRPr="620A8401">
        <w:rPr>
          <w:szCs w:val="21"/>
          <w:lang w:val="en-US"/>
        </w:rPr>
        <w:t xml:space="preserve"> </w:t>
      </w:r>
      <w:r w:rsidR="004443DE" w:rsidRPr="620A8401">
        <w:rPr>
          <w:szCs w:val="21"/>
          <w:lang w:val="en-US"/>
        </w:rPr>
        <w:t>are open at 8</w:t>
      </w:r>
      <w:r w:rsidR="005B2A20" w:rsidRPr="620A8401">
        <w:rPr>
          <w:szCs w:val="21"/>
          <w:lang w:val="en-US"/>
        </w:rPr>
        <w:t xml:space="preserve">:00 </w:t>
      </w:r>
      <w:r w:rsidR="004443DE" w:rsidRPr="620A8401">
        <w:rPr>
          <w:szCs w:val="21"/>
          <w:lang w:val="en-US"/>
        </w:rPr>
        <w:t xml:space="preserve">am and </w:t>
      </w:r>
      <w:r w:rsidR="005F27A0" w:rsidRPr="620A8401">
        <w:rPr>
          <w:szCs w:val="21"/>
          <w:lang w:val="en-US"/>
        </w:rPr>
        <w:t>41</w:t>
      </w:r>
      <w:r w:rsidR="004443DE" w:rsidRPr="620A8401">
        <w:rPr>
          <w:szCs w:val="21"/>
          <w:lang w:val="en-US"/>
        </w:rPr>
        <w:t xml:space="preserve"> </w:t>
      </w:r>
      <w:r w:rsidR="00E34EF2" w:rsidRPr="620A8401">
        <w:rPr>
          <w:szCs w:val="21"/>
          <w:lang w:val="en-US"/>
        </w:rPr>
        <w:t>(</w:t>
      </w:r>
      <w:r w:rsidR="005F27A0" w:rsidRPr="620A8401">
        <w:rPr>
          <w:szCs w:val="21"/>
          <w:lang w:val="en-US"/>
        </w:rPr>
        <w:t>55</w:t>
      </w:r>
      <w:r w:rsidR="00356E0A" w:rsidRPr="620A8401">
        <w:rPr>
          <w:szCs w:val="21"/>
          <w:lang w:val="en-US"/>
        </w:rPr>
        <w:t xml:space="preserve"> per cent</w:t>
      </w:r>
      <w:r w:rsidR="00E34EF2" w:rsidRPr="620A8401">
        <w:rPr>
          <w:szCs w:val="21"/>
          <w:lang w:val="en-US"/>
        </w:rPr>
        <w:t>)</w:t>
      </w:r>
      <w:r w:rsidR="004443DE" w:rsidRPr="620A8401">
        <w:rPr>
          <w:szCs w:val="21"/>
          <w:lang w:val="en-US"/>
        </w:rPr>
        <w:t xml:space="preserve"> close at </w:t>
      </w:r>
      <w:r w:rsidR="00E34EF2" w:rsidRPr="620A8401">
        <w:rPr>
          <w:szCs w:val="21"/>
          <w:lang w:val="en-US"/>
        </w:rPr>
        <w:t>8</w:t>
      </w:r>
      <w:r w:rsidR="005B2A20" w:rsidRPr="620A8401">
        <w:rPr>
          <w:szCs w:val="21"/>
          <w:lang w:val="en-US"/>
        </w:rPr>
        <w:t xml:space="preserve">:00 </w:t>
      </w:r>
      <w:r w:rsidR="004443DE" w:rsidRPr="620A8401">
        <w:rPr>
          <w:szCs w:val="21"/>
          <w:lang w:val="en-US"/>
        </w:rPr>
        <w:t xml:space="preserve">pm or later. A similar pattern was seen across the weekends, with </w:t>
      </w:r>
      <w:r w:rsidR="008B6A9B" w:rsidRPr="620A8401">
        <w:rPr>
          <w:szCs w:val="21"/>
          <w:lang w:val="en-US"/>
        </w:rPr>
        <w:t>60</w:t>
      </w:r>
      <w:r w:rsidR="004443DE" w:rsidRPr="620A8401">
        <w:rPr>
          <w:szCs w:val="21"/>
          <w:lang w:val="en-US"/>
        </w:rPr>
        <w:t xml:space="preserve"> Medicare UCCs </w:t>
      </w:r>
      <w:r w:rsidR="008B6A9B" w:rsidRPr="620A8401">
        <w:rPr>
          <w:szCs w:val="21"/>
          <w:lang w:val="en-US"/>
        </w:rPr>
        <w:t>(</w:t>
      </w:r>
      <w:r w:rsidR="002E50DA" w:rsidRPr="620A8401">
        <w:rPr>
          <w:szCs w:val="21"/>
          <w:lang w:val="en-US"/>
        </w:rPr>
        <w:t>80</w:t>
      </w:r>
      <w:r w:rsidR="00356E0A" w:rsidRPr="620A8401">
        <w:rPr>
          <w:szCs w:val="21"/>
          <w:lang w:val="en-US"/>
        </w:rPr>
        <w:t xml:space="preserve"> per cent</w:t>
      </w:r>
      <w:r w:rsidR="002E50DA" w:rsidRPr="620A8401">
        <w:rPr>
          <w:szCs w:val="21"/>
          <w:lang w:val="en-US"/>
        </w:rPr>
        <w:t>)</w:t>
      </w:r>
      <w:r w:rsidR="004443DE" w:rsidRPr="620A8401">
        <w:rPr>
          <w:szCs w:val="21"/>
          <w:lang w:val="en-US"/>
        </w:rPr>
        <w:t xml:space="preserve"> open at 8</w:t>
      </w:r>
      <w:r w:rsidR="005B2A20" w:rsidRPr="620A8401">
        <w:rPr>
          <w:szCs w:val="21"/>
          <w:lang w:val="en-US"/>
        </w:rPr>
        <w:t xml:space="preserve">:00 </w:t>
      </w:r>
      <w:r w:rsidR="004443DE" w:rsidRPr="620A8401">
        <w:rPr>
          <w:szCs w:val="21"/>
          <w:lang w:val="en-US"/>
        </w:rPr>
        <w:t xml:space="preserve">am and </w:t>
      </w:r>
      <w:r w:rsidR="00110364" w:rsidRPr="620A8401">
        <w:rPr>
          <w:szCs w:val="21"/>
          <w:lang w:val="en-US"/>
        </w:rPr>
        <w:t>35</w:t>
      </w:r>
      <w:r w:rsidR="00540918" w:rsidRPr="620A8401">
        <w:rPr>
          <w:szCs w:val="21"/>
          <w:lang w:val="en-US"/>
        </w:rPr>
        <w:t xml:space="preserve"> clinics (</w:t>
      </w:r>
      <w:r w:rsidR="00110364" w:rsidRPr="620A8401">
        <w:rPr>
          <w:szCs w:val="21"/>
          <w:lang w:val="en-US"/>
        </w:rPr>
        <w:t>47</w:t>
      </w:r>
      <w:r w:rsidR="00356E0A" w:rsidRPr="620A8401">
        <w:rPr>
          <w:szCs w:val="21"/>
          <w:lang w:val="en-US"/>
        </w:rPr>
        <w:t xml:space="preserve"> per cent</w:t>
      </w:r>
      <w:r w:rsidR="00A40650" w:rsidRPr="620A8401">
        <w:rPr>
          <w:szCs w:val="21"/>
          <w:lang w:val="en-US"/>
        </w:rPr>
        <w:t>)</w:t>
      </w:r>
      <w:r w:rsidR="004443DE" w:rsidRPr="620A8401">
        <w:rPr>
          <w:szCs w:val="21"/>
          <w:lang w:val="en-US"/>
        </w:rPr>
        <w:t xml:space="preserve"> clos</w:t>
      </w:r>
      <w:r w:rsidR="005D1C5D" w:rsidRPr="620A8401">
        <w:rPr>
          <w:szCs w:val="21"/>
          <w:lang w:val="en-US"/>
        </w:rPr>
        <w:t>ing</w:t>
      </w:r>
      <w:r w:rsidR="004443DE" w:rsidRPr="620A8401">
        <w:rPr>
          <w:szCs w:val="21"/>
          <w:lang w:val="en-US"/>
        </w:rPr>
        <w:t xml:space="preserve"> at </w:t>
      </w:r>
      <w:r w:rsidR="00A40650" w:rsidRPr="620A8401">
        <w:rPr>
          <w:szCs w:val="21"/>
          <w:lang w:val="en-US"/>
        </w:rPr>
        <w:t>8</w:t>
      </w:r>
      <w:r w:rsidR="005B2A20" w:rsidRPr="620A8401">
        <w:rPr>
          <w:szCs w:val="21"/>
          <w:lang w:val="en-US"/>
        </w:rPr>
        <w:t xml:space="preserve">:00 </w:t>
      </w:r>
      <w:r w:rsidR="004443DE" w:rsidRPr="620A8401">
        <w:rPr>
          <w:szCs w:val="21"/>
          <w:lang w:val="en-US"/>
        </w:rPr>
        <w:t>pm or later.</w:t>
      </w:r>
      <w:r w:rsidR="004443DE" w:rsidRPr="620A8401">
        <w:rPr>
          <w:szCs w:val="21"/>
          <w:lang w:val="en-US" w:eastAsia="en-AU"/>
        </w:rPr>
        <w:t xml:space="preserve"> </w:t>
      </w:r>
    </w:p>
    <w:p w14:paraId="29C7A5A6" w14:textId="00A5F0FC" w:rsidR="00C17381" w:rsidRPr="009B783C" w:rsidRDefault="004443DE" w:rsidP="00C17381">
      <w:pPr>
        <w:pStyle w:val="Caption"/>
        <w:rPr>
          <w:szCs w:val="21"/>
        </w:rPr>
      </w:pPr>
      <w:bookmarkStart w:id="66" w:name="_Ref185485382"/>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5F1752">
        <w:rPr>
          <w:noProof/>
          <w:szCs w:val="21"/>
        </w:rPr>
        <w:t>3</w:t>
      </w:r>
      <w:r w:rsidRPr="009B783C">
        <w:rPr>
          <w:szCs w:val="21"/>
        </w:rPr>
        <w:fldChar w:fldCharType="end"/>
      </w:r>
      <w:bookmarkEnd w:id="66"/>
      <w:r w:rsidR="00C17381" w:rsidRPr="009B783C">
        <w:rPr>
          <w:szCs w:val="21"/>
        </w:rPr>
        <w:t xml:space="preserve"> | Number of Medicare UCCs open by hour of day and day of week</w:t>
      </w:r>
      <w:r w:rsidR="00C17381" w:rsidRPr="009B783C">
        <w:rPr>
          <w:rStyle w:val="FootnoteReference"/>
          <w:szCs w:val="21"/>
        </w:rPr>
        <w:footnoteReference w:id="30"/>
      </w:r>
      <w:r w:rsidR="00C17381" w:rsidRPr="009B783C">
        <w:rPr>
          <w:szCs w:val="21"/>
        </w:rPr>
        <w:t xml:space="preserve"> </w:t>
      </w:r>
    </w:p>
    <w:p w14:paraId="6B2A8B26" w14:textId="30958C77" w:rsidR="00C17381" w:rsidRPr="009B783C" w:rsidRDefault="007A4AE1" w:rsidP="00C17381">
      <w:pPr>
        <w:spacing w:after="0"/>
        <w:rPr>
          <w:lang w:eastAsia="en-AU"/>
        </w:rPr>
      </w:pPr>
      <w:r>
        <w:rPr>
          <w:noProof/>
        </w:rPr>
        <w:drawing>
          <wp:inline distT="0" distB="0" distL="0" distR="0" wp14:anchorId="743A867F" wp14:editId="3D270B47">
            <wp:extent cx="5670550" cy="5234354"/>
            <wp:effectExtent l="0" t="0" r="6350" b="4445"/>
            <wp:docPr id="1" name="Picture 1" descr="This image presents three vertical bar charts that visualise opening hours for Medicare UCC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mage presents three vertical bar charts that visualise opening hours for Medicare UCCs.&#10;"/>
                    <pic:cNvPicPr>
                      <a:picLocks noChangeAspect="1" noChangeArrowheads="1"/>
                    </pic:cNvPicPr>
                  </pic:nvPicPr>
                  <pic:blipFill>
                    <a:blip r:embed="rId27" cstate="print"/>
                    <a:stretch>
                      <a:fillRect/>
                    </a:stretch>
                  </pic:blipFill>
                  <pic:spPr bwMode="auto">
                    <a:xfrm>
                      <a:off x="0" y="0"/>
                      <a:ext cx="5670550" cy="5234354"/>
                    </a:xfrm>
                    <a:prstGeom prst="rect">
                      <a:avLst/>
                    </a:prstGeom>
                    <a:noFill/>
                  </pic:spPr>
                </pic:pic>
              </a:graphicData>
            </a:graphic>
          </wp:inline>
        </w:drawing>
      </w:r>
    </w:p>
    <w:p w14:paraId="62B223ED" w14:textId="476D5ACA" w:rsidR="00C82B78" w:rsidRPr="009B783C" w:rsidRDefault="00C82B78" w:rsidP="006362C5">
      <w:pPr>
        <w:spacing w:after="0"/>
        <w:rPr>
          <w:szCs w:val="21"/>
          <w:lang w:eastAsia="en-AU"/>
        </w:rPr>
      </w:pPr>
      <w:r w:rsidRPr="009B783C">
        <w:rPr>
          <w:szCs w:val="21"/>
          <w:lang w:eastAsia="en-AU"/>
        </w:rPr>
        <w:t>Detailed Description:</w:t>
      </w:r>
    </w:p>
    <w:p w14:paraId="5794DDAE" w14:textId="265C91E1" w:rsidR="00002E4E" w:rsidRPr="009B783C" w:rsidRDefault="00002E4E" w:rsidP="006362C5">
      <w:pPr>
        <w:spacing w:after="0"/>
        <w:rPr>
          <w:szCs w:val="21"/>
          <w:lang w:eastAsia="en-AU"/>
        </w:rPr>
      </w:pPr>
      <w:r w:rsidRPr="009B783C">
        <w:rPr>
          <w:szCs w:val="21"/>
          <w:lang w:eastAsia="en-AU"/>
        </w:rPr>
        <w:t>Three bar charts split b</w:t>
      </w:r>
      <w:r w:rsidR="006362C5" w:rsidRPr="009B783C">
        <w:rPr>
          <w:szCs w:val="21"/>
          <w:lang w:eastAsia="en-AU"/>
        </w:rPr>
        <w:t>y</w:t>
      </w:r>
      <w:r w:rsidRPr="009B783C">
        <w:rPr>
          <w:szCs w:val="21"/>
          <w:lang w:eastAsia="en-AU"/>
        </w:rPr>
        <w:t xml:space="preserve"> days of the week disp</w:t>
      </w:r>
      <w:r w:rsidR="003428DE" w:rsidRPr="009B783C">
        <w:rPr>
          <w:szCs w:val="21"/>
          <w:lang w:eastAsia="en-AU"/>
        </w:rPr>
        <w:t>laying the number of Medicare UCCs open for the hours between 6</w:t>
      </w:r>
      <w:r w:rsidR="004B0305">
        <w:rPr>
          <w:szCs w:val="21"/>
          <w:lang w:eastAsia="en-AU"/>
        </w:rPr>
        <w:t>:00</w:t>
      </w:r>
      <w:r w:rsidR="003428DE" w:rsidRPr="009B783C">
        <w:rPr>
          <w:szCs w:val="21"/>
          <w:lang w:eastAsia="en-AU"/>
        </w:rPr>
        <w:t xml:space="preserve">am and </w:t>
      </w:r>
      <w:r w:rsidR="004B0305">
        <w:rPr>
          <w:szCs w:val="21"/>
          <w:lang w:eastAsia="en-AU"/>
        </w:rPr>
        <w:t>m</w:t>
      </w:r>
      <w:r w:rsidR="003428DE" w:rsidRPr="009B783C">
        <w:rPr>
          <w:szCs w:val="21"/>
          <w:lang w:eastAsia="en-AU"/>
        </w:rPr>
        <w:t xml:space="preserve">idnight. </w:t>
      </w:r>
      <w:r w:rsidR="000A1508">
        <w:rPr>
          <w:szCs w:val="21"/>
          <w:lang w:eastAsia="en-AU"/>
        </w:rPr>
        <w:t xml:space="preserve">Data is available for 75 Medicare UCCs. </w:t>
      </w:r>
      <w:r w:rsidR="006362C5" w:rsidRPr="009B783C">
        <w:rPr>
          <w:szCs w:val="21"/>
          <w:lang w:eastAsia="en-AU"/>
        </w:rPr>
        <w:t>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2027"/>
        <w:gridCol w:w="1654"/>
        <w:gridCol w:w="2881"/>
        <w:gridCol w:w="2358"/>
      </w:tblGrid>
      <w:tr w:rsidR="00C21A5C" w:rsidRPr="009B783C" w14:paraId="775084B5" w14:textId="77777777" w:rsidTr="000C20F4">
        <w:trPr>
          <w:tblHeader/>
        </w:trPr>
        <w:tc>
          <w:tcPr>
            <w:tcW w:w="20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F05F5C5" w14:textId="65938592" w:rsidR="00C21A5C" w:rsidRPr="00786482" w:rsidRDefault="00C21A5C" w:rsidP="00786482">
            <w:pPr>
              <w:pStyle w:val="TableNheader"/>
            </w:pPr>
            <w:r w:rsidRPr="00786482">
              <w:t>Day of the week</w:t>
            </w:r>
          </w:p>
        </w:tc>
        <w:tc>
          <w:tcPr>
            <w:tcW w:w="16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F81F3F4" w14:textId="0421C818" w:rsidR="00C21A5C" w:rsidRPr="00786482" w:rsidRDefault="00C21A5C" w:rsidP="00786482">
            <w:pPr>
              <w:pStyle w:val="TableNheader"/>
            </w:pPr>
            <w:r w:rsidRPr="00786482">
              <w:t>Hour</w:t>
            </w:r>
          </w:p>
        </w:tc>
        <w:tc>
          <w:tcPr>
            <w:tcW w:w="288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577888DE" w14:textId="6BF341E1" w:rsidR="00C21A5C" w:rsidRPr="00786482" w:rsidRDefault="00C21A5C" w:rsidP="00786482">
            <w:pPr>
              <w:pStyle w:val="TableNheader"/>
            </w:pPr>
            <w:r w:rsidRPr="00786482">
              <w:t>Business or after hours</w:t>
            </w:r>
          </w:p>
        </w:tc>
        <w:tc>
          <w:tcPr>
            <w:tcW w:w="235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6279373" w14:textId="7A30DBC0" w:rsidR="00C21A5C" w:rsidRPr="00786482" w:rsidRDefault="00C21A5C" w:rsidP="00786482">
            <w:pPr>
              <w:pStyle w:val="TableNheader"/>
            </w:pPr>
            <w:r w:rsidRPr="00786482">
              <w:t>Medicare UCCs (n)</w:t>
            </w:r>
          </w:p>
        </w:tc>
      </w:tr>
      <w:tr w:rsidR="00C21A5C" w:rsidRPr="009B783C" w14:paraId="46554D53" w14:textId="77777777" w:rsidTr="00BB0A01">
        <w:tc>
          <w:tcPr>
            <w:tcW w:w="2027" w:type="dxa"/>
            <w:tcBorders>
              <w:top w:val="single" w:sz="4" w:space="0" w:color="FFFFFF" w:themeColor="background1"/>
            </w:tcBorders>
          </w:tcPr>
          <w:p w14:paraId="33E27445" w14:textId="52FDD87F" w:rsidR="00C21A5C" w:rsidRPr="009B783C" w:rsidRDefault="00C21A5C" w:rsidP="002629A9">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tcBorders>
              <w:top w:val="single" w:sz="4" w:space="0" w:color="FFFFFF" w:themeColor="background1"/>
            </w:tcBorders>
            <w:vAlign w:val="bottom"/>
          </w:tcPr>
          <w:p w14:paraId="66FFFD1A" w14:textId="7A8AA4D5"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w:t>
            </w:r>
          </w:p>
        </w:tc>
        <w:tc>
          <w:tcPr>
            <w:tcW w:w="2881" w:type="dxa"/>
            <w:tcBorders>
              <w:top w:val="single" w:sz="4" w:space="0" w:color="FFFFFF" w:themeColor="background1"/>
            </w:tcBorders>
            <w:vAlign w:val="bottom"/>
          </w:tcPr>
          <w:p w14:paraId="059DB746" w14:textId="2B114F97"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tcBorders>
              <w:top w:val="single" w:sz="4" w:space="0" w:color="FFFFFF" w:themeColor="background1"/>
            </w:tcBorders>
            <w:vAlign w:val="bottom"/>
          </w:tcPr>
          <w:p w14:paraId="0E8CB054" w14:textId="52271E69"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0</w:t>
            </w:r>
          </w:p>
        </w:tc>
      </w:tr>
      <w:tr w:rsidR="00C21A5C" w:rsidRPr="009B783C" w14:paraId="1316E645" w14:textId="77777777" w:rsidTr="00BB0A01">
        <w:tc>
          <w:tcPr>
            <w:tcW w:w="2027" w:type="dxa"/>
          </w:tcPr>
          <w:p w14:paraId="69D4619F" w14:textId="55AC0C25"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51843594" w14:textId="7F11D2E4"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w:t>
            </w:r>
          </w:p>
        </w:tc>
        <w:tc>
          <w:tcPr>
            <w:tcW w:w="2881" w:type="dxa"/>
            <w:vAlign w:val="bottom"/>
          </w:tcPr>
          <w:p w14:paraId="58085318" w14:textId="750575EF"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5268A1E0" w14:textId="6D8A46B6"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w:t>
            </w:r>
          </w:p>
        </w:tc>
      </w:tr>
      <w:tr w:rsidR="00C21A5C" w:rsidRPr="009B783C" w14:paraId="28A718F6" w14:textId="77777777" w:rsidTr="00BB0A01">
        <w:tc>
          <w:tcPr>
            <w:tcW w:w="2027" w:type="dxa"/>
          </w:tcPr>
          <w:p w14:paraId="32242DA9" w14:textId="445AD8CF"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7F335117" w14:textId="6224A03D"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8</w:t>
            </w:r>
          </w:p>
        </w:tc>
        <w:tc>
          <w:tcPr>
            <w:tcW w:w="2881" w:type="dxa"/>
            <w:vAlign w:val="bottom"/>
          </w:tcPr>
          <w:p w14:paraId="6EBAED44" w14:textId="40AEA9F4"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142D4B1B" w14:textId="07BADF1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62</w:t>
            </w:r>
          </w:p>
        </w:tc>
      </w:tr>
      <w:tr w:rsidR="00C21A5C" w:rsidRPr="009B783C" w14:paraId="6F6DC8C2" w14:textId="77777777" w:rsidTr="00BB0A01">
        <w:tc>
          <w:tcPr>
            <w:tcW w:w="2027" w:type="dxa"/>
          </w:tcPr>
          <w:p w14:paraId="55C1C959" w14:textId="6C3C5038"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7E44C6A8" w14:textId="1874D951"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9</w:t>
            </w:r>
          </w:p>
        </w:tc>
        <w:tc>
          <w:tcPr>
            <w:tcW w:w="2881" w:type="dxa"/>
            <w:vAlign w:val="bottom"/>
          </w:tcPr>
          <w:p w14:paraId="2F860548" w14:textId="1FAA4CB5"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3856483" w14:textId="634D8B2D"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64</w:t>
            </w:r>
          </w:p>
        </w:tc>
      </w:tr>
      <w:tr w:rsidR="00C21A5C" w:rsidRPr="009B783C" w14:paraId="65E84841" w14:textId="77777777" w:rsidTr="00BB0A01">
        <w:tc>
          <w:tcPr>
            <w:tcW w:w="2027" w:type="dxa"/>
          </w:tcPr>
          <w:p w14:paraId="54E6374D" w14:textId="60DE5812"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5C8B738D" w14:textId="64CE2ECC"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10</w:t>
            </w:r>
          </w:p>
        </w:tc>
        <w:tc>
          <w:tcPr>
            <w:tcW w:w="2881" w:type="dxa"/>
            <w:vAlign w:val="bottom"/>
          </w:tcPr>
          <w:p w14:paraId="6CDCD35E" w14:textId="495CBA6A"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6EA5B39C" w14:textId="05685B63"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66</w:t>
            </w:r>
          </w:p>
        </w:tc>
      </w:tr>
      <w:tr w:rsidR="00C21A5C" w:rsidRPr="009B783C" w14:paraId="7F045198" w14:textId="77777777" w:rsidTr="00BB0A01">
        <w:tc>
          <w:tcPr>
            <w:tcW w:w="2027" w:type="dxa"/>
          </w:tcPr>
          <w:p w14:paraId="68CE8F3F" w14:textId="4CE5A1C0"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5705870F" w14:textId="5470072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11</w:t>
            </w:r>
          </w:p>
        </w:tc>
        <w:tc>
          <w:tcPr>
            <w:tcW w:w="2881" w:type="dxa"/>
            <w:vAlign w:val="bottom"/>
          </w:tcPr>
          <w:p w14:paraId="0A1B2C3C" w14:textId="3BD4BEBB"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F7CBA4F" w14:textId="6BA5CE9E"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67</w:t>
            </w:r>
          </w:p>
        </w:tc>
      </w:tr>
      <w:tr w:rsidR="00C21A5C" w:rsidRPr="009B783C" w14:paraId="2C87412E" w14:textId="77777777" w:rsidTr="00BB0A01">
        <w:tc>
          <w:tcPr>
            <w:tcW w:w="2027" w:type="dxa"/>
          </w:tcPr>
          <w:p w14:paraId="5951FAA1" w14:textId="207B1C37"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3263AA6C" w14:textId="4A3E766C"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12</w:t>
            </w:r>
          </w:p>
        </w:tc>
        <w:tc>
          <w:tcPr>
            <w:tcW w:w="2881" w:type="dxa"/>
            <w:vAlign w:val="bottom"/>
          </w:tcPr>
          <w:p w14:paraId="348DBF29" w14:textId="07755333"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CEB5E23" w14:textId="3B0579AF"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69</w:t>
            </w:r>
          </w:p>
        </w:tc>
      </w:tr>
      <w:tr w:rsidR="00C21A5C" w:rsidRPr="009B783C" w14:paraId="057AC55E" w14:textId="77777777" w:rsidTr="00BB0A01">
        <w:tc>
          <w:tcPr>
            <w:tcW w:w="2027" w:type="dxa"/>
          </w:tcPr>
          <w:p w14:paraId="76062D84" w14:textId="2DF63F2D"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Weekday</w:t>
            </w:r>
          </w:p>
        </w:tc>
        <w:tc>
          <w:tcPr>
            <w:tcW w:w="1654" w:type="dxa"/>
            <w:vAlign w:val="bottom"/>
          </w:tcPr>
          <w:p w14:paraId="35A6F48B" w14:textId="46C45BE5"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13</w:t>
            </w:r>
          </w:p>
        </w:tc>
        <w:tc>
          <w:tcPr>
            <w:tcW w:w="2881" w:type="dxa"/>
            <w:vAlign w:val="bottom"/>
          </w:tcPr>
          <w:p w14:paraId="61004C30" w14:textId="6D20A36B"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6377C984" w14:textId="182A403A"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69</w:t>
            </w:r>
          </w:p>
        </w:tc>
      </w:tr>
      <w:tr w:rsidR="00C21A5C" w:rsidRPr="009B783C" w14:paraId="336691FB" w14:textId="77777777" w:rsidTr="00BB0A01">
        <w:tc>
          <w:tcPr>
            <w:tcW w:w="2027" w:type="dxa"/>
          </w:tcPr>
          <w:p w14:paraId="1D1CD280" w14:textId="5AE268FA"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49C965FA" w14:textId="0F752BC5"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14</w:t>
            </w:r>
          </w:p>
        </w:tc>
        <w:tc>
          <w:tcPr>
            <w:tcW w:w="2881" w:type="dxa"/>
            <w:vAlign w:val="bottom"/>
          </w:tcPr>
          <w:p w14:paraId="4E5A14C5" w14:textId="0A0B9673"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70DB9817" w14:textId="79975E44"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C21A5C" w:rsidRPr="009B783C" w14:paraId="0B8304E1" w14:textId="77777777" w:rsidTr="00BB0A01">
        <w:tc>
          <w:tcPr>
            <w:tcW w:w="2027" w:type="dxa"/>
          </w:tcPr>
          <w:p w14:paraId="2431BB3F" w14:textId="3AE23189"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708C9B03" w14:textId="1187DCE3"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15</w:t>
            </w:r>
          </w:p>
        </w:tc>
        <w:tc>
          <w:tcPr>
            <w:tcW w:w="2881" w:type="dxa"/>
            <w:vAlign w:val="bottom"/>
          </w:tcPr>
          <w:p w14:paraId="5D23B9E6" w14:textId="3ADE97ED"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E9F977A" w14:textId="08773D10"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C21A5C" w:rsidRPr="009B783C" w14:paraId="7677232D" w14:textId="77777777" w:rsidTr="00BB0A01">
        <w:tc>
          <w:tcPr>
            <w:tcW w:w="2027" w:type="dxa"/>
          </w:tcPr>
          <w:p w14:paraId="41D6C136" w14:textId="12933222"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3C5EF23F" w14:textId="4092265E"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16</w:t>
            </w:r>
          </w:p>
        </w:tc>
        <w:tc>
          <w:tcPr>
            <w:tcW w:w="2881" w:type="dxa"/>
            <w:vAlign w:val="bottom"/>
          </w:tcPr>
          <w:p w14:paraId="218031CE" w14:textId="5CAA314C"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E037A49" w14:textId="0832137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C21A5C" w:rsidRPr="009B783C" w14:paraId="36196C89" w14:textId="77777777" w:rsidTr="00BB0A01">
        <w:tc>
          <w:tcPr>
            <w:tcW w:w="2027" w:type="dxa"/>
          </w:tcPr>
          <w:p w14:paraId="5A3A621D" w14:textId="33F70244"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6C5D8114" w14:textId="6525124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17</w:t>
            </w:r>
          </w:p>
        </w:tc>
        <w:tc>
          <w:tcPr>
            <w:tcW w:w="2881" w:type="dxa"/>
            <w:vAlign w:val="bottom"/>
          </w:tcPr>
          <w:p w14:paraId="5A2DC9A9" w14:textId="72A44B0B"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299E39BA" w14:textId="23DFE02E"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70</w:t>
            </w:r>
          </w:p>
        </w:tc>
      </w:tr>
      <w:tr w:rsidR="00C21A5C" w:rsidRPr="009B783C" w14:paraId="5410BFF1" w14:textId="77777777" w:rsidTr="00BB0A01">
        <w:tc>
          <w:tcPr>
            <w:tcW w:w="2027" w:type="dxa"/>
          </w:tcPr>
          <w:p w14:paraId="4DF551D8" w14:textId="261EC239"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3A6EA932" w14:textId="2450E1DB"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18</w:t>
            </w:r>
          </w:p>
        </w:tc>
        <w:tc>
          <w:tcPr>
            <w:tcW w:w="2881" w:type="dxa"/>
            <w:vAlign w:val="bottom"/>
          </w:tcPr>
          <w:p w14:paraId="425DBF8D" w14:textId="7075723D"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218A5CA4" w14:textId="64AC900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67</w:t>
            </w:r>
          </w:p>
        </w:tc>
      </w:tr>
      <w:tr w:rsidR="00C21A5C" w:rsidRPr="009B783C" w14:paraId="085EC839" w14:textId="77777777" w:rsidTr="00BB0A01">
        <w:tc>
          <w:tcPr>
            <w:tcW w:w="2027" w:type="dxa"/>
          </w:tcPr>
          <w:p w14:paraId="075259FB" w14:textId="050DBE2E"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26D1D299" w14:textId="08DFA890"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19</w:t>
            </w:r>
          </w:p>
        </w:tc>
        <w:tc>
          <w:tcPr>
            <w:tcW w:w="2881" w:type="dxa"/>
            <w:vAlign w:val="bottom"/>
          </w:tcPr>
          <w:p w14:paraId="5A88F4F2" w14:textId="48DDF65C"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5329DF0D" w14:textId="0640F9C6"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64</w:t>
            </w:r>
          </w:p>
        </w:tc>
      </w:tr>
      <w:tr w:rsidR="00C21A5C" w:rsidRPr="009B783C" w14:paraId="67C471C1" w14:textId="77777777" w:rsidTr="00BB0A01">
        <w:tc>
          <w:tcPr>
            <w:tcW w:w="2027" w:type="dxa"/>
          </w:tcPr>
          <w:p w14:paraId="0C5702AB" w14:textId="7B45AA66"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4BAC4119" w14:textId="4527363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20</w:t>
            </w:r>
          </w:p>
        </w:tc>
        <w:tc>
          <w:tcPr>
            <w:tcW w:w="2881" w:type="dxa"/>
            <w:vAlign w:val="bottom"/>
          </w:tcPr>
          <w:p w14:paraId="2A4A407D" w14:textId="6948A469"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7D98BE2B" w14:textId="22D845A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41</w:t>
            </w:r>
          </w:p>
        </w:tc>
      </w:tr>
      <w:tr w:rsidR="00C21A5C" w:rsidRPr="009B783C" w14:paraId="794FA6EE" w14:textId="77777777" w:rsidTr="00BB0A01">
        <w:tc>
          <w:tcPr>
            <w:tcW w:w="2027" w:type="dxa"/>
          </w:tcPr>
          <w:p w14:paraId="691BC560" w14:textId="3AA6F408"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7D8A424A" w14:textId="0044C3E5"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21</w:t>
            </w:r>
          </w:p>
        </w:tc>
        <w:tc>
          <w:tcPr>
            <w:tcW w:w="2881" w:type="dxa"/>
            <w:vAlign w:val="bottom"/>
          </w:tcPr>
          <w:p w14:paraId="3C1E0E50" w14:textId="7B0F3162"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6817EF99" w14:textId="10E68859"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35</w:t>
            </w:r>
          </w:p>
        </w:tc>
      </w:tr>
      <w:tr w:rsidR="00C21A5C" w:rsidRPr="009B783C" w14:paraId="266014B3" w14:textId="77777777" w:rsidTr="00BB0A01">
        <w:tc>
          <w:tcPr>
            <w:tcW w:w="2027" w:type="dxa"/>
          </w:tcPr>
          <w:p w14:paraId="42166017" w14:textId="31EC9CD1"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16289D42" w14:textId="263E60DA"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22</w:t>
            </w:r>
          </w:p>
        </w:tc>
        <w:tc>
          <w:tcPr>
            <w:tcW w:w="2881" w:type="dxa"/>
            <w:vAlign w:val="bottom"/>
          </w:tcPr>
          <w:p w14:paraId="2F259A76" w14:textId="3F0133A6"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50A35E28" w14:textId="2C2744BE"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w:t>
            </w:r>
          </w:p>
        </w:tc>
      </w:tr>
      <w:tr w:rsidR="00C21A5C" w:rsidRPr="009B783C" w14:paraId="660EA748" w14:textId="77777777" w:rsidTr="00BB0A01">
        <w:tc>
          <w:tcPr>
            <w:tcW w:w="2027" w:type="dxa"/>
          </w:tcPr>
          <w:p w14:paraId="53F5D1AE" w14:textId="5D48C375"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2EA5E738" w14:textId="36BB8BFA"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23</w:t>
            </w:r>
          </w:p>
        </w:tc>
        <w:tc>
          <w:tcPr>
            <w:tcW w:w="2881" w:type="dxa"/>
            <w:vAlign w:val="bottom"/>
          </w:tcPr>
          <w:p w14:paraId="2DA41913" w14:textId="7C8DDEAC"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0B62BD8E" w14:textId="69A47321"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0</w:t>
            </w:r>
          </w:p>
        </w:tc>
      </w:tr>
      <w:tr w:rsidR="00C21A5C" w:rsidRPr="009B783C" w14:paraId="71697E48" w14:textId="77777777" w:rsidTr="00BB0A01">
        <w:tc>
          <w:tcPr>
            <w:tcW w:w="2027" w:type="dxa"/>
          </w:tcPr>
          <w:p w14:paraId="67268DA2" w14:textId="4B7F4EEC" w:rsidR="00C21A5C" w:rsidRPr="009B783C" w:rsidRDefault="00C21A5C" w:rsidP="00C21A5C">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w:t>
            </w:r>
          </w:p>
        </w:tc>
        <w:tc>
          <w:tcPr>
            <w:tcW w:w="1654" w:type="dxa"/>
            <w:vAlign w:val="bottom"/>
          </w:tcPr>
          <w:p w14:paraId="7D4EDCA0" w14:textId="718DC75F"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24</w:t>
            </w:r>
          </w:p>
        </w:tc>
        <w:tc>
          <w:tcPr>
            <w:tcW w:w="2881" w:type="dxa"/>
            <w:vAlign w:val="bottom"/>
          </w:tcPr>
          <w:p w14:paraId="5572D4CB" w14:textId="3F264588"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315A5487" w14:textId="3A46365E" w:rsidR="00C21A5C" w:rsidRPr="009B783C" w:rsidRDefault="00C21A5C"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0</w:t>
            </w:r>
          </w:p>
        </w:tc>
      </w:tr>
      <w:tr w:rsidR="005259FC" w:rsidRPr="009B783C" w14:paraId="61B8E166" w14:textId="77777777" w:rsidTr="00BB0A01">
        <w:tc>
          <w:tcPr>
            <w:tcW w:w="2027" w:type="dxa"/>
            <w:vAlign w:val="bottom"/>
          </w:tcPr>
          <w:p w14:paraId="016E028A" w14:textId="536FA3C4"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4641B88" w14:textId="7CEA7EE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w:t>
            </w:r>
          </w:p>
        </w:tc>
        <w:tc>
          <w:tcPr>
            <w:tcW w:w="2881" w:type="dxa"/>
            <w:vAlign w:val="bottom"/>
          </w:tcPr>
          <w:p w14:paraId="3F812179" w14:textId="4B124E1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7EE0815" w14:textId="18498AD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1DE56010" w14:textId="77777777" w:rsidTr="00BB0A01">
        <w:tc>
          <w:tcPr>
            <w:tcW w:w="2027" w:type="dxa"/>
            <w:vAlign w:val="bottom"/>
          </w:tcPr>
          <w:p w14:paraId="02BB33AE" w14:textId="58610BF6"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62BA5674" w14:textId="1E14C7BE"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w:t>
            </w:r>
          </w:p>
        </w:tc>
        <w:tc>
          <w:tcPr>
            <w:tcW w:w="2881" w:type="dxa"/>
            <w:vAlign w:val="bottom"/>
          </w:tcPr>
          <w:p w14:paraId="21937B7C" w14:textId="1E3F82AA"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1F4F846" w14:textId="058487E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r>
      <w:tr w:rsidR="005259FC" w:rsidRPr="009B783C" w14:paraId="2AA27CDC" w14:textId="77777777" w:rsidTr="00BB0A01">
        <w:tc>
          <w:tcPr>
            <w:tcW w:w="2027" w:type="dxa"/>
            <w:vAlign w:val="bottom"/>
          </w:tcPr>
          <w:p w14:paraId="454995E0" w14:textId="485E8215"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330796A1" w14:textId="6CB13F4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c>
          <w:tcPr>
            <w:tcW w:w="2881" w:type="dxa"/>
            <w:vAlign w:val="bottom"/>
          </w:tcPr>
          <w:p w14:paraId="452A79AD" w14:textId="66D6B82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098ABDDD" w14:textId="5664879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60</w:t>
            </w:r>
          </w:p>
        </w:tc>
      </w:tr>
      <w:tr w:rsidR="005259FC" w:rsidRPr="009B783C" w14:paraId="28036B34" w14:textId="77777777" w:rsidTr="00BB0A01">
        <w:tc>
          <w:tcPr>
            <w:tcW w:w="2027" w:type="dxa"/>
            <w:vAlign w:val="bottom"/>
          </w:tcPr>
          <w:p w14:paraId="06A820EB" w14:textId="69B18AC2"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B03799C" w14:textId="5B252072"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9</w:t>
            </w:r>
          </w:p>
        </w:tc>
        <w:tc>
          <w:tcPr>
            <w:tcW w:w="2881" w:type="dxa"/>
            <w:vAlign w:val="bottom"/>
          </w:tcPr>
          <w:p w14:paraId="4F5D5640" w14:textId="3A5AABC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4AC2A366" w14:textId="437DB10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63</w:t>
            </w:r>
          </w:p>
        </w:tc>
      </w:tr>
      <w:tr w:rsidR="005259FC" w:rsidRPr="009B783C" w14:paraId="560DB350" w14:textId="77777777" w:rsidTr="00BB0A01">
        <w:tc>
          <w:tcPr>
            <w:tcW w:w="2027" w:type="dxa"/>
            <w:vAlign w:val="bottom"/>
          </w:tcPr>
          <w:p w14:paraId="7166B965" w14:textId="47FC9C40"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CE3434B" w14:textId="41032D2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0599416F" w14:textId="31E6F15A"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636FE0BE" w14:textId="03C5E38A"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66</w:t>
            </w:r>
          </w:p>
        </w:tc>
      </w:tr>
      <w:tr w:rsidR="005259FC" w:rsidRPr="009B783C" w14:paraId="24AE1755" w14:textId="77777777" w:rsidTr="00BB0A01">
        <w:tc>
          <w:tcPr>
            <w:tcW w:w="2027" w:type="dxa"/>
            <w:vAlign w:val="bottom"/>
          </w:tcPr>
          <w:p w14:paraId="7900690A" w14:textId="59B6D071"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FCA90C2" w14:textId="5567587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39201A26" w14:textId="78B8B54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1F97FC13" w14:textId="610F308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67</w:t>
            </w:r>
          </w:p>
        </w:tc>
      </w:tr>
      <w:tr w:rsidR="005259FC" w:rsidRPr="009B783C" w14:paraId="6D85651F" w14:textId="77777777" w:rsidTr="00BB0A01">
        <w:tc>
          <w:tcPr>
            <w:tcW w:w="2027" w:type="dxa"/>
            <w:vAlign w:val="bottom"/>
          </w:tcPr>
          <w:p w14:paraId="69C61A1D" w14:textId="1EC636EA"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6FE4B78E" w14:textId="3535707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3462A771" w14:textId="5E29888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7BE6069" w14:textId="7A67C5C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68</w:t>
            </w:r>
          </w:p>
        </w:tc>
      </w:tr>
      <w:tr w:rsidR="005259FC" w:rsidRPr="009B783C" w14:paraId="580B86AD" w14:textId="77777777" w:rsidTr="00BB0A01">
        <w:tc>
          <w:tcPr>
            <w:tcW w:w="2027" w:type="dxa"/>
            <w:vAlign w:val="bottom"/>
          </w:tcPr>
          <w:p w14:paraId="5342C18E" w14:textId="7A1B9DF0"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3084279" w14:textId="1086EC0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2EEAE64A" w14:textId="2318F14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4915F8E" w14:textId="0EEC0D0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68</w:t>
            </w:r>
          </w:p>
        </w:tc>
      </w:tr>
      <w:tr w:rsidR="005259FC" w:rsidRPr="009B783C" w14:paraId="21013D50" w14:textId="77777777" w:rsidTr="00BB0A01">
        <w:tc>
          <w:tcPr>
            <w:tcW w:w="2027" w:type="dxa"/>
            <w:vAlign w:val="bottom"/>
          </w:tcPr>
          <w:p w14:paraId="15637810" w14:textId="10BB904B"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401A993" w14:textId="069B582E"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6ED322DF" w14:textId="1092826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4EDC73D" w14:textId="5FA16AE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70</w:t>
            </w:r>
          </w:p>
        </w:tc>
      </w:tr>
      <w:tr w:rsidR="005259FC" w:rsidRPr="009B783C" w14:paraId="18265F84" w14:textId="77777777" w:rsidTr="00BB0A01">
        <w:tc>
          <w:tcPr>
            <w:tcW w:w="2027" w:type="dxa"/>
            <w:vAlign w:val="bottom"/>
          </w:tcPr>
          <w:p w14:paraId="5CD7C499" w14:textId="4E8F16AE"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5C9E1126" w14:textId="6265E73A"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3704CA67" w14:textId="7A6489F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DD5A4F6" w14:textId="7E0E9AA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69</w:t>
            </w:r>
          </w:p>
        </w:tc>
      </w:tr>
      <w:tr w:rsidR="005259FC" w:rsidRPr="009B783C" w14:paraId="63933D4C" w14:textId="77777777" w:rsidTr="00BB0A01">
        <w:tc>
          <w:tcPr>
            <w:tcW w:w="2027" w:type="dxa"/>
            <w:vAlign w:val="bottom"/>
          </w:tcPr>
          <w:p w14:paraId="0F543497" w14:textId="115000AA"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C72442C" w14:textId="4536474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36AE121E" w14:textId="4E5A7B7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EF9E356" w14:textId="003F4EF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67</w:t>
            </w:r>
          </w:p>
        </w:tc>
      </w:tr>
      <w:tr w:rsidR="005259FC" w:rsidRPr="009B783C" w14:paraId="3093BC63" w14:textId="77777777" w:rsidTr="00BB0A01">
        <w:tc>
          <w:tcPr>
            <w:tcW w:w="2027" w:type="dxa"/>
            <w:vAlign w:val="bottom"/>
          </w:tcPr>
          <w:p w14:paraId="2B4D9DCF" w14:textId="17C40456"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5BABEB2F" w14:textId="55E7251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6D6A53DF" w14:textId="1F86E75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3207E23" w14:textId="15669814"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66</w:t>
            </w:r>
          </w:p>
        </w:tc>
      </w:tr>
      <w:tr w:rsidR="005259FC" w:rsidRPr="009B783C" w14:paraId="6B8C1739" w14:textId="77777777" w:rsidTr="00BB0A01">
        <w:tc>
          <w:tcPr>
            <w:tcW w:w="2027" w:type="dxa"/>
            <w:vAlign w:val="bottom"/>
          </w:tcPr>
          <w:p w14:paraId="4A0E1921" w14:textId="1BE50113"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9E6DDAF" w14:textId="3B66E62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48D33C1E" w14:textId="7598657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AB637EB" w14:textId="72799DBC"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58</w:t>
            </w:r>
          </w:p>
        </w:tc>
      </w:tr>
      <w:tr w:rsidR="005259FC" w:rsidRPr="009B783C" w14:paraId="6AED3201" w14:textId="77777777" w:rsidTr="00BB0A01">
        <w:tc>
          <w:tcPr>
            <w:tcW w:w="2027" w:type="dxa"/>
            <w:vAlign w:val="bottom"/>
          </w:tcPr>
          <w:p w14:paraId="4DFA1056" w14:textId="3EA519ED"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D5197CD" w14:textId="5EE070D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0E393DCF" w14:textId="6355B67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504F9BA" w14:textId="6A46665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56</w:t>
            </w:r>
          </w:p>
        </w:tc>
      </w:tr>
      <w:tr w:rsidR="005259FC" w:rsidRPr="009B783C" w14:paraId="351506B0" w14:textId="77777777" w:rsidTr="00BB0A01">
        <w:tc>
          <w:tcPr>
            <w:tcW w:w="2027" w:type="dxa"/>
            <w:vAlign w:val="bottom"/>
          </w:tcPr>
          <w:p w14:paraId="57283420" w14:textId="29D2349D"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3C6496A7" w14:textId="0039264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79F45523" w14:textId="2B7F4BD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D732311" w14:textId="4D8C3D5C"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35</w:t>
            </w:r>
          </w:p>
        </w:tc>
      </w:tr>
      <w:tr w:rsidR="005259FC" w:rsidRPr="009B783C" w14:paraId="5446C32E" w14:textId="77777777" w:rsidTr="00BB0A01">
        <w:tc>
          <w:tcPr>
            <w:tcW w:w="2027" w:type="dxa"/>
            <w:vAlign w:val="bottom"/>
          </w:tcPr>
          <w:p w14:paraId="7C5A37C1" w14:textId="181ACFA3"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C19D5EF" w14:textId="579C523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7630FE2C" w14:textId="230A019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093E1B5" w14:textId="51EAAA0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33</w:t>
            </w:r>
          </w:p>
        </w:tc>
      </w:tr>
      <w:tr w:rsidR="005259FC" w:rsidRPr="009B783C" w14:paraId="7BD5ECD6" w14:textId="77777777" w:rsidTr="00BB0A01">
        <w:tc>
          <w:tcPr>
            <w:tcW w:w="2027" w:type="dxa"/>
            <w:vAlign w:val="bottom"/>
          </w:tcPr>
          <w:p w14:paraId="07568802" w14:textId="3289E201"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DAC770A" w14:textId="6EB005D2"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7C5F8AF4" w14:textId="71DC31B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862A80D" w14:textId="276D019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7F87FBBD" w14:textId="77777777" w:rsidTr="00BB0A01">
        <w:tc>
          <w:tcPr>
            <w:tcW w:w="2027" w:type="dxa"/>
            <w:vAlign w:val="bottom"/>
          </w:tcPr>
          <w:p w14:paraId="3FA55393" w14:textId="1BE2E748"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48416A1" w14:textId="6ACF7E6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23</w:t>
            </w:r>
          </w:p>
        </w:tc>
        <w:tc>
          <w:tcPr>
            <w:tcW w:w="2881" w:type="dxa"/>
            <w:vAlign w:val="bottom"/>
          </w:tcPr>
          <w:p w14:paraId="1A64EB5E" w14:textId="35325AE4"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CA63690" w14:textId="67D5AC5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2AB82C87" w14:textId="77777777" w:rsidTr="00BB0A01">
        <w:tc>
          <w:tcPr>
            <w:tcW w:w="2027" w:type="dxa"/>
            <w:vAlign w:val="bottom"/>
          </w:tcPr>
          <w:p w14:paraId="148EECCE" w14:textId="0B40E1A5"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Saturday</w:t>
            </w:r>
          </w:p>
        </w:tc>
        <w:tc>
          <w:tcPr>
            <w:tcW w:w="1654" w:type="dxa"/>
            <w:vAlign w:val="bottom"/>
          </w:tcPr>
          <w:p w14:paraId="4A1F5D99" w14:textId="531D233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24</w:t>
            </w:r>
          </w:p>
        </w:tc>
        <w:tc>
          <w:tcPr>
            <w:tcW w:w="2881" w:type="dxa"/>
            <w:vAlign w:val="bottom"/>
          </w:tcPr>
          <w:p w14:paraId="30568A5A" w14:textId="1FDD28F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3067B63" w14:textId="0279246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0F8D1BD0" w14:textId="77777777" w:rsidTr="00BB0A01">
        <w:tc>
          <w:tcPr>
            <w:tcW w:w="2027" w:type="dxa"/>
            <w:vAlign w:val="bottom"/>
          </w:tcPr>
          <w:p w14:paraId="2C703BA3" w14:textId="7C759439"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8AC9934" w14:textId="45C439A2"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w:t>
            </w:r>
          </w:p>
        </w:tc>
        <w:tc>
          <w:tcPr>
            <w:tcW w:w="2881" w:type="dxa"/>
            <w:vAlign w:val="bottom"/>
          </w:tcPr>
          <w:p w14:paraId="407E5A8C" w14:textId="13E3CE0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A6493F6" w14:textId="2564862A"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5582FD57" w14:textId="77777777" w:rsidTr="00BB0A01">
        <w:tc>
          <w:tcPr>
            <w:tcW w:w="2027" w:type="dxa"/>
            <w:vAlign w:val="bottom"/>
          </w:tcPr>
          <w:p w14:paraId="556D7B10" w14:textId="1C7BD100"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417067A" w14:textId="550DBB6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w:t>
            </w:r>
          </w:p>
        </w:tc>
        <w:tc>
          <w:tcPr>
            <w:tcW w:w="2881" w:type="dxa"/>
            <w:vAlign w:val="bottom"/>
          </w:tcPr>
          <w:p w14:paraId="62606536" w14:textId="0ADA2B9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717C23A" w14:textId="6EC61D6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r>
      <w:tr w:rsidR="005259FC" w:rsidRPr="009B783C" w14:paraId="5D59B6B5" w14:textId="77777777" w:rsidTr="00BB0A01">
        <w:tc>
          <w:tcPr>
            <w:tcW w:w="2027" w:type="dxa"/>
            <w:vAlign w:val="bottom"/>
          </w:tcPr>
          <w:p w14:paraId="2E48372A" w14:textId="416326C7"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2379037A" w14:textId="13D36DD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c>
          <w:tcPr>
            <w:tcW w:w="2881" w:type="dxa"/>
            <w:vAlign w:val="bottom"/>
          </w:tcPr>
          <w:p w14:paraId="74872227" w14:textId="3129D13C"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F363344" w14:textId="2C4CB58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60</w:t>
            </w:r>
          </w:p>
        </w:tc>
      </w:tr>
      <w:tr w:rsidR="005259FC" w:rsidRPr="009B783C" w14:paraId="5FB6FF26" w14:textId="77777777" w:rsidTr="00BB0A01">
        <w:tc>
          <w:tcPr>
            <w:tcW w:w="2027" w:type="dxa"/>
            <w:vAlign w:val="bottom"/>
          </w:tcPr>
          <w:p w14:paraId="14663FA8" w14:textId="15DBCD03"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1A4BE57" w14:textId="2C54B9F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9</w:t>
            </w:r>
          </w:p>
        </w:tc>
        <w:tc>
          <w:tcPr>
            <w:tcW w:w="2881" w:type="dxa"/>
            <w:vAlign w:val="bottom"/>
          </w:tcPr>
          <w:p w14:paraId="1826CCD3" w14:textId="496E21D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38C7D7E" w14:textId="21147C3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63</w:t>
            </w:r>
          </w:p>
        </w:tc>
      </w:tr>
      <w:tr w:rsidR="005259FC" w:rsidRPr="009B783C" w14:paraId="1C7C0FA2" w14:textId="77777777" w:rsidTr="00BB0A01">
        <w:tc>
          <w:tcPr>
            <w:tcW w:w="2027" w:type="dxa"/>
            <w:vAlign w:val="bottom"/>
          </w:tcPr>
          <w:p w14:paraId="50C77922" w14:textId="29EEE8CF"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F7EDE5A" w14:textId="4D660CF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1124E3BC" w14:textId="5F0C294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F41703F" w14:textId="7099A3C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66</w:t>
            </w:r>
          </w:p>
        </w:tc>
      </w:tr>
      <w:tr w:rsidR="005259FC" w:rsidRPr="009B783C" w14:paraId="03900A24" w14:textId="77777777" w:rsidTr="00BB0A01">
        <w:tc>
          <w:tcPr>
            <w:tcW w:w="2027" w:type="dxa"/>
            <w:vAlign w:val="bottom"/>
          </w:tcPr>
          <w:p w14:paraId="54229619" w14:textId="512CC83B"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DE50F81" w14:textId="3E0A6F74"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67909A35" w14:textId="31627DD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178D4FF" w14:textId="2A81C27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67</w:t>
            </w:r>
          </w:p>
        </w:tc>
      </w:tr>
      <w:tr w:rsidR="005259FC" w:rsidRPr="009B783C" w14:paraId="09E28AB8" w14:textId="77777777" w:rsidTr="00BB0A01">
        <w:tc>
          <w:tcPr>
            <w:tcW w:w="2027" w:type="dxa"/>
            <w:vAlign w:val="bottom"/>
          </w:tcPr>
          <w:p w14:paraId="569470DC" w14:textId="4F0E65FC"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7BA92D9" w14:textId="766B601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6BA04A06" w14:textId="10515F1E"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F44B50C" w14:textId="1CBACDF4"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68</w:t>
            </w:r>
          </w:p>
        </w:tc>
      </w:tr>
      <w:tr w:rsidR="005259FC" w:rsidRPr="009B783C" w14:paraId="53670C63" w14:textId="77777777" w:rsidTr="00BB0A01">
        <w:tc>
          <w:tcPr>
            <w:tcW w:w="2027" w:type="dxa"/>
            <w:vAlign w:val="bottom"/>
          </w:tcPr>
          <w:p w14:paraId="73648C1C" w14:textId="457BCB21"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7360023C" w14:textId="392C816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45429F93" w14:textId="7B6C88F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7F093E9" w14:textId="0DCFF31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68</w:t>
            </w:r>
          </w:p>
        </w:tc>
      </w:tr>
      <w:tr w:rsidR="005259FC" w:rsidRPr="009B783C" w14:paraId="1F53B6EE" w14:textId="77777777" w:rsidTr="00BB0A01">
        <w:tc>
          <w:tcPr>
            <w:tcW w:w="2027" w:type="dxa"/>
            <w:vAlign w:val="bottom"/>
          </w:tcPr>
          <w:p w14:paraId="044FD0A2" w14:textId="7DAE1844"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5038742" w14:textId="1AE5D128"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7368AF7D" w14:textId="7D95A71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2213750" w14:textId="7138536E"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70</w:t>
            </w:r>
          </w:p>
        </w:tc>
      </w:tr>
      <w:tr w:rsidR="005259FC" w:rsidRPr="009B783C" w14:paraId="27A1799E" w14:textId="77777777" w:rsidTr="00BB0A01">
        <w:tc>
          <w:tcPr>
            <w:tcW w:w="2027" w:type="dxa"/>
            <w:vAlign w:val="bottom"/>
          </w:tcPr>
          <w:p w14:paraId="6E4ED58A" w14:textId="18E58BCA"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1630059" w14:textId="39307C5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2E1141DB" w14:textId="141F7CD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7183B22" w14:textId="1704E60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69</w:t>
            </w:r>
          </w:p>
        </w:tc>
      </w:tr>
      <w:tr w:rsidR="005259FC" w:rsidRPr="009B783C" w14:paraId="41DC47B9" w14:textId="77777777" w:rsidTr="00BB0A01">
        <w:tc>
          <w:tcPr>
            <w:tcW w:w="2027" w:type="dxa"/>
            <w:vAlign w:val="bottom"/>
          </w:tcPr>
          <w:p w14:paraId="31F368A1" w14:textId="31FA3F10"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201C27A" w14:textId="68522772"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788EA1ED" w14:textId="32C02A1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2E6F89D" w14:textId="111A860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67</w:t>
            </w:r>
          </w:p>
        </w:tc>
      </w:tr>
      <w:tr w:rsidR="005259FC" w:rsidRPr="009B783C" w14:paraId="14EE622F" w14:textId="77777777" w:rsidTr="00BB0A01">
        <w:tc>
          <w:tcPr>
            <w:tcW w:w="2027" w:type="dxa"/>
            <w:vAlign w:val="bottom"/>
          </w:tcPr>
          <w:p w14:paraId="4170E9C1" w14:textId="41936DD7"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23C470CC" w14:textId="4FE9A1A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42281A3A" w14:textId="50EB679F"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782EDED" w14:textId="71F3247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66</w:t>
            </w:r>
          </w:p>
        </w:tc>
      </w:tr>
      <w:tr w:rsidR="005259FC" w:rsidRPr="009B783C" w14:paraId="390EEB15" w14:textId="77777777" w:rsidTr="00BB0A01">
        <w:tc>
          <w:tcPr>
            <w:tcW w:w="2027" w:type="dxa"/>
            <w:vAlign w:val="bottom"/>
          </w:tcPr>
          <w:p w14:paraId="4DF4CBFA" w14:textId="17C9C930"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34224CA" w14:textId="3337EA84"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5B8A3398" w14:textId="032C86A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FEA42BB" w14:textId="5E3646B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58</w:t>
            </w:r>
          </w:p>
        </w:tc>
      </w:tr>
      <w:tr w:rsidR="005259FC" w:rsidRPr="009B783C" w14:paraId="4569FF28" w14:textId="77777777" w:rsidTr="00BB0A01">
        <w:tc>
          <w:tcPr>
            <w:tcW w:w="2027" w:type="dxa"/>
            <w:vAlign w:val="bottom"/>
          </w:tcPr>
          <w:p w14:paraId="36E63892" w14:textId="63441ECB"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914FA27" w14:textId="475E3EB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74CD7E16" w14:textId="0597EA3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A6AFC9E" w14:textId="2FFFFDC5"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56</w:t>
            </w:r>
          </w:p>
        </w:tc>
      </w:tr>
      <w:tr w:rsidR="005259FC" w:rsidRPr="009B783C" w14:paraId="5A9AE20D" w14:textId="77777777" w:rsidTr="00BB0A01">
        <w:tc>
          <w:tcPr>
            <w:tcW w:w="2027" w:type="dxa"/>
            <w:vAlign w:val="bottom"/>
          </w:tcPr>
          <w:p w14:paraId="4C18858D" w14:textId="0AB7293D"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3C84FCE" w14:textId="2FB5C54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16AA8D05" w14:textId="6B5D1C03"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7F0C3F9" w14:textId="6E08914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35</w:t>
            </w:r>
          </w:p>
        </w:tc>
      </w:tr>
      <w:tr w:rsidR="005259FC" w:rsidRPr="009B783C" w14:paraId="39BA4E2E" w14:textId="77777777" w:rsidTr="00BB0A01">
        <w:tc>
          <w:tcPr>
            <w:tcW w:w="2027" w:type="dxa"/>
            <w:vAlign w:val="bottom"/>
          </w:tcPr>
          <w:p w14:paraId="43F4F9A3" w14:textId="29468A6A"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2819AC9F" w14:textId="1238C2C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7C001165" w14:textId="2694FD9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9A85464" w14:textId="3CD19DFD"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33</w:t>
            </w:r>
          </w:p>
        </w:tc>
      </w:tr>
      <w:tr w:rsidR="005259FC" w:rsidRPr="009B783C" w14:paraId="33F7B803" w14:textId="77777777" w:rsidTr="00BB0A01">
        <w:tc>
          <w:tcPr>
            <w:tcW w:w="2027" w:type="dxa"/>
            <w:vAlign w:val="bottom"/>
          </w:tcPr>
          <w:p w14:paraId="1D6931C9" w14:textId="50A6D0B8"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7A7ADE1" w14:textId="2AA20C92"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26C683FB" w14:textId="25C8FBD5"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8C1F599" w14:textId="2A71D619"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7D09753C" w14:textId="77777777" w:rsidTr="00BB0A01">
        <w:tc>
          <w:tcPr>
            <w:tcW w:w="2027" w:type="dxa"/>
            <w:vAlign w:val="bottom"/>
          </w:tcPr>
          <w:p w14:paraId="26DC947B" w14:textId="6C2F4E01"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7738F90A" w14:textId="6DD05CCB"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23</w:t>
            </w:r>
          </w:p>
        </w:tc>
        <w:tc>
          <w:tcPr>
            <w:tcW w:w="2881" w:type="dxa"/>
            <w:vAlign w:val="bottom"/>
          </w:tcPr>
          <w:p w14:paraId="5FB6E3FA" w14:textId="6D84CF41"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654C4AB" w14:textId="1B0FE60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r w:rsidR="005259FC" w:rsidRPr="009B783C" w14:paraId="69A145EA" w14:textId="77777777" w:rsidTr="00BB0A01">
        <w:tc>
          <w:tcPr>
            <w:tcW w:w="2027" w:type="dxa"/>
            <w:vAlign w:val="bottom"/>
          </w:tcPr>
          <w:p w14:paraId="49758BAA" w14:textId="4BF8664C" w:rsidR="005259FC" w:rsidRPr="009B783C" w:rsidRDefault="005259FC" w:rsidP="005259FC">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D7BE64E" w14:textId="13793D97"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24</w:t>
            </w:r>
          </w:p>
        </w:tc>
        <w:tc>
          <w:tcPr>
            <w:tcW w:w="2881" w:type="dxa"/>
            <w:vAlign w:val="bottom"/>
          </w:tcPr>
          <w:p w14:paraId="553F073D" w14:textId="2D3C8460"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E05A53F" w14:textId="05AF2B66" w:rsidR="005259FC" w:rsidRPr="009B783C" w:rsidRDefault="005259FC"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0</w:t>
            </w:r>
          </w:p>
        </w:tc>
      </w:tr>
    </w:tbl>
    <w:p w14:paraId="5A291356" w14:textId="3701856C" w:rsidR="00885825" w:rsidRPr="007E1FC5" w:rsidRDefault="00885825" w:rsidP="000D706D">
      <w:pPr>
        <w:pStyle w:val="Heading3"/>
        <w:rPr>
          <w:rFonts w:eastAsiaTheme="minorHAnsi"/>
        </w:rPr>
      </w:pPr>
      <w:r w:rsidRPr="00E352B1">
        <w:t xml:space="preserve">The number of Medicare UCCs </w:t>
      </w:r>
      <w:r w:rsidRPr="00E352B1">
        <w:rPr>
          <w:bCs/>
        </w:rPr>
        <w:t xml:space="preserve">open by day of the week is consistent across </w:t>
      </w:r>
      <w:r w:rsidRPr="00ED1544">
        <w:rPr>
          <w:rFonts w:eastAsiaTheme="minorHAnsi"/>
        </w:rPr>
        <w:t xml:space="preserve">remoteness categories, but the </w:t>
      </w:r>
      <w:r w:rsidR="00045562" w:rsidRPr="00ED1544">
        <w:rPr>
          <w:rFonts w:eastAsiaTheme="minorHAnsi"/>
        </w:rPr>
        <w:t xml:space="preserve">average </w:t>
      </w:r>
      <w:r w:rsidRPr="00ED1544">
        <w:rPr>
          <w:rFonts w:eastAsiaTheme="minorHAnsi"/>
        </w:rPr>
        <w:t xml:space="preserve">operating hours </w:t>
      </w:r>
      <w:r w:rsidR="00045562" w:rsidRPr="00ED1544">
        <w:rPr>
          <w:rFonts w:eastAsiaTheme="minorHAnsi"/>
        </w:rPr>
        <w:t xml:space="preserve">are slightly </w:t>
      </w:r>
      <w:r w:rsidR="006D0B3F" w:rsidRPr="00ED1544">
        <w:rPr>
          <w:rFonts w:eastAsiaTheme="minorHAnsi"/>
        </w:rPr>
        <w:t>lower</w:t>
      </w:r>
      <w:r w:rsidR="003B5A0B" w:rsidRPr="00ED1544">
        <w:rPr>
          <w:rFonts w:eastAsiaTheme="minorHAnsi"/>
        </w:rPr>
        <w:t xml:space="preserve"> outside of metropolitan areas</w:t>
      </w:r>
      <w:r w:rsidRPr="00ED1544">
        <w:rPr>
          <w:rFonts w:eastAsiaTheme="minorHAnsi"/>
        </w:rPr>
        <w:t>, especially on weekends</w:t>
      </w:r>
    </w:p>
    <w:p w14:paraId="74D79EAF" w14:textId="4769C64C" w:rsidR="00885825" w:rsidRPr="009B783C" w:rsidRDefault="00605456" w:rsidP="00866F22">
      <w:pPr>
        <w:rPr>
          <w:szCs w:val="21"/>
          <w:lang w:eastAsia="en-AU"/>
        </w:rPr>
      </w:pPr>
      <w:r w:rsidRPr="009B783C">
        <w:rPr>
          <w:szCs w:val="21"/>
          <w:lang w:eastAsia="en-AU"/>
        </w:rPr>
        <w:fldChar w:fldCharType="begin"/>
      </w:r>
      <w:r w:rsidRPr="009B783C">
        <w:rPr>
          <w:szCs w:val="21"/>
          <w:lang w:eastAsia="en-AU"/>
        </w:rPr>
        <w:instrText xml:space="preserve"> REF _Ref185485401 \h </w:instrText>
      </w:r>
      <w:r w:rsidR="00866F22"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5F1752" w:rsidRPr="009B783C">
        <w:rPr>
          <w:szCs w:val="21"/>
        </w:rPr>
        <w:t xml:space="preserve">Table </w:t>
      </w:r>
      <w:r w:rsidR="005F1752">
        <w:rPr>
          <w:szCs w:val="21"/>
        </w:rPr>
        <w:t>5</w:t>
      </w:r>
      <w:r w:rsidRPr="009B783C">
        <w:rPr>
          <w:szCs w:val="21"/>
          <w:lang w:eastAsia="en-AU"/>
        </w:rPr>
        <w:fldChar w:fldCharType="end"/>
      </w:r>
      <w:r w:rsidR="00885825" w:rsidRPr="009B783C">
        <w:rPr>
          <w:szCs w:val="21"/>
          <w:lang w:eastAsia="en-AU"/>
        </w:rPr>
        <w:t xml:space="preserve"> shows the number of clinics open by day of week and the average opening hours, by MMM category. </w:t>
      </w:r>
      <w:r w:rsidR="001A5361" w:rsidRPr="009B783C">
        <w:rPr>
          <w:szCs w:val="21"/>
          <w:lang w:eastAsia="en-AU"/>
        </w:rPr>
        <w:t>T</w:t>
      </w:r>
      <w:r w:rsidR="00885825" w:rsidRPr="009B783C">
        <w:rPr>
          <w:szCs w:val="21"/>
          <w:lang w:eastAsia="en-AU"/>
        </w:rPr>
        <w:t>he number of clinics open on weekdays versus weekends is consistent across MMM categories</w:t>
      </w:r>
      <w:r w:rsidR="001A5361" w:rsidRPr="009B783C">
        <w:rPr>
          <w:szCs w:val="21"/>
          <w:lang w:eastAsia="en-AU"/>
        </w:rPr>
        <w:t xml:space="preserve">. </w:t>
      </w:r>
      <w:r w:rsidR="00293D19" w:rsidRPr="009B783C">
        <w:rPr>
          <w:szCs w:val="21"/>
          <w:lang w:eastAsia="en-AU"/>
        </w:rPr>
        <w:t>T</w:t>
      </w:r>
      <w:r w:rsidR="00885825" w:rsidRPr="009B783C">
        <w:rPr>
          <w:szCs w:val="21"/>
          <w:lang w:eastAsia="en-AU"/>
        </w:rPr>
        <w:t xml:space="preserve">he mean operating hours </w:t>
      </w:r>
      <w:r w:rsidR="00BB0BF7" w:rsidRPr="009B783C">
        <w:rPr>
          <w:szCs w:val="21"/>
          <w:lang w:eastAsia="en-AU"/>
        </w:rPr>
        <w:t xml:space="preserve">trend down </w:t>
      </w:r>
      <w:r w:rsidR="00BA6429" w:rsidRPr="009B783C">
        <w:rPr>
          <w:szCs w:val="21"/>
          <w:lang w:eastAsia="en-AU"/>
        </w:rPr>
        <w:t xml:space="preserve">outside of MM1 </w:t>
      </w:r>
      <w:r w:rsidR="001E4835" w:rsidRPr="009B783C">
        <w:rPr>
          <w:szCs w:val="21"/>
          <w:lang w:eastAsia="en-AU"/>
        </w:rPr>
        <w:t>(M</w:t>
      </w:r>
      <w:r w:rsidR="00BA6429" w:rsidRPr="009B783C">
        <w:rPr>
          <w:szCs w:val="21"/>
          <w:lang w:eastAsia="en-AU"/>
        </w:rPr>
        <w:t>etropolitan areas</w:t>
      </w:r>
      <w:r w:rsidR="001E4835" w:rsidRPr="009B783C">
        <w:rPr>
          <w:szCs w:val="21"/>
          <w:lang w:eastAsia="en-AU"/>
        </w:rPr>
        <w:t>)</w:t>
      </w:r>
      <w:r w:rsidR="001A5361" w:rsidRPr="009B783C">
        <w:rPr>
          <w:szCs w:val="21"/>
          <w:lang w:eastAsia="en-AU"/>
        </w:rPr>
        <w:t xml:space="preserve">, </w:t>
      </w:r>
      <w:r w:rsidR="009F3B34" w:rsidRPr="009B783C">
        <w:rPr>
          <w:szCs w:val="21"/>
          <w:lang w:eastAsia="en-AU"/>
        </w:rPr>
        <w:t>likely due to local workforce availability and conditions</w:t>
      </w:r>
      <w:r w:rsidR="00293D19" w:rsidRPr="009B783C">
        <w:rPr>
          <w:szCs w:val="21"/>
          <w:lang w:eastAsia="en-AU"/>
        </w:rPr>
        <w:t xml:space="preserve">, </w:t>
      </w:r>
      <w:r w:rsidR="001A5361" w:rsidRPr="009B783C">
        <w:rPr>
          <w:szCs w:val="21"/>
          <w:lang w:eastAsia="en-AU"/>
        </w:rPr>
        <w:t>although</w:t>
      </w:r>
      <w:r w:rsidR="008F414D" w:rsidRPr="009B783C">
        <w:rPr>
          <w:szCs w:val="21"/>
          <w:lang w:eastAsia="en-AU"/>
        </w:rPr>
        <w:t xml:space="preserve"> c</w:t>
      </w:r>
      <w:r w:rsidR="00885825" w:rsidRPr="009B783C">
        <w:rPr>
          <w:szCs w:val="21"/>
          <w:lang w:eastAsia="en-AU"/>
        </w:rPr>
        <w:t xml:space="preserve">linics in MM2 </w:t>
      </w:r>
      <w:r w:rsidR="001E4835" w:rsidRPr="009B783C">
        <w:rPr>
          <w:szCs w:val="21"/>
          <w:lang w:eastAsia="en-AU"/>
        </w:rPr>
        <w:t>(</w:t>
      </w:r>
      <w:r w:rsidR="00885825" w:rsidRPr="009B783C">
        <w:rPr>
          <w:szCs w:val="21"/>
          <w:lang w:eastAsia="en-AU"/>
        </w:rPr>
        <w:t>Regional centres</w:t>
      </w:r>
      <w:r w:rsidR="001E4835" w:rsidRPr="009B783C">
        <w:rPr>
          <w:szCs w:val="21"/>
          <w:lang w:eastAsia="en-AU"/>
        </w:rPr>
        <w:t>)</w:t>
      </w:r>
      <w:r w:rsidR="00885825" w:rsidRPr="009B783C">
        <w:rPr>
          <w:szCs w:val="21"/>
          <w:lang w:eastAsia="en-AU"/>
        </w:rPr>
        <w:t xml:space="preserve"> </w:t>
      </w:r>
      <w:r w:rsidR="008F414D" w:rsidRPr="009B783C">
        <w:rPr>
          <w:szCs w:val="21"/>
          <w:lang w:eastAsia="en-AU"/>
        </w:rPr>
        <w:t xml:space="preserve">are noted to </w:t>
      </w:r>
      <w:r w:rsidR="00885825" w:rsidRPr="009B783C">
        <w:rPr>
          <w:szCs w:val="21"/>
          <w:lang w:eastAsia="en-AU"/>
        </w:rPr>
        <w:t>have</w:t>
      </w:r>
      <w:r w:rsidR="00F40E18" w:rsidRPr="009B783C">
        <w:rPr>
          <w:szCs w:val="21"/>
          <w:lang w:eastAsia="en-AU"/>
        </w:rPr>
        <w:t xml:space="preserve"> </w:t>
      </w:r>
      <w:r w:rsidR="00885825" w:rsidRPr="009B783C">
        <w:rPr>
          <w:szCs w:val="21"/>
          <w:lang w:eastAsia="en-AU"/>
        </w:rPr>
        <w:t>shorte</w:t>
      </w:r>
      <w:r w:rsidR="009F3B34" w:rsidRPr="009B783C">
        <w:rPr>
          <w:szCs w:val="21"/>
          <w:lang w:eastAsia="en-AU"/>
        </w:rPr>
        <w:t>r</w:t>
      </w:r>
      <w:r w:rsidR="00885825" w:rsidRPr="009B783C">
        <w:rPr>
          <w:szCs w:val="21"/>
          <w:lang w:eastAsia="en-AU"/>
        </w:rPr>
        <w:t xml:space="preserve"> average opening hours </w:t>
      </w:r>
      <w:r w:rsidR="00345310" w:rsidRPr="009B783C">
        <w:rPr>
          <w:szCs w:val="21"/>
          <w:lang w:eastAsia="en-AU"/>
        </w:rPr>
        <w:t xml:space="preserve">on weekends </w:t>
      </w:r>
      <w:r w:rsidR="00885825" w:rsidRPr="009B783C">
        <w:rPr>
          <w:szCs w:val="21"/>
          <w:lang w:eastAsia="en-AU"/>
        </w:rPr>
        <w:t>(</w:t>
      </w:r>
      <w:r w:rsidR="00CB5486" w:rsidRPr="009B783C">
        <w:rPr>
          <w:szCs w:val="21"/>
          <w:lang w:eastAsia="en-AU"/>
        </w:rPr>
        <w:t>ten</w:t>
      </w:r>
      <w:r w:rsidR="00885825" w:rsidRPr="009B783C">
        <w:rPr>
          <w:szCs w:val="21"/>
          <w:lang w:eastAsia="en-AU"/>
        </w:rPr>
        <w:t xml:space="preserve"> hours), compared </w:t>
      </w:r>
      <w:r w:rsidR="003D6248" w:rsidRPr="009B783C">
        <w:rPr>
          <w:szCs w:val="21"/>
          <w:lang w:eastAsia="en-AU"/>
        </w:rPr>
        <w:t xml:space="preserve">with </w:t>
      </w:r>
      <w:r w:rsidR="00885825" w:rsidRPr="009B783C">
        <w:rPr>
          <w:szCs w:val="21"/>
          <w:lang w:eastAsia="en-AU"/>
        </w:rPr>
        <w:t>those in MM3 to MM</w:t>
      </w:r>
      <w:r w:rsidR="008813F7" w:rsidRPr="009B783C">
        <w:rPr>
          <w:szCs w:val="21"/>
          <w:lang w:eastAsia="en-AU"/>
        </w:rPr>
        <w:t>7</w:t>
      </w:r>
      <w:r w:rsidR="00885825" w:rsidRPr="009B783C">
        <w:rPr>
          <w:szCs w:val="21"/>
          <w:lang w:eastAsia="en-AU"/>
        </w:rPr>
        <w:t xml:space="preserve"> </w:t>
      </w:r>
      <w:r w:rsidR="00F40E18" w:rsidRPr="009B783C">
        <w:rPr>
          <w:szCs w:val="21"/>
          <w:lang w:eastAsia="en-AU"/>
        </w:rPr>
        <w:t>(</w:t>
      </w:r>
      <w:r w:rsidR="008813F7" w:rsidRPr="009B783C">
        <w:rPr>
          <w:szCs w:val="21"/>
          <w:lang w:eastAsia="en-AU"/>
        </w:rPr>
        <w:t>Rural</w:t>
      </w:r>
      <w:r w:rsidR="003B04AE" w:rsidRPr="009B783C">
        <w:rPr>
          <w:szCs w:val="21"/>
          <w:lang w:eastAsia="en-AU"/>
        </w:rPr>
        <w:t xml:space="preserve"> towns</w:t>
      </w:r>
      <w:r w:rsidR="008813F7" w:rsidRPr="009B783C">
        <w:rPr>
          <w:szCs w:val="21"/>
          <w:lang w:eastAsia="en-AU"/>
        </w:rPr>
        <w:t xml:space="preserve"> and remote communities</w:t>
      </w:r>
      <w:r w:rsidR="00F40E18" w:rsidRPr="009B783C">
        <w:rPr>
          <w:szCs w:val="21"/>
          <w:lang w:eastAsia="en-AU"/>
        </w:rPr>
        <w:t>,</w:t>
      </w:r>
      <w:r w:rsidR="00885825" w:rsidRPr="009B783C">
        <w:rPr>
          <w:szCs w:val="21"/>
          <w:lang w:eastAsia="en-AU"/>
        </w:rPr>
        <w:t xml:space="preserve"> </w:t>
      </w:r>
      <w:r w:rsidR="00345310" w:rsidRPr="009B783C">
        <w:rPr>
          <w:szCs w:val="21"/>
          <w:lang w:eastAsia="en-AU"/>
        </w:rPr>
        <w:t>10.3</w:t>
      </w:r>
      <w:r w:rsidR="00885825" w:rsidRPr="009B783C">
        <w:rPr>
          <w:szCs w:val="21"/>
          <w:lang w:eastAsia="en-AU"/>
        </w:rPr>
        <w:t xml:space="preserve"> hours)</w:t>
      </w:r>
      <w:r w:rsidR="00845BD5" w:rsidRPr="009B783C">
        <w:rPr>
          <w:szCs w:val="21"/>
          <w:lang w:eastAsia="en-AU"/>
        </w:rPr>
        <w:t>.</w:t>
      </w:r>
    </w:p>
    <w:p w14:paraId="0EEF949E" w14:textId="00E22ECE" w:rsidR="00C17381" w:rsidRPr="009B783C" w:rsidRDefault="000C2783" w:rsidP="00C17381">
      <w:pPr>
        <w:pStyle w:val="Caption"/>
        <w:rPr>
          <w:szCs w:val="21"/>
        </w:rPr>
      </w:pPr>
      <w:bookmarkStart w:id="67" w:name="_Ref185485401"/>
      <w:bookmarkStart w:id="68" w:name="_Ref185485396"/>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5F1752">
        <w:rPr>
          <w:noProof/>
          <w:szCs w:val="21"/>
        </w:rPr>
        <w:t>5</w:t>
      </w:r>
      <w:r w:rsidRPr="009B783C">
        <w:rPr>
          <w:szCs w:val="21"/>
        </w:rPr>
        <w:fldChar w:fldCharType="end"/>
      </w:r>
      <w:bookmarkEnd w:id="67"/>
      <w:r w:rsidR="00C17381" w:rsidRPr="009B783C">
        <w:rPr>
          <w:szCs w:val="21"/>
        </w:rPr>
        <w:t xml:space="preserve"> | Medicare UCC mean number of hours open per day by MMM category</w:t>
      </w:r>
      <w:r w:rsidR="00C17381" w:rsidRPr="009B783C">
        <w:rPr>
          <w:rStyle w:val="FootnoteReference"/>
          <w:szCs w:val="21"/>
        </w:rPr>
        <w:footnoteReference w:id="31"/>
      </w:r>
      <w:bookmarkEnd w:id="68"/>
    </w:p>
    <w:tbl>
      <w:tblPr>
        <w:tblStyle w:val="NOUSSideHeader1"/>
        <w:tblW w:w="5003" w:type="pct"/>
        <w:tblLook w:val="04A0" w:firstRow="1" w:lastRow="0" w:firstColumn="1" w:lastColumn="0" w:noHBand="0" w:noVBand="1"/>
      </w:tblPr>
      <w:tblGrid>
        <w:gridCol w:w="1559"/>
        <w:gridCol w:w="2456"/>
        <w:gridCol w:w="2456"/>
        <w:gridCol w:w="2459"/>
      </w:tblGrid>
      <w:tr w:rsidR="00954765" w:rsidRPr="009B783C" w14:paraId="1ACB5DDB" w14:textId="77777777" w:rsidTr="00C27645">
        <w:trPr>
          <w:cnfStyle w:val="100000000000" w:firstRow="1" w:lastRow="0" w:firstColumn="0" w:lastColumn="0" w:oddVBand="0" w:evenVBand="0" w:oddHBand="0" w:evenHBand="0" w:firstRowFirstColumn="0" w:firstRowLastColumn="0" w:lastRowFirstColumn="0" w:lastRowLastColumn="0"/>
          <w:trHeight w:val="187"/>
        </w:trPr>
        <w:tc>
          <w:tcPr>
            <w:tcW w:w="873" w:type="pct"/>
            <w:tcBorders>
              <w:top w:val="single" w:sz="2" w:space="0" w:color="00264D" w:themeColor="background2"/>
              <w:bottom w:val="single" w:sz="4" w:space="0" w:color="00264D" w:themeColor="background2"/>
              <w:right w:val="single" w:sz="4" w:space="0" w:color="FFFFFF" w:themeColor="background1"/>
            </w:tcBorders>
            <w:shd w:val="clear" w:color="auto" w:fill="00264D" w:themeFill="background2"/>
          </w:tcPr>
          <w:p w14:paraId="6A9A1796" w14:textId="19E7E576" w:rsidR="000C2783" w:rsidRPr="009B783C" w:rsidRDefault="00A46C09" w:rsidP="00CB5486">
            <w:pPr>
              <w:pStyle w:val="TableNheader"/>
            </w:pPr>
            <w:r w:rsidRPr="009B783C">
              <w:t>Day of week</w:t>
            </w:r>
          </w:p>
        </w:tc>
        <w:tc>
          <w:tcPr>
            <w:tcW w:w="1375"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3487C1EA" w14:textId="411EFFD8" w:rsidR="000C2783" w:rsidRPr="009B783C" w:rsidRDefault="00A46C09" w:rsidP="00786482">
            <w:pPr>
              <w:pStyle w:val="TableNheader"/>
            </w:pPr>
            <w:r w:rsidRPr="009B783C">
              <w:t xml:space="preserve">Mean hours open (a), </w:t>
            </w:r>
            <w:r w:rsidR="000C2783" w:rsidRPr="009B783C">
              <w:t>MM1 Metropolitan areas (</w:t>
            </w:r>
            <w:r w:rsidR="005218F1" w:rsidRPr="009B783C">
              <w:t>49</w:t>
            </w:r>
            <w:r w:rsidR="000C2783" w:rsidRPr="009B783C">
              <w:t xml:space="preserve"> clinics)</w:t>
            </w:r>
          </w:p>
        </w:tc>
        <w:tc>
          <w:tcPr>
            <w:tcW w:w="1375"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0E708C80" w14:textId="5884C41E" w:rsidR="000C2783" w:rsidRPr="009B783C" w:rsidRDefault="00A46C09" w:rsidP="00786482">
            <w:pPr>
              <w:pStyle w:val="TableNheader"/>
            </w:pPr>
            <w:r w:rsidRPr="009B783C">
              <w:t xml:space="preserve">Mean hours open (a), </w:t>
            </w:r>
            <w:r w:rsidR="000C2783" w:rsidRPr="009B783C">
              <w:t>MM2</w:t>
            </w:r>
            <w:r w:rsidR="00CB5486" w:rsidRPr="009B783C">
              <w:t xml:space="preserve"> </w:t>
            </w:r>
            <w:r w:rsidR="000C2783" w:rsidRPr="009B783C">
              <w:t>Regional Centres (</w:t>
            </w:r>
            <w:r w:rsidR="005218F1" w:rsidRPr="009B783C">
              <w:t>13</w:t>
            </w:r>
            <w:r w:rsidR="000C2783" w:rsidRPr="009B783C">
              <w:t xml:space="preserve"> clinics)</w:t>
            </w:r>
          </w:p>
        </w:tc>
        <w:tc>
          <w:tcPr>
            <w:tcW w:w="1377"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0792837F" w14:textId="3CA5CA10" w:rsidR="000C2783" w:rsidRPr="009B783C" w:rsidRDefault="00A46C09" w:rsidP="00786482">
            <w:pPr>
              <w:pStyle w:val="TableNheader"/>
            </w:pPr>
            <w:r w:rsidRPr="009B783C">
              <w:t xml:space="preserve">Mean hours open (a), </w:t>
            </w:r>
            <w:r w:rsidR="005218F1" w:rsidRPr="009B783C">
              <w:t>MM3</w:t>
            </w:r>
            <w:r w:rsidR="007C2789" w:rsidRPr="009B783C">
              <w:rPr>
                <w:rFonts w:asciiTheme="majorHAnsi" w:hAnsiTheme="majorHAnsi" w:cstheme="majorHAnsi"/>
              </w:rPr>
              <w:t>-</w:t>
            </w:r>
            <w:r w:rsidR="005218F1" w:rsidRPr="009B783C">
              <w:rPr>
                <w:rFonts w:asciiTheme="majorHAnsi" w:hAnsiTheme="majorHAnsi" w:cstheme="majorHAnsi"/>
              </w:rPr>
              <w:t>7</w:t>
            </w:r>
            <w:r w:rsidR="00CB5486" w:rsidRPr="009B783C">
              <w:rPr>
                <w:rFonts w:asciiTheme="majorHAnsi" w:hAnsiTheme="majorHAnsi" w:cstheme="majorHAnsi"/>
              </w:rPr>
              <w:t xml:space="preserve"> </w:t>
            </w:r>
            <w:r w:rsidR="005218F1" w:rsidRPr="009B783C">
              <w:t>Rural towns</w:t>
            </w:r>
            <w:r w:rsidR="000C2783" w:rsidRPr="009B783C">
              <w:t xml:space="preserve"> and remote communities (</w:t>
            </w:r>
            <w:r w:rsidR="005218F1" w:rsidRPr="009B783C">
              <w:t>13</w:t>
            </w:r>
            <w:r w:rsidR="000C2783" w:rsidRPr="009B783C">
              <w:t xml:space="preserve"> clinics)</w:t>
            </w:r>
          </w:p>
        </w:tc>
      </w:tr>
      <w:tr w:rsidR="000C2783" w:rsidRPr="009B783C" w14:paraId="6BE3F051" w14:textId="77777777" w:rsidTr="00C27645">
        <w:trPr>
          <w:cnfStyle w:val="000000100000" w:firstRow="0" w:lastRow="0" w:firstColumn="0" w:lastColumn="0" w:oddVBand="0" w:evenVBand="0" w:oddHBand="1" w:evenHBand="0" w:firstRowFirstColumn="0" w:firstRowLastColumn="0" w:lastRowFirstColumn="0" w:lastRowLastColumn="0"/>
        </w:trPr>
        <w:tc>
          <w:tcPr>
            <w:tcW w:w="87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6DC4F50" w14:textId="77777777" w:rsidR="000C2783" w:rsidRPr="009B783C" w:rsidRDefault="000C2783" w:rsidP="00312F62">
            <w:pPr>
              <w:pStyle w:val="TableNText"/>
              <w:rPr>
                <w:sz w:val="21"/>
                <w:szCs w:val="21"/>
              </w:rPr>
            </w:pPr>
            <w:r w:rsidRPr="009B783C">
              <w:rPr>
                <w:sz w:val="21"/>
                <w:szCs w:val="21"/>
              </w:rPr>
              <w:t>Weekdays</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CDB5EBE" w14:textId="77777777" w:rsidR="000C2783" w:rsidRPr="009B783C" w:rsidRDefault="000C2783">
            <w:pPr>
              <w:pStyle w:val="TableNText"/>
              <w:jc w:val="center"/>
              <w:rPr>
                <w:sz w:val="21"/>
                <w:szCs w:val="21"/>
              </w:rPr>
            </w:pPr>
            <w:r w:rsidRPr="009B783C">
              <w:rPr>
                <w:sz w:val="21"/>
                <w:szCs w:val="21"/>
              </w:rPr>
              <w:t>13.</w:t>
            </w:r>
            <w:r w:rsidR="00E77C21" w:rsidRPr="009B783C">
              <w:rPr>
                <w:sz w:val="21"/>
                <w:szCs w:val="21"/>
              </w:rPr>
              <w:t>2</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6CE7F16" w14:textId="77777777" w:rsidR="000C2783" w:rsidRPr="009B783C" w:rsidRDefault="005218F1" w:rsidP="00312F62">
            <w:pPr>
              <w:pStyle w:val="TableNText"/>
              <w:jc w:val="center"/>
              <w:rPr>
                <w:sz w:val="21"/>
                <w:szCs w:val="21"/>
              </w:rPr>
            </w:pPr>
            <w:r w:rsidRPr="009B783C">
              <w:rPr>
                <w:sz w:val="21"/>
                <w:szCs w:val="21"/>
              </w:rPr>
              <w:t>1</w:t>
            </w:r>
            <w:r w:rsidR="00A66877" w:rsidRPr="009B783C">
              <w:rPr>
                <w:sz w:val="21"/>
                <w:szCs w:val="21"/>
              </w:rPr>
              <w:t>1.0</w:t>
            </w:r>
          </w:p>
        </w:tc>
        <w:tc>
          <w:tcPr>
            <w:tcW w:w="13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AEE1D3A" w14:textId="77777777" w:rsidR="000C2783" w:rsidRPr="009B783C" w:rsidRDefault="005218F1">
            <w:pPr>
              <w:pStyle w:val="TableNText"/>
              <w:jc w:val="center"/>
              <w:rPr>
                <w:sz w:val="21"/>
                <w:szCs w:val="21"/>
              </w:rPr>
            </w:pPr>
            <w:r w:rsidRPr="009B783C">
              <w:rPr>
                <w:sz w:val="21"/>
                <w:szCs w:val="21"/>
              </w:rPr>
              <w:t>10.</w:t>
            </w:r>
            <w:r w:rsidR="00A66877" w:rsidRPr="009B783C">
              <w:rPr>
                <w:sz w:val="21"/>
                <w:szCs w:val="21"/>
              </w:rPr>
              <w:t>4</w:t>
            </w:r>
          </w:p>
        </w:tc>
      </w:tr>
      <w:tr w:rsidR="000C2783" w:rsidRPr="009B783C" w14:paraId="1D0DAB5C" w14:textId="77777777" w:rsidTr="00C27645">
        <w:trPr>
          <w:cnfStyle w:val="000000010000" w:firstRow="0" w:lastRow="0" w:firstColumn="0" w:lastColumn="0" w:oddVBand="0" w:evenVBand="0" w:oddHBand="0" w:evenHBand="1" w:firstRowFirstColumn="0" w:firstRowLastColumn="0" w:lastRowFirstColumn="0" w:lastRowLastColumn="0"/>
        </w:trPr>
        <w:tc>
          <w:tcPr>
            <w:tcW w:w="87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28740C0" w14:textId="77777777" w:rsidR="000C2783" w:rsidRPr="009B783C" w:rsidRDefault="000C2783">
            <w:pPr>
              <w:pStyle w:val="TableNText"/>
              <w:rPr>
                <w:sz w:val="21"/>
                <w:szCs w:val="21"/>
              </w:rPr>
            </w:pPr>
            <w:r w:rsidRPr="009B783C">
              <w:rPr>
                <w:sz w:val="21"/>
                <w:szCs w:val="21"/>
              </w:rPr>
              <w:t>Saturday</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9CBB9D3" w14:textId="77777777" w:rsidR="000C2783" w:rsidRPr="009B783C" w:rsidRDefault="000C2783">
            <w:pPr>
              <w:pStyle w:val="TableNText"/>
              <w:jc w:val="center"/>
              <w:rPr>
                <w:sz w:val="21"/>
                <w:szCs w:val="21"/>
              </w:rPr>
            </w:pPr>
            <w:r w:rsidRPr="009B783C">
              <w:rPr>
                <w:sz w:val="21"/>
                <w:szCs w:val="21"/>
              </w:rPr>
              <w:t>12.</w:t>
            </w:r>
            <w:r w:rsidR="00A66877" w:rsidRPr="009B783C">
              <w:rPr>
                <w:sz w:val="21"/>
                <w:szCs w:val="21"/>
              </w:rPr>
              <w:t>9</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7A4B6B5" w14:textId="77777777" w:rsidR="000C2783" w:rsidRPr="009B783C" w:rsidRDefault="00A66877">
            <w:pPr>
              <w:pStyle w:val="TableNText"/>
              <w:jc w:val="center"/>
              <w:rPr>
                <w:sz w:val="21"/>
                <w:szCs w:val="21"/>
              </w:rPr>
            </w:pPr>
            <w:r w:rsidRPr="009B783C">
              <w:rPr>
                <w:sz w:val="21"/>
                <w:szCs w:val="21"/>
              </w:rPr>
              <w:t>10.0</w:t>
            </w:r>
          </w:p>
        </w:tc>
        <w:tc>
          <w:tcPr>
            <w:tcW w:w="13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5021C89" w14:textId="77777777" w:rsidR="000C2783" w:rsidRPr="009B783C" w:rsidRDefault="005218F1">
            <w:pPr>
              <w:pStyle w:val="TableNText"/>
              <w:jc w:val="center"/>
              <w:rPr>
                <w:sz w:val="21"/>
                <w:szCs w:val="21"/>
              </w:rPr>
            </w:pPr>
            <w:r w:rsidRPr="009B783C">
              <w:rPr>
                <w:sz w:val="21"/>
                <w:szCs w:val="21"/>
              </w:rPr>
              <w:t>10.</w:t>
            </w:r>
            <w:r w:rsidR="00A66877" w:rsidRPr="009B783C">
              <w:rPr>
                <w:sz w:val="21"/>
                <w:szCs w:val="21"/>
              </w:rPr>
              <w:t>3</w:t>
            </w:r>
          </w:p>
        </w:tc>
      </w:tr>
      <w:tr w:rsidR="000C2783" w:rsidRPr="009B783C" w14:paraId="59846048" w14:textId="77777777" w:rsidTr="00C27645">
        <w:trPr>
          <w:cnfStyle w:val="000000100000" w:firstRow="0" w:lastRow="0" w:firstColumn="0" w:lastColumn="0" w:oddVBand="0" w:evenVBand="0" w:oddHBand="1" w:evenHBand="0" w:firstRowFirstColumn="0" w:firstRowLastColumn="0" w:lastRowFirstColumn="0" w:lastRowLastColumn="0"/>
        </w:trPr>
        <w:tc>
          <w:tcPr>
            <w:tcW w:w="87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0739801" w14:textId="77777777" w:rsidR="000C2783" w:rsidRPr="009B783C" w:rsidRDefault="000C2783">
            <w:pPr>
              <w:pStyle w:val="TableNText"/>
              <w:rPr>
                <w:sz w:val="21"/>
                <w:szCs w:val="21"/>
              </w:rPr>
            </w:pPr>
            <w:r w:rsidRPr="009B783C">
              <w:rPr>
                <w:sz w:val="21"/>
                <w:szCs w:val="21"/>
              </w:rPr>
              <w:t>Sunday</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D9B1EF3" w14:textId="77777777" w:rsidR="000C2783" w:rsidRPr="009B783C" w:rsidRDefault="000C2783">
            <w:pPr>
              <w:pStyle w:val="TableNText"/>
              <w:jc w:val="center"/>
              <w:rPr>
                <w:sz w:val="21"/>
                <w:szCs w:val="21"/>
              </w:rPr>
            </w:pPr>
            <w:r w:rsidRPr="009B783C">
              <w:rPr>
                <w:sz w:val="21"/>
                <w:szCs w:val="21"/>
              </w:rPr>
              <w:t>12.</w:t>
            </w:r>
            <w:r w:rsidR="00A66877" w:rsidRPr="009B783C">
              <w:rPr>
                <w:sz w:val="21"/>
                <w:szCs w:val="21"/>
              </w:rPr>
              <w:t>9</w:t>
            </w:r>
          </w:p>
        </w:tc>
        <w:tc>
          <w:tcPr>
            <w:tcW w:w="137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2FF4026" w14:textId="77777777" w:rsidR="000C2783" w:rsidRPr="009B783C" w:rsidRDefault="00A66877">
            <w:pPr>
              <w:pStyle w:val="TableNText"/>
              <w:jc w:val="center"/>
              <w:rPr>
                <w:sz w:val="21"/>
                <w:szCs w:val="21"/>
              </w:rPr>
            </w:pPr>
            <w:r w:rsidRPr="009B783C">
              <w:rPr>
                <w:sz w:val="21"/>
                <w:szCs w:val="21"/>
              </w:rPr>
              <w:t>10.0</w:t>
            </w:r>
          </w:p>
        </w:tc>
        <w:tc>
          <w:tcPr>
            <w:tcW w:w="13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54CAC8D" w14:textId="77777777" w:rsidR="000C2783" w:rsidRPr="009B783C" w:rsidRDefault="005218F1">
            <w:pPr>
              <w:pStyle w:val="TableNText"/>
              <w:jc w:val="center"/>
              <w:rPr>
                <w:sz w:val="21"/>
                <w:szCs w:val="21"/>
              </w:rPr>
            </w:pPr>
            <w:r w:rsidRPr="009B783C">
              <w:rPr>
                <w:sz w:val="21"/>
                <w:szCs w:val="21"/>
              </w:rPr>
              <w:t>10.</w:t>
            </w:r>
            <w:r w:rsidR="00A66877" w:rsidRPr="009B783C">
              <w:rPr>
                <w:sz w:val="21"/>
                <w:szCs w:val="21"/>
              </w:rPr>
              <w:t>3</w:t>
            </w:r>
          </w:p>
        </w:tc>
      </w:tr>
    </w:tbl>
    <w:p w14:paraId="722790C3" w14:textId="3536B481" w:rsidR="00F345DA" w:rsidRPr="00ED1544" w:rsidRDefault="00F345DA" w:rsidP="00ED1544">
      <w:r w:rsidRPr="00ED1544">
        <w:t>Note: Table includes data from 75 clinics open at 30 September 2024. (a) Excludes public holidays.</w:t>
      </w:r>
    </w:p>
    <w:p w14:paraId="0A58D146" w14:textId="21D48CBA" w:rsidR="0050294B" w:rsidRPr="00E352B1" w:rsidRDefault="00540A8F" w:rsidP="000D706D">
      <w:pPr>
        <w:pStyle w:val="Heading3"/>
      </w:pPr>
      <w:r w:rsidRPr="00E352B1">
        <w:t>Medicare UCC</w:t>
      </w:r>
      <w:r w:rsidR="00D32C01" w:rsidRPr="00E352B1">
        <w:t>s</w:t>
      </w:r>
      <w:r w:rsidRPr="00E352B1">
        <w:t xml:space="preserve"> </w:t>
      </w:r>
      <w:r w:rsidR="00D874C0" w:rsidRPr="00E352B1">
        <w:t xml:space="preserve">offer </w:t>
      </w:r>
      <w:r w:rsidRPr="00E352B1">
        <w:t xml:space="preserve">diagnostic services </w:t>
      </w:r>
      <w:r w:rsidR="00445153" w:rsidRPr="00E352B1">
        <w:t>widely between 8</w:t>
      </w:r>
      <w:r w:rsidR="00BD40E6" w:rsidRPr="00E352B1">
        <w:t xml:space="preserve">:00 </w:t>
      </w:r>
      <w:r w:rsidR="00445153" w:rsidRPr="00E352B1">
        <w:t>am and 5</w:t>
      </w:r>
      <w:r w:rsidR="00BD40E6" w:rsidRPr="00E352B1">
        <w:t xml:space="preserve">:00 </w:t>
      </w:r>
      <w:r w:rsidR="00445153" w:rsidRPr="00E352B1">
        <w:t>pm</w:t>
      </w:r>
      <w:r w:rsidRPr="00E352B1">
        <w:t xml:space="preserve"> on weekdays, with reduced access on weekends</w:t>
      </w:r>
    </w:p>
    <w:p w14:paraId="0C613297" w14:textId="601F19CD" w:rsidR="00793AA8" w:rsidRPr="009B783C" w:rsidRDefault="00D80077" w:rsidP="00F345DA">
      <w:pPr>
        <w:rPr>
          <w:szCs w:val="21"/>
          <w:lang w:eastAsia="en-AU"/>
        </w:rPr>
      </w:pPr>
      <w:r w:rsidRPr="009B783C">
        <w:rPr>
          <w:szCs w:val="21"/>
          <w:lang w:eastAsia="en-AU"/>
        </w:rPr>
        <w:t xml:space="preserve">According to </w:t>
      </w:r>
      <w:r w:rsidR="00793AA8" w:rsidRPr="009B783C">
        <w:rPr>
          <w:szCs w:val="21"/>
          <w:lang w:eastAsia="en-AU"/>
        </w:rPr>
        <w:t>Medicare UCC Operational Guidance</w:t>
      </w:r>
      <w:r w:rsidRPr="009B783C">
        <w:rPr>
          <w:szCs w:val="21"/>
          <w:lang w:eastAsia="en-AU"/>
        </w:rPr>
        <w:t>, clinics</w:t>
      </w:r>
      <w:r w:rsidR="00793AA8" w:rsidRPr="009B783C">
        <w:rPr>
          <w:szCs w:val="21"/>
          <w:lang w:eastAsia="en-AU"/>
        </w:rPr>
        <w:t xml:space="preserve"> should have an </w:t>
      </w:r>
      <w:r w:rsidR="00E0486D" w:rsidRPr="009B783C">
        <w:rPr>
          <w:szCs w:val="21"/>
          <w:lang w:eastAsia="en-AU"/>
        </w:rPr>
        <w:t>X</w:t>
      </w:r>
      <w:r w:rsidR="00793AA8" w:rsidRPr="009B783C">
        <w:rPr>
          <w:szCs w:val="21"/>
          <w:lang w:eastAsia="en-AU"/>
        </w:rPr>
        <w:t xml:space="preserve">-ray facility </w:t>
      </w:r>
      <w:r w:rsidR="002C1AAF" w:rsidRPr="009B783C">
        <w:rPr>
          <w:szCs w:val="21"/>
          <w:lang w:eastAsia="en-AU"/>
        </w:rPr>
        <w:t xml:space="preserve">on-site or easily accessible across all hours of operation, </w:t>
      </w:r>
      <w:r w:rsidR="004531BE" w:rsidRPr="009B783C">
        <w:rPr>
          <w:szCs w:val="21"/>
          <w:lang w:eastAsia="en-AU"/>
        </w:rPr>
        <w:t xml:space="preserve">access to ultrasound </w:t>
      </w:r>
      <w:r w:rsidR="00B30EC2" w:rsidRPr="009B783C">
        <w:rPr>
          <w:szCs w:val="21"/>
          <w:lang w:eastAsia="en-AU"/>
        </w:rPr>
        <w:t xml:space="preserve">and CT across </w:t>
      </w:r>
      <w:proofErr w:type="gramStart"/>
      <w:r w:rsidR="00B30EC2" w:rsidRPr="009B783C">
        <w:rPr>
          <w:szCs w:val="21"/>
          <w:lang w:eastAsia="en-AU"/>
        </w:rPr>
        <w:t>the majority of</w:t>
      </w:r>
      <w:proofErr w:type="gramEnd"/>
      <w:r w:rsidR="00B30EC2" w:rsidRPr="009B783C">
        <w:rPr>
          <w:szCs w:val="21"/>
          <w:lang w:eastAsia="en-AU"/>
        </w:rPr>
        <w:t xml:space="preserve"> hours of operation</w:t>
      </w:r>
      <w:r w:rsidR="000827AD" w:rsidRPr="009B783C">
        <w:rPr>
          <w:szCs w:val="21"/>
          <w:lang w:eastAsia="en-AU"/>
        </w:rPr>
        <w:t xml:space="preserve"> and timely access to laboratory-based pathology </w:t>
      </w:r>
      <w:r w:rsidR="00045061" w:rsidRPr="009B783C">
        <w:rPr>
          <w:szCs w:val="21"/>
          <w:lang w:eastAsia="en-AU"/>
        </w:rPr>
        <w:t xml:space="preserve">(at a minimum basic results available same day). </w:t>
      </w:r>
    </w:p>
    <w:p w14:paraId="07DE7B43" w14:textId="3EA91029" w:rsidR="003E63D6" w:rsidRPr="009B783C" w:rsidRDefault="00C17381" w:rsidP="00F345DA">
      <w:pPr>
        <w:rPr>
          <w:szCs w:val="21"/>
        </w:rPr>
      </w:pPr>
      <w:r w:rsidRPr="009B783C">
        <w:rPr>
          <w:szCs w:val="21"/>
          <w:lang w:eastAsia="en-AU"/>
        </w:rPr>
        <w:t>Medicare UCCs have</w:t>
      </w:r>
      <w:r w:rsidR="00F44214" w:rsidRPr="009B783C">
        <w:rPr>
          <w:szCs w:val="21"/>
          <w:lang w:eastAsia="en-AU"/>
        </w:rPr>
        <w:t xml:space="preserve"> varying arrangements in place to support access to diagnostic services</w:t>
      </w:r>
      <w:r w:rsidR="003E63D6" w:rsidRPr="009B783C">
        <w:rPr>
          <w:szCs w:val="21"/>
          <w:lang w:eastAsia="en-AU"/>
        </w:rPr>
        <w:t xml:space="preserve">, either on-site or off-site. </w:t>
      </w:r>
      <w:r w:rsidR="003E63D6" w:rsidRPr="009B783C">
        <w:rPr>
          <w:szCs w:val="21"/>
        </w:rPr>
        <w:t>Analysis of the distance from Medicare UCCs to diagnostic services will be included in Interim Evaluation Report</w:t>
      </w:r>
      <w:r w:rsidR="007A082E" w:rsidRPr="009B783C">
        <w:rPr>
          <w:szCs w:val="21"/>
        </w:rPr>
        <w:t xml:space="preserve"> 2</w:t>
      </w:r>
      <w:r w:rsidR="003E63D6" w:rsidRPr="009B783C">
        <w:rPr>
          <w:szCs w:val="21"/>
        </w:rPr>
        <w:t xml:space="preserve">. </w:t>
      </w:r>
    </w:p>
    <w:p w14:paraId="7D2B79DA" w14:textId="038EED1C" w:rsidR="00445153" w:rsidRPr="009B783C" w:rsidRDefault="00605456" w:rsidP="00F345DA">
      <w:pPr>
        <w:rPr>
          <w:szCs w:val="21"/>
          <w:lang w:eastAsia="en-AU"/>
        </w:rPr>
      </w:pPr>
      <w:r w:rsidRPr="009B783C">
        <w:rPr>
          <w:szCs w:val="21"/>
          <w:lang w:eastAsia="en-AU"/>
        </w:rPr>
        <w:fldChar w:fldCharType="begin"/>
      </w:r>
      <w:r w:rsidRPr="009B783C">
        <w:rPr>
          <w:szCs w:val="21"/>
          <w:lang w:eastAsia="en-AU"/>
        </w:rPr>
        <w:instrText xml:space="preserve"> REF _Ref185485426 \h </w:instrText>
      </w:r>
      <w:r w:rsidR="00F345DA"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B221A1" w:rsidRPr="009B783C">
        <w:rPr>
          <w:szCs w:val="21"/>
        </w:rPr>
        <w:t xml:space="preserve">Figure </w:t>
      </w:r>
      <w:r w:rsidR="00B221A1">
        <w:rPr>
          <w:szCs w:val="21"/>
        </w:rPr>
        <w:t>4</w:t>
      </w:r>
      <w:r w:rsidRPr="009B783C">
        <w:rPr>
          <w:szCs w:val="21"/>
          <w:lang w:eastAsia="en-AU"/>
        </w:rPr>
        <w:fldChar w:fldCharType="end"/>
      </w:r>
      <w:r w:rsidR="00445153" w:rsidRPr="009B783C">
        <w:rPr>
          <w:szCs w:val="21"/>
          <w:lang w:eastAsia="en-AU"/>
        </w:rPr>
        <w:t xml:space="preserve"> shows the availability of CT and </w:t>
      </w:r>
      <w:r w:rsidR="00607895" w:rsidRPr="009B783C">
        <w:rPr>
          <w:szCs w:val="21"/>
          <w:lang w:eastAsia="en-AU"/>
        </w:rPr>
        <w:t>X</w:t>
      </w:r>
      <w:r w:rsidR="00445153" w:rsidRPr="009B783C">
        <w:rPr>
          <w:szCs w:val="21"/>
          <w:lang w:eastAsia="en-AU"/>
        </w:rPr>
        <w:t xml:space="preserve">-ray imaging at Medicare UCCs and </w:t>
      </w:r>
      <w:r w:rsidR="001B616E" w:rsidRPr="009B783C">
        <w:rPr>
          <w:szCs w:val="21"/>
        </w:rPr>
        <w:fldChar w:fldCharType="begin"/>
      </w:r>
      <w:r w:rsidR="001B616E" w:rsidRPr="009B783C">
        <w:rPr>
          <w:szCs w:val="21"/>
          <w:lang w:eastAsia="en-AU"/>
        </w:rPr>
        <w:instrText xml:space="preserve"> REF _Ref185485932 \h </w:instrText>
      </w:r>
      <w:r w:rsidR="00F345DA" w:rsidRPr="009B783C">
        <w:rPr>
          <w:szCs w:val="21"/>
        </w:rPr>
        <w:instrText xml:space="preserve"> \* MERGEFORMAT </w:instrText>
      </w:r>
      <w:r w:rsidR="001B616E" w:rsidRPr="009B783C">
        <w:rPr>
          <w:szCs w:val="21"/>
        </w:rPr>
      </w:r>
      <w:r w:rsidR="001B616E" w:rsidRPr="009B783C">
        <w:rPr>
          <w:szCs w:val="21"/>
        </w:rPr>
        <w:fldChar w:fldCharType="separate"/>
      </w:r>
      <w:r w:rsidR="00B221A1" w:rsidRPr="009B783C">
        <w:rPr>
          <w:szCs w:val="21"/>
        </w:rPr>
        <w:t xml:space="preserve">Figure </w:t>
      </w:r>
      <w:r w:rsidR="00B221A1">
        <w:rPr>
          <w:szCs w:val="21"/>
        </w:rPr>
        <w:t>5</w:t>
      </w:r>
      <w:r w:rsidR="001B616E" w:rsidRPr="009B783C">
        <w:rPr>
          <w:szCs w:val="21"/>
        </w:rPr>
        <w:fldChar w:fldCharType="end"/>
      </w:r>
      <w:r w:rsidR="004F3079" w:rsidRPr="009B783C">
        <w:rPr>
          <w:szCs w:val="21"/>
        </w:rPr>
        <w:t xml:space="preserve"> </w:t>
      </w:r>
      <w:r w:rsidR="004F3079" w:rsidRPr="009B783C">
        <w:rPr>
          <w:szCs w:val="21"/>
          <w:lang w:eastAsia="en-AU"/>
        </w:rPr>
        <w:t>shows the availability of ultrasound.</w:t>
      </w:r>
    </w:p>
    <w:p w14:paraId="07EE8919" w14:textId="385EDC4E" w:rsidR="00483585" w:rsidRPr="009B783C" w:rsidRDefault="0077524B" w:rsidP="00F345DA">
      <w:pPr>
        <w:rPr>
          <w:szCs w:val="21"/>
          <w:lang w:eastAsia="en-AU"/>
        </w:rPr>
      </w:pPr>
      <w:r w:rsidRPr="009B783C">
        <w:rPr>
          <w:szCs w:val="21"/>
          <w:lang w:eastAsia="en-AU"/>
        </w:rPr>
        <w:t>The availability of imaging services varies depending on the day of the week and time of day. On weekdays, most clinics offer imaging between 8</w:t>
      </w:r>
      <w:r w:rsidR="003F0891" w:rsidRPr="009B783C">
        <w:rPr>
          <w:szCs w:val="21"/>
        </w:rPr>
        <w:t xml:space="preserve">:00 </w:t>
      </w:r>
      <w:r w:rsidRPr="009B783C">
        <w:rPr>
          <w:szCs w:val="21"/>
          <w:lang w:eastAsia="en-AU"/>
        </w:rPr>
        <w:t xml:space="preserve">am and </w:t>
      </w:r>
      <w:r w:rsidR="00D769BE" w:rsidRPr="009B783C">
        <w:rPr>
          <w:szCs w:val="21"/>
          <w:lang w:eastAsia="en-AU"/>
        </w:rPr>
        <w:t>5</w:t>
      </w:r>
      <w:r w:rsidR="003F0891" w:rsidRPr="009B783C">
        <w:rPr>
          <w:szCs w:val="21"/>
        </w:rPr>
        <w:t xml:space="preserve">:00 </w:t>
      </w:r>
      <w:r w:rsidRPr="009B783C">
        <w:rPr>
          <w:szCs w:val="21"/>
          <w:lang w:eastAsia="en-AU"/>
        </w:rPr>
        <w:t xml:space="preserve">pm. After </w:t>
      </w:r>
      <w:r w:rsidR="00D769BE" w:rsidRPr="009B783C">
        <w:rPr>
          <w:szCs w:val="21"/>
          <w:lang w:eastAsia="en-AU"/>
        </w:rPr>
        <w:t>5</w:t>
      </w:r>
      <w:r w:rsidR="003F0891" w:rsidRPr="009B783C">
        <w:rPr>
          <w:szCs w:val="21"/>
        </w:rPr>
        <w:t xml:space="preserve">:00 </w:t>
      </w:r>
      <w:r w:rsidRPr="009B783C">
        <w:rPr>
          <w:szCs w:val="21"/>
          <w:lang w:eastAsia="en-AU"/>
        </w:rPr>
        <w:t>pm, the number of clinics</w:t>
      </w:r>
      <w:r w:rsidR="006C3C22" w:rsidRPr="009B783C">
        <w:rPr>
          <w:szCs w:val="21"/>
          <w:lang w:eastAsia="en-AU"/>
        </w:rPr>
        <w:t xml:space="preserve"> offering </w:t>
      </w:r>
      <w:r w:rsidR="00437F00" w:rsidRPr="009B783C">
        <w:rPr>
          <w:szCs w:val="21"/>
          <w:lang w:eastAsia="en-AU"/>
        </w:rPr>
        <w:t>these services</w:t>
      </w:r>
      <w:r w:rsidRPr="009B783C">
        <w:rPr>
          <w:szCs w:val="21"/>
          <w:lang w:eastAsia="en-AU"/>
        </w:rPr>
        <w:t xml:space="preserve"> </w:t>
      </w:r>
      <w:r w:rsidR="00C17381" w:rsidRPr="009B783C">
        <w:rPr>
          <w:szCs w:val="21"/>
          <w:lang w:eastAsia="en-AU"/>
        </w:rPr>
        <w:t>reduces, especially in the evening.</w:t>
      </w:r>
      <w:r w:rsidR="00483585" w:rsidRPr="009B783C">
        <w:rPr>
          <w:szCs w:val="21"/>
          <w:lang w:eastAsia="en-AU"/>
        </w:rPr>
        <w:t xml:space="preserve"> </w:t>
      </w:r>
    </w:p>
    <w:p w14:paraId="650E42F2" w14:textId="242DC044" w:rsidR="0077524B" w:rsidRPr="009B783C" w:rsidRDefault="0077524B" w:rsidP="00F345DA">
      <w:pPr>
        <w:rPr>
          <w:szCs w:val="21"/>
          <w:lang w:eastAsia="en-AU"/>
        </w:rPr>
      </w:pPr>
      <w:r w:rsidRPr="009B783C">
        <w:rPr>
          <w:szCs w:val="21"/>
          <w:lang w:eastAsia="en-AU"/>
        </w:rPr>
        <w:t>Saturdays</w:t>
      </w:r>
      <w:r w:rsidR="00483585" w:rsidRPr="009B783C">
        <w:rPr>
          <w:szCs w:val="21"/>
          <w:lang w:eastAsia="en-AU"/>
        </w:rPr>
        <w:t xml:space="preserve"> </w:t>
      </w:r>
      <w:r w:rsidRPr="009B783C">
        <w:rPr>
          <w:szCs w:val="21"/>
          <w:lang w:eastAsia="en-AU"/>
        </w:rPr>
        <w:t>see a drop in availability</w:t>
      </w:r>
      <w:r w:rsidR="00437F00" w:rsidRPr="009B783C">
        <w:rPr>
          <w:szCs w:val="21"/>
          <w:lang w:eastAsia="en-AU"/>
        </w:rPr>
        <w:t xml:space="preserve"> of imaging</w:t>
      </w:r>
      <w:r w:rsidRPr="009B783C">
        <w:rPr>
          <w:szCs w:val="21"/>
          <w:lang w:eastAsia="en-AU"/>
        </w:rPr>
        <w:t xml:space="preserve"> compared </w:t>
      </w:r>
      <w:r w:rsidR="00D769BE" w:rsidRPr="009B783C">
        <w:rPr>
          <w:szCs w:val="21"/>
          <w:lang w:eastAsia="en-AU"/>
        </w:rPr>
        <w:t>with</w:t>
      </w:r>
      <w:r w:rsidRPr="009B783C">
        <w:rPr>
          <w:szCs w:val="21"/>
          <w:lang w:eastAsia="en-AU"/>
        </w:rPr>
        <w:t xml:space="preserve"> weekdays. </w:t>
      </w:r>
      <w:r w:rsidR="006018A8" w:rsidRPr="009B783C">
        <w:rPr>
          <w:szCs w:val="21"/>
          <w:lang w:eastAsia="en-AU"/>
        </w:rPr>
        <w:t xml:space="preserve">Sundays have the lowest overall service availability. </w:t>
      </w:r>
      <w:r w:rsidRPr="009B783C">
        <w:rPr>
          <w:szCs w:val="21"/>
          <w:lang w:eastAsia="en-AU"/>
        </w:rPr>
        <w:t xml:space="preserve">On </w:t>
      </w:r>
      <w:r w:rsidR="006018A8" w:rsidRPr="009B783C">
        <w:rPr>
          <w:szCs w:val="21"/>
          <w:lang w:eastAsia="en-AU"/>
        </w:rPr>
        <w:t>weekends</w:t>
      </w:r>
      <w:r w:rsidRPr="009B783C">
        <w:rPr>
          <w:szCs w:val="21"/>
          <w:lang w:eastAsia="en-AU"/>
        </w:rPr>
        <w:t>, there is a higher proportion of clinics offering X-ray</w:t>
      </w:r>
      <w:r w:rsidR="00463FDB" w:rsidRPr="009B783C">
        <w:rPr>
          <w:szCs w:val="21"/>
          <w:lang w:eastAsia="en-AU"/>
        </w:rPr>
        <w:t xml:space="preserve"> </w:t>
      </w:r>
      <w:r w:rsidRPr="009B783C">
        <w:rPr>
          <w:szCs w:val="21"/>
          <w:lang w:eastAsia="en-AU"/>
        </w:rPr>
        <w:t xml:space="preserve">only services compared </w:t>
      </w:r>
      <w:r w:rsidR="006C39BA" w:rsidRPr="009B783C">
        <w:rPr>
          <w:szCs w:val="21"/>
          <w:lang w:eastAsia="en-AU"/>
        </w:rPr>
        <w:t xml:space="preserve">with </w:t>
      </w:r>
      <w:r w:rsidRPr="009B783C">
        <w:rPr>
          <w:szCs w:val="21"/>
          <w:lang w:eastAsia="en-AU"/>
        </w:rPr>
        <w:t>weekdays, though clinics providing both CT and X-ray services remain predominant during peak hours.</w:t>
      </w:r>
      <w:r w:rsidR="00A356AB" w:rsidRPr="009B783C">
        <w:rPr>
          <w:szCs w:val="21"/>
          <w:lang w:eastAsia="en-AU"/>
        </w:rPr>
        <w:t xml:space="preserve"> Ultrasound availability drops off after 2</w:t>
      </w:r>
      <w:r w:rsidR="003F0891" w:rsidRPr="009B783C">
        <w:rPr>
          <w:szCs w:val="21"/>
        </w:rPr>
        <w:t xml:space="preserve">:00 </w:t>
      </w:r>
      <w:r w:rsidR="00A356AB" w:rsidRPr="009B783C">
        <w:rPr>
          <w:szCs w:val="21"/>
          <w:lang w:eastAsia="en-AU"/>
        </w:rPr>
        <w:t xml:space="preserve">pm </w:t>
      </w:r>
      <w:r w:rsidR="00F148FE" w:rsidRPr="009B783C">
        <w:rPr>
          <w:szCs w:val="21"/>
          <w:lang w:eastAsia="en-AU"/>
        </w:rPr>
        <w:t xml:space="preserve">on </w:t>
      </w:r>
      <w:r w:rsidR="004F3079" w:rsidRPr="009B783C">
        <w:rPr>
          <w:szCs w:val="21"/>
          <w:lang w:eastAsia="en-AU"/>
        </w:rPr>
        <w:t>both weekend</w:t>
      </w:r>
      <w:r w:rsidR="00F148FE" w:rsidRPr="009B783C">
        <w:rPr>
          <w:szCs w:val="21"/>
          <w:lang w:eastAsia="en-AU"/>
        </w:rPr>
        <w:t xml:space="preserve"> days.</w:t>
      </w:r>
    </w:p>
    <w:p w14:paraId="6F2B26F6" w14:textId="15DCB76E" w:rsidR="00C17381" w:rsidRPr="009B783C" w:rsidRDefault="006422D7" w:rsidP="00C17381">
      <w:pPr>
        <w:pStyle w:val="Caption"/>
        <w:rPr>
          <w:szCs w:val="21"/>
        </w:rPr>
      </w:pPr>
      <w:bookmarkStart w:id="69" w:name="_Ref185485426"/>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5F1752">
        <w:rPr>
          <w:noProof/>
          <w:szCs w:val="21"/>
        </w:rPr>
        <w:t>4</w:t>
      </w:r>
      <w:r w:rsidRPr="009B783C">
        <w:rPr>
          <w:szCs w:val="21"/>
        </w:rPr>
        <w:fldChar w:fldCharType="end"/>
      </w:r>
      <w:bookmarkEnd w:id="69"/>
      <w:r w:rsidR="00C17381" w:rsidRPr="009B783C">
        <w:rPr>
          <w:szCs w:val="21"/>
        </w:rPr>
        <w:t xml:space="preserve"> | Number of Medicare UCC that have access to X-ray and/or CT imaging by hour of day and day of week</w:t>
      </w:r>
      <w:r w:rsidR="00C17381" w:rsidRPr="009B783C">
        <w:rPr>
          <w:rStyle w:val="FootnoteReference"/>
          <w:szCs w:val="21"/>
        </w:rPr>
        <w:footnoteReference w:id="32"/>
      </w:r>
    </w:p>
    <w:p w14:paraId="65829E88" w14:textId="67A9FB15" w:rsidR="00C17381" w:rsidRPr="009B783C" w:rsidRDefault="002D1F61" w:rsidP="00C17381">
      <w:r>
        <w:rPr>
          <w:noProof/>
        </w:rPr>
        <w:drawing>
          <wp:inline distT="0" distB="0" distL="0" distR="0" wp14:anchorId="77AA5014" wp14:editId="60478B70">
            <wp:extent cx="5670550" cy="5234354"/>
            <wp:effectExtent l="0" t="0" r="6350" b="4445"/>
            <wp:docPr id="1668486207" name="Picture 1668486207" descr="This image presents 3 vertical bar charts that visualise opening hours for Medicare UCCs which have access to X-ray and/or CT ima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486207" name="Picture 1668486207" descr="This image presents 3 vertical bar charts that visualise opening hours for Medicare UCCs which have access to X-ray and/or CT imaging"/>
                    <pic:cNvPicPr>
                      <a:picLocks noChangeAspect="1" noChangeArrowheads="1"/>
                    </pic:cNvPicPr>
                  </pic:nvPicPr>
                  <pic:blipFill>
                    <a:blip r:embed="rId28" cstate="print"/>
                    <a:stretch>
                      <a:fillRect/>
                    </a:stretch>
                  </pic:blipFill>
                  <pic:spPr bwMode="auto">
                    <a:xfrm>
                      <a:off x="0" y="0"/>
                      <a:ext cx="5670550" cy="5234354"/>
                    </a:xfrm>
                    <a:prstGeom prst="rect">
                      <a:avLst/>
                    </a:prstGeom>
                    <a:noFill/>
                  </pic:spPr>
                </pic:pic>
              </a:graphicData>
            </a:graphic>
          </wp:inline>
        </w:drawing>
      </w:r>
    </w:p>
    <w:p w14:paraId="5F246BBE" w14:textId="14E37A52" w:rsidR="006462E2" w:rsidRPr="009B783C" w:rsidRDefault="006462E2" w:rsidP="00C17381">
      <w:pPr>
        <w:rPr>
          <w:szCs w:val="21"/>
        </w:rPr>
      </w:pPr>
      <w:r w:rsidRPr="009B783C">
        <w:rPr>
          <w:szCs w:val="21"/>
        </w:rPr>
        <w:t>Detailed description:</w:t>
      </w:r>
    </w:p>
    <w:p w14:paraId="766A1625" w14:textId="257A3EB3" w:rsidR="006462E2" w:rsidRPr="009B783C" w:rsidRDefault="00A4680F" w:rsidP="00C17381">
      <w:pPr>
        <w:rPr>
          <w:szCs w:val="21"/>
        </w:rPr>
      </w:pPr>
      <w:r w:rsidRPr="009B783C">
        <w:rPr>
          <w:szCs w:val="21"/>
        </w:rPr>
        <w:t xml:space="preserve">Three bar charts split by days of the week displaying the number of Medicare UCCs </w:t>
      </w:r>
      <w:r w:rsidR="00433E18" w:rsidRPr="009B783C">
        <w:rPr>
          <w:szCs w:val="21"/>
        </w:rPr>
        <w:t xml:space="preserve">which have access to X-ray and/or CT imaging </w:t>
      </w:r>
      <w:r w:rsidRPr="009B783C">
        <w:rPr>
          <w:szCs w:val="21"/>
        </w:rPr>
        <w:t>open for the hours between 6</w:t>
      </w:r>
      <w:r w:rsidR="0073476C">
        <w:rPr>
          <w:szCs w:val="21"/>
        </w:rPr>
        <w:t>:00</w:t>
      </w:r>
      <w:r w:rsidRPr="009B783C">
        <w:rPr>
          <w:szCs w:val="21"/>
        </w:rPr>
        <w:t xml:space="preserve">am and </w:t>
      </w:r>
      <w:r w:rsidR="00E17E52">
        <w:rPr>
          <w:szCs w:val="21"/>
        </w:rPr>
        <w:t>m</w:t>
      </w:r>
      <w:r w:rsidRPr="009B783C">
        <w:rPr>
          <w:szCs w:val="21"/>
        </w:rPr>
        <w:t xml:space="preserve">idnight. </w:t>
      </w:r>
      <w:r w:rsidR="000A1508">
        <w:rPr>
          <w:szCs w:val="21"/>
        </w:rPr>
        <w:t>Data is available for 75 Medicare UCCs.</w:t>
      </w:r>
      <w:r w:rsidRPr="009B783C">
        <w:rPr>
          <w:szCs w:val="21"/>
        </w:rPr>
        <w:t xml:space="preserve"> 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1271"/>
        <w:gridCol w:w="992"/>
        <w:gridCol w:w="2219"/>
        <w:gridCol w:w="2219"/>
        <w:gridCol w:w="2219"/>
      </w:tblGrid>
      <w:tr w:rsidR="009E6FFC" w:rsidRPr="009B783C" w14:paraId="18C49BF4" w14:textId="4858C54B" w:rsidTr="00E643BE">
        <w:trPr>
          <w:tblHeader/>
        </w:trPr>
        <w:tc>
          <w:tcPr>
            <w:tcW w:w="1271" w:type="dxa"/>
            <w:tcBorders>
              <w:right w:val="single" w:sz="4" w:space="0" w:color="FFFFFF" w:themeColor="background1"/>
            </w:tcBorders>
            <w:shd w:val="clear" w:color="auto" w:fill="00264D" w:themeFill="background2"/>
          </w:tcPr>
          <w:p w14:paraId="4139F001" w14:textId="099BE7BF" w:rsidR="009E6FFC" w:rsidRPr="009B783C" w:rsidRDefault="009E6FFC" w:rsidP="00786482">
            <w:pPr>
              <w:pStyle w:val="TableNheader"/>
            </w:pPr>
            <w:r w:rsidRPr="009B783C">
              <w:t>Day of week</w:t>
            </w:r>
          </w:p>
        </w:tc>
        <w:tc>
          <w:tcPr>
            <w:tcW w:w="992" w:type="dxa"/>
            <w:tcBorders>
              <w:left w:val="single" w:sz="4" w:space="0" w:color="FFFFFF" w:themeColor="background1"/>
              <w:right w:val="single" w:sz="4" w:space="0" w:color="FFFFFF" w:themeColor="background1"/>
            </w:tcBorders>
            <w:shd w:val="clear" w:color="auto" w:fill="00264D" w:themeFill="background2"/>
          </w:tcPr>
          <w:p w14:paraId="66B91E38" w14:textId="2D22FF0A" w:rsidR="009E6FFC" w:rsidRPr="009B783C" w:rsidRDefault="009E6FFC" w:rsidP="00786482">
            <w:pPr>
              <w:pStyle w:val="TableNheader"/>
            </w:pPr>
            <w:r w:rsidRPr="009B783C">
              <w:t>Hour</w:t>
            </w:r>
          </w:p>
        </w:tc>
        <w:tc>
          <w:tcPr>
            <w:tcW w:w="2219" w:type="dxa"/>
            <w:tcBorders>
              <w:left w:val="single" w:sz="4" w:space="0" w:color="FFFFFF" w:themeColor="background1"/>
              <w:right w:val="single" w:sz="4" w:space="0" w:color="FFFFFF" w:themeColor="background1"/>
            </w:tcBorders>
            <w:shd w:val="clear" w:color="auto" w:fill="00264D" w:themeFill="background2"/>
          </w:tcPr>
          <w:p w14:paraId="66C92B99" w14:textId="477F0B47" w:rsidR="009E6FFC" w:rsidRPr="009B783C" w:rsidRDefault="009E6FFC" w:rsidP="00786482">
            <w:pPr>
              <w:pStyle w:val="TableNheader"/>
            </w:pPr>
            <w:r w:rsidRPr="009B783C">
              <w:t>Medicare UCCs (n) with CT and X-ray</w:t>
            </w:r>
          </w:p>
        </w:tc>
        <w:tc>
          <w:tcPr>
            <w:tcW w:w="2219" w:type="dxa"/>
            <w:tcBorders>
              <w:left w:val="single" w:sz="4" w:space="0" w:color="FFFFFF" w:themeColor="background1"/>
              <w:right w:val="single" w:sz="4" w:space="0" w:color="FFFFFF" w:themeColor="background1"/>
            </w:tcBorders>
            <w:shd w:val="clear" w:color="auto" w:fill="00264D" w:themeFill="background2"/>
          </w:tcPr>
          <w:p w14:paraId="4E9A83F1" w14:textId="1EE96048" w:rsidR="009E6FFC" w:rsidRPr="009B783C" w:rsidRDefault="009E6FFC" w:rsidP="00786482">
            <w:pPr>
              <w:pStyle w:val="TableNheader"/>
            </w:pPr>
            <w:r w:rsidRPr="009B783C">
              <w:t>Medicare UCCs (n) with CT only</w:t>
            </w:r>
          </w:p>
        </w:tc>
        <w:tc>
          <w:tcPr>
            <w:tcW w:w="2219" w:type="dxa"/>
            <w:tcBorders>
              <w:left w:val="single" w:sz="4" w:space="0" w:color="FFFFFF" w:themeColor="background1"/>
            </w:tcBorders>
            <w:shd w:val="clear" w:color="auto" w:fill="00264D" w:themeFill="background2"/>
          </w:tcPr>
          <w:p w14:paraId="1095A2FE" w14:textId="12386A74" w:rsidR="009E6FFC" w:rsidRPr="009B783C" w:rsidRDefault="009E6FFC" w:rsidP="00786482">
            <w:pPr>
              <w:pStyle w:val="TableNheader"/>
            </w:pPr>
            <w:r w:rsidRPr="009B783C">
              <w:t>Medicare UCCs (n) with X-ray only</w:t>
            </w:r>
          </w:p>
        </w:tc>
      </w:tr>
      <w:tr w:rsidR="009E6FFC" w:rsidRPr="009B783C" w14:paraId="002A85A7" w14:textId="4647663E" w:rsidTr="002351FA">
        <w:tc>
          <w:tcPr>
            <w:tcW w:w="1271" w:type="dxa"/>
            <w:vAlign w:val="bottom"/>
          </w:tcPr>
          <w:p w14:paraId="499FAC97" w14:textId="21DA34C5" w:rsidR="009E6FFC" w:rsidRPr="009B783C" w:rsidRDefault="009E6FFC"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0DAD0B9A" w14:textId="39973DE1"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219" w:type="dxa"/>
            <w:vAlign w:val="bottom"/>
          </w:tcPr>
          <w:p w14:paraId="42A2D841" w14:textId="5349CF11"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219" w:type="dxa"/>
            <w:vAlign w:val="bottom"/>
          </w:tcPr>
          <w:p w14:paraId="7C4F1020" w14:textId="660C3872"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tcPr>
          <w:p w14:paraId="3C2A2D91" w14:textId="66B18BED"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r>
      <w:tr w:rsidR="00C241BE" w:rsidRPr="009B783C" w14:paraId="1288CE58" w14:textId="05EBD272" w:rsidTr="002351FA">
        <w:tc>
          <w:tcPr>
            <w:tcW w:w="1271" w:type="dxa"/>
            <w:vAlign w:val="bottom"/>
          </w:tcPr>
          <w:p w14:paraId="7A560C0A" w14:textId="4160F8D3"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5218DA90" w14:textId="0A8B29D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219" w:type="dxa"/>
            <w:vAlign w:val="bottom"/>
          </w:tcPr>
          <w:p w14:paraId="1E85A300" w14:textId="0FA95C6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54</w:t>
            </w:r>
          </w:p>
        </w:tc>
        <w:tc>
          <w:tcPr>
            <w:tcW w:w="2219" w:type="dxa"/>
            <w:vAlign w:val="bottom"/>
          </w:tcPr>
          <w:p w14:paraId="07CB04EE" w14:textId="7DDE545D"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42F50002" w14:textId="7E5A474B"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r>
      <w:tr w:rsidR="00C241BE" w:rsidRPr="009B783C" w14:paraId="0E2604B0" w14:textId="1E85C6F5" w:rsidTr="002351FA">
        <w:tc>
          <w:tcPr>
            <w:tcW w:w="1271" w:type="dxa"/>
            <w:vAlign w:val="bottom"/>
          </w:tcPr>
          <w:p w14:paraId="2560BC12" w14:textId="7020A883"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0B1BB790" w14:textId="4C7D982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219" w:type="dxa"/>
            <w:vAlign w:val="bottom"/>
          </w:tcPr>
          <w:p w14:paraId="415DCB8E" w14:textId="4A4AD0A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67</w:t>
            </w:r>
          </w:p>
        </w:tc>
        <w:tc>
          <w:tcPr>
            <w:tcW w:w="2219" w:type="dxa"/>
            <w:vAlign w:val="bottom"/>
          </w:tcPr>
          <w:p w14:paraId="4656E1EC" w14:textId="555763A7"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0D2E75DB" w14:textId="686E0B12"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4</w:t>
            </w:r>
          </w:p>
        </w:tc>
      </w:tr>
      <w:tr w:rsidR="00C241BE" w:rsidRPr="009B783C" w14:paraId="32EA65DA" w14:textId="0B70DD7E" w:rsidTr="002351FA">
        <w:tc>
          <w:tcPr>
            <w:tcW w:w="1271" w:type="dxa"/>
            <w:vAlign w:val="bottom"/>
          </w:tcPr>
          <w:p w14:paraId="638E8144" w14:textId="784F8A0F"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lastRenderedPageBreak/>
              <w:t>Weekdays</w:t>
            </w:r>
          </w:p>
        </w:tc>
        <w:tc>
          <w:tcPr>
            <w:tcW w:w="992" w:type="dxa"/>
            <w:vAlign w:val="bottom"/>
          </w:tcPr>
          <w:p w14:paraId="6D0209C8" w14:textId="560090A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219" w:type="dxa"/>
            <w:vAlign w:val="bottom"/>
          </w:tcPr>
          <w:p w14:paraId="023E3612" w14:textId="47E5AFE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27AD001F" w14:textId="1496DEDA"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03EDD0C4" w14:textId="60AB9112"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4</w:t>
            </w:r>
          </w:p>
        </w:tc>
      </w:tr>
      <w:tr w:rsidR="00C241BE" w:rsidRPr="009B783C" w14:paraId="57BAEAE3" w14:textId="1C8C2E5B" w:rsidTr="002351FA">
        <w:tc>
          <w:tcPr>
            <w:tcW w:w="1271" w:type="dxa"/>
            <w:vAlign w:val="bottom"/>
          </w:tcPr>
          <w:p w14:paraId="65523CB3" w14:textId="3F2B8289"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1EEF9D6F" w14:textId="1DA2E5D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219" w:type="dxa"/>
            <w:vAlign w:val="bottom"/>
          </w:tcPr>
          <w:p w14:paraId="69776F35" w14:textId="04A8658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25F233D3" w14:textId="7AF01B39"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48DB1287" w14:textId="30E9501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4</w:t>
            </w:r>
          </w:p>
        </w:tc>
      </w:tr>
      <w:tr w:rsidR="00C241BE" w:rsidRPr="009B783C" w14:paraId="2042375F" w14:textId="2D039280" w:rsidTr="002351FA">
        <w:tc>
          <w:tcPr>
            <w:tcW w:w="1271" w:type="dxa"/>
            <w:vAlign w:val="bottom"/>
          </w:tcPr>
          <w:p w14:paraId="2F211A91" w14:textId="1076DF53"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2404E71F" w14:textId="3DA4D4D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219" w:type="dxa"/>
            <w:vAlign w:val="bottom"/>
          </w:tcPr>
          <w:p w14:paraId="6B235DCF" w14:textId="1C1CDED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46D2CE54" w14:textId="6851453A"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7D17F710" w14:textId="01B208B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r>
      <w:tr w:rsidR="00C241BE" w:rsidRPr="009B783C" w14:paraId="5B9F1FAC" w14:textId="1732453D" w:rsidTr="002351FA">
        <w:tc>
          <w:tcPr>
            <w:tcW w:w="1271" w:type="dxa"/>
            <w:vAlign w:val="bottom"/>
          </w:tcPr>
          <w:p w14:paraId="4357A60A" w14:textId="34C4DB16"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14899830" w14:textId="7E822427"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219" w:type="dxa"/>
            <w:vAlign w:val="bottom"/>
          </w:tcPr>
          <w:p w14:paraId="7DA03902" w14:textId="3321A87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06B7FE30" w14:textId="10D9B517"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7E96E230" w14:textId="26058BE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r>
      <w:tr w:rsidR="00C241BE" w:rsidRPr="009B783C" w14:paraId="5DB7A5E6" w14:textId="7B952D6B" w:rsidTr="002351FA">
        <w:tc>
          <w:tcPr>
            <w:tcW w:w="1271" w:type="dxa"/>
            <w:vAlign w:val="bottom"/>
          </w:tcPr>
          <w:p w14:paraId="3FCDCBF8" w14:textId="6B87B8AF"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5516BE5C" w14:textId="32DA95F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219" w:type="dxa"/>
            <w:vAlign w:val="bottom"/>
          </w:tcPr>
          <w:p w14:paraId="6491C462" w14:textId="05D6023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4727D232" w14:textId="0B04DFDE"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24FC56E9" w14:textId="3DD50FF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r>
      <w:tr w:rsidR="00C241BE" w:rsidRPr="009B783C" w14:paraId="71698FE2" w14:textId="668523B0" w:rsidTr="002351FA">
        <w:tc>
          <w:tcPr>
            <w:tcW w:w="1271" w:type="dxa"/>
            <w:vAlign w:val="bottom"/>
          </w:tcPr>
          <w:p w14:paraId="0DC94312" w14:textId="63D820CE"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7D1EB25F" w14:textId="4E6FC20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219" w:type="dxa"/>
            <w:vAlign w:val="bottom"/>
          </w:tcPr>
          <w:p w14:paraId="1DADE67E" w14:textId="78C5FD0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68</w:t>
            </w:r>
          </w:p>
        </w:tc>
        <w:tc>
          <w:tcPr>
            <w:tcW w:w="2219" w:type="dxa"/>
            <w:vAlign w:val="bottom"/>
          </w:tcPr>
          <w:p w14:paraId="33702C8B" w14:textId="550CF714"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1CB70B61" w14:textId="31D12DB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r>
      <w:tr w:rsidR="00C241BE" w:rsidRPr="009B783C" w14:paraId="581DE9CC" w14:textId="2CB39F78" w:rsidTr="002351FA">
        <w:tc>
          <w:tcPr>
            <w:tcW w:w="1271" w:type="dxa"/>
            <w:vAlign w:val="bottom"/>
          </w:tcPr>
          <w:p w14:paraId="2E4A46BE" w14:textId="70430C0C"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7288BBB1" w14:textId="3709539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219" w:type="dxa"/>
            <w:vAlign w:val="bottom"/>
          </w:tcPr>
          <w:p w14:paraId="029558E2" w14:textId="549F587E"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67</w:t>
            </w:r>
          </w:p>
        </w:tc>
        <w:tc>
          <w:tcPr>
            <w:tcW w:w="2219" w:type="dxa"/>
            <w:vAlign w:val="bottom"/>
          </w:tcPr>
          <w:p w14:paraId="367F9903" w14:textId="6D6F9347" w:rsidR="00C241BE"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01F99A29" w14:textId="40D2F8C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7</w:t>
            </w:r>
          </w:p>
        </w:tc>
      </w:tr>
      <w:tr w:rsidR="00C241BE" w:rsidRPr="009B783C" w14:paraId="052367BE" w14:textId="027C3970" w:rsidTr="002351FA">
        <w:tc>
          <w:tcPr>
            <w:tcW w:w="1271" w:type="dxa"/>
            <w:vAlign w:val="bottom"/>
          </w:tcPr>
          <w:p w14:paraId="05889DCD" w14:textId="4A311DE0"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651A84FB" w14:textId="05A729D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17</w:t>
            </w:r>
          </w:p>
        </w:tc>
        <w:tc>
          <w:tcPr>
            <w:tcW w:w="2219" w:type="dxa"/>
            <w:vAlign w:val="bottom"/>
          </w:tcPr>
          <w:p w14:paraId="456C8446" w14:textId="6BAEDB1B"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51</w:t>
            </w:r>
          </w:p>
        </w:tc>
        <w:tc>
          <w:tcPr>
            <w:tcW w:w="2219" w:type="dxa"/>
            <w:vAlign w:val="bottom"/>
          </w:tcPr>
          <w:p w14:paraId="6F1B4B44" w14:textId="409E89F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72B43C40" w14:textId="789DDDF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13</w:t>
            </w:r>
          </w:p>
        </w:tc>
      </w:tr>
      <w:tr w:rsidR="00C241BE" w:rsidRPr="009B783C" w14:paraId="0F45C4F0" w14:textId="434CB799" w:rsidTr="002351FA">
        <w:tc>
          <w:tcPr>
            <w:tcW w:w="1271" w:type="dxa"/>
            <w:vAlign w:val="bottom"/>
          </w:tcPr>
          <w:p w14:paraId="56C020B9" w14:textId="49578513"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23B42AF5" w14:textId="30FAEFA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18</w:t>
            </w:r>
          </w:p>
        </w:tc>
        <w:tc>
          <w:tcPr>
            <w:tcW w:w="2219" w:type="dxa"/>
            <w:vAlign w:val="bottom"/>
          </w:tcPr>
          <w:p w14:paraId="51E0B2FF" w14:textId="7EA11CD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219" w:type="dxa"/>
            <w:vAlign w:val="bottom"/>
          </w:tcPr>
          <w:p w14:paraId="343FD11B" w14:textId="1D1EAA1C"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712C40EB" w14:textId="5B58AB5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r>
      <w:tr w:rsidR="00C241BE" w:rsidRPr="009B783C" w14:paraId="486DD102" w14:textId="2D026366" w:rsidTr="002351FA">
        <w:tc>
          <w:tcPr>
            <w:tcW w:w="1271" w:type="dxa"/>
            <w:vAlign w:val="bottom"/>
          </w:tcPr>
          <w:p w14:paraId="5CDE851A" w14:textId="42082A4C"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5FA51A9F" w14:textId="42B8613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219" w:type="dxa"/>
            <w:vAlign w:val="bottom"/>
          </w:tcPr>
          <w:p w14:paraId="5BFB4058" w14:textId="67F19BE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219" w:type="dxa"/>
            <w:vAlign w:val="bottom"/>
          </w:tcPr>
          <w:p w14:paraId="50E0501A" w14:textId="3C70B98E"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4FABFD6C" w14:textId="73B0F599"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11</w:t>
            </w:r>
          </w:p>
        </w:tc>
      </w:tr>
      <w:tr w:rsidR="00C241BE" w:rsidRPr="009B783C" w14:paraId="0904FC5A" w14:textId="073C9806" w:rsidTr="002351FA">
        <w:tc>
          <w:tcPr>
            <w:tcW w:w="1271" w:type="dxa"/>
            <w:vAlign w:val="bottom"/>
          </w:tcPr>
          <w:p w14:paraId="7D0C7A6E" w14:textId="502FD3D7"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62C1DA00" w14:textId="5D6F81D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20</w:t>
            </w:r>
          </w:p>
        </w:tc>
        <w:tc>
          <w:tcPr>
            <w:tcW w:w="2219" w:type="dxa"/>
            <w:vAlign w:val="bottom"/>
          </w:tcPr>
          <w:p w14:paraId="41D51E92" w14:textId="2EE2253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219" w:type="dxa"/>
            <w:vAlign w:val="bottom"/>
          </w:tcPr>
          <w:p w14:paraId="2802A873" w14:textId="4B8B5E1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3AA0E570" w14:textId="66CAF11B"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11</w:t>
            </w:r>
          </w:p>
        </w:tc>
      </w:tr>
      <w:tr w:rsidR="00C241BE" w:rsidRPr="009B783C" w14:paraId="1846F7BF" w14:textId="3347496A" w:rsidTr="002351FA">
        <w:tc>
          <w:tcPr>
            <w:tcW w:w="1271" w:type="dxa"/>
            <w:vAlign w:val="bottom"/>
          </w:tcPr>
          <w:p w14:paraId="26E05DD2" w14:textId="666A32E9"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087C081A" w14:textId="3344010B"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21</w:t>
            </w:r>
          </w:p>
        </w:tc>
        <w:tc>
          <w:tcPr>
            <w:tcW w:w="2219" w:type="dxa"/>
            <w:vAlign w:val="bottom"/>
          </w:tcPr>
          <w:p w14:paraId="194F7383" w14:textId="5C8B1609"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180F268F" w14:textId="3CA4981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50D82A45" w14:textId="129082D6"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7</w:t>
            </w:r>
          </w:p>
        </w:tc>
      </w:tr>
      <w:tr w:rsidR="00C241BE" w:rsidRPr="009B783C" w14:paraId="53A69DD1" w14:textId="6DFE8BE2" w:rsidTr="002351FA">
        <w:tc>
          <w:tcPr>
            <w:tcW w:w="1271" w:type="dxa"/>
            <w:vAlign w:val="bottom"/>
          </w:tcPr>
          <w:p w14:paraId="3C48AB88" w14:textId="10918F33"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Weekdays</w:t>
            </w:r>
          </w:p>
        </w:tc>
        <w:tc>
          <w:tcPr>
            <w:tcW w:w="992" w:type="dxa"/>
            <w:vAlign w:val="bottom"/>
          </w:tcPr>
          <w:p w14:paraId="4AE94B09" w14:textId="2276BED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219" w:type="dxa"/>
            <w:vAlign w:val="bottom"/>
          </w:tcPr>
          <w:p w14:paraId="72F06ECF" w14:textId="4D51EFF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0CD7F38A" w14:textId="116B124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594959B5" w14:textId="4CF8000B"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w:t>
            </w:r>
          </w:p>
        </w:tc>
      </w:tr>
      <w:tr w:rsidR="009E6FFC" w:rsidRPr="009B783C" w14:paraId="3EAC4464" w14:textId="44C25E6E" w:rsidTr="002351FA">
        <w:tc>
          <w:tcPr>
            <w:tcW w:w="1271" w:type="dxa"/>
            <w:vAlign w:val="bottom"/>
          </w:tcPr>
          <w:p w14:paraId="2EFAFAE7" w14:textId="4AE9F41C" w:rsidR="009E6FFC" w:rsidRPr="009B783C" w:rsidRDefault="009E6FFC"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6D78293C" w14:textId="0ED1252E"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219" w:type="dxa"/>
            <w:vAlign w:val="bottom"/>
          </w:tcPr>
          <w:p w14:paraId="35D2E147" w14:textId="3FF34291"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76192BA5" w14:textId="6C7202E7"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tcPr>
          <w:p w14:paraId="6FAD8B9B" w14:textId="4451FE81"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r>
      <w:tr w:rsidR="00C241BE" w:rsidRPr="009B783C" w14:paraId="6499E01B" w14:textId="6B28C955" w:rsidTr="002351FA">
        <w:tc>
          <w:tcPr>
            <w:tcW w:w="1271" w:type="dxa"/>
            <w:vAlign w:val="bottom"/>
          </w:tcPr>
          <w:p w14:paraId="03AFC5B3" w14:textId="2605897F"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0940084C" w14:textId="5315F6C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219" w:type="dxa"/>
            <w:vAlign w:val="bottom"/>
          </w:tcPr>
          <w:p w14:paraId="788AFBC9" w14:textId="2452D046"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219" w:type="dxa"/>
            <w:vAlign w:val="bottom"/>
          </w:tcPr>
          <w:p w14:paraId="06EA465C" w14:textId="0AD3FED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16C0A8AF" w14:textId="4FE458DD"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4</w:t>
            </w:r>
          </w:p>
        </w:tc>
      </w:tr>
      <w:tr w:rsidR="00C241BE" w:rsidRPr="009B783C" w14:paraId="7A9252AC" w14:textId="74D2396B" w:rsidTr="002351FA">
        <w:tc>
          <w:tcPr>
            <w:tcW w:w="1271" w:type="dxa"/>
            <w:vAlign w:val="bottom"/>
          </w:tcPr>
          <w:p w14:paraId="4B701B4C" w14:textId="6DEE4F21"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26D412AB" w14:textId="49B2549E"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219" w:type="dxa"/>
            <w:vAlign w:val="bottom"/>
          </w:tcPr>
          <w:p w14:paraId="30DCFEB7" w14:textId="3F597309"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31</w:t>
            </w:r>
          </w:p>
        </w:tc>
        <w:tc>
          <w:tcPr>
            <w:tcW w:w="2219" w:type="dxa"/>
            <w:vAlign w:val="bottom"/>
          </w:tcPr>
          <w:p w14:paraId="29248F18" w14:textId="01E4679C"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3FF1C27F" w14:textId="0631E4A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10</w:t>
            </w:r>
          </w:p>
        </w:tc>
      </w:tr>
      <w:tr w:rsidR="00C241BE" w:rsidRPr="009B783C" w14:paraId="0B544F96" w14:textId="1F3119B8" w:rsidTr="002351FA">
        <w:tc>
          <w:tcPr>
            <w:tcW w:w="1271" w:type="dxa"/>
            <w:vAlign w:val="bottom"/>
          </w:tcPr>
          <w:p w14:paraId="7199C25F" w14:textId="41089431"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32C2AB07" w14:textId="406B55A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219" w:type="dxa"/>
            <w:vAlign w:val="bottom"/>
          </w:tcPr>
          <w:p w14:paraId="7127F066" w14:textId="1ED6D6E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34</w:t>
            </w:r>
          </w:p>
        </w:tc>
        <w:tc>
          <w:tcPr>
            <w:tcW w:w="2219" w:type="dxa"/>
            <w:vAlign w:val="bottom"/>
          </w:tcPr>
          <w:p w14:paraId="243E767D" w14:textId="3267758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39B46463" w14:textId="431E011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r>
      <w:tr w:rsidR="00C241BE" w:rsidRPr="009B783C" w14:paraId="51D868A1" w14:textId="09B2FCBD" w:rsidTr="002351FA">
        <w:tc>
          <w:tcPr>
            <w:tcW w:w="1271" w:type="dxa"/>
            <w:vAlign w:val="bottom"/>
          </w:tcPr>
          <w:p w14:paraId="56893FCA" w14:textId="139EE5E0"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6A60FFF9" w14:textId="6B87F69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219" w:type="dxa"/>
            <w:vAlign w:val="bottom"/>
          </w:tcPr>
          <w:p w14:paraId="2648DA43" w14:textId="605F7C86"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34</w:t>
            </w:r>
          </w:p>
        </w:tc>
        <w:tc>
          <w:tcPr>
            <w:tcW w:w="2219" w:type="dxa"/>
            <w:vAlign w:val="bottom"/>
          </w:tcPr>
          <w:p w14:paraId="53E9F7E8" w14:textId="4615B70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3296A64B" w14:textId="711C6CB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r>
      <w:tr w:rsidR="00C241BE" w:rsidRPr="009B783C" w14:paraId="30029383" w14:textId="0352B4D5" w:rsidTr="002351FA">
        <w:tc>
          <w:tcPr>
            <w:tcW w:w="1271" w:type="dxa"/>
            <w:vAlign w:val="bottom"/>
          </w:tcPr>
          <w:p w14:paraId="00DB5457" w14:textId="2A2FC95A"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793F4C51" w14:textId="3A2CAAC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219" w:type="dxa"/>
            <w:vAlign w:val="bottom"/>
          </w:tcPr>
          <w:p w14:paraId="0C5FC0E8" w14:textId="090BF9AE"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35</w:t>
            </w:r>
          </w:p>
        </w:tc>
        <w:tc>
          <w:tcPr>
            <w:tcW w:w="2219" w:type="dxa"/>
            <w:vAlign w:val="bottom"/>
          </w:tcPr>
          <w:p w14:paraId="50783E80" w14:textId="4A1B94B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16F00089" w14:textId="6A83FD3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12</w:t>
            </w:r>
          </w:p>
        </w:tc>
      </w:tr>
      <w:tr w:rsidR="00C241BE" w:rsidRPr="009B783C" w14:paraId="02461A6C" w14:textId="06CE23E4" w:rsidTr="002351FA">
        <w:tc>
          <w:tcPr>
            <w:tcW w:w="1271" w:type="dxa"/>
            <w:vAlign w:val="bottom"/>
          </w:tcPr>
          <w:p w14:paraId="66807BDF" w14:textId="5CD8CE07"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6A1D09CD" w14:textId="28EEFE0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219" w:type="dxa"/>
            <w:vAlign w:val="bottom"/>
          </w:tcPr>
          <w:p w14:paraId="770DFDF9" w14:textId="70ABEE5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219" w:type="dxa"/>
            <w:vAlign w:val="bottom"/>
          </w:tcPr>
          <w:p w14:paraId="6ED52700" w14:textId="1F24C5B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2D43A87D" w14:textId="6495817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r>
      <w:tr w:rsidR="00C241BE" w:rsidRPr="009B783C" w14:paraId="0A7721AF" w14:textId="08BE4A09" w:rsidTr="002351FA">
        <w:tc>
          <w:tcPr>
            <w:tcW w:w="1271" w:type="dxa"/>
            <w:vAlign w:val="bottom"/>
          </w:tcPr>
          <w:p w14:paraId="7CFB6CE7" w14:textId="50E000FD"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548DCEE1" w14:textId="67974C76"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219" w:type="dxa"/>
            <w:vAlign w:val="bottom"/>
          </w:tcPr>
          <w:p w14:paraId="5F467C68" w14:textId="2294B09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219" w:type="dxa"/>
            <w:vAlign w:val="bottom"/>
          </w:tcPr>
          <w:p w14:paraId="2E1F867C" w14:textId="60C0B3EC"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072AF3D8" w14:textId="5693A5D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12</w:t>
            </w:r>
          </w:p>
        </w:tc>
      </w:tr>
      <w:tr w:rsidR="00C241BE" w:rsidRPr="009B783C" w14:paraId="6D6255F1" w14:textId="203B6B1F" w:rsidTr="002351FA">
        <w:tc>
          <w:tcPr>
            <w:tcW w:w="1271" w:type="dxa"/>
            <w:vAlign w:val="bottom"/>
          </w:tcPr>
          <w:p w14:paraId="65B3212B" w14:textId="6D1C0979"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240C544D" w14:textId="25F74599"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219" w:type="dxa"/>
            <w:vAlign w:val="bottom"/>
          </w:tcPr>
          <w:p w14:paraId="080AD41C" w14:textId="23352CC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219" w:type="dxa"/>
            <w:vAlign w:val="bottom"/>
          </w:tcPr>
          <w:p w14:paraId="2277EA40" w14:textId="5BC34D6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228946BA" w14:textId="794D0DA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13</w:t>
            </w:r>
          </w:p>
        </w:tc>
      </w:tr>
      <w:tr w:rsidR="00C241BE" w:rsidRPr="009B783C" w14:paraId="287F8104" w14:textId="16CCA2D9" w:rsidTr="002351FA">
        <w:tc>
          <w:tcPr>
            <w:tcW w:w="1271" w:type="dxa"/>
            <w:vAlign w:val="bottom"/>
          </w:tcPr>
          <w:p w14:paraId="6CD674C8" w14:textId="33D1424D"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7A4B210D" w14:textId="7CD4E55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219" w:type="dxa"/>
            <w:vAlign w:val="bottom"/>
          </w:tcPr>
          <w:p w14:paraId="2F3FEE6E" w14:textId="6131A05D"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219" w:type="dxa"/>
            <w:vAlign w:val="bottom"/>
          </w:tcPr>
          <w:p w14:paraId="42AAAB6E" w14:textId="6E7D8577"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43901CCC" w14:textId="1C10B70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15</w:t>
            </w:r>
          </w:p>
        </w:tc>
      </w:tr>
      <w:tr w:rsidR="00C241BE" w:rsidRPr="009B783C" w14:paraId="3A364644" w14:textId="4F242B88" w:rsidTr="002351FA">
        <w:tc>
          <w:tcPr>
            <w:tcW w:w="1271" w:type="dxa"/>
            <w:vAlign w:val="bottom"/>
          </w:tcPr>
          <w:p w14:paraId="7E943C89" w14:textId="467CE435"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lastRenderedPageBreak/>
              <w:t>Saturday</w:t>
            </w:r>
          </w:p>
        </w:tc>
        <w:tc>
          <w:tcPr>
            <w:tcW w:w="992" w:type="dxa"/>
            <w:vAlign w:val="bottom"/>
          </w:tcPr>
          <w:p w14:paraId="17E35972" w14:textId="2DDE878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17</w:t>
            </w:r>
          </w:p>
        </w:tc>
        <w:tc>
          <w:tcPr>
            <w:tcW w:w="2219" w:type="dxa"/>
            <w:vAlign w:val="bottom"/>
          </w:tcPr>
          <w:p w14:paraId="07EB1FB1" w14:textId="40EC0F6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219" w:type="dxa"/>
            <w:vAlign w:val="bottom"/>
          </w:tcPr>
          <w:p w14:paraId="622B8265" w14:textId="60761BA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39A6D1DB" w14:textId="484948D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14</w:t>
            </w:r>
          </w:p>
        </w:tc>
      </w:tr>
      <w:tr w:rsidR="00C241BE" w:rsidRPr="009B783C" w14:paraId="3B1D70FE" w14:textId="357AA01F" w:rsidTr="002351FA">
        <w:tc>
          <w:tcPr>
            <w:tcW w:w="1271" w:type="dxa"/>
            <w:vAlign w:val="bottom"/>
          </w:tcPr>
          <w:p w14:paraId="0DEB3344" w14:textId="1FDE2FE9"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131A7BF7" w14:textId="2E19EB5D"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18</w:t>
            </w:r>
          </w:p>
        </w:tc>
        <w:tc>
          <w:tcPr>
            <w:tcW w:w="2219" w:type="dxa"/>
            <w:vAlign w:val="bottom"/>
          </w:tcPr>
          <w:p w14:paraId="7A127869" w14:textId="6F433DF4"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c>
          <w:tcPr>
            <w:tcW w:w="2219" w:type="dxa"/>
            <w:vAlign w:val="bottom"/>
          </w:tcPr>
          <w:p w14:paraId="31A25180" w14:textId="2E0F54B2"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3C5D9BCE" w14:textId="3E7CA27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r>
      <w:tr w:rsidR="00C241BE" w:rsidRPr="009B783C" w14:paraId="4F71B4BC" w14:textId="719DDE42" w:rsidTr="002351FA">
        <w:tc>
          <w:tcPr>
            <w:tcW w:w="1271" w:type="dxa"/>
            <w:vAlign w:val="bottom"/>
          </w:tcPr>
          <w:p w14:paraId="190ABBDE" w14:textId="5C299D56"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4BD5F4FC" w14:textId="01B5FB2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219" w:type="dxa"/>
            <w:vAlign w:val="bottom"/>
          </w:tcPr>
          <w:p w14:paraId="6A24505F" w14:textId="58379E4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c>
          <w:tcPr>
            <w:tcW w:w="2219" w:type="dxa"/>
            <w:vAlign w:val="bottom"/>
          </w:tcPr>
          <w:p w14:paraId="0E2C2AC6" w14:textId="1D30FCA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5064848F" w14:textId="4E71B62D"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6</w:t>
            </w:r>
          </w:p>
        </w:tc>
      </w:tr>
      <w:tr w:rsidR="00C241BE" w:rsidRPr="009B783C" w14:paraId="77DCF38B" w14:textId="08A65F4B" w:rsidTr="002351FA">
        <w:tc>
          <w:tcPr>
            <w:tcW w:w="1271" w:type="dxa"/>
            <w:vAlign w:val="bottom"/>
          </w:tcPr>
          <w:p w14:paraId="6FD63025" w14:textId="1E044B50"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0701F342" w14:textId="503C2431"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20</w:t>
            </w:r>
          </w:p>
        </w:tc>
        <w:tc>
          <w:tcPr>
            <w:tcW w:w="2219" w:type="dxa"/>
            <w:vAlign w:val="bottom"/>
          </w:tcPr>
          <w:p w14:paraId="70DDE019" w14:textId="7CCA1077"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0AEB16F9" w14:textId="7B590075"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w:t>
            </w:r>
          </w:p>
        </w:tc>
        <w:tc>
          <w:tcPr>
            <w:tcW w:w="2219" w:type="dxa"/>
            <w:vAlign w:val="bottom"/>
          </w:tcPr>
          <w:p w14:paraId="71A28793" w14:textId="7B66BB5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r>
      <w:tr w:rsidR="00C241BE" w:rsidRPr="009B783C" w14:paraId="5A0DED3F" w14:textId="703EEBD1" w:rsidTr="002351FA">
        <w:tc>
          <w:tcPr>
            <w:tcW w:w="1271" w:type="dxa"/>
            <w:vAlign w:val="bottom"/>
          </w:tcPr>
          <w:p w14:paraId="4A011F87" w14:textId="4557BE30"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282349DF" w14:textId="64F2508F"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21</w:t>
            </w:r>
          </w:p>
        </w:tc>
        <w:tc>
          <w:tcPr>
            <w:tcW w:w="2219" w:type="dxa"/>
            <w:vAlign w:val="bottom"/>
          </w:tcPr>
          <w:p w14:paraId="6CD5C2F4" w14:textId="2228DC47"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5FA50DC3" w14:textId="20738363"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38E9A969" w14:textId="2F2E7830"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r>
      <w:tr w:rsidR="00C241BE" w:rsidRPr="009B783C" w14:paraId="5969ED9F" w14:textId="3B9E3483" w:rsidTr="002351FA">
        <w:tc>
          <w:tcPr>
            <w:tcW w:w="1271" w:type="dxa"/>
            <w:vAlign w:val="bottom"/>
          </w:tcPr>
          <w:p w14:paraId="2EEE632D" w14:textId="0164C07D" w:rsidR="00C241BE" w:rsidRPr="009B783C" w:rsidRDefault="00C241BE" w:rsidP="002351FA">
            <w:pPr>
              <w:rPr>
                <w:rFonts w:asciiTheme="minorHAnsi" w:hAnsiTheme="minorHAnsi" w:cstheme="minorHAnsi"/>
                <w:szCs w:val="21"/>
              </w:rPr>
            </w:pPr>
            <w:r w:rsidRPr="009B783C">
              <w:rPr>
                <w:rFonts w:asciiTheme="minorHAnsi" w:hAnsiTheme="minorHAnsi" w:cstheme="minorHAnsi"/>
                <w:color w:val="000000"/>
                <w:szCs w:val="21"/>
              </w:rPr>
              <w:t>Saturday</w:t>
            </w:r>
          </w:p>
        </w:tc>
        <w:tc>
          <w:tcPr>
            <w:tcW w:w="992" w:type="dxa"/>
            <w:vAlign w:val="bottom"/>
          </w:tcPr>
          <w:p w14:paraId="0A5F9170" w14:textId="56F42CBA"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219" w:type="dxa"/>
            <w:vAlign w:val="bottom"/>
          </w:tcPr>
          <w:p w14:paraId="0F5B323C" w14:textId="0EF8C652"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38A2D248" w14:textId="0A84429D"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3F514A73" w14:textId="24C59318" w:rsidR="00C241BE" w:rsidRPr="009B783C" w:rsidRDefault="00C241BE" w:rsidP="00D81D0B">
            <w:pPr>
              <w:jc w:val="center"/>
              <w:rPr>
                <w:rFonts w:asciiTheme="minorHAnsi" w:hAnsiTheme="minorHAnsi" w:cstheme="minorHAnsi"/>
                <w:szCs w:val="21"/>
              </w:rPr>
            </w:pPr>
            <w:r w:rsidRPr="009B783C">
              <w:rPr>
                <w:rFonts w:asciiTheme="minorHAnsi" w:hAnsiTheme="minorHAnsi" w:cstheme="minorHAnsi"/>
                <w:color w:val="000000"/>
                <w:szCs w:val="21"/>
              </w:rPr>
              <w:t>3</w:t>
            </w:r>
          </w:p>
        </w:tc>
      </w:tr>
      <w:tr w:rsidR="009E6FFC" w:rsidRPr="009B783C" w14:paraId="0910F3D0" w14:textId="59844FF9" w:rsidTr="002351FA">
        <w:tc>
          <w:tcPr>
            <w:tcW w:w="1271" w:type="dxa"/>
            <w:vAlign w:val="bottom"/>
          </w:tcPr>
          <w:p w14:paraId="07873F8D" w14:textId="3ECC644E" w:rsidR="009E6FFC" w:rsidRPr="009B783C" w:rsidRDefault="009E6FFC" w:rsidP="002351FA">
            <w:pPr>
              <w:rPr>
                <w:rFonts w:asciiTheme="minorHAnsi" w:hAnsiTheme="minorHAnsi" w:cstheme="minorHAnsi"/>
                <w:szCs w:val="21"/>
              </w:rPr>
            </w:pPr>
            <w:r w:rsidRPr="009B783C">
              <w:rPr>
                <w:rFonts w:asciiTheme="minorHAnsi" w:hAnsiTheme="minorHAnsi" w:cstheme="minorHAnsi"/>
                <w:color w:val="000000"/>
                <w:szCs w:val="21"/>
              </w:rPr>
              <w:t>Sunday</w:t>
            </w:r>
          </w:p>
        </w:tc>
        <w:tc>
          <w:tcPr>
            <w:tcW w:w="992" w:type="dxa"/>
            <w:vAlign w:val="bottom"/>
          </w:tcPr>
          <w:p w14:paraId="6A9DB560" w14:textId="653BB360"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219" w:type="dxa"/>
            <w:vAlign w:val="bottom"/>
          </w:tcPr>
          <w:p w14:paraId="3F4403B5" w14:textId="4FE98DFA" w:rsidR="009E6FFC" w:rsidRPr="009B783C" w:rsidRDefault="009E6FFC"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2F4F1CCF" w14:textId="6CE63859"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tcPr>
          <w:p w14:paraId="43FCEA2F" w14:textId="189D7AED" w:rsidR="009E6FFC"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r>
      <w:tr w:rsidR="002351FA" w:rsidRPr="009B783C" w14:paraId="598F92FE" w14:textId="63EAD0F5" w:rsidTr="002351FA">
        <w:tc>
          <w:tcPr>
            <w:tcW w:w="1271" w:type="dxa"/>
            <w:vAlign w:val="bottom"/>
          </w:tcPr>
          <w:p w14:paraId="253B4002" w14:textId="191BF48E" w:rsidR="002351FA" w:rsidRPr="009B783C" w:rsidRDefault="002351FA" w:rsidP="002351FA">
            <w:pPr>
              <w:rPr>
                <w:rFonts w:asciiTheme="minorHAnsi" w:hAnsiTheme="minorHAnsi" w:cstheme="minorHAnsi"/>
                <w:szCs w:val="21"/>
              </w:rPr>
            </w:pPr>
            <w:r w:rsidRPr="009B783C">
              <w:rPr>
                <w:rFonts w:asciiTheme="minorHAnsi" w:hAnsiTheme="minorHAnsi" w:cstheme="minorHAnsi"/>
                <w:color w:val="000000"/>
                <w:szCs w:val="21"/>
              </w:rPr>
              <w:t>Sunday</w:t>
            </w:r>
          </w:p>
        </w:tc>
        <w:tc>
          <w:tcPr>
            <w:tcW w:w="992" w:type="dxa"/>
            <w:vAlign w:val="bottom"/>
          </w:tcPr>
          <w:p w14:paraId="6D13601F" w14:textId="6AB11899"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219" w:type="dxa"/>
            <w:vAlign w:val="bottom"/>
          </w:tcPr>
          <w:p w14:paraId="1B5B6579" w14:textId="520DF258"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5</w:t>
            </w:r>
          </w:p>
        </w:tc>
        <w:tc>
          <w:tcPr>
            <w:tcW w:w="2219" w:type="dxa"/>
            <w:vAlign w:val="bottom"/>
          </w:tcPr>
          <w:p w14:paraId="1C508F21" w14:textId="394B4236"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425F4136" w14:textId="3B06E267"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4</w:t>
            </w:r>
          </w:p>
        </w:tc>
      </w:tr>
      <w:tr w:rsidR="002351FA" w:rsidRPr="009B783C" w14:paraId="57722013" w14:textId="3680F76A" w:rsidTr="002351FA">
        <w:tc>
          <w:tcPr>
            <w:tcW w:w="1271" w:type="dxa"/>
            <w:vAlign w:val="bottom"/>
          </w:tcPr>
          <w:p w14:paraId="6DFC6B00" w14:textId="2EB32393" w:rsidR="002351FA" w:rsidRPr="009B783C" w:rsidRDefault="002351FA" w:rsidP="002351FA">
            <w:pPr>
              <w:rPr>
                <w:rFonts w:asciiTheme="minorHAnsi" w:hAnsiTheme="minorHAnsi" w:cstheme="minorHAnsi"/>
                <w:szCs w:val="21"/>
              </w:rPr>
            </w:pPr>
            <w:r w:rsidRPr="009B783C">
              <w:rPr>
                <w:rFonts w:asciiTheme="minorHAnsi" w:hAnsiTheme="minorHAnsi" w:cstheme="minorHAnsi"/>
                <w:color w:val="000000"/>
                <w:szCs w:val="21"/>
              </w:rPr>
              <w:t>Sunday</w:t>
            </w:r>
          </w:p>
        </w:tc>
        <w:tc>
          <w:tcPr>
            <w:tcW w:w="992" w:type="dxa"/>
            <w:vAlign w:val="bottom"/>
          </w:tcPr>
          <w:p w14:paraId="07A1D098" w14:textId="287DC40C"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219" w:type="dxa"/>
            <w:vAlign w:val="bottom"/>
          </w:tcPr>
          <w:p w14:paraId="65CC18C7" w14:textId="16CAE6ED"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219" w:type="dxa"/>
            <w:vAlign w:val="bottom"/>
          </w:tcPr>
          <w:p w14:paraId="61DF8805" w14:textId="1737D667"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1</w:t>
            </w:r>
          </w:p>
        </w:tc>
        <w:tc>
          <w:tcPr>
            <w:tcW w:w="2219" w:type="dxa"/>
            <w:vAlign w:val="bottom"/>
          </w:tcPr>
          <w:p w14:paraId="0CA07673" w14:textId="12284E94"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9</w:t>
            </w:r>
          </w:p>
        </w:tc>
      </w:tr>
      <w:tr w:rsidR="002351FA" w:rsidRPr="009B783C" w14:paraId="28932CCD" w14:textId="555455E8" w:rsidTr="002351FA">
        <w:tc>
          <w:tcPr>
            <w:tcW w:w="1271" w:type="dxa"/>
            <w:vAlign w:val="bottom"/>
          </w:tcPr>
          <w:p w14:paraId="257CF98E" w14:textId="0BB6E93E" w:rsidR="002351FA" w:rsidRPr="009B783C" w:rsidRDefault="002351FA" w:rsidP="002351FA">
            <w:pPr>
              <w:rPr>
                <w:rFonts w:asciiTheme="minorHAnsi" w:hAnsiTheme="minorHAnsi" w:cstheme="minorHAnsi"/>
                <w:szCs w:val="21"/>
              </w:rPr>
            </w:pPr>
            <w:r w:rsidRPr="009B783C">
              <w:rPr>
                <w:rFonts w:asciiTheme="minorHAnsi" w:hAnsiTheme="minorHAnsi" w:cstheme="minorHAnsi"/>
                <w:color w:val="000000"/>
                <w:szCs w:val="21"/>
              </w:rPr>
              <w:t>Sunday</w:t>
            </w:r>
          </w:p>
        </w:tc>
        <w:tc>
          <w:tcPr>
            <w:tcW w:w="992" w:type="dxa"/>
            <w:vAlign w:val="bottom"/>
          </w:tcPr>
          <w:p w14:paraId="467E705C" w14:textId="4B7F503B"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219" w:type="dxa"/>
            <w:vAlign w:val="bottom"/>
          </w:tcPr>
          <w:p w14:paraId="7BA966F7" w14:textId="71D8C872"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219" w:type="dxa"/>
            <w:vAlign w:val="bottom"/>
          </w:tcPr>
          <w:p w14:paraId="2CE00100" w14:textId="570CA5D7" w:rsidR="002351FA" w:rsidRPr="009B783C" w:rsidRDefault="00A224D3" w:rsidP="00D81D0B">
            <w:pPr>
              <w:jc w:val="center"/>
              <w:rPr>
                <w:rFonts w:asciiTheme="minorHAnsi" w:hAnsiTheme="minorHAnsi" w:cstheme="minorHAnsi"/>
                <w:szCs w:val="21"/>
              </w:rPr>
            </w:pPr>
            <w:r>
              <w:rPr>
                <w:rFonts w:asciiTheme="minorHAnsi" w:hAnsiTheme="minorHAnsi" w:cstheme="minorHAnsi"/>
                <w:szCs w:val="21"/>
              </w:rPr>
              <w:t>0</w:t>
            </w:r>
          </w:p>
        </w:tc>
        <w:tc>
          <w:tcPr>
            <w:tcW w:w="2219" w:type="dxa"/>
            <w:vAlign w:val="bottom"/>
          </w:tcPr>
          <w:p w14:paraId="1F708BEF" w14:textId="2F5B5058" w:rsidR="002351FA" w:rsidRPr="009B783C" w:rsidRDefault="002351FA" w:rsidP="00D81D0B">
            <w:pPr>
              <w:jc w:val="center"/>
              <w:rPr>
                <w:rFonts w:asciiTheme="minorHAnsi" w:hAnsiTheme="minorHAnsi" w:cstheme="minorHAnsi"/>
                <w:szCs w:val="21"/>
              </w:rPr>
            </w:pPr>
            <w:r w:rsidRPr="009B783C">
              <w:rPr>
                <w:rFonts w:asciiTheme="minorHAnsi" w:hAnsiTheme="minorHAnsi" w:cstheme="minorHAnsi"/>
                <w:color w:val="000000"/>
                <w:szCs w:val="21"/>
              </w:rPr>
              <w:t>8</w:t>
            </w:r>
          </w:p>
        </w:tc>
      </w:tr>
      <w:tr w:rsidR="002351FA" w:rsidRPr="009B783C" w14:paraId="50A4474F" w14:textId="453681E1" w:rsidTr="002351FA">
        <w:tc>
          <w:tcPr>
            <w:tcW w:w="1271" w:type="dxa"/>
            <w:vAlign w:val="bottom"/>
          </w:tcPr>
          <w:p w14:paraId="7415E402" w14:textId="6D357D27"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06D917B7" w14:textId="39045106"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219" w:type="dxa"/>
            <w:vAlign w:val="bottom"/>
          </w:tcPr>
          <w:p w14:paraId="516F8C0A" w14:textId="13636FC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219" w:type="dxa"/>
            <w:vAlign w:val="bottom"/>
          </w:tcPr>
          <w:p w14:paraId="3F5C3D31" w14:textId="1B431E85" w:rsidR="002351FA" w:rsidRPr="009B783C" w:rsidRDefault="00A224D3" w:rsidP="00D81D0B">
            <w:pPr>
              <w:jc w:val="center"/>
              <w:rPr>
                <w:rFonts w:asciiTheme="minorHAnsi" w:hAnsiTheme="minorHAnsi" w:cstheme="minorHAnsi"/>
                <w:color w:val="000000"/>
                <w:szCs w:val="21"/>
              </w:rPr>
            </w:pPr>
            <w:r>
              <w:rPr>
                <w:rFonts w:asciiTheme="minorHAnsi" w:hAnsiTheme="minorHAnsi" w:cstheme="minorHAnsi"/>
                <w:color w:val="000000"/>
                <w:szCs w:val="21"/>
              </w:rPr>
              <w:t>0</w:t>
            </w:r>
          </w:p>
        </w:tc>
        <w:tc>
          <w:tcPr>
            <w:tcW w:w="2219" w:type="dxa"/>
            <w:vAlign w:val="bottom"/>
          </w:tcPr>
          <w:p w14:paraId="57216C1B" w14:textId="5D260BD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2351FA" w:rsidRPr="009B783C" w14:paraId="666FB04F" w14:textId="4F5DADCD" w:rsidTr="002351FA">
        <w:tc>
          <w:tcPr>
            <w:tcW w:w="1271" w:type="dxa"/>
            <w:vAlign w:val="bottom"/>
          </w:tcPr>
          <w:p w14:paraId="007CE0FA" w14:textId="6F5CAE15"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51CF7A69" w14:textId="020AFFFE"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219" w:type="dxa"/>
            <w:vAlign w:val="bottom"/>
          </w:tcPr>
          <w:p w14:paraId="1F97F2B4" w14:textId="69E7E2D2"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219" w:type="dxa"/>
            <w:vAlign w:val="bottom"/>
          </w:tcPr>
          <w:p w14:paraId="23469931" w14:textId="78F69FFE" w:rsidR="002351FA" w:rsidRPr="009B783C" w:rsidRDefault="00A224D3" w:rsidP="00D81D0B">
            <w:pPr>
              <w:jc w:val="center"/>
              <w:rPr>
                <w:rFonts w:asciiTheme="minorHAnsi" w:hAnsiTheme="minorHAnsi" w:cstheme="minorHAnsi"/>
                <w:color w:val="000000"/>
                <w:szCs w:val="21"/>
              </w:rPr>
            </w:pPr>
            <w:r>
              <w:rPr>
                <w:rFonts w:asciiTheme="minorHAnsi" w:hAnsiTheme="minorHAnsi" w:cstheme="minorHAnsi"/>
                <w:color w:val="000000"/>
                <w:szCs w:val="21"/>
              </w:rPr>
              <w:t>0</w:t>
            </w:r>
          </w:p>
        </w:tc>
        <w:tc>
          <w:tcPr>
            <w:tcW w:w="2219" w:type="dxa"/>
            <w:vAlign w:val="bottom"/>
          </w:tcPr>
          <w:p w14:paraId="57E15E59" w14:textId="17A243EE"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r>
      <w:tr w:rsidR="002351FA" w:rsidRPr="009B783C" w14:paraId="5AD3AD28" w14:textId="21C8A116" w:rsidTr="002351FA">
        <w:tc>
          <w:tcPr>
            <w:tcW w:w="1271" w:type="dxa"/>
            <w:vAlign w:val="bottom"/>
          </w:tcPr>
          <w:p w14:paraId="292568B7" w14:textId="4C1F303E"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1B2F003C" w14:textId="56B821F7"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219" w:type="dxa"/>
            <w:vAlign w:val="bottom"/>
          </w:tcPr>
          <w:p w14:paraId="7528C9C5" w14:textId="0783C5AB"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219" w:type="dxa"/>
            <w:vAlign w:val="bottom"/>
          </w:tcPr>
          <w:p w14:paraId="38D191D0" w14:textId="2864BEA6" w:rsidR="002351FA" w:rsidRPr="009B783C" w:rsidRDefault="00A224D3" w:rsidP="00D81D0B">
            <w:pPr>
              <w:jc w:val="center"/>
              <w:rPr>
                <w:rFonts w:asciiTheme="minorHAnsi" w:hAnsiTheme="minorHAnsi" w:cstheme="minorHAnsi"/>
                <w:color w:val="000000"/>
                <w:szCs w:val="21"/>
              </w:rPr>
            </w:pPr>
            <w:r>
              <w:rPr>
                <w:rFonts w:asciiTheme="minorHAnsi" w:hAnsiTheme="minorHAnsi" w:cstheme="minorHAnsi"/>
                <w:color w:val="000000"/>
                <w:szCs w:val="21"/>
              </w:rPr>
              <w:t>0</w:t>
            </w:r>
          </w:p>
        </w:tc>
        <w:tc>
          <w:tcPr>
            <w:tcW w:w="2219" w:type="dxa"/>
            <w:vAlign w:val="bottom"/>
          </w:tcPr>
          <w:p w14:paraId="28D8902D" w14:textId="4714B3BD"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r>
      <w:tr w:rsidR="002351FA" w:rsidRPr="009B783C" w14:paraId="589D870F" w14:textId="5DF3CF45" w:rsidTr="002351FA">
        <w:tc>
          <w:tcPr>
            <w:tcW w:w="1271" w:type="dxa"/>
            <w:vAlign w:val="bottom"/>
          </w:tcPr>
          <w:p w14:paraId="076776FD" w14:textId="498A9929"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274C795D" w14:textId="7C33D1D3"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219" w:type="dxa"/>
            <w:vAlign w:val="bottom"/>
          </w:tcPr>
          <w:p w14:paraId="3BD8BA21" w14:textId="5492F8D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219" w:type="dxa"/>
            <w:vAlign w:val="bottom"/>
          </w:tcPr>
          <w:p w14:paraId="0469598F" w14:textId="3BF2A505" w:rsidR="002351FA" w:rsidRPr="009B783C" w:rsidRDefault="00A224D3" w:rsidP="00D81D0B">
            <w:pPr>
              <w:jc w:val="center"/>
              <w:rPr>
                <w:rFonts w:asciiTheme="minorHAnsi" w:hAnsiTheme="minorHAnsi" w:cstheme="minorHAnsi"/>
                <w:color w:val="000000"/>
                <w:szCs w:val="21"/>
              </w:rPr>
            </w:pPr>
            <w:r>
              <w:rPr>
                <w:rFonts w:asciiTheme="minorHAnsi" w:hAnsiTheme="minorHAnsi" w:cstheme="minorHAnsi"/>
                <w:color w:val="000000"/>
                <w:szCs w:val="21"/>
              </w:rPr>
              <w:t>0</w:t>
            </w:r>
          </w:p>
        </w:tc>
        <w:tc>
          <w:tcPr>
            <w:tcW w:w="2219" w:type="dxa"/>
            <w:vAlign w:val="bottom"/>
          </w:tcPr>
          <w:p w14:paraId="6D6376B6" w14:textId="00402EE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r>
      <w:tr w:rsidR="002351FA" w:rsidRPr="009B783C" w14:paraId="25A29B7B" w14:textId="1338F1E6" w:rsidTr="002351FA">
        <w:tc>
          <w:tcPr>
            <w:tcW w:w="1271" w:type="dxa"/>
            <w:vAlign w:val="bottom"/>
          </w:tcPr>
          <w:p w14:paraId="7DDEA924" w14:textId="3A5A7005"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620BCB2E" w14:textId="185950E6"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219" w:type="dxa"/>
            <w:vAlign w:val="bottom"/>
          </w:tcPr>
          <w:p w14:paraId="797E7C59" w14:textId="49FE23F4"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219" w:type="dxa"/>
            <w:vAlign w:val="bottom"/>
          </w:tcPr>
          <w:p w14:paraId="04755DF8" w14:textId="4BEE3167"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0AA4CA9E" w14:textId="39552F10"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r>
      <w:tr w:rsidR="002351FA" w:rsidRPr="009B783C" w14:paraId="7E24239A" w14:textId="7BB0C61D" w:rsidTr="002351FA">
        <w:tc>
          <w:tcPr>
            <w:tcW w:w="1271" w:type="dxa"/>
            <w:vAlign w:val="bottom"/>
          </w:tcPr>
          <w:p w14:paraId="1560B405" w14:textId="099A2A09"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39E6D5A5" w14:textId="387D0B83"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219" w:type="dxa"/>
            <w:vAlign w:val="bottom"/>
          </w:tcPr>
          <w:p w14:paraId="679EECC3" w14:textId="26A54391"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219" w:type="dxa"/>
            <w:vAlign w:val="bottom"/>
          </w:tcPr>
          <w:p w14:paraId="56EDDC2A" w14:textId="0BEA1E94"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47AD489C" w14:textId="13FB410C"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r>
      <w:tr w:rsidR="002351FA" w:rsidRPr="009B783C" w14:paraId="2C0A0DB2" w14:textId="180E1A5D" w:rsidTr="002351FA">
        <w:tc>
          <w:tcPr>
            <w:tcW w:w="1271" w:type="dxa"/>
            <w:vAlign w:val="bottom"/>
          </w:tcPr>
          <w:p w14:paraId="77430351" w14:textId="525BB79A"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60E32127" w14:textId="350AFE20"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219" w:type="dxa"/>
            <w:vAlign w:val="bottom"/>
          </w:tcPr>
          <w:p w14:paraId="047BB036" w14:textId="6AF5F144"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7</w:t>
            </w:r>
          </w:p>
        </w:tc>
        <w:tc>
          <w:tcPr>
            <w:tcW w:w="2219" w:type="dxa"/>
            <w:vAlign w:val="bottom"/>
          </w:tcPr>
          <w:p w14:paraId="1823AF55" w14:textId="2FA3C54B"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70162239" w14:textId="28FB2F1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r>
      <w:tr w:rsidR="002351FA" w:rsidRPr="009B783C" w14:paraId="61A539B7" w14:textId="2C0610DC" w:rsidTr="002351FA">
        <w:tc>
          <w:tcPr>
            <w:tcW w:w="1271" w:type="dxa"/>
            <w:vAlign w:val="bottom"/>
          </w:tcPr>
          <w:p w14:paraId="6711F556" w14:textId="7AB86A8E"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36FDE173" w14:textId="22619123"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219" w:type="dxa"/>
            <w:vAlign w:val="bottom"/>
          </w:tcPr>
          <w:p w14:paraId="44BEC042" w14:textId="40FCBC71"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4</w:t>
            </w:r>
          </w:p>
        </w:tc>
        <w:tc>
          <w:tcPr>
            <w:tcW w:w="2219" w:type="dxa"/>
            <w:vAlign w:val="bottom"/>
          </w:tcPr>
          <w:p w14:paraId="64E288C1" w14:textId="38D4AA8F"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c>
          <w:tcPr>
            <w:tcW w:w="2219" w:type="dxa"/>
            <w:vAlign w:val="bottom"/>
          </w:tcPr>
          <w:p w14:paraId="7FC1941F" w14:textId="474B6FDC"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2351FA" w:rsidRPr="009B783C" w14:paraId="34A35BBC" w14:textId="3ACDB782" w:rsidTr="002351FA">
        <w:tc>
          <w:tcPr>
            <w:tcW w:w="1271" w:type="dxa"/>
            <w:vAlign w:val="bottom"/>
          </w:tcPr>
          <w:p w14:paraId="2795B835" w14:textId="3D56F683"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35C89D66" w14:textId="2CF79AD1"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219" w:type="dxa"/>
            <w:vAlign w:val="bottom"/>
          </w:tcPr>
          <w:p w14:paraId="6C4B2B38" w14:textId="420EBEF3"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c>
          <w:tcPr>
            <w:tcW w:w="2219" w:type="dxa"/>
            <w:vAlign w:val="bottom"/>
          </w:tcPr>
          <w:p w14:paraId="1AC5E308" w14:textId="51A00165"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c>
          <w:tcPr>
            <w:tcW w:w="2219" w:type="dxa"/>
            <w:vAlign w:val="bottom"/>
          </w:tcPr>
          <w:p w14:paraId="0105B6BE" w14:textId="340F1C38"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6</w:t>
            </w:r>
          </w:p>
        </w:tc>
      </w:tr>
      <w:tr w:rsidR="002351FA" w:rsidRPr="009B783C" w14:paraId="263C4B3A" w14:textId="5518BADC" w:rsidTr="002351FA">
        <w:tc>
          <w:tcPr>
            <w:tcW w:w="1271" w:type="dxa"/>
            <w:vAlign w:val="bottom"/>
          </w:tcPr>
          <w:p w14:paraId="21460AAF" w14:textId="137EA4D0"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171493A0" w14:textId="271F525C"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219" w:type="dxa"/>
            <w:vAlign w:val="bottom"/>
          </w:tcPr>
          <w:p w14:paraId="0B700F82" w14:textId="4C2D867C"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650FB269" w14:textId="02626A8B"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w:t>
            </w:r>
          </w:p>
        </w:tc>
        <w:tc>
          <w:tcPr>
            <w:tcW w:w="2219" w:type="dxa"/>
            <w:vAlign w:val="bottom"/>
          </w:tcPr>
          <w:p w14:paraId="30C57512" w14:textId="42BA6D41"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5</w:t>
            </w:r>
          </w:p>
        </w:tc>
      </w:tr>
      <w:tr w:rsidR="002351FA" w:rsidRPr="009B783C" w14:paraId="7639C256" w14:textId="578DE53F" w:rsidTr="002351FA">
        <w:tc>
          <w:tcPr>
            <w:tcW w:w="1271" w:type="dxa"/>
            <w:vAlign w:val="bottom"/>
          </w:tcPr>
          <w:p w14:paraId="5599DF28" w14:textId="61CC7D18"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0B12EF3B" w14:textId="6B42908B"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219" w:type="dxa"/>
            <w:vAlign w:val="bottom"/>
          </w:tcPr>
          <w:p w14:paraId="70705AE9" w14:textId="08A7DEF7"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215C8A7E" w14:textId="149E0AB9"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79A08C22" w14:textId="04FE3973"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3</w:t>
            </w:r>
          </w:p>
        </w:tc>
      </w:tr>
      <w:tr w:rsidR="002351FA" w:rsidRPr="009B783C" w14:paraId="1ED8E4F3" w14:textId="1B927283" w:rsidTr="002351FA">
        <w:tc>
          <w:tcPr>
            <w:tcW w:w="1271" w:type="dxa"/>
            <w:vAlign w:val="bottom"/>
          </w:tcPr>
          <w:p w14:paraId="629AA98E" w14:textId="2C54399D" w:rsidR="002351FA" w:rsidRPr="009B783C" w:rsidRDefault="002351FA" w:rsidP="002351FA">
            <w:pPr>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992" w:type="dxa"/>
            <w:vAlign w:val="bottom"/>
          </w:tcPr>
          <w:p w14:paraId="626786DF" w14:textId="5CD0329A"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219" w:type="dxa"/>
            <w:vAlign w:val="bottom"/>
          </w:tcPr>
          <w:p w14:paraId="38AE147F" w14:textId="38AE5B30"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09550CCE" w14:textId="0E0E25D7"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c>
          <w:tcPr>
            <w:tcW w:w="2219" w:type="dxa"/>
            <w:vAlign w:val="bottom"/>
          </w:tcPr>
          <w:p w14:paraId="5C3FCF40" w14:textId="27EE944C" w:rsidR="002351FA" w:rsidRPr="009B783C" w:rsidRDefault="002351FA" w:rsidP="00D81D0B">
            <w:pPr>
              <w:jc w:val="center"/>
              <w:rPr>
                <w:rFonts w:asciiTheme="minorHAnsi" w:hAnsiTheme="minorHAnsi" w:cstheme="minorHAnsi"/>
                <w:color w:val="000000"/>
                <w:szCs w:val="21"/>
              </w:rPr>
            </w:pPr>
            <w:r w:rsidRPr="009B783C">
              <w:rPr>
                <w:rFonts w:asciiTheme="minorHAnsi" w:hAnsiTheme="minorHAnsi" w:cstheme="minorHAnsi"/>
                <w:color w:val="000000"/>
                <w:szCs w:val="21"/>
              </w:rPr>
              <w:t>3</w:t>
            </w:r>
          </w:p>
        </w:tc>
      </w:tr>
    </w:tbl>
    <w:p w14:paraId="0A5207CE" w14:textId="552929AD" w:rsidR="001B616E" w:rsidRPr="009B783C" w:rsidRDefault="001B616E" w:rsidP="001B616E">
      <w:pPr>
        <w:pStyle w:val="Caption"/>
        <w:rPr>
          <w:szCs w:val="21"/>
        </w:rPr>
      </w:pPr>
      <w:bookmarkStart w:id="70" w:name="_Ref185485932"/>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B221A1">
        <w:rPr>
          <w:noProof/>
          <w:szCs w:val="21"/>
        </w:rPr>
        <w:t>5</w:t>
      </w:r>
      <w:r w:rsidRPr="009B783C">
        <w:rPr>
          <w:szCs w:val="21"/>
        </w:rPr>
        <w:fldChar w:fldCharType="end"/>
      </w:r>
      <w:bookmarkEnd w:id="70"/>
      <w:r w:rsidRPr="009B783C">
        <w:rPr>
          <w:szCs w:val="21"/>
        </w:rPr>
        <w:t xml:space="preserve"> | Number of Medicare UCC that have access to ultrasound imaging by hour of day and day of week</w:t>
      </w:r>
      <w:r w:rsidRPr="009B783C">
        <w:rPr>
          <w:rStyle w:val="FootnoteReference"/>
          <w:szCs w:val="21"/>
        </w:rPr>
        <w:footnoteReference w:id="33"/>
      </w:r>
    </w:p>
    <w:p w14:paraId="59828C0F" w14:textId="6BD0E800" w:rsidR="00C17381" w:rsidRPr="009B783C" w:rsidRDefault="00CF2B32" w:rsidP="00C17381">
      <w:pPr>
        <w:pStyle w:val="Caption"/>
      </w:pPr>
      <w:r>
        <w:rPr>
          <w:noProof/>
        </w:rPr>
        <w:drawing>
          <wp:inline distT="0" distB="0" distL="0" distR="0" wp14:anchorId="1F531D09" wp14:editId="6AC9C415">
            <wp:extent cx="5670550" cy="5234354"/>
            <wp:effectExtent l="0" t="0" r="6350" b="4445"/>
            <wp:docPr id="5" name="Picture 5" descr="This image presents 3 vertical bar charts that visualise opening hours for Medicare UCCs which have access to ultrasound ima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his image presents 3 vertical bar charts that visualise opening hours for Medicare UCCs which have access to ultrasound imaging."/>
                    <pic:cNvPicPr>
                      <a:picLocks noChangeAspect="1" noChangeArrowheads="1"/>
                    </pic:cNvPicPr>
                  </pic:nvPicPr>
                  <pic:blipFill>
                    <a:blip r:embed="rId29" cstate="print"/>
                    <a:stretch>
                      <a:fillRect/>
                    </a:stretch>
                  </pic:blipFill>
                  <pic:spPr bwMode="auto">
                    <a:xfrm>
                      <a:off x="0" y="0"/>
                      <a:ext cx="5670550" cy="5234354"/>
                    </a:xfrm>
                    <a:prstGeom prst="rect">
                      <a:avLst/>
                    </a:prstGeom>
                    <a:noFill/>
                  </pic:spPr>
                </pic:pic>
              </a:graphicData>
            </a:graphic>
          </wp:inline>
        </w:drawing>
      </w:r>
    </w:p>
    <w:p w14:paraId="146E7A6C" w14:textId="75D85B1A" w:rsidR="00BB0A01" w:rsidRPr="009B783C" w:rsidRDefault="00BB0A01" w:rsidP="00F345DA">
      <w:pPr>
        <w:rPr>
          <w:szCs w:val="21"/>
        </w:rPr>
      </w:pPr>
      <w:r w:rsidRPr="009B783C">
        <w:rPr>
          <w:szCs w:val="21"/>
        </w:rPr>
        <w:t>Detailed description:</w:t>
      </w:r>
    </w:p>
    <w:p w14:paraId="4B419D66" w14:textId="609D4890" w:rsidR="00A6331D" w:rsidRPr="009B783C" w:rsidRDefault="00553FB7" w:rsidP="00F345DA">
      <w:pPr>
        <w:rPr>
          <w:szCs w:val="21"/>
          <w:lang w:val="en-US"/>
        </w:rPr>
      </w:pPr>
      <w:r w:rsidRPr="009B783C">
        <w:rPr>
          <w:szCs w:val="21"/>
        </w:rPr>
        <w:t>Three bar charts split by days of the week displaying the number of Medicare UCCs with access to ultrasound imaging open for the hours between 6</w:t>
      </w:r>
      <w:r w:rsidR="0073476C">
        <w:rPr>
          <w:szCs w:val="21"/>
        </w:rPr>
        <w:t>:00</w:t>
      </w:r>
      <w:r w:rsidRPr="009B783C">
        <w:rPr>
          <w:szCs w:val="21"/>
        </w:rPr>
        <w:t xml:space="preserve">am and </w:t>
      </w:r>
      <w:r w:rsidR="00EB509F">
        <w:rPr>
          <w:szCs w:val="21"/>
        </w:rPr>
        <w:t>m</w:t>
      </w:r>
      <w:r w:rsidRPr="009B783C">
        <w:rPr>
          <w:szCs w:val="21"/>
        </w:rPr>
        <w:t xml:space="preserve">idnight. </w:t>
      </w:r>
      <w:r w:rsidR="000A1508">
        <w:rPr>
          <w:szCs w:val="21"/>
        </w:rPr>
        <w:t>Data is available for 73 Medicare UCCs.</w:t>
      </w:r>
      <w:r w:rsidRPr="009B783C">
        <w:rPr>
          <w:szCs w:val="21"/>
        </w:rPr>
        <w:t xml:space="preserve"> 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2027"/>
        <w:gridCol w:w="1654"/>
        <w:gridCol w:w="2881"/>
        <w:gridCol w:w="2358"/>
      </w:tblGrid>
      <w:tr w:rsidR="00BB0A01" w:rsidRPr="009B783C" w14:paraId="1066CE70" w14:textId="77777777" w:rsidTr="000C20F4">
        <w:trPr>
          <w:tblHeader/>
        </w:trPr>
        <w:tc>
          <w:tcPr>
            <w:tcW w:w="20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F7D25EE" w14:textId="77777777" w:rsidR="00BB0A01" w:rsidRPr="009B783C" w:rsidRDefault="00BB0A01" w:rsidP="00786482">
            <w:pPr>
              <w:pStyle w:val="TableNheader"/>
            </w:pPr>
            <w:r w:rsidRPr="009B783C">
              <w:t>Day of the week</w:t>
            </w:r>
          </w:p>
        </w:tc>
        <w:tc>
          <w:tcPr>
            <w:tcW w:w="16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F24DDC6" w14:textId="77777777" w:rsidR="00BB0A01" w:rsidRPr="009B783C" w:rsidRDefault="00BB0A01" w:rsidP="00786482">
            <w:pPr>
              <w:pStyle w:val="TableNheader"/>
            </w:pPr>
            <w:r w:rsidRPr="009B783C">
              <w:t>Hour</w:t>
            </w:r>
          </w:p>
        </w:tc>
        <w:tc>
          <w:tcPr>
            <w:tcW w:w="288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645CC540" w14:textId="77777777" w:rsidR="00BB0A01" w:rsidRPr="009B783C" w:rsidRDefault="00BB0A01" w:rsidP="00786482">
            <w:pPr>
              <w:pStyle w:val="TableNheader"/>
            </w:pPr>
            <w:r w:rsidRPr="009B783C">
              <w:t>Business or after hours</w:t>
            </w:r>
          </w:p>
        </w:tc>
        <w:tc>
          <w:tcPr>
            <w:tcW w:w="235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56081DA9" w14:textId="77777777" w:rsidR="00BB0A01" w:rsidRPr="009B783C" w:rsidRDefault="00BB0A01" w:rsidP="00786482">
            <w:pPr>
              <w:pStyle w:val="TableNheader"/>
            </w:pPr>
            <w:r w:rsidRPr="009B783C">
              <w:t>Medicare UCCs (n)</w:t>
            </w:r>
          </w:p>
        </w:tc>
      </w:tr>
      <w:tr w:rsidR="001E7B6B" w:rsidRPr="009B783C" w14:paraId="6C152554" w14:textId="77777777" w:rsidTr="00553FB7">
        <w:tc>
          <w:tcPr>
            <w:tcW w:w="2027" w:type="dxa"/>
            <w:tcBorders>
              <w:top w:val="single" w:sz="4" w:space="0" w:color="FFFFFF" w:themeColor="background1"/>
            </w:tcBorders>
            <w:vAlign w:val="bottom"/>
          </w:tcPr>
          <w:p w14:paraId="530A63B2" w14:textId="1443D54D"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tcBorders>
              <w:top w:val="single" w:sz="4" w:space="0" w:color="FFFFFF" w:themeColor="background1"/>
            </w:tcBorders>
            <w:vAlign w:val="bottom"/>
          </w:tcPr>
          <w:p w14:paraId="509F88AB" w14:textId="095AAAA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w:t>
            </w:r>
          </w:p>
        </w:tc>
        <w:tc>
          <w:tcPr>
            <w:tcW w:w="2881" w:type="dxa"/>
            <w:tcBorders>
              <w:top w:val="single" w:sz="4" w:space="0" w:color="FFFFFF" w:themeColor="background1"/>
            </w:tcBorders>
            <w:vAlign w:val="bottom"/>
          </w:tcPr>
          <w:p w14:paraId="134ADC45" w14:textId="7651FE5E"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tcBorders>
              <w:top w:val="single" w:sz="4" w:space="0" w:color="FFFFFF" w:themeColor="background1"/>
            </w:tcBorders>
            <w:vAlign w:val="bottom"/>
          </w:tcPr>
          <w:p w14:paraId="39F0F5DE" w14:textId="4298485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w:t>
            </w:r>
          </w:p>
        </w:tc>
      </w:tr>
      <w:tr w:rsidR="001E7B6B" w:rsidRPr="009B783C" w14:paraId="269AC2BA" w14:textId="77777777" w:rsidTr="00553FB7">
        <w:tc>
          <w:tcPr>
            <w:tcW w:w="2027" w:type="dxa"/>
            <w:vAlign w:val="bottom"/>
          </w:tcPr>
          <w:p w14:paraId="02460600" w14:textId="671C3CE5"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360D27D" w14:textId="415910B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8</w:t>
            </w:r>
          </w:p>
        </w:tc>
        <w:tc>
          <w:tcPr>
            <w:tcW w:w="2881" w:type="dxa"/>
            <w:vAlign w:val="bottom"/>
          </w:tcPr>
          <w:p w14:paraId="4477F0DC" w14:textId="10E3B339"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8600488" w14:textId="0A5F4AA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50</w:t>
            </w:r>
          </w:p>
        </w:tc>
      </w:tr>
      <w:tr w:rsidR="001E7B6B" w:rsidRPr="009B783C" w14:paraId="56F06A01" w14:textId="77777777" w:rsidTr="00553FB7">
        <w:tc>
          <w:tcPr>
            <w:tcW w:w="2027" w:type="dxa"/>
            <w:vAlign w:val="bottom"/>
          </w:tcPr>
          <w:p w14:paraId="1A2D33F0" w14:textId="04BFC44F"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32E33E9" w14:textId="4BDAC3C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9</w:t>
            </w:r>
          </w:p>
        </w:tc>
        <w:tc>
          <w:tcPr>
            <w:tcW w:w="2881" w:type="dxa"/>
            <w:vAlign w:val="bottom"/>
          </w:tcPr>
          <w:p w14:paraId="2E8A548D" w14:textId="22962C52"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BDA7613" w14:textId="762F1D01"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70</w:t>
            </w:r>
          </w:p>
        </w:tc>
      </w:tr>
      <w:tr w:rsidR="001E7B6B" w:rsidRPr="009B783C" w14:paraId="6CFC5E45" w14:textId="77777777" w:rsidTr="00553FB7">
        <w:tc>
          <w:tcPr>
            <w:tcW w:w="2027" w:type="dxa"/>
            <w:vAlign w:val="bottom"/>
          </w:tcPr>
          <w:p w14:paraId="601F7D8E" w14:textId="087899B1"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33209E95" w14:textId="15ACC530"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10</w:t>
            </w:r>
          </w:p>
        </w:tc>
        <w:tc>
          <w:tcPr>
            <w:tcW w:w="2881" w:type="dxa"/>
            <w:vAlign w:val="bottom"/>
          </w:tcPr>
          <w:p w14:paraId="0570867C" w14:textId="20158A85"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8E3FA0B" w14:textId="756FE01D"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71</w:t>
            </w:r>
          </w:p>
        </w:tc>
      </w:tr>
      <w:tr w:rsidR="001E7B6B" w:rsidRPr="009B783C" w14:paraId="76D60254" w14:textId="77777777" w:rsidTr="00553FB7">
        <w:tc>
          <w:tcPr>
            <w:tcW w:w="2027" w:type="dxa"/>
            <w:vAlign w:val="bottom"/>
          </w:tcPr>
          <w:p w14:paraId="28B97AF3" w14:textId="5FF5A38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6EAE75BF" w14:textId="6D8F80EE"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11</w:t>
            </w:r>
          </w:p>
        </w:tc>
        <w:tc>
          <w:tcPr>
            <w:tcW w:w="2881" w:type="dxa"/>
            <w:vAlign w:val="bottom"/>
          </w:tcPr>
          <w:p w14:paraId="35E80671" w14:textId="35521336"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214BDFD0" w14:textId="28B7D60F"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71</w:t>
            </w:r>
          </w:p>
        </w:tc>
      </w:tr>
      <w:tr w:rsidR="001E7B6B" w:rsidRPr="009B783C" w14:paraId="07A08525" w14:textId="77777777" w:rsidTr="00553FB7">
        <w:tc>
          <w:tcPr>
            <w:tcW w:w="2027" w:type="dxa"/>
            <w:vAlign w:val="bottom"/>
          </w:tcPr>
          <w:p w14:paraId="0B245392" w14:textId="2F9BD651"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Weekdays</w:t>
            </w:r>
          </w:p>
        </w:tc>
        <w:tc>
          <w:tcPr>
            <w:tcW w:w="1654" w:type="dxa"/>
            <w:vAlign w:val="bottom"/>
          </w:tcPr>
          <w:p w14:paraId="0BA6AFAE" w14:textId="0879A53D"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12</w:t>
            </w:r>
          </w:p>
        </w:tc>
        <w:tc>
          <w:tcPr>
            <w:tcW w:w="2881" w:type="dxa"/>
            <w:vAlign w:val="bottom"/>
          </w:tcPr>
          <w:p w14:paraId="14AE5D10" w14:textId="3DC4D766"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034E0CB" w14:textId="43882D69"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73</w:t>
            </w:r>
          </w:p>
        </w:tc>
      </w:tr>
      <w:tr w:rsidR="001E7B6B" w:rsidRPr="009B783C" w14:paraId="4A463897" w14:textId="77777777" w:rsidTr="00553FB7">
        <w:tc>
          <w:tcPr>
            <w:tcW w:w="2027" w:type="dxa"/>
            <w:vAlign w:val="bottom"/>
          </w:tcPr>
          <w:p w14:paraId="3420952A" w14:textId="5A42E850"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6107415E" w14:textId="53D736B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13</w:t>
            </w:r>
          </w:p>
        </w:tc>
        <w:tc>
          <w:tcPr>
            <w:tcW w:w="2881" w:type="dxa"/>
            <w:vAlign w:val="bottom"/>
          </w:tcPr>
          <w:p w14:paraId="6E638AED" w14:textId="025B6C7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7BD58B19" w14:textId="085CE47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73</w:t>
            </w:r>
          </w:p>
        </w:tc>
      </w:tr>
      <w:tr w:rsidR="001E7B6B" w:rsidRPr="009B783C" w14:paraId="2076AD5E" w14:textId="77777777" w:rsidTr="00553FB7">
        <w:tc>
          <w:tcPr>
            <w:tcW w:w="2027" w:type="dxa"/>
            <w:vAlign w:val="bottom"/>
          </w:tcPr>
          <w:p w14:paraId="02F5D219" w14:textId="6EB5EE97"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2B89C95F" w14:textId="548F189F"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14</w:t>
            </w:r>
          </w:p>
        </w:tc>
        <w:tc>
          <w:tcPr>
            <w:tcW w:w="2881" w:type="dxa"/>
            <w:vAlign w:val="bottom"/>
          </w:tcPr>
          <w:p w14:paraId="5FFF1582" w14:textId="10B06D8C"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57E8FE75" w14:textId="5B6748E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73</w:t>
            </w:r>
          </w:p>
        </w:tc>
      </w:tr>
      <w:tr w:rsidR="001E7B6B" w:rsidRPr="009B783C" w14:paraId="4569F134" w14:textId="77777777" w:rsidTr="00553FB7">
        <w:tc>
          <w:tcPr>
            <w:tcW w:w="2027" w:type="dxa"/>
            <w:vAlign w:val="bottom"/>
          </w:tcPr>
          <w:p w14:paraId="03E5A0FB" w14:textId="2464DD33"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1B5D68A5" w14:textId="4C86BD1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15</w:t>
            </w:r>
          </w:p>
        </w:tc>
        <w:tc>
          <w:tcPr>
            <w:tcW w:w="2881" w:type="dxa"/>
            <w:vAlign w:val="bottom"/>
          </w:tcPr>
          <w:p w14:paraId="698442E7" w14:textId="68116489"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12078444" w14:textId="7E4AD0A7"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73</w:t>
            </w:r>
          </w:p>
        </w:tc>
      </w:tr>
      <w:tr w:rsidR="001E7B6B" w:rsidRPr="009B783C" w14:paraId="6DCA2A57" w14:textId="77777777" w:rsidTr="00553FB7">
        <w:tc>
          <w:tcPr>
            <w:tcW w:w="2027" w:type="dxa"/>
            <w:vAlign w:val="bottom"/>
          </w:tcPr>
          <w:p w14:paraId="0C574331" w14:textId="1733A4A9"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0AB9667A" w14:textId="3340A2F7"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16</w:t>
            </w:r>
          </w:p>
        </w:tc>
        <w:tc>
          <w:tcPr>
            <w:tcW w:w="2881" w:type="dxa"/>
            <w:vAlign w:val="bottom"/>
          </w:tcPr>
          <w:p w14:paraId="059D083A" w14:textId="51B8A0B7"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74514B7F" w14:textId="32FA752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1E7B6B" w:rsidRPr="009B783C" w14:paraId="212179DA" w14:textId="77777777" w:rsidTr="00553FB7">
        <w:tc>
          <w:tcPr>
            <w:tcW w:w="2027" w:type="dxa"/>
            <w:vAlign w:val="bottom"/>
          </w:tcPr>
          <w:p w14:paraId="7FC73853" w14:textId="4D6D4FDB"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18C8B793" w14:textId="759D539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17</w:t>
            </w:r>
          </w:p>
        </w:tc>
        <w:tc>
          <w:tcPr>
            <w:tcW w:w="2881" w:type="dxa"/>
            <w:vAlign w:val="bottom"/>
          </w:tcPr>
          <w:p w14:paraId="673739C6" w14:textId="2F9D535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4CB043AF" w14:textId="419368D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58</w:t>
            </w:r>
          </w:p>
        </w:tc>
      </w:tr>
      <w:tr w:rsidR="001E7B6B" w:rsidRPr="009B783C" w14:paraId="13C727F1" w14:textId="77777777" w:rsidTr="00553FB7">
        <w:tc>
          <w:tcPr>
            <w:tcW w:w="2027" w:type="dxa"/>
            <w:vAlign w:val="bottom"/>
          </w:tcPr>
          <w:p w14:paraId="1C4C5B8B" w14:textId="4F2A6622"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38609194" w14:textId="289D189E"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18</w:t>
            </w:r>
          </w:p>
        </w:tc>
        <w:tc>
          <w:tcPr>
            <w:tcW w:w="2881" w:type="dxa"/>
            <w:vAlign w:val="bottom"/>
          </w:tcPr>
          <w:p w14:paraId="6BBDA970" w14:textId="2DC63F50"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661A233F" w14:textId="2977B8B4"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19</w:t>
            </w:r>
          </w:p>
        </w:tc>
      </w:tr>
      <w:tr w:rsidR="001E7B6B" w:rsidRPr="009B783C" w14:paraId="7402707B" w14:textId="77777777" w:rsidTr="00553FB7">
        <w:tc>
          <w:tcPr>
            <w:tcW w:w="2027" w:type="dxa"/>
            <w:vAlign w:val="bottom"/>
          </w:tcPr>
          <w:p w14:paraId="5A540C49" w14:textId="70F5A6A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65682E26" w14:textId="1B076FFF"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19</w:t>
            </w:r>
          </w:p>
        </w:tc>
        <w:tc>
          <w:tcPr>
            <w:tcW w:w="2881" w:type="dxa"/>
            <w:vAlign w:val="bottom"/>
          </w:tcPr>
          <w:p w14:paraId="68BF5BA4" w14:textId="076051F2"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102B9BBE" w14:textId="15346F42"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12</w:t>
            </w:r>
          </w:p>
        </w:tc>
      </w:tr>
      <w:tr w:rsidR="001E7B6B" w:rsidRPr="009B783C" w14:paraId="77EE2F88" w14:textId="77777777" w:rsidTr="00553FB7">
        <w:tc>
          <w:tcPr>
            <w:tcW w:w="2027" w:type="dxa"/>
            <w:vAlign w:val="bottom"/>
          </w:tcPr>
          <w:p w14:paraId="1CA2222F" w14:textId="179CEF40"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13063686" w14:textId="7A932D88"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20</w:t>
            </w:r>
          </w:p>
        </w:tc>
        <w:tc>
          <w:tcPr>
            <w:tcW w:w="2881" w:type="dxa"/>
            <w:vAlign w:val="bottom"/>
          </w:tcPr>
          <w:p w14:paraId="70667729" w14:textId="7B46BEF3"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25F660D9" w14:textId="64187CE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12</w:t>
            </w:r>
          </w:p>
        </w:tc>
      </w:tr>
      <w:tr w:rsidR="001E7B6B" w:rsidRPr="009B783C" w14:paraId="7F2F3EF3" w14:textId="77777777" w:rsidTr="00553FB7">
        <w:tc>
          <w:tcPr>
            <w:tcW w:w="2027" w:type="dxa"/>
            <w:vAlign w:val="bottom"/>
          </w:tcPr>
          <w:p w14:paraId="07A27849" w14:textId="1A7D1AF7"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7EED3001" w14:textId="4C80362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21</w:t>
            </w:r>
          </w:p>
        </w:tc>
        <w:tc>
          <w:tcPr>
            <w:tcW w:w="2881" w:type="dxa"/>
            <w:vAlign w:val="bottom"/>
          </w:tcPr>
          <w:p w14:paraId="6C578C00" w14:textId="6DAAF18D"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75A2BCBB" w14:textId="52019792"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w:t>
            </w:r>
          </w:p>
        </w:tc>
      </w:tr>
      <w:tr w:rsidR="001E7B6B" w:rsidRPr="009B783C" w14:paraId="36F0F2EE" w14:textId="77777777" w:rsidTr="00553FB7">
        <w:tc>
          <w:tcPr>
            <w:tcW w:w="2027" w:type="dxa"/>
            <w:vAlign w:val="bottom"/>
          </w:tcPr>
          <w:p w14:paraId="528EFB91" w14:textId="2220A4DE"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255DD4A" w14:textId="5961908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22</w:t>
            </w:r>
          </w:p>
        </w:tc>
        <w:tc>
          <w:tcPr>
            <w:tcW w:w="2881" w:type="dxa"/>
            <w:vAlign w:val="bottom"/>
          </w:tcPr>
          <w:p w14:paraId="43174423" w14:textId="0EF311AC"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6E9DCDE6" w14:textId="1DF9998D"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4</w:t>
            </w:r>
          </w:p>
        </w:tc>
      </w:tr>
      <w:tr w:rsidR="001E7B6B" w:rsidRPr="009B783C" w14:paraId="44AAE4E5" w14:textId="77777777" w:rsidTr="00553FB7">
        <w:tc>
          <w:tcPr>
            <w:tcW w:w="2027" w:type="dxa"/>
            <w:vAlign w:val="bottom"/>
          </w:tcPr>
          <w:p w14:paraId="54A47066" w14:textId="22D07BF5"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378CE06" w14:textId="59F4B6D5"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w:t>
            </w:r>
          </w:p>
        </w:tc>
        <w:tc>
          <w:tcPr>
            <w:tcW w:w="2881" w:type="dxa"/>
            <w:vAlign w:val="bottom"/>
          </w:tcPr>
          <w:p w14:paraId="0C849546" w14:textId="38C0C2D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555F50C8" w14:textId="5E798DCB"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w:t>
            </w:r>
          </w:p>
        </w:tc>
      </w:tr>
      <w:tr w:rsidR="001E7B6B" w:rsidRPr="009B783C" w14:paraId="1A45AF7A" w14:textId="77777777" w:rsidTr="00553FB7">
        <w:tc>
          <w:tcPr>
            <w:tcW w:w="2027" w:type="dxa"/>
            <w:vAlign w:val="bottom"/>
          </w:tcPr>
          <w:p w14:paraId="6B1BEFAB" w14:textId="784199B5"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9C66217" w14:textId="07B2A35A"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8</w:t>
            </w:r>
          </w:p>
        </w:tc>
        <w:tc>
          <w:tcPr>
            <w:tcW w:w="2881" w:type="dxa"/>
            <w:vAlign w:val="bottom"/>
          </w:tcPr>
          <w:p w14:paraId="3AADE6A5" w14:textId="6B316B11"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C761D0F" w14:textId="61E54DEE"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22</w:t>
            </w:r>
          </w:p>
        </w:tc>
      </w:tr>
      <w:tr w:rsidR="001E7B6B" w:rsidRPr="009B783C" w14:paraId="1FE1F4F0" w14:textId="77777777" w:rsidTr="00553FB7">
        <w:tc>
          <w:tcPr>
            <w:tcW w:w="2027" w:type="dxa"/>
            <w:vAlign w:val="bottom"/>
          </w:tcPr>
          <w:p w14:paraId="7E69ABCA" w14:textId="34EB8CE3"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36F067BC" w14:textId="4B88A9BF"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9</w:t>
            </w:r>
          </w:p>
        </w:tc>
        <w:tc>
          <w:tcPr>
            <w:tcW w:w="2881" w:type="dxa"/>
            <w:vAlign w:val="bottom"/>
          </w:tcPr>
          <w:p w14:paraId="3FC85ACF" w14:textId="54E4D096"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45083EE" w14:textId="69230047" w:rsidR="001E7B6B" w:rsidRPr="009B783C" w:rsidRDefault="001E7B6B"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34</w:t>
            </w:r>
          </w:p>
        </w:tc>
      </w:tr>
      <w:tr w:rsidR="001E7B6B" w:rsidRPr="009B783C" w14:paraId="3C8BF731" w14:textId="77777777" w:rsidTr="00553FB7">
        <w:tc>
          <w:tcPr>
            <w:tcW w:w="2027" w:type="dxa"/>
            <w:vAlign w:val="bottom"/>
          </w:tcPr>
          <w:p w14:paraId="3A7E6CDC" w14:textId="7ECE924F"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F230D50" w14:textId="55CFDDD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1EC2844A" w14:textId="227DF50B"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2759D6A3" w14:textId="552E7778"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36</w:t>
            </w:r>
          </w:p>
        </w:tc>
      </w:tr>
      <w:tr w:rsidR="001E7B6B" w:rsidRPr="009B783C" w14:paraId="6A509146" w14:textId="77777777" w:rsidTr="00553FB7">
        <w:tc>
          <w:tcPr>
            <w:tcW w:w="2027" w:type="dxa"/>
            <w:vAlign w:val="bottom"/>
          </w:tcPr>
          <w:p w14:paraId="6096F3AE" w14:textId="72AA1394"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A0F5519" w14:textId="01BDFE92"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59404F5C" w14:textId="70DBC66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13316DDE" w14:textId="3A586E4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36</w:t>
            </w:r>
          </w:p>
        </w:tc>
      </w:tr>
      <w:tr w:rsidR="001E7B6B" w:rsidRPr="009B783C" w14:paraId="49125584" w14:textId="77777777" w:rsidTr="00553FB7">
        <w:tc>
          <w:tcPr>
            <w:tcW w:w="2027" w:type="dxa"/>
            <w:vAlign w:val="bottom"/>
          </w:tcPr>
          <w:p w14:paraId="2FE20A0A" w14:textId="6D8BCEE4"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DA7F2C9" w14:textId="278D0202"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7F19B1A1" w14:textId="6792BFE5"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7C05890" w14:textId="03D8A4BD"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39</w:t>
            </w:r>
          </w:p>
        </w:tc>
      </w:tr>
      <w:tr w:rsidR="001E7B6B" w:rsidRPr="009B783C" w14:paraId="133D25E2" w14:textId="77777777" w:rsidTr="00553FB7">
        <w:tc>
          <w:tcPr>
            <w:tcW w:w="2027" w:type="dxa"/>
            <w:vAlign w:val="bottom"/>
          </w:tcPr>
          <w:p w14:paraId="5F67948C" w14:textId="29349365"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3BAB8C5" w14:textId="61074E0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4D4F2559" w14:textId="70492F3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058A19E" w14:textId="42A46409"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28</w:t>
            </w:r>
          </w:p>
        </w:tc>
      </w:tr>
      <w:tr w:rsidR="001E7B6B" w:rsidRPr="009B783C" w14:paraId="55C70678" w14:textId="77777777" w:rsidTr="00553FB7">
        <w:tc>
          <w:tcPr>
            <w:tcW w:w="2027" w:type="dxa"/>
            <w:vAlign w:val="bottom"/>
          </w:tcPr>
          <w:p w14:paraId="2BE30FC4" w14:textId="379E8337"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0E0A2AD" w14:textId="571C959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04CDA3D6" w14:textId="7EA2CB8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0130C2D" w14:textId="4667749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24</w:t>
            </w:r>
          </w:p>
        </w:tc>
      </w:tr>
      <w:tr w:rsidR="001E7B6B" w:rsidRPr="009B783C" w14:paraId="0BF70A9E" w14:textId="77777777" w:rsidTr="00553FB7">
        <w:tc>
          <w:tcPr>
            <w:tcW w:w="2027" w:type="dxa"/>
            <w:vAlign w:val="bottom"/>
          </w:tcPr>
          <w:p w14:paraId="4F50078E" w14:textId="09F1215F"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C3EA3E2" w14:textId="029A02C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1A21F204" w14:textId="6969F1F2"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34E3FEC" w14:textId="2073C6B5"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r>
      <w:tr w:rsidR="001E7B6B" w:rsidRPr="009B783C" w14:paraId="0E77D807" w14:textId="77777777" w:rsidTr="00553FB7">
        <w:tc>
          <w:tcPr>
            <w:tcW w:w="2027" w:type="dxa"/>
            <w:vAlign w:val="bottom"/>
          </w:tcPr>
          <w:p w14:paraId="1F5F069F" w14:textId="149AC68D"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B8DD695" w14:textId="10BFDCED"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2B6DDD49" w14:textId="2B8B317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0CEF41D" w14:textId="15F4582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r>
      <w:tr w:rsidR="001E7B6B" w:rsidRPr="009B783C" w14:paraId="11CB6B91" w14:textId="77777777" w:rsidTr="00553FB7">
        <w:tc>
          <w:tcPr>
            <w:tcW w:w="2027" w:type="dxa"/>
            <w:vAlign w:val="bottom"/>
          </w:tcPr>
          <w:p w14:paraId="26A72FB4" w14:textId="59E68810"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6DDD7D7" w14:textId="7BFEBAFB"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37AE4FF0" w14:textId="765821F9"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53D7557" w14:textId="2E1C31C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r>
      <w:tr w:rsidR="001E7B6B" w:rsidRPr="009B783C" w14:paraId="49DA7ECE" w14:textId="77777777" w:rsidTr="00553FB7">
        <w:tc>
          <w:tcPr>
            <w:tcW w:w="2027" w:type="dxa"/>
            <w:vAlign w:val="bottom"/>
          </w:tcPr>
          <w:p w14:paraId="43EA4ECD" w14:textId="0AAECE41"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EDDDFFF" w14:textId="6F2B4C1B"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70E70516" w14:textId="6B13A65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9BB19D2" w14:textId="6BE20FA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r>
      <w:tr w:rsidR="001E7B6B" w:rsidRPr="009B783C" w14:paraId="77F240FD" w14:textId="77777777" w:rsidTr="00553FB7">
        <w:tc>
          <w:tcPr>
            <w:tcW w:w="2027" w:type="dxa"/>
            <w:vAlign w:val="bottom"/>
          </w:tcPr>
          <w:p w14:paraId="5E3F85CB" w14:textId="5A807494"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5FC983C" w14:textId="0D05410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06690753" w14:textId="1D9CC5FF"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64AA03F" w14:textId="2264854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6</w:t>
            </w:r>
          </w:p>
        </w:tc>
      </w:tr>
      <w:tr w:rsidR="001E7B6B" w:rsidRPr="009B783C" w14:paraId="30621884" w14:textId="77777777" w:rsidTr="00553FB7">
        <w:tc>
          <w:tcPr>
            <w:tcW w:w="2027" w:type="dxa"/>
            <w:vAlign w:val="bottom"/>
          </w:tcPr>
          <w:p w14:paraId="23B41B47" w14:textId="055AC79F"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F8745E3" w14:textId="06A8E0C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1391002A" w14:textId="17C3E6BF"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CC017E9" w14:textId="5177E68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w:t>
            </w:r>
          </w:p>
        </w:tc>
      </w:tr>
      <w:tr w:rsidR="001E7B6B" w:rsidRPr="009B783C" w14:paraId="4C73DC81" w14:textId="77777777" w:rsidTr="00553FB7">
        <w:tc>
          <w:tcPr>
            <w:tcW w:w="2027" w:type="dxa"/>
            <w:vAlign w:val="bottom"/>
          </w:tcPr>
          <w:p w14:paraId="3E5355BF" w14:textId="7FD4C620"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E0D5967" w14:textId="20C1B31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012B962B" w14:textId="4200176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02CA99F" w14:textId="188E9E0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r w:rsidR="001E7B6B" w:rsidRPr="009B783C" w14:paraId="34A777B2" w14:textId="77777777" w:rsidTr="00553FB7">
        <w:tc>
          <w:tcPr>
            <w:tcW w:w="2027" w:type="dxa"/>
            <w:vAlign w:val="bottom"/>
          </w:tcPr>
          <w:p w14:paraId="13DF187E" w14:textId="3251B462"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0BB5CC2" w14:textId="0381E9C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5EE26726" w14:textId="29F2001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E9C1391" w14:textId="43F922F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r w:rsidR="001E7B6B" w:rsidRPr="009B783C" w14:paraId="2676E9FB" w14:textId="77777777" w:rsidTr="00553FB7">
        <w:tc>
          <w:tcPr>
            <w:tcW w:w="2027" w:type="dxa"/>
            <w:vAlign w:val="bottom"/>
          </w:tcPr>
          <w:p w14:paraId="17A7AF39" w14:textId="39ADFC71"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6F9E318" w14:textId="2254751F"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w:t>
            </w:r>
          </w:p>
        </w:tc>
        <w:tc>
          <w:tcPr>
            <w:tcW w:w="2881" w:type="dxa"/>
            <w:vAlign w:val="bottom"/>
          </w:tcPr>
          <w:p w14:paraId="0B89CAD7" w14:textId="204A95E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03759A5" w14:textId="1452FBD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r w:rsidR="001E7B6B" w:rsidRPr="009B783C" w14:paraId="52B884BD" w14:textId="77777777" w:rsidTr="00553FB7">
        <w:tc>
          <w:tcPr>
            <w:tcW w:w="2027" w:type="dxa"/>
            <w:vAlign w:val="bottom"/>
          </w:tcPr>
          <w:p w14:paraId="3AFB1042" w14:textId="36CEF15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CAB9828" w14:textId="6DDB71D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c>
          <w:tcPr>
            <w:tcW w:w="2881" w:type="dxa"/>
            <w:vAlign w:val="bottom"/>
          </w:tcPr>
          <w:p w14:paraId="6DF90AC0" w14:textId="3E19B84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61E47E3" w14:textId="152E757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1E7B6B" w:rsidRPr="009B783C" w14:paraId="6CBA6FDF" w14:textId="77777777" w:rsidTr="00553FB7">
        <w:tc>
          <w:tcPr>
            <w:tcW w:w="2027" w:type="dxa"/>
            <w:vAlign w:val="bottom"/>
          </w:tcPr>
          <w:p w14:paraId="0BC9261F" w14:textId="6003D5D9"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EC83679" w14:textId="5D7F059D"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9</w:t>
            </w:r>
          </w:p>
        </w:tc>
        <w:tc>
          <w:tcPr>
            <w:tcW w:w="2881" w:type="dxa"/>
            <w:vAlign w:val="bottom"/>
          </w:tcPr>
          <w:p w14:paraId="21DE972D" w14:textId="4B080DE8"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35A5D4E" w14:textId="18A0AA4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r>
      <w:tr w:rsidR="001E7B6B" w:rsidRPr="009B783C" w14:paraId="321219D9" w14:textId="77777777" w:rsidTr="00553FB7">
        <w:tc>
          <w:tcPr>
            <w:tcW w:w="2027" w:type="dxa"/>
            <w:vAlign w:val="bottom"/>
          </w:tcPr>
          <w:p w14:paraId="4762A5A3" w14:textId="0BF34117"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Sunday</w:t>
            </w:r>
          </w:p>
        </w:tc>
        <w:tc>
          <w:tcPr>
            <w:tcW w:w="1654" w:type="dxa"/>
            <w:vAlign w:val="bottom"/>
          </w:tcPr>
          <w:p w14:paraId="2E794026" w14:textId="4CE23E4B"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7C9EB4CA" w14:textId="2DA8E668"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F8A920E" w14:textId="51101D6F"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r>
      <w:tr w:rsidR="001E7B6B" w:rsidRPr="009B783C" w14:paraId="34A8E1AC" w14:textId="77777777" w:rsidTr="00553FB7">
        <w:tc>
          <w:tcPr>
            <w:tcW w:w="2027" w:type="dxa"/>
            <w:vAlign w:val="bottom"/>
          </w:tcPr>
          <w:p w14:paraId="7B766FEC" w14:textId="05D61030"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9B0A5A0" w14:textId="75C2340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58CEAC63" w14:textId="4C65BFD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BB833D3" w14:textId="3771C11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r>
      <w:tr w:rsidR="001E7B6B" w:rsidRPr="009B783C" w14:paraId="5018FFE4" w14:textId="77777777" w:rsidTr="00553FB7">
        <w:tc>
          <w:tcPr>
            <w:tcW w:w="2027" w:type="dxa"/>
            <w:vAlign w:val="bottom"/>
          </w:tcPr>
          <w:p w14:paraId="4DE649EB" w14:textId="2208608D"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6AE8C53" w14:textId="366CBD9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4149F85C" w14:textId="04B3195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DC9C1B4" w14:textId="65DECD6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r>
      <w:tr w:rsidR="001E7B6B" w:rsidRPr="009B783C" w14:paraId="33744F13" w14:textId="77777777" w:rsidTr="00553FB7">
        <w:tc>
          <w:tcPr>
            <w:tcW w:w="2027" w:type="dxa"/>
            <w:vAlign w:val="bottom"/>
          </w:tcPr>
          <w:p w14:paraId="6A1D9E13" w14:textId="2F7AE33A"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D462D5A" w14:textId="186BF6BF"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58467F21" w14:textId="00E5CC9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387FFFD" w14:textId="0AE6701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r>
      <w:tr w:rsidR="001E7B6B" w:rsidRPr="009B783C" w14:paraId="33D97E52" w14:textId="77777777" w:rsidTr="00553FB7">
        <w:tc>
          <w:tcPr>
            <w:tcW w:w="2027" w:type="dxa"/>
            <w:vAlign w:val="bottom"/>
          </w:tcPr>
          <w:p w14:paraId="100A4E4B" w14:textId="45679EF1"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766A442C" w14:textId="33494E7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65C63D46" w14:textId="1E5320C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12998D9" w14:textId="761CBF4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r>
      <w:tr w:rsidR="001E7B6B" w:rsidRPr="009B783C" w14:paraId="56AC7391" w14:textId="77777777" w:rsidTr="00553FB7">
        <w:tc>
          <w:tcPr>
            <w:tcW w:w="2027" w:type="dxa"/>
            <w:vAlign w:val="bottom"/>
          </w:tcPr>
          <w:p w14:paraId="39CFE030" w14:textId="47E2792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76D872F4" w14:textId="564ECB45"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68BEF72B" w14:textId="27D90AC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11D28A2" w14:textId="4C805A8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r>
      <w:tr w:rsidR="001E7B6B" w:rsidRPr="009B783C" w14:paraId="75C8BF39" w14:textId="77777777" w:rsidTr="00553FB7">
        <w:tc>
          <w:tcPr>
            <w:tcW w:w="2027" w:type="dxa"/>
            <w:vAlign w:val="bottom"/>
          </w:tcPr>
          <w:p w14:paraId="30DA5BAB" w14:textId="731DB0C6"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3FB73D5" w14:textId="5513A3E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20977B83" w14:textId="6D8488A5"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E6A0EDA" w14:textId="107B2212"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r>
      <w:tr w:rsidR="001E7B6B" w:rsidRPr="009B783C" w14:paraId="0C8A5317" w14:textId="77777777" w:rsidTr="00553FB7">
        <w:tc>
          <w:tcPr>
            <w:tcW w:w="2027" w:type="dxa"/>
            <w:vAlign w:val="bottom"/>
          </w:tcPr>
          <w:p w14:paraId="315CDBA1" w14:textId="5ED6D764"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526274F2" w14:textId="731202C6"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262D505E" w14:textId="150151E8"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370E191" w14:textId="6EAFDB04"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r>
      <w:tr w:rsidR="001E7B6B" w:rsidRPr="009B783C" w14:paraId="6961D93E" w14:textId="77777777" w:rsidTr="00553FB7">
        <w:tc>
          <w:tcPr>
            <w:tcW w:w="2027" w:type="dxa"/>
            <w:vAlign w:val="bottom"/>
          </w:tcPr>
          <w:p w14:paraId="31A263E9" w14:textId="6B7208F5"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DDFB138" w14:textId="10CE9D69"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499E8770" w14:textId="6179891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1BEA236" w14:textId="0E8DA0FC"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1E7B6B" w:rsidRPr="009B783C" w14:paraId="4655531B" w14:textId="77777777" w:rsidTr="00553FB7">
        <w:tc>
          <w:tcPr>
            <w:tcW w:w="2027" w:type="dxa"/>
            <w:vAlign w:val="bottom"/>
          </w:tcPr>
          <w:p w14:paraId="69D80161" w14:textId="6A65A4A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EB9C89F" w14:textId="586ABB5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58524231" w14:textId="11A0D6B0"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6C2481C" w14:textId="6258E39E"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w:t>
            </w:r>
          </w:p>
        </w:tc>
      </w:tr>
      <w:tr w:rsidR="001E7B6B" w:rsidRPr="009B783C" w14:paraId="073FC5F5" w14:textId="77777777" w:rsidTr="00553FB7">
        <w:tc>
          <w:tcPr>
            <w:tcW w:w="2027" w:type="dxa"/>
            <w:vAlign w:val="bottom"/>
          </w:tcPr>
          <w:p w14:paraId="52621317" w14:textId="072121C2"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78342DB" w14:textId="1D18BE89"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21A89BCF" w14:textId="595243F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C6E1C47" w14:textId="44055AE7"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w:t>
            </w:r>
          </w:p>
        </w:tc>
      </w:tr>
      <w:tr w:rsidR="001E7B6B" w:rsidRPr="009B783C" w14:paraId="28F9C2B1" w14:textId="77777777" w:rsidTr="00553FB7">
        <w:tc>
          <w:tcPr>
            <w:tcW w:w="2027" w:type="dxa"/>
            <w:vAlign w:val="bottom"/>
          </w:tcPr>
          <w:p w14:paraId="349A0CA4" w14:textId="1C7D2E68"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4E3B1BE" w14:textId="096A0122"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7E268868" w14:textId="42BA356A"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74BFB70" w14:textId="7CA008F5"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r w:rsidR="001E7B6B" w:rsidRPr="009B783C" w14:paraId="742C5382" w14:textId="77777777" w:rsidTr="00553FB7">
        <w:tc>
          <w:tcPr>
            <w:tcW w:w="2027" w:type="dxa"/>
            <w:vAlign w:val="bottom"/>
          </w:tcPr>
          <w:p w14:paraId="10AED353" w14:textId="22849CF6" w:rsidR="001E7B6B" w:rsidRPr="009B783C" w:rsidRDefault="001E7B6B" w:rsidP="001E7B6B">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DEDD485" w14:textId="548649E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47FEC317" w14:textId="3ECD25A3"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38F1BDB" w14:textId="5F29C371" w:rsidR="001E7B6B" w:rsidRPr="009B783C" w:rsidRDefault="001E7B6B"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bl>
    <w:p w14:paraId="00440CE5" w14:textId="13D71034" w:rsidR="000409D9" w:rsidRPr="009B783C" w:rsidRDefault="00605456" w:rsidP="00F345DA">
      <w:pPr>
        <w:rPr>
          <w:szCs w:val="21"/>
          <w:lang w:val="en-US"/>
        </w:rPr>
      </w:pPr>
      <w:r w:rsidRPr="009B783C">
        <w:rPr>
          <w:szCs w:val="21"/>
        </w:rPr>
        <w:fldChar w:fldCharType="begin"/>
      </w:r>
      <w:r w:rsidRPr="009B783C">
        <w:rPr>
          <w:szCs w:val="21"/>
        </w:rPr>
        <w:instrText xml:space="preserve"> REF _Ref185485443 \h </w:instrText>
      </w:r>
      <w:r w:rsidR="00F345DA" w:rsidRPr="009B783C">
        <w:rPr>
          <w:szCs w:val="21"/>
        </w:rPr>
        <w:instrText xml:space="preserve"> \* MERGEFORMAT </w:instrText>
      </w:r>
      <w:r w:rsidRPr="009B783C">
        <w:rPr>
          <w:szCs w:val="21"/>
        </w:rPr>
      </w:r>
      <w:r w:rsidRPr="009B783C">
        <w:rPr>
          <w:szCs w:val="21"/>
        </w:rPr>
        <w:fldChar w:fldCharType="separate"/>
      </w:r>
      <w:r w:rsidR="00B221A1" w:rsidRPr="00B221A1">
        <w:rPr>
          <w:szCs w:val="21"/>
          <w:lang w:val="en-US"/>
        </w:rPr>
        <w:t>Figure 6</w:t>
      </w:r>
      <w:r w:rsidRPr="009B783C">
        <w:rPr>
          <w:szCs w:val="21"/>
        </w:rPr>
        <w:fldChar w:fldCharType="end"/>
      </w:r>
      <w:r w:rsidR="009F0C5C" w:rsidRPr="620A8401">
        <w:rPr>
          <w:szCs w:val="21"/>
          <w:lang w:val="en-US"/>
        </w:rPr>
        <w:t xml:space="preserve"> shows the availability of pathology services. </w:t>
      </w:r>
      <w:r w:rsidR="00370D0A" w:rsidRPr="620A8401">
        <w:rPr>
          <w:szCs w:val="21"/>
          <w:lang w:val="en-US"/>
        </w:rPr>
        <w:t xml:space="preserve">Weekdays show the most consistent availability of </w:t>
      </w:r>
      <w:r w:rsidR="00E82F74" w:rsidRPr="620A8401">
        <w:rPr>
          <w:szCs w:val="21"/>
          <w:lang w:val="en-US"/>
        </w:rPr>
        <w:t>this</w:t>
      </w:r>
      <w:r w:rsidR="00370D0A" w:rsidRPr="620A8401">
        <w:rPr>
          <w:szCs w:val="21"/>
          <w:lang w:val="en-US"/>
        </w:rPr>
        <w:t xml:space="preserve"> service, with clinics generally </w:t>
      </w:r>
      <w:r w:rsidR="000409D9" w:rsidRPr="620A8401">
        <w:rPr>
          <w:szCs w:val="21"/>
          <w:lang w:val="en-US"/>
        </w:rPr>
        <w:t xml:space="preserve">offering </w:t>
      </w:r>
      <w:r w:rsidR="00E82F74" w:rsidRPr="620A8401">
        <w:rPr>
          <w:szCs w:val="21"/>
          <w:lang w:val="en-US"/>
        </w:rPr>
        <w:t>it</w:t>
      </w:r>
      <w:r w:rsidR="000409D9" w:rsidRPr="620A8401">
        <w:rPr>
          <w:szCs w:val="21"/>
          <w:lang w:val="en-US"/>
        </w:rPr>
        <w:t xml:space="preserve"> between 8</w:t>
      </w:r>
      <w:r w:rsidR="00B8200B" w:rsidRPr="620A8401">
        <w:rPr>
          <w:szCs w:val="21"/>
          <w:lang w:val="en-US"/>
        </w:rPr>
        <w:t xml:space="preserve">:00 </w:t>
      </w:r>
      <w:r w:rsidR="00370D0A" w:rsidRPr="620A8401">
        <w:rPr>
          <w:szCs w:val="21"/>
          <w:lang w:val="en-US"/>
        </w:rPr>
        <w:t xml:space="preserve">am </w:t>
      </w:r>
      <w:r w:rsidR="00695916" w:rsidRPr="620A8401">
        <w:rPr>
          <w:szCs w:val="21"/>
          <w:lang w:val="en-US"/>
        </w:rPr>
        <w:t>and</w:t>
      </w:r>
      <w:r w:rsidR="00370D0A" w:rsidRPr="620A8401">
        <w:rPr>
          <w:szCs w:val="21"/>
          <w:lang w:val="en-US"/>
        </w:rPr>
        <w:t xml:space="preserve"> 6</w:t>
      </w:r>
      <w:r w:rsidR="00B8200B" w:rsidRPr="620A8401">
        <w:rPr>
          <w:szCs w:val="21"/>
          <w:lang w:val="en-US"/>
        </w:rPr>
        <w:t xml:space="preserve">:00 </w:t>
      </w:r>
      <w:r w:rsidR="00370D0A" w:rsidRPr="620A8401">
        <w:rPr>
          <w:szCs w:val="21"/>
          <w:lang w:val="en-US"/>
        </w:rPr>
        <w:t>pm.</w:t>
      </w:r>
      <w:r w:rsidR="000409D9" w:rsidRPr="620A8401">
        <w:rPr>
          <w:szCs w:val="21"/>
          <w:lang w:val="en-US"/>
        </w:rPr>
        <w:t xml:space="preserve"> </w:t>
      </w:r>
    </w:p>
    <w:p w14:paraId="4DAF60D1" w14:textId="77777777" w:rsidR="004F3079" w:rsidRPr="009B783C" w:rsidRDefault="00370D0A" w:rsidP="00F345DA">
      <w:pPr>
        <w:rPr>
          <w:szCs w:val="21"/>
          <w:lang w:val="en-US"/>
        </w:rPr>
      </w:pPr>
      <w:r w:rsidRPr="620A8401">
        <w:rPr>
          <w:szCs w:val="21"/>
          <w:lang w:val="en-US"/>
        </w:rPr>
        <w:t xml:space="preserve">Saturdays have reduced service availability compared </w:t>
      </w:r>
      <w:r w:rsidR="009F78A5" w:rsidRPr="620A8401">
        <w:rPr>
          <w:szCs w:val="21"/>
          <w:lang w:val="en-US"/>
        </w:rPr>
        <w:t>with</w:t>
      </w:r>
      <w:r w:rsidRPr="620A8401">
        <w:rPr>
          <w:szCs w:val="21"/>
          <w:lang w:val="en-US"/>
        </w:rPr>
        <w:t xml:space="preserve"> weekdays, particularly after 2</w:t>
      </w:r>
      <w:r w:rsidR="00B8200B" w:rsidRPr="620A8401">
        <w:rPr>
          <w:szCs w:val="21"/>
          <w:lang w:val="en-US"/>
        </w:rPr>
        <w:t xml:space="preserve">:00 </w:t>
      </w:r>
      <w:r w:rsidRPr="620A8401">
        <w:rPr>
          <w:szCs w:val="21"/>
          <w:lang w:val="en-US"/>
        </w:rPr>
        <w:t>pm, but still provide access during the morning and early afternoon.</w:t>
      </w:r>
      <w:r w:rsidR="000409D9" w:rsidRPr="620A8401">
        <w:rPr>
          <w:szCs w:val="21"/>
          <w:lang w:val="en-US"/>
        </w:rPr>
        <w:t xml:space="preserve"> </w:t>
      </w:r>
      <w:r w:rsidRPr="620A8401">
        <w:rPr>
          <w:szCs w:val="21"/>
          <w:lang w:val="en-US"/>
        </w:rPr>
        <w:t xml:space="preserve">Sundays offer the least access to pathology services, with clinics primarily </w:t>
      </w:r>
      <w:r w:rsidR="000409D9" w:rsidRPr="620A8401">
        <w:rPr>
          <w:szCs w:val="21"/>
          <w:lang w:val="en-US"/>
        </w:rPr>
        <w:t>offering service</w:t>
      </w:r>
      <w:r w:rsidRPr="620A8401">
        <w:rPr>
          <w:szCs w:val="21"/>
          <w:lang w:val="en-US"/>
        </w:rPr>
        <w:t xml:space="preserve"> during the morning hours and very limited services available in the afternoon and evening.</w:t>
      </w:r>
    </w:p>
    <w:p w14:paraId="5C221189" w14:textId="798FA19D" w:rsidR="00C17381" w:rsidRPr="009B783C" w:rsidRDefault="008B76AA" w:rsidP="00C17381">
      <w:pPr>
        <w:pStyle w:val="Caption"/>
        <w:rPr>
          <w:szCs w:val="21"/>
        </w:rPr>
      </w:pPr>
      <w:bookmarkStart w:id="71" w:name="_Ref185485443"/>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B221A1">
        <w:rPr>
          <w:noProof/>
          <w:szCs w:val="21"/>
        </w:rPr>
        <w:t>6</w:t>
      </w:r>
      <w:r w:rsidRPr="009B783C">
        <w:rPr>
          <w:szCs w:val="21"/>
        </w:rPr>
        <w:fldChar w:fldCharType="end"/>
      </w:r>
      <w:bookmarkEnd w:id="71"/>
      <w:r w:rsidR="00C17381" w:rsidRPr="009B783C">
        <w:rPr>
          <w:szCs w:val="21"/>
        </w:rPr>
        <w:t xml:space="preserve"> | Pathology service: Availability of pathology services by hour of day</w:t>
      </w:r>
      <w:r w:rsidR="00C17381" w:rsidRPr="009B783C">
        <w:rPr>
          <w:rStyle w:val="FootnoteReference"/>
          <w:szCs w:val="21"/>
        </w:rPr>
        <w:footnoteReference w:id="34"/>
      </w:r>
    </w:p>
    <w:p w14:paraId="2207944E" w14:textId="16D88244" w:rsidR="00C17381" w:rsidRPr="009B783C" w:rsidRDefault="74257DBC" w:rsidP="00C17381">
      <w:r>
        <w:rPr>
          <w:noProof/>
        </w:rPr>
        <w:drawing>
          <wp:inline distT="0" distB="0" distL="0" distR="0" wp14:anchorId="2E143D41" wp14:editId="7213335F">
            <wp:extent cx="5676902" cy="5238748"/>
            <wp:effectExtent l="0" t="0" r="0" b="0"/>
            <wp:docPr id="2011223117" name="Picture 2011223117" descr="This image presents three vertical bar charts that visualise opening hours for Medicare UCCs which have pathology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223117" name="Picture 2011223117" descr="This image presents three vertical bar charts that visualise opening hours for Medicare UCCs which have pathology services."/>
                    <pic:cNvPicPr/>
                  </pic:nvPicPr>
                  <pic:blipFill>
                    <a:blip r:embed="rId30">
                      <a:extLst>
                        <a:ext uri="{28A0092B-C50C-407E-A947-70E740481C1C}">
                          <a14:useLocalDpi xmlns:a14="http://schemas.microsoft.com/office/drawing/2010/main" val="0"/>
                        </a:ext>
                      </a:extLst>
                    </a:blip>
                    <a:stretch>
                      <a:fillRect/>
                    </a:stretch>
                  </pic:blipFill>
                  <pic:spPr>
                    <a:xfrm>
                      <a:off x="0" y="0"/>
                      <a:ext cx="5676902" cy="5238748"/>
                    </a:xfrm>
                    <a:prstGeom prst="rect">
                      <a:avLst/>
                    </a:prstGeom>
                  </pic:spPr>
                </pic:pic>
              </a:graphicData>
            </a:graphic>
          </wp:inline>
        </w:drawing>
      </w:r>
    </w:p>
    <w:p w14:paraId="393EC4DE" w14:textId="082BE0F2" w:rsidR="004B0FA2" w:rsidRPr="009B783C" w:rsidRDefault="004B0FA2" w:rsidP="004B0FA2">
      <w:pPr>
        <w:rPr>
          <w:szCs w:val="21"/>
        </w:rPr>
      </w:pPr>
      <w:r w:rsidRPr="009B783C">
        <w:rPr>
          <w:szCs w:val="21"/>
        </w:rPr>
        <w:t>Detailed Description:</w:t>
      </w:r>
    </w:p>
    <w:p w14:paraId="3813436D" w14:textId="0FB56A85" w:rsidR="004B0FA2" w:rsidRPr="009B783C" w:rsidRDefault="004B0FA2" w:rsidP="004B0FA2">
      <w:pPr>
        <w:rPr>
          <w:szCs w:val="21"/>
        </w:rPr>
      </w:pPr>
      <w:r w:rsidRPr="009B783C">
        <w:rPr>
          <w:szCs w:val="21"/>
        </w:rPr>
        <w:t>Three bar charts split by days of the week displaying the number of Medicare UCCs open for the hours between 6</w:t>
      </w:r>
      <w:r w:rsidR="00507BB4">
        <w:rPr>
          <w:szCs w:val="21"/>
        </w:rPr>
        <w:t>:00</w:t>
      </w:r>
      <w:r w:rsidRPr="009B783C">
        <w:rPr>
          <w:szCs w:val="21"/>
        </w:rPr>
        <w:t xml:space="preserve">am and </w:t>
      </w:r>
      <w:r w:rsidR="003923AA">
        <w:rPr>
          <w:szCs w:val="21"/>
        </w:rPr>
        <w:t>m</w:t>
      </w:r>
      <w:r w:rsidRPr="009B783C">
        <w:rPr>
          <w:szCs w:val="21"/>
        </w:rPr>
        <w:t xml:space="preserve">idnight. </w:t>
      </w:r>
      <w:r w:rsidR="000A1508">
        <w:rPr>
          <w:szCs w:val="21"/>
        </w:rPr>
        <w:t xml:space="preserve">Data is available for 72 Medicare UCCs. </w:t>
      </w:r>
      <w:r w:rsidRPr="009B783C">
        <w:rPr>
          <w:szCs w:val="21"/>
        </w:rPr>
        <w:t>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2027"/>
        <w:gridCol w:w="1654"/>
        <w:gridCol w:w="2881"/>
        <w:gridCol w:w="2358"/>
      </w:tblGrid>
      <w:tr w:rsidR="002D3538" w:rsidRPr="009B783C" w14:paraId="12E86942" w14:textId="77777777" w:rsidTr="000C20F4">
        <w:trPr>
          <w:tblHeader/>
        </w:trPr>
        <w:tc>
          <w:tcPr>
            <w:tcW w:w="202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2157EB18" w14:textId="3AEB894F" w:rsidR="002D3538" w:rsidRPr="009B783C" w:rsidRDefault="00A549C9" w:rsidP="00786482">
            <w:pPr>
              <w:pStyle w:val="TableNheader"/>
            </w:pPr>
            <w:r w:rsidRPr="009B783C">
              <w:t>D</w:t>
            </w:r>
            <w:r w:rsidR="002D3538" w:rsidRPr="009B783C">
              <w:t>ay of the week</w:t>
            </w:r>
          </w:p>
        </w:tc>
        <w:tc>
          <w:tcPr>
            <w:tcW w:w="165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4E2AD4B" w14:textId="77777777" w:rsidR="002D3538" w:rsidRPr="009B783C" w:rsidRDefault="002D3538" w:rsidP="00786482">
            <w:pPr>
              <w:pStyle w:val="TableNheader"/>
            </w:pPr>
            <w:r w:rsidRPr="009B783C">
              <w:t>Hour</w:t>
            </w:r>
          </w:p>
        </w:tc>
        <w:tc>
          <w:tcPr>
            <w:tcW w:w="288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71EEB37" w14:textId="77777777" w:rsidR="002D3538" w:rsidRPr="009B783C" w:rsidRDefault="002D3538" w:rsidP="00786482">
            <w:pPr>
              <w:pStyle w:val="TableNheader"/>
            </w:pPr>
            <w:r w:rsidRPr="009B783C">
              <w:t>Business or after hours</w:t>
            </w:r>
          </w:p>
        </w:tc>
        <w:tc>
          <w:tcPr>
            <w:tcW w:w="235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08327613" w14:textId="77777777" w:rsidR="002D3538" w:rsidRPr="009B783C" w:rsidRDefault="002D3538" w:rsidP="00786482">
            <w:pPr>
              <w:pStyle w:val="TableNheader"/>
            </w:pPr>
            <w:r w:rsidRPr="009B783C">
              <w:t>Medicare UCCs (n)</w:t>
            </w:r>
          </w:p>
        </w:tc>
      </w:tr>
      <w:tr w:rsidR="00A549C9" w:rsidRPr="009B783C" w14:paraId="1A2294FE" w14:textId="77777777" w:rsidTr="00E40022">
        <w:tc>
          <w:tcPr>
            <w:tcW w:w="2027" w:type="dxa"/>
            <w:tcBorders>
              <w:top w:val="single" w:sz="4" w:space="0" w:color="FFFFFF" w:themeColor="background1"/>
            </w:tcBorders>
            <w:vAlign w:val="bottom"/>
          </w:tcPr>
          <w:p w14:paraId="791ABED9" w14:textId="51562431"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tcBorders>
              <w:top w:val="single" w:sz="4" w:space="0" w:color="FFFFFF" w:themeColor="background1"/>
            </w:tcBorders>
            <w:vAlign w:val="bottom"/>
          </w:tcPr>
          <w:p w14:paraId="12187BAD" w14:textId="41481E2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w:t>
            </w:r>
          </w:p>
        </w:tc>
        <w:tc>
          <w:tcPr>
            <w:tcW w:w="2881" w:type="dxa"/>
            <w:tcBorders>
              <w:top w:val="single" w:sz="4" w:space="0" w:color="FFFFFF" w:themeColor="background1"/>
            </w:tcBorders>
            <w:vAlign w:val="bottom"/>
          </w:tcPr>
          <w:p w14:paraId="504D649A" w14:textId="05297B4F"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tcBorders>
              <w:top w:val="single" w:sz="4" w:space="0" w:color="FFFFFF" w:themeColor="background1"/>
            </w:tcBorders>
            <w:vAlign w:val="bottom"/>
          </w:tcPr>
          <w:p w14:paraId="44195019" w14:textId="0A923CBF"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w:t>
            </w:r>
          </w:p>
        </w:tc>
      </w:tr>
      <w:tr w:rsidR="00A549C9" w:rsidRPr="009B783C" w14:paraId="05A62DD8" w14:textId="77777777" w:rsidTr="00E40022">
        <w:tc>
          <w:tcPr>
            <w:tcW w:w="2027" w:type="dxa"/>
            <w:vAlign w:val="bottom"/>
          </w:tcPr>
          <w:p w14:paraId="3BBA99CF" w14:textId="23208E75"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00AB6342" w14:textId="05B0A9AE"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w:t>
            </w:r>
          </w:p>
        </w:tc>
        <w:tc>
          <w:tcPr>
            <w:tcW w:w="2881" w:type="dxa"/>
            <w:vAlign w:val="bottom"/>
          </w:tcPr>
          <w:p w14:paraId="4A0B9246" w14:textId="36E0FC2D"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38F76338" w14:textId="0E8B161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39</w:t>
            </w:r>
          </w:p>
        </w:tc>
      </w:tr>
      <w:tr w:rsidR="00A549C9" w:rsidRPr="009B783C" w14:paraId="051618B0" w14:textId="77777777" w:rsidTr="00E40022">
        <w:tc>
          <w:tcPr>
            <w:tcW w:w="2027" w:type="dxa"/>
            <w:vAlign w:val="bottom"/>
          </w:tcPr>
          <w:p w14:paraId="53396A6B" w14:textId="497EB1E7"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CB4787D" w14:textId="51666D19"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8</w:t>
            </w:r>
          </w:p>
        </w:tc>
        <w:tc>
          <w:tcPr>
            <w:tcW w:w="2881" w:type="dxa"/>
            <w:vAlign w:val="bottom"/>
          </w:tcPr>
          <w:p w14:paraId="127F49A6" w14:textId="43EAE28B"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83930E8" w14:textId="4D953DC3"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69</w:t>
            </w:r>
          </w:p>
        </w:tc>
      </w:tr>
      <w:tr w:rsidR="00A549C9" w:rsidRPr="009B783C" w14:paraId="1D8D8563" w14:textId="77777777" w:rsidTr="00E40022">
        <w:tc>
          <w:tcPr>
            <w:tcW w:w="2027" w:type="dxa"/>
            <w:vAlign w:val="bottom"/>
          </w:tcPr>
          <w:p w14:paraId="3BBDDAB3" w14:textId="54E3C1C7"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7D7BD8CB" w14:textId="1A24F221"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9</w:t>
            </w:r>
          </w:p>
        </w:tc>
        <w:tc>
          <w:tcPr>
            <w:tcW w:w="2881" w:type="dxa"/>
            <w:vAlign w:val="bottom"/>
          </w:tcPr>
          <w:p w14:paraId="1338E6CC" w14:textId="6DF33465"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8FAEE1D" w14:textId="4DD9DBCD"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A549C9" w:rsidRPr="009B783C" w14:paraId="7FDE2870" w14:textId="77777777" w:rsidTr="00E40022">
        <w:tc>
          <w:tcPr>
            <w:tcW w:w="2027" w:type="dxa"/>
            <w:vAlign w:val="bottom"/>
          </w:tcPr>
          <w:p w14:paraId="5942D8F1" w14:textId="4E715EEE"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7489754E" w14:textId="1CC1663D"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10</w:t>
            </w:r>
          </w:p>
        </w:tc>
        <w:tc>
          <w:tcPr>
            <w:tcW w:w="2881" w:type="dxa"/>
            <w:vAlign w:val="bottom"/>
          </w:tcPr>
          <w:p w14:paraId="586636C8" w14:textId="294A4BAD"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645083D3" w14:textId="72D0C88E"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A549C9" w:rsidRPr="009B783C" w14:paraId="07462CB4" w14:textId="77777777" w:rsidTr="00E40022">
        <w:tc>
          <w:tcPr>
            <w:tcW w:w="2027" w:type="dxa"/>
            <w:vAlign w:val="bottom"/>
          </w:tcPr>
          <w:p w14:paraId="08C25B62" w14:textId="0E566ECA"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23387A79" w14:textId="7DE2DD22"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11</w:t>
            </w:r>
          </w:p>
        </w:tc>
        <w:tc>
          <w:tcPr>
            <w:tcW w:w="2881" w:type="dxa"/>
            <w:vAlign w:val="bottom"/>
          </w:tcPr>
          <w:p w14:paraId="48BF2C74" w14:textId="573FB9C0"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69193654" w14:textId="39D5B4E7"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A549C9" w:rsidRPr="009B783C" w14:paraId="7263EC5B" w14:textId="77777777" w:rsidTr="00E40022">
        <w:tc>
          <w:tcPr>
            <w:tcW w:w="2027" w:type="dxa"/>
            <w:vAlign w:val="bottom"/>
          </w:tcPr>
          <w:p w14:paraId="2A2DB65B" w14:textId="01087B6E"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Weekdays</w:t>
            </w:r>
          </w:p>
        </w:tc>
        <w:tc>
          <w:tcPr>
            <w:tcW w:w="1654" w:type="dxa"/>
            <w:vAlign w:val="bottom"/>
          </w:tcPr>
          <w:p w14:paraId="36B9870B" w14:textId="2060096A"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12</w:t>
            </w:r>
          </w:p>
        </w:tc>
        <w:tc>
          <w:tcPr>
            <w:tcW w:w="2881" w:type="dxa"/>
            <w:vAlign w:val="bottom"/>
          </w:tcPr>
          <w:p w14:paraId="067E7D80" w14:textId="4061F1CF"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DA15C6F" w14:textId="25C0C64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72</w:t>
            </w:r>
          </w:p>
        </w:tc>
      </w:tr>
      <w:tr w:rsidR="00A549C9" w:rsidRPr="009B783C" w14:paraId="642268F1" w14:textId="77777777" w:rsidTr="00E40022">
        <w:tc>
          <w:tcPr>
            <w:tcW w:w="2027" w:type="dxa"/>
            <w:vAlign w:val="bottom"/>
          </w:tcPr>
          <w:p w14:paraId="7E6F5DAF" w14:textId="0CEAB0AA"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116A01E1" w14:textId="5CDBC130"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13</w:t>
            </w:r>
          </w:p>
        </w:tc>
        <w:tc>
          <w:tcPr>
            <w:tcW w:w="2881" w:type="dxa"/>
            <w:vAlign w:val="bottom"/>
          </w:tcPr>
          <w:p w14:paraId="2AD6DF98" w14:textId="13C91246"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104C8F4E" w14:textId="4D8620B6"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70</w:t>
            </w:r>
          </w:p>
        </w:tc>
      </w:tr>
      <w:tr w:rsidR="00A549C9" w:rsidRPr="009B783C" w14:paraId="0AF252EE" w14:textId="77777777" w:rsidTr="00E40022">
        <w:tc>
          <w:tcPr>
            <w:tcW w:w="2027" w:type="dxa"/>
            <w:vAlign w:val="bottom"/>
          </w:tcPr>
          <w:p w14:paraId="1720DBF1" w14:textId="3125AD7D"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62A25FBA" w14:textId="1D10008D"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14</w:t>
            </w:r>
          </w:p>
        </w:tc>
        <w:tc>
          <w:tcPr>
            <w:tcW w:w="2881" w:type="dxa"/>
            <w:vAlign w:val="bottom"/>
          </w:tcPr>
          <w:p w14:paraId="0A3F3EBC" w14:textId="1D00EE22"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375675CF" w14:textId="1F161295"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67</w:t>
            </w:r>
          </w:p>
        </w:tc>
      </w:tr>
      <w:tr w:rsidR="00A549C9" w:rsidRPr="009B783C" w14:paraId="512A79A2" w14:textId="77777777" w:rsidTr="00E40022">
        <w:tc>
          <w:tcPr>
            <w:tcW w:w="2027" w:type="dxa"/>
            <w:vAlign w:val="bottom"/>
          </w:tcPr>
          <w:p w14:paraId="0D6427F1" w14:textId="4E5458A6"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65CF3DC" w14:textId="7F577E51"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15</w:t>
            </w:r>
          </w:p>
        </w:tc>
        <w:tc>
          <w:tcPr>
            <w:tcW w:w="2881" w:type="dxa"/>
            <w:vAlign w:val="bottom"/>
          </w:tcPr>
          <w:p w14:paraId="47041850" w14:textId="425EEC30"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325834B" w14:textId="2D4F3CCA"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65</w:t>
            </w:r>
          </w:p>
        </w:tc>
      </w:tr>
      <w:tr w:rsidR="00A549C9" w:rsidRPr="009B783C" w14:paraId="3F90831D" w14:textId="77777777" w:rsidTr="00E40022">
        <w:tc>
          <w:tcPr>
            <w:tcW w:w="2027" w:type="dxa"/>
            <w:vAlign w:val="bottom"/>
          </w:tcPr>
          <w:p w14:paraId="65892E31" w14:textId="340FFB95"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ABE05AF" w14:textId="1FFE593A"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16</w:t>
            </w:r>
          </w:p>
        </w:tc>
        <w:tc>
          <w:tcPr>
            <w:tcW w:w="2881" w:type="dxa"/>
            <w:vAlign w:val="bottom"/>
          </w:tcPr>
          <w:p w14:paraId="46ECFC64" w14:textId="6EF98111"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C9B5ECD" w14:textId="53D4BE2C"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59</w:t>
            </w:r>
          </w:p>
        </w:tc>
      </w:tr>
      <w:tr w:rsidR="00A549C9" w:rsidRPr="009B783C" w14:paraId="4873C77E" w14:textId="77777777" w:rsidTr="00E40022">
        <w:tc>
          <w:tcPr>
            <w:tcW w:w="2027" w:type="dxa"/>
            <w:vAlign w:val="bottom"/>
          </w:tcPr>
          <w:p w14:paraId="2602C28F" w14:textId="7C28BF17"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52EEA551" w14:textId="7478902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17</w:t>
            </w:r>
          </w:p>
        </w:tc>
        <w:tc>
          <w:tcPr>
            <w:tcW w:w="2881" w:type="dxa"/>
            <w:vAlign w:val="bottom"/>
          </w:tcPr>
          <w:p w14:paraId="2848E533" w14:textId="0D67A36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Business hours</w:t>
            </w:r>
          </w:p>
        </w:tc>
        <w:tc>
          <w:tcPr>
            <w:tcW w:w="2358" w:type="dxa"/>
            <w:vAlign w:val="bottom"/>
          </w:tcPr>
          <w:p w14:paraId="0F8DA807" w14:textId="3862CD91"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50</w:t>
            </w:r>
          </w:p>
        </w:tc>
      </w:tr>
      <w:tr w:rsidR="00A549C9" w:rsidRPr="009B783C" w14:paraId="3509F94A" w14:textId="77777777" w:rsidTr="00E40022">
        <w:tc>
          <w:tcPr>
            <w:tcW w:w="2027" w:type="dxa"/>
            <w:vAlign w:val="bottom"/>
          </w:tcPr>
          <w:p w14:paraId="1CB91A65" w14:textId="4218B830"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04366492" w14:textId="56002675"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18</w:t>
            </w:r>
          </w:p>
        </w:tc>
        <w:tc>
          <w:tcPr>
            <w:tcW w:w="2881" w:type="dxa"/>
            <w:vAlign w:val="bottom"/>
          </w:tcPr>
          <w:p w14:paraId="35BCDA48" w14:textId="77312B3A"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290EBA33" w14:textId="2213F9B1"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35</w:t>
            </w:r>
          </w:p>
        </w:tc>
      </w:tr>
      <w:tr w:rsidR="00A549C9" w:rsidRPr="009B783C" w14:paraId="3E8DA4D8" w14:textId="77777777" w:rsidTr="00E40022">
        <w:tc>
          <w:tcPr>
            <w:tcW w:w="2027" w:type="dxa"/>
            <w:vAlign w:val="bottom"/>
          </w:tcPr>
          <w:p w14:paraId="5AAD5FA7" w14:textId="1699C978"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483B665B" w14:textId="46637965"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19</w:t>
            </w:r>
          </w:p>
        </w:tc>
        <w:tc>
          <w:tcPr>
            <w:tcW w:w="2881" w:type="dxa"/>
            <w:vAlign w:val="bottom"/>
          </w:tcPr>
          <w:p w14:paraId="29D27EFC" w14:textId="17B8395B"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0B5E5FCB" w14:textId="07863D8C"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18</w:t>
            </w:r>
          </w:p>
        </w:tc>
      </w:tr>
      <w:tr w:rsidR="00A549C9" w:rsidRPr="009B783C" w14:paraId="6B56257F" w14:textId="77777777" w:rsidTr="00E40022">
        <w:tc>
          <w:tcPr>
            <w:tcW w:w="2027" w:type="dxa"/>
            <w:vAlign w:val="bottom"/>
          </w:tcPr>
          <w:p w14:paraId="5AF9D1DA" w14:textId="7A8DA773"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3CF47ACD" w14:textId="55CC9B73"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20</w:t>
            </w:r>
          </w:p>
        </w:tc>
        <w:tc>
          <w:tcPr>
            <w:tcW w:w="2881" w:type="dxa"/>
            <w:vAlign w:val="bottom"/>
          </w:tcPr>
          <w:p w14:paraId="0A17E5D0" w14:textId="0044508B"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51D82026" w14:textId="46E048D3"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17</w:t>
            </w:r>
          </w:p>
        </w:tc>
      </w:tr>
      <w:tr w:rsidR="00A549C9" w:rsidRPr="009B783C" w14:paraId="62941A6E" w14:textId="77777777" w:rsidTr="00E40022">
        <w:tc>
          <w:tcPr>
            <w:tcW w:w="2027" w:type="dxa"/>
            <w:vAlign w:val="bottom"/>
          </w:tcPr>
          <w:p w14:paraId="62E97537" w14:textId="0A34D279"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3142B764" w14:textId="371EB1C4"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21</w:t>
            </w:r>
          </w:p>
        </w:tc>
        <w:tc>
          <w:tcPr>
            <w:tcW w:w="2881" w:type="dxa"/>
            <w:vAlign w:val="bottom"/>
          </w:tcPr>
          <w:p w14:paraId="67824D32" w14:textId="3DEBB6CC"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0CD85727" w14:textId="572F7922"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9</w:t>
            </w:r>
          </w:p>
        </w:tc>
      </w:tr>
      <w:tr w:rsidR="00A549C9" w:rsidRPr="009B783C" w14:paraId="7CF12DF3" w14:textId="77777777" w:rsidTr="00E40022">
        <w:tc>
          <w:tcPr>
            <w:tcW w:w="2027" w:type="dxa"/>
            <w:vAlign w:val="bottom"/>
          </w:tcPr>
          <w:p w14:paraId="66C6CEB1" w14:textId="62902F6D"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73F4493E" w14:textId="35313F77"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22</w:t>
            </w:r>
          </w:p>
        </w:tc>
        <w:tc>
          <w:tcPr>
            <w:tcW w:w="2881" w:type="dxa"/>
            <w:vAlign w:val="bottom"/>
          </w:tcPr>
          <w:p w14:paraId="7DAAD3C5" w14:textId="23AA2AB9"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1D8B1D56" w14:textId="70FC9B6C"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8</w:t>
            </w:r>
          </w:p>
        </w:tc>
      </w:tr>
      <w:tr w:rsidR="00A549C9" w:rsidRPr="009B783C" w14:paraId="1ED71A93" w14:textId="77777777" w:rsidTr="00E40022">
        <w:tc>
          <w:tcPr>
            <w:tcW w:w="2027" w:type="dxa"/>
            <w:vAlign w:val="bottom"/>
          </w:tcPr>
          <w:p w14:paraId="4B7CCEF1" w14:textId="2459764B" w:rsidR="00A549C9" w:rsidRPr="009B783C" w:rsidRDefault="00A549C9"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Weekdays</w:t>
            </w:r>
          </w:p>
        </w:tc>
        <w:tc>
          <w:tcPr>
            <w:tcW w:w="1654" w:type="dxa"/>
            <w:vAlign w:val="bottom"/>
          </w:tcPr>
          <w:p w14:paraId="0E1BE392" w14:textId="25CFC797"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23</w:t>
            </w:r>
          </w:p>
        </w:tc>
        <w:tc>
          <w:tcPr>
            <w:tcW w:w="2881" w:type="dxa"/>
            <w:vAlign w:val="bottom"/>
          </w:tcPr>
          <w:p w14:paraId="5EF620B8" w14:textId="46C2970A"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23521407" w14:textId="719DF9D3" w:rsidR="00A549C9" w:rsidRPr="009B783C" w:rsidRDefault="00A549C9"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w:t>
            </w:r>
          </w:p>
        </w:tc>
      </w:tr>
      <w:tr w:rsidR="007E79BD" w:rsidRPr="009B783C" w14:paraId="72010478" w14:textId="77777777" w:rsidTr="00E40022">
        <w:tc>
          <w:tcPr>
            <w:tcW w:w="2027" w:type="dxa"/>
            <w:vAlign w:val="bottom"/>
          </w:tcPr>
          <w:p w14:paraId="3D233E90" w14:textId="2F8E1E19"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C23E6E5" w14:textId="0BAE1378" w:rsidR="007E79BD" w:rsidRPr="009B783C" w:rsidRDefault="007E79BD"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7</w:t>
            </w:r>
          </w:p>
        </w:tc>
        <w:tc>
          <w:tcPr>
            <w:tcW w:w="2881" w:type="dxa"/>
            <w:vAlign w:val="bottom"/>
          </w:tcPr>
          <w:p w14:paraId="585D84BB" w14:textId="6210A91F" w:rsidR="007E79BD" w:rsidRPr="009B783C" w:rsidRDefault="007E79BD"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After hours</w:t>
            </w:r>
          </w:p>
        </w:tc>
        <w:tc>
          <w:tcPr>
            <w:tcW w:w="2358" w:type="dxa"/>
            <w:vAlign w:val="bottom"/>
          </w:tcPr>
          <w:p w14:paraId="16B9D3DA" w14:textId="6CFA0149" w:rsidR="007E79BD" w:rsidRPr="009B783C" w:rsidRDefault="007E79BD" w:rsidP="00D81D0B">
            <w:pPr>
              <w:spacing w:after="0"/>
              <w:jc w:val="center"/>
              <w:rPr>
                <w:rFonts w:asciiTheme="minorHAnsi" w:hAnsiTheme="minorHAnsi" w:cstheme="minorHAnsi"/>
                <w:szCs w:val="21"/>
                <w:lang w:eastAsia="en-AU"/>
              </w:rPr>
            </w:pPr>
            <w:r w:rsidRPr="009B783C">
              <w:rPr>
                <w:rFonts w:asciiTheme="minorHAnsi" w:hAnsiTheme="minorHAnsi" w:cstheme="minorHAnsi"/>
                <w:color w:val="000000"/>
                <w:szCs w:val="21"/>
              </w:rPr>
              <w:t>11</w:t>
            </w:r>
          </w:p>
        </w:tc>
      </w:tr>
      <w:tr w:rsidR="007E79BD" w:rsidRPr="009B783C" w14:paraId="2F94F725" w14:textId="77777777" w:rsidTr="00E40022">
        <w:tc>
          <w:tcPr>
            <w:tcW w:w="2027" w:type="dxa"/>
            <w:vAlign w:val="bottom"/>
          </w:tcPr>
          <w:p w14:paraId="2C156B3A" w14:textId="617FCF97"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CBF5ED2" w14:textId="1A247FD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c>
          <w:tcPr>
            <w:tcW w:w="2881" w:type="dxa"/>
            <w:vAlign w:val="bottom"/>
          </w:tcPr>
          <w:p w14:paraId="64A57474" w14:textId="7AF5F6E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3A7181FF" w14:textId="61A0E9E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46</w:t>
            </w:r>
          </w:p>
        </w:tc>
      </w:tr>
      <w:tr w:rsidR="007E79BD" w:rsidRPr="009B783C" w14:paraId="28CCEA18" w14:textId="77777777" w:rsidTr="00E40022">
        <w:tc>
          <w:tcPr>
            <w:tcW w:w="2027" w:type="dxa"/>
            <w:vAlign w:val="bottom"/>
          </w:tcPr>
          <w:p w14:paraId="00DA0250" w14:textId="00B0CFD2"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6976F8F" w14:textId="0C62E0B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9</w:t>
            </w:r>
          </w:p>
        </w:tc>
        <w:tc>
          <w:tcPr>
            <w:tcW w:w="2881" w:type="dxa"/>
            <w:vAlign w:val="bottom"/>
          </w:tcPr>
          <w:p w14:paraId="3A9F9924" w14:textId="3D7AA22B"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17C2D75E" w14:textId="78F56AC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54</w:t>
            </w:r>
          </w:p>
        </w:tc>
      </w:tr>
      <w:tr w:rsidR="007E79BD" w:rsidRPr="009B783C" w14:paraId="44DA314D" w14:textId="77777777" w:rsidTr="00E40022">
        <w:tc>
          <w:tcPr>
            <w:tcW w:w="2027" w:type="dxa"/>
            <w:vAlign w:val="bottom"/>
          </w:tcPr>
          <w:p w14:paraId="583D765B" w14:textId="6FEF0F83"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8F26084" w14:textId="5F1C083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156D9188" w14:textId="6E825AE9"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2774BF43" w14:textId="3BC0892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54</w:t>
            </w:r>
          </w:p>
        </w:tc>
      </w:tr>
      <w:tr w:rsidR="007E79BD" w:rsidRPr="009B783C" w14:paraId="640D1E1F" w14:textId="77777777" w:rsidTr="00E40022">
        <w:tc>
          <w:tcPr>
            <w:tcW w:w="2027" w:type="dxa"/>
            <w:vAlign w:val="bottom"/>
          </w:tcPr>
          <w:p w14:paraId="01A22726" w14:textId="1AF12737"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4C49DEB" w14:textId="581860D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45EB144B" w14:textId="26730A3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Business hours</w:t>
            </w:r>
          </w:p>
        </w:tc>
        <w:tc>
          <w:tcPr>
            <w:tcW w:w="2358" w:type="dxa"/>
            <w:vAlign w:val="bottom"/>
          </w:tcPr>
          <w:p w14:paraId="667650F8" w14:textId="1034F07D"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54</w:t>
            </w:r>
          </w:p>
        </w:tc>
      </w:tr>
      <w:tr w:rsidR="007E79BD" w:rsidRPr="009B783C" w14:paraId="49E0788B" w14:textId="77777777" w:rsidTr="00E40022">
        <w:tc>
          <w:tcPr>
            <w:tcW w:w="2027" w:type="dxa"/>
            <w:vAlign w:val="bottom"/>
          </w:tcPr>
          <w:p w14:paraId="664977E8" w14:textId="7FBF4FD9"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2B89E7A8" w14:textId="369E714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6488F2D8" w14:textId="364C954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4D92800" w14:textId="39DB4E9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52</w:t>
            </w:r>
          </w:p>
        </w:tc>
      </w:tr>
      <w:tr w:rsidR="007E79BD" w:rsidRPr="009B783C" w14:paraId="5F5D4C70" w14:textId="77777777" w:rsidTr="00E40022">
        <w:tc>
          <w:tcPr>
            <w:tcW w:w="2027" w:type="dxa"/>
            <w:vAlign w:val="bottom"/>
          </w:tcPr>
          <w:p w14:paraId="437D3FBE" w14:textId="46B2E2E2"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37032E4C" w14:textId="1B05A33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1013DE06" w14:textId="044DB25D"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539396F" w14:textId="7105302B"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31</w:t>
            </w:r>
          </w:p>
        </w:tc>
      </w:tr>
      <w:tr w:rsidR="007E79BD" w:rsidRPr="009B783C" w14:paraId="1CB072D6" w14:textId="77777777" w:rsidTr="00E40022">
        <w:tc>
          <w:tcPr>
            <w:tcW w:w="2027" w:type="dxa"/>
            <w:vAlign w:val="bottom"/>
          </w:tcPr>
          <w:p w14:paraId="194A3ADC" w14:textId="32EA4B67"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4FC0B90D" w14:textId="10111772"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2F880B3B" w14:textId="441F7E9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123924E" w14:textId="29321D9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r>
      <w:tr w:rsidR="007E79BD" w:rsidRPr="009B783C" w14:paraId="637CC12B" w14:textId="77777777" w:rsidTr="00E40022">
        <w:tc>
          <w:tcPr>
            <w:tcW w:w="2027" w:type="dxa"/>
            <w:vAlign w:val="bottom"/>
          </w:tcPr>
          <w:p w14:paraId="38322D92" w14:textId="5B6F2521"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80B0BDC" w14:textId="08437ABB"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5AD2DE3F" w14:textId="562E868D"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6A5034E" w14:textId="0138244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r>
      <w:tr w:rsidR="007E79BD" w:rsidRPr="009B783C" w14:paraId="3A41D0B7" w14:textId="77777777" w:rsidTr="00E40022">
        <w:tc>
          <w:tcPr>
            <w:tcW w:w="2027" w:type="dxa"/>
            <w:vAlign w:val="bottom"/>
          </w:tcPr>
          <w:p w14:paraId="440B75CC" w14:textId="54CF9ED5"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6B2F186" w14:textId="5EE6E48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19E85010" w14:textId="7F953B5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0543A00" w14:textId="496ABB2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r>
      <w:tr w:rsidR="007E79BD" w:rsidRPr="009B783C" w14:paraId="315E7997" w14:textId="77777777" w:rsidTr="00E40022">
        <w:tc>
          <w:tcPr>
            <w:tcW w:w="2027" w:type="dxa"/>
            <w:vAlign w:val="bottom"/>
          </w:tcPr>
          <w:p w14:paraId="09F0D799" w14:textId="2A485C1F"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78BC5A5" w14:textId="4736AD5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482A4C91" w14:textId="250C5C8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9C839CF" w14:textId="38D11B0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r>
      <w:tr w:rsidR="007E79BD" w:rsidRPr="009B783C" w14:paraId="5A6C2F4A" w14:textId="77777777" w:rsidTr="00E40022">
        <w:tc>
          <w:tcPr>
            <w:tcW w:w="2027" w:type="dxa"/>
            <w:vAlign w:val="bottom"/>
          </w:tcPr>
          <w:p w14:paraId="106B62F6" w14:textId="1D950E60"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2C02753" w14:textId="3422815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20B15839" w14:textId="202D9982"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E92379C" w14:textId="53E145D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r>
      <w:tr w:rsidR="007E79BD" w:rsidRPr="009B783C" w14:paraId="33BAE1EB" w14:textId="77777777" w:rsidTr="00E40022">
        <w:tc>
          <w:tcPr>
            <w:tcW w:w="2027" w:type="dxa"/>
            <w:vAlign w:val="bottom"/>
          </w:tcPr>
          <w:p w14:paraId="035F1F00" w14:textId="7D6BFA51"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7334F2CD" w14:textId="63A44C5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51539E54" w14:textId="7062724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FEDE019" w14:textId="0807BABA"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r>
      <w:tr w:rsidR="007E79BD" w:rsidRPr="009B783C" w14:paraId="5A077B36" w14:textId="77777777" w:rsidTr="00E40022">
        <w:tc>
          <w:tcPr>
            <w:tcW w:w="2027" w:type="dxa"/>
            <w:vAlign w:val="bottom"/>
          </w:tcPr>
          <w:p w14:paraId="2379CF1C" w14:textId="4A178B77"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30B3DBD" w14:textId="48DC7C9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314C49F6" w14:textId="43CBF06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6BE3516" w14:textId="6947AD3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r>
      <w:tr w:rsidR="007E79BD" w:rsidRPr="009B783C" w14:paraId="7A6E14A3" w14:textId="77777777" w:rsidTr="00E40022">
        <w:tc>
          <w:tcPr>
            <w:tcW w:w="2027" w:type="dxa"/>
            <w:vAlign w:val="bottom"/>
          </w:tcPr>
          <w:p w14:paraId="6C0EA7DF" w14:textId="64974946"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094B0D60" w14:textId="0FFA68C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1F4CDCFD" w14:textId="42EAF5E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2C6A9D4" w14:textId="3EDB691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7E79BD" w:rsidRPr="009B783C" w14:paraId="083DF018" w14:textId="77777777" w:rsidTr="00E40022">
        <w:tc>
          <w:tcPr>
            <w:tcW w:w="2027" w:type="dxa"/>
            <w:vAlign w:val="bottom"/>
          </w:tcPr>
          <w:p w14:paraId="6C1A9D42" w14:textId="70D733EB"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540FEA7B" w14:textId="294F830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01A3541E" w14:textId="458974A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1DEB7CC" w14:textId="131D7AB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7E79BD" w:rsidRPr="009B783C" w14:paraId="248D80C0" w14:textId="77777777" w:rsidTr="00E40022">
        <w:tc>
          <w:tcPr>
            <w:tcW w:w="2027" w:type="dxa"/>
            <w:vAlign w:val="bottom"/>
          </w:tcPr>
          <w:p w14:paraId="4B3085C9" w14:textId="57AD0F92"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Saturday</w:t>
            </w:r>
          </w:p>
        </w:tc>
        <w:tc>
          <w:tcPr>
            <w:tcW w:w="1654" w:type="dxa"/>
            <w:vAlign w:val="bottom"/>
          </w:tcPr>
          <w:p w14:paraId="1F894B49" w14:textId="6D753EB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23</w:t>
            </w:r>
          </w:p>
        </w:tc>
        <w:tc>
          <w:tcPr>
            <w:tcW w:w="2881" w:type="dxa"/>
            <w:vAlign w:val="bottom"/>
          </w:tcPr>
          <w:p w14:paraId="7119EC22" w14:textId="36E66109"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A84D289" w14:textId="174B3660"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r w:rsidR="007E79BD" w:rsidRPr="009B783C" w14:paraId="3A14E5F1" w14:textId="77777777" w:rsidTr="00E40022">
        <w:tc>
          <w:tcPr>
            <w:tcW w:w="2027" w:type="dxa"/>
            <w:vAlign w:val="bottom"/>
          </w:tcPr>
          <w:p w14:paraId="63911B51" w14:textId="7A275B92"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50D1DCE6" w14:textId="7CF5F20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7</w:t>
            </w:r>
          </w:p>
        </w:tc>
        <w:tc>
          <w:tcPr>
            <w:tcW w:w="2881" w:type="dxa"/>
            <w:vAlign w:val="bottom"/>
          </w:tcPr>
          <w:p w14:paraId="1E1441AB" w14:textId="46E74BA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0A27F5FF" w14:textId="6D8557E0"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7E79BD" w:rsidRPr="009B783C" w14:paraId="2688E24F" w14:textId="77777777" w:rsidTr="00E40022">
        <w:tc>
          <w:tcPr>
            <w:tcW w:w="2027" w:type="dxa"/>
            <w:vAlign w:val="bottom"/>
          </w:tcPr>
          <w:p w14:paraId="4EC63221" w14:textId="37BD3259"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lastRenderedPageBreak/>
              <w:t>Sunday</w:t>
            </w:r>
          </w:p>
        </w:tc>
        <w:tc>
          <w:tcPr>
            <w:tcW w:w="1654" w:type="dxa"/>
            <w:vAlign w:val="bottom"/>
          </w:tcPr>
          <w:p w14:paraId="247E0531" w14:textId="148C4E69"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c>
          <w:tcPr>
            <w:tcW w:w="2881" w:type="dxa"/>
            <w:vAlign w:val="bottom"/>
          </w:tcPr>
          <w:p w14:paraId="1199DD2E" w14:textId="19F3D0E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6C6DFE9" w14:textId="3F5D2A82"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37</w:t>
            </w:r>
          </w:p>
        </w:tc>
      </w:tr>
      <w:tr w:rsidR="007E79BD" w:rsidRPr="009B783C" w14:paraId="3C0BAD33" w14:textId="77777777" w:rsidTr="00E40022">
        <w:tc>
          <w:tcPr>
            <w:tcW w:w="2027" w:type="dxa"/>
            <w:vAlign w:val="bottom"/>
          </w:tcPr>
          <w:p w14:paraId="6C5EC36B" w14:textId="20A57813"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A7BCE18" w14:textId="1406582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9</w:t>
            </w:r>
          </w:p>
        </w:tc>
        <w:tc>
          <w:tcPr>
            <w:tcW w:w="2881" w:type="dxa"/>
            <w:vAlign w:val="bottom"/>
          </w:tcPr>
          <w:p w14:paraId="4A9E29B0" w14:textId="41EFDD2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0B21CE8" w14:textId="20BCDE5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42</w:t>
            </w:r>
          </w:p>
        </w:tc>
      </w:tr>
      <w:tr w:rsidR="007E79BD" w:rsidRPr="009B783C" w14:paraId="3295F5D2" w14:textId="77777777" w:rsidTr="00E40022">
        <w:tc>
          <w:tcPr>
            <w:tcW w:w="2027" w:type="dxa"/>
            <w:vAlign w:val="bottom"/>
          </w:tcPr>
          <w:p w14:paraId="27004ADB" w14:textId="101FFAD5"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5144786B" w14:textId="65DD43B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c>
          <w:tcPr>
            <w:tcW w:w="2881" w:type="dxa"/>
            <w:vAlign w:val="bottom"/>
          </w:tcPr>
          <w:p w14:paraId="4ACC77F0" w14:textId="401F203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1220E94" w14:textId="3E5CA08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42</w:t>
            </w:r>
          </w:p>
        </w:tc>
      </w:tr>
      <w:tr w:rsidR="007E79BD" w:rsidRPr="009B783C" w14:paraId="3E506A2E" w14:textId="77777777" w:rsidTr="00E40022">
        <w:tc>
          <w:tcPr>
            <w:tcW w:w="2027" w:type="dxa"/>
            <w:vAlign w:val="bottom"/>
          </w:tcPr>
          <w:p w14:paraId="3E0439A7" w14:textId="12841325"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32496A2" w14:textId="625667A9"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11</w:t>
            </w:r>
          </w:p>
        </w:tc>
        <w:tc>
          <w:tcPr>
            <w:tcW w:w="2881" w:type="dxa"/>
            <w:vAlign w:val="bottom"/>
          </w:tcPr>
          <w:p w14:paraId="6DB38BF5" w14:textId="7DB1AE60"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C0D1E4E" w14:textId="3586DC2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42</w:t>
            </w:r>
          </w:p>
        </w:tc>
      </w:tr>
      <w:tr w:rsidR="007E79BD" w:rsidRPr="009B783C" w14:paraId="2BD5F23A" w14:textId="77777777" w:rsidTr="00E40022">
        <w:tc>
          <w:tcPr>
            <w:tcW w:w="2027" w:type="dxa"/>
            <w:vAlign w:val="bottom"/>
          </w:tcPr>
          <w:p w14:paraId="2E064A5E" w14:textId="2099124B"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25FC1F4" w14:textId="0CC810C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c>
          <w:tcPr>
            <w:tcW w:w="2881" w:type="dxa"/>
            <w:vAlign w:val="bottom"/>
          </w:tcPr>
          <w:p w14:paraId="6EA08441" w14:textId="7E0CFE5A"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EFEB0EB" w14:textId="75D86D50"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42</w:t>
            </w:r>
          </w:p>
        </w:tc>
      </w:tr>
      <w:tr w:rsidR="007E79BD" w:rsidRPr="009B783C" w14:paraId="142E76B6" w14:textId="77777777" w:rsidTr="00E40022">
        <w:tc>
          <w:tcPr>
            <w:tcW w:w="2027" w:type="dxa"/>
            <w:vAlign w:val="bottom"/>
          </w:tcPr>
          <w:p w14:paraId="49BA6027" w14:textId="4A986674"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E07A425" w14:textId="211C916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c>
          <w:tcPr>
            <w:tcW w:w="2881" w:type="dxa"/>
            <w:vAlign w:val="bottom"/>
          </w:tcPr>
          <w:p w14:paraId="5630C91A" w14:textId="66A0B95A"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289FC3FD" w14:textId="2558BD9A"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28</w:t>
            </w:r>
          </w:p>
        </w:tc>
      </w:tr>
      <w:tr w:rsidR="007E79BD" w:rsidRPr="009B783C" w14:paraId="2C8282E8" w14:textId="77777777" w:rsidTr="00E40022">
        <w:tc>
          <w:tcPr>
            <w:tcW w:w="2027" w:type="dxa"/>
            <w:vAlign w:val="bottom"/>
          </w:tcPr>
          <w:p w14:paraId="558CE7A0" w14:textId="207F8989"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199ED838" w14:textId="4D2BA944"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c>
          <w:tcPr>
            <w:tcW w:w="2881" w:type="dxa"/>
            <w:vAlign w:val="bottom"/>
          </w:tcPr>
          <w:p w14:paraId="7DD98FD1" w14:textId="4A563EA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E6F3CF7" w14:textId="682E3AE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r>
      <w:tr w:rsidR="007E79BD" w:rsidRPr="009B783C" w14:paraId="6BF74D71" w14:textId="77777777" w:rsidTr="00E40022">
        <w:tc>
          <w:tcPr>
            <w:tcW w:w="2027" w:type="dxa"/>
            <w:vAlign w:val="bottom"/>
          </w:tcPr>
          <w:p w14:paraId="25E4DA72" w14:textId="1C5FE083"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579D0AEC" w14:textId="732FB20B"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15</w:t>
            </w:r>
          </w:p>
        </w:tc>
        <w:tc>
          <w:tcPr>
            <w:tcW w:w="2881" w:type="dxa"/>
            <w:vAlign w:val="bottom"/>
          </w:tcPr>
          <w:p w14:paraId="3EB8F2D3" w14:textId="0D301102"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848627D" w14:textId="6639F17B"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14</w:t>
            </w:r>
          </w:p>
        </w:tc>
      </w:tr>
      <w:tr w:rsidR="007E79BD" w:rsidRPr="009B783C" w14:paraId="31AD56C1" w14:textId="77777777" w:rsidTr="00E40022">
        <w:tc>
          <w:tcPr>
            <w:tcW w:w="2027" w:type="dxa"/>
            <w:vAlign w:val="bottom"/>
          </w:tcPr>
          <w:p w14:paraId="0962E7CF" w14:textId="73B3262F"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2639823" w14:textId="5FD7E93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16</w:t>
            </w:r>
          </w:p>
        </w:tc>
        <w:tc>
          <w:tcPr>
            <w:tcW w:w="2881" w:type="dxa"/>
            <w:vAlign w:val="bottom"/>
          </w:tcPr>
          <w:p w14:paraId="31D04970" w14:textId="704637FF"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E9E158C" w14:textId="1B7CAE64"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13</w:t>
            </w:r>
          </w:p>
        </w:tc>
      </w:tr>
      <w:tr w:rsidR="007E79BD" w:rsidRPr="009B783C" w14:paraId="63116F5C" w14:textId="77777777" w:rsidTr="00E40022">
        <w:tc>
          <w:tcPr>
            <w:tcW w:w="2027" w:type="dxa"/>
            <w:vAlign w:val="bottom"/>
          </w:tcPr>
          <w:p w14:paraId="61E5FB1C" w14:textId="07B391CA"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4EDF4893" w14:textId="29A64372"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881" w:type="dxa"/>
            <w:vAlign w:val="bottom"/>
          </w:tcPr>
          <w:p w14:paraId="66EFFC5A" w14:textId="55106D3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1FB0F771" w14:textId="2F47D9EE"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r>
      <w:tr w:rsidR="007E79BD" w:rsidRPr="009B783C" w14:paraId="7CF2E2B7" w14:textId="77777777" w:rsidTr="00E40022">
        <w:tc>
          <w:tcPr>
            <w:tcW w:w="2027" w:type="dxa"/>
            <w:vAlign w:val="bottom"/>
          </w:tcPr>
          <w:p w14:paraId="2EE9F6F0" w14:textId="4081758F"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60B318D9" w14:textId="11963A6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881" w:type="dxa"/>
            <w:vAlign w:val="bottom"/>
          </w:tcPr>
          <w:p w14:paraId="51CD177F" w14:textId="1FEB3ED9"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440B34BC" w14:textId="313298A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12</w:t>
            </w:r>
          </w:p>
        </w:tc>
      </w:tr>
      <w:tr w:rsidR="007E79BD" w:rsidRPr="009B783C" w14:paraId="78BAE755" w14:textId="77777777" w:rsidTr="00E40022">
        <w:tc>
          <w:tcPr>
            <w:tcW w:w="2027" w:type="dxa"/>
            <w:vAlign w:val="bottom"/>
          </w:tcPr>
          <w:p w14:paraId="0CF07F32" w14:textId="6E3E4D35"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14C4642" w14:textId="09BA108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881" w:type="dxa"/>
            <w:vAlign w:val="bottom"/>
          </w:tcPr>
          <w:p w14:paraId="66300214" w14:textId="25580FDC"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5ACCAAA2" w14:textId="4C7C307D"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r>
      <w:tr w:rsidR="007E79BD" w:rsidRPr="009B783C" w14:paraId="2E04952B" w14:textId="77777777" w:rsidTr="00E40022">
        <w:tc>
          <w:tcPr>
            <w:tcW w:w="2027" w:type="dxa"/>
            <w:vAlign w:val="bottom"/>
          </w:tcPr>
          <w:p w14:paraId="1646E9A6" w14:textId="594BF0C5"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97E557B" w14:textId="5160ABCD"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881" w:type="dxa"/>
            <w:vAlign w:val="bottom"/>
          </w:tcPr>
          <w:p w14:paraId="3EA210CC" w14:textId="04ABC97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A6B3607" w14:textId="4D5BB217"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10</w:t>
            </w:r>
          </w:p>
        </w:tc>
      </w:tr>
      <w:tr w:rsidR="007E79BD" w:rsidRPr="009B783C" w14:paraId="10321ED4" w14:textId="77777777" w:rsidTr="00E40022">
        <w:tc>
          <w:tcPr>
            <w:tcW w:w="2027" w:type="dxa"/>
            <w:vAlign w:val="bottom"/>
          </w:tcPr>
          <w:p w14:paraId="0093B2DD" w14:textId="51CC057B"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3D416B94" w14:textId="1AFB1375"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881" w:type="dxa"/>
            <w:vAlign w:val="bottom"/>
          </w:tcPr>
          <w:p w14:paraId="11C8D573" w14:textId="2D2625D4"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60B1630F" w14:textId="2B8603F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7E79BD" w:rsidRPr="009B783C" w14:paraId="5C8FED31" w14:textId="77777777" w:rsidTr="00E40022">
        <w:tc>
          <w:tcPr>
            <w:tcW w:w="2027" w:type="dxa"/>
            <w:vAlign w:val="bottom"/>
          </w:tcPr>
          <w:p w14:paraId="47BC7F41" w14:textId="4F520ACB"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256AADA4" w14:textId="1974EA3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881" w:type="dxa"/>
            <w:vAlign w:val="bottom"/>
          </w:tcPr>
          <w:p w14:paraId="08943BEE" w14:textId="3549D2A3"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39CBDAA6" w14:textId="6C2299D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8</w:t>
            </w:r>
          </w:p>
        </w:tc>
      </w:tr>
      <w:tr w:rsidR="007E79BD" w:rsidRPr="009B783C" w14:paraId="48F6C979" w14:textId="77777777" w:rsidTr="00E40022">
        <w:tc>
          <w:tcPr>
            <w:tcW w:w="2027" w:type="dxa"/>
            <w:vAlign w:val="bottom"/>
          </w:tcPr>
          <w:p w14:paraId="1BC267F4" w14:textId="0673E8A1" w:rsidR="007E79BD" w:rsidRPr="009B783C" w:rsidRDefault="007E79BD" w:rsidP="007E79BD">
            <w:pPr>
              <w:spacing w:after="0"/>
              <w:rPr>
                <w:rFonts w:asciiTheme="minorHAnsi" w:hAnsiTheme="minorHAnsi" w:cstheme="minorHAnsi"/>
                <w:color w:val="000000"/>
                <w:szCs w:val="21"/>
              </w:rPr>
            </w:pPr>
            <w:r w:rsidRPr="009B783C">
              <w:rPr>
                <w:rFonts w:asciiTheme="minorHAnsi" w:hAnsiTheme="minorHAnsi" w:cstheme="minorHAnsi"/>
                <w:color w:val="000000"/>
                <w:szCs w:val="21"/>
              </w:rPr>
              <w:t>Sunday</w:t>
            </w:r>
          </w:p>
        </w:tc>
        <w:tc>
          <w:tcPr>
            <w:tcW w:w="1654" w:type="dxa"/>
            <w:vAlign w:val="bottom"/>
          </w:tcPr>
          <w:p w14:paraId="0C1AAA06" w14:textId="27B02C26"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23</w:t>
            </w:r>
          </w:p>
        </w:tc>
        <w:tc>
          <w:tcPr>
            <w:tcW w:w="2881" w:type="dxa"/>
            <w:vAlign w:val="bottom"/>
          </w:tcPr>
          <w:p w14:paraId="75F96C5D" w14:textId="2C9A8878"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358" w:type="dxa"/>
            <w:vAlign w:val="bottom"/>
          </w:tcPr>
          <w:p w14:paraId="7CBF10DC" w14:textId="3F723531" w:rsidR="007E79BD" w:rsidRPr="009B783C" w:rsidRDefault="007E79BD" w:rsidP="00D81D0B">
            <w:pPr>
              <w:spacing w:after="0"/>
              <w:jc w:val="center"/>
              <w:rPr>
                <w:rFonts w:asciiTheme="minorHAnsi" w:hAnsiTheme="minorHAnsi" w:cstheme="minorHAnsi"/>
                <w:color w:val="000000"/>
                <w:szCs w:val="21"/>
              </w:rPr>
            </w:pPr>
            <w:r w:rsidRPr="009B783C">
              <w:rPr>
                <w:rFonts w:asciiTheme="minorHAnsi" w:hAnsiTheme="minorHAnsi" w:cstheme="minorHAnsi"/>
                <w:color w:val="000000"/>
                <w:szCs w:val="21"/>
              </w:rPr>
              <w:t>1</w:t>
            </w:r>
          </w:p>
        </w:tc>
      </w:tr>
    </w:tbl>
    <w:p w14:paraId="17D13E85" w14:textId="77777777" w:rsidR="00C17381" w:rsidRPr="009B783C" w:rsidRDefault="00C17381" w:rsidP="00C17381">
      <w:pPr>
        <w:pStyle w:val="Heading2"/>
        <w:ind w:left="578" w:hanging="578"/>
      </w:pPr>
      <w:bookmarkStart w:id="72" w:name="_Ref185508679"/>
      <w:bookmarkStart w:id="73" w:name="_Toc189639223"/>
      <w:bookmarkStart w:id="74" w:name="_Toc189772023"/>
      <w:r w:rsidRPr="009B783C">
        <w:t>Medicare UCC workforce</w:t>
      </w:r>
      <w:bookmarkEnd w:id="72"/>
      <w:bookmarkEnd w:id="73"/>
      <w:bookmarkEnd w:id="74"/>
    </w:p>
    <w:p w14:paraId="5158210C" w14:textId="39C7B9E6" w:rsidR="004C426D" w:rsidRPr="009B783C" w:rsidRDefault="0087646B" w:rsidP="00F345DA">
      <w:pPr>
        <w:rPr>
          <w:szCs w:val="21"/>
          <w:lang w:eastAsia="en-AU"/>
        </w:rPr>
      </w:pPr>
      <w:r w:rsidRPr="009B783C">
        <w:rPr>
          <w:szCs w:val="21"/>
          <w:lang w:eastAsia="en-AU"/>
        </w:rPr>
        <w:t xml:space="preserve">The Medicare UCC Operational Guidance </w:t>
      </w:r>
      <w:r w:rsidR="007F257B" w:rsidRPr="009B783C">
        <w:rPr>
          <w:szCs w:val="21"/>
          <w:lang w:eastAsia="en-AU"/>
        </w:rPr>
        <w:t>st</w:t>
      </w:r>
      <w:r w:rsidR="00023496" w:rsidRPr="009B783C">
        <w:rPr>
          <w:szCs w:val="21"/>
          <w:lang w:eastAsia="en-AU"/>
        </w:rPr>
        <w:t>ipulates</w:t>
      </w:r>
      <w:r w:rsidR="007F257B" w:rsidRPr="009B783C">
        <w:rPr>
          <w:szCs w:val="21"/>
          <w:lang w:eastAsia="en-AU"/>
        </w:rPr>
        <w:t xml:space="preserve"> that Medicare UCCs </w:t>
      </w:r>
      <w:r w:rsidR="00023496" w:rsidRPr="009B783C">
        <w:rPr>
          <w:szCs w:val="21"/>
          <w:lang w:eastAsia="en-AU"/>
        </w:rPr>
        <w:t>will be GP</w:t>
      </w:r>
      <w:r w:rsidR="005F27F8" w:rsidRPr="009B783C">
        <w:rPr>
          <w:szCs w:val="21"/>
          <w:lang w:eastAsia="en-AU"/>
        </w:rPr>
        <w:t>-</w:t>
      </w:r>
      <w:r w:rsidR="00023496" w:rsidRPr="009B783C">
        <w:rPr>
          <w:szCs w:val="21"/>
          <w:lang w:eastAsia="en-AU"/>
        </w:rPr>
        <w:t>led</w:t>
      </w:r>
      <w:r w:rsidR="00C17381" w:rsidRPr="009B783C">
        <w:rPr>
          <w:szCs w:val="21"/>
          <w:lang w:eastAsia="en-AU"/>
        </w:rPr>
        <w:t>,</w:t>
      </w:r>
      <w:r w:rsidR="00023496" w:rsidRPr="009B783C">
        <w:rPr>
          <w:szCs w:val="21"/>
          <w:lang w:eastAsia="en-AU"/>
        </w:rPr>
        <w:t xml:space="preserve"> with staffing mix based on availability, local context</w:t>
      </w:r>
      <w:r w:rsidR="00063724" w:rsidRPr="009B783C">
        <w:rPr>
          <w:szCs w:val="21"/>
          <w:lang w:eastAsia="en-AU"/>
        </w:rPr>
        <w:t xml:space="preserve"> and need</w:t>
      </w:r>
      <w:r w:rsidR="00023496" w:rsidRPr="009B783C">
        <w:rPr>
          <w:szCs w:val="21"/>
          <w:lang w:eastAsia="en-AU"/>
        </w:rPr>
        <w:t xml:space="preserve">. </w:t>
      </w:r>
      <w:r w:rsidR="00940D2D" w:rsidRPr="009B783C">
        <w:rPr>
          <w:szCs w:val="21"/>
          <w:lang w:eastAsia="en-AU"/>
        </w:rPr>
        <w:t>Minimum sta</w:t>
      </w:r>
      <w:r w:rsidR="00B44A32" w:rsidRPr="009B783C">
        <w:rPr>
          <w:szCs w:val="21"/>
          <w:lang w:eastAsia="en-AU"/>
        </w:rPr>
        <w:t>ff</w:t>
      </w:r>
      <w:r w:rsidR="00940D2D" w:rsidRPr="009B783C">
        <w:rPr>
          <w:szCs w:val="21"/>
          <w:lang w:eastAsia="en-AU"/>
        </w:rPr>
        <w:t xml:space="preserve">ing requirements </w:t>
      </w:r>
      <w:r w:rsidR="009A3356" w:rsidRPr="009B783C">
        <w:rPr>
          <w:szCs w:val="21"/>
          <w:lang w:eastAsia="en-AU"/>
        </w:rPr>
        <w:t xml:space="preserve">include </w:t>
      </w:r>
      <w:r w:rsidR="00B44A32" w:rsidRPr="009B783C">
        <w:rPr>
          <w:szCs w:val="21"/>
          <w:lang w:eastAsia="en-AU"/>
        </w:rPr>
        <w:t>one</w:t>
      </w:r>
      <w:r w:rsidR="009A3356" w:rsidRPr="009B783C">
        <w:rPr>
          <w:szCs w:val="21"/>
          <w:lang w:eastAsia="en-AU"/>
        </w:rPr>
        <w:t xml:space="preserve"> </w:t>
      </w:r>
      <w:r w:rsidR="00E20DD7" w:rsidRPr="009B783C">
        <w:rPr>
          <w:szCs w:val="21"/>
          <w:lang w:eastAsia="en-AU"/>
        </w:rPr>
        <w:t xml:space="preserve">vocationally registered GP, </w:t>
      </w:r>
      <w:r w:rsidR="00B44A32" w:rsidRPr="009B783C">
        <w:rPr>
          <w:szCs w:val="21"/>
          <w:lang w:eastAsia="en-AU"/>
        </w:rPr>
        <w:t xml:space="preserve">one </w:t>
      </w:r>
      <w:r w:rsidR="00E20DD7" w:rsidRPr="009B783C">
        <w:rPr>
          <w:szCs w:val="21"/>
          <w:lang w:eastAsia="en-AU"/>
        </w:rPr>
        <w:t xml:space="preserve">registered nurse and </w:t>
      </w:r>
      <w:r w:rsidR="00B44A32" w:rsidRPr="009B783C">
        <w:rPr>
          <w:szCs w:val="21"/>
          <w:lang w:eastAsia="en-AU"/>
        </w:rPr>
        <w:t xml:space="preserve">one </w:t>
      </w:r>
      <w:r w:rsidR="00E20DD7" w:rsidRPr="009B783C">
        <w:rPr>
          <w:szCs w:val="21"/>
          <w:lang w:eastAsia="en-AU"/>
        </w:rPr>
        <w:t>receptionist</w:t>
      </w:r>
      <w:r w:rsidR="00B44A32" w:rsidRPr="009B783C">
        <w:rPr>
          <w:szCs w:val="21"/>
          <w:lang w:eastAsia="en-AU"/>
        </w:rPr>
        <w:t>. B</w:t>
      </w:r>
      <w:r w:rsidR="006B1833" w:rsidRPr="009B783C">
        <w:rPr>
          <w:szCs w:val="21"/>
          <w:lang w:eastAsia="en-AU"/>
        </w:rPr>
        <w:t xml:space="preserve">oth the </w:t>
      </w:r>
      <w:r w:rsidR="003B7F1B" w:rsidRPr="009B783C">
        <w:rPr>
          <w:szCs w:val="21"/>
          <w:lang w:eastAsia="en-AU"/>
        </w:rPr>
        <w:t>GP</w:t>
      </w:r>
      <w:r w:rsidR="008F134E" w:rsidRPr="009B783C">
        <w:rPr>
          <w:szCs w:val="21"/>
          <w:lang w:eastAsia="en-AU"/>
        </w:rPr>
        <w:t xml:space="preserve"> and nurse </w:t>
      </w:r>
      <w:r w:rsidR="000E6E56" w:rsidRPr="009B783C">
        <w:rPr>
          <w:szCs w:val="21"/>
          <w:lang w:eastAsia="en-AU"/>
        </w:rPr>
        <w:t xml:space="preserve">are expected to </w:t>
      </w:r>
      <w:r w:rsidR="008F134E" w:rsidRPr="009B783C">
        <w:rPr>
          <w:szCs w:val="21"/>
          <w:lang w:eastAsia="en-AU"/>
        </w:rPr>
        <w:t xml:space="preserve">have further skills in emergency medicine. </w:t>
      </w:r>
      <w:r w:rsidR="00C4752E" w:rsidRPr="009B783C">
        <w:rPr>
          <w:szCs w:val="21"/>
          <w:lang w:eastAsia="en-AU"/>
        </w:rPr>
        <w:t xml:space="preserve">Medicare UCCs may employ additional staff </w:t>
      </w:r>
      <w:r w:rsidR="00AF1573" w:rsidRPr="009B783C">
        <w:rPr>
          <w:szCs w:val="21"/>
          <w:lang w:eastAsia="en-AU"/>
        </w:rPr>
        <w:t>above th</w:t>
      </w:r>
      <w:r w:rsidR="00627196" w:rsidRPr="009B783C">
        <w:rPr>
          <w:szCs w:val="21"/>
          <w:lang w:eastAsia="en-AU"/>
        </w:rPr>
        <w:t>e</w:t>
      </w:r>
      <w:r w:rsidR="00AF1573" w:rsidRPr="009B783C">
        <w:rPr>
          <w:szCs w:val="21"/>
          <w:lang w:eastAsia="en-AU"/>
        </w:rPr>
        <w:t xml:space="preserve"> minimum requirement</w:t>
      </w:r>
      <w:r w:rsidR="00D84FF2" w:rsidRPr="009B783C">
        <w:rPr>
          <w:szCs w:val="21"/>
          <w:lang w:eastAsia="en-AU"/>
        </w:rPr>
        <w:t>, for example</w:t>
      </w:r>
      <w:r w:rsidR="00F55645" w:rsidRPr="009B783C">
        <w:rPr>
          <w:szCs w:val="21"/>
          <w:lang w:eastAsia="en-AU"/>
        </w:rPr>
        <w:t>,</w:t>
      </w:r>
      <w:r w:rsidR="00D84FF2" w:rsidRPr="009B783C">
        <w:rPr>
          <w:szCs w:val="21"/>
          <w:lang w:eastAsia="en-AU"/>
        </w:rPr>
        <w:t xml:space="preserve"> other suitably qualified medical practitioners, nurse practitioners</w:t>
      </w:r>
      <w:r w:rsidR="007A67BA" w:rsidRPr="009B783C">
        <w:rPr>
          <w:szCs w:val="21"/>
          <w:lang w:eastAsia="en-AU"/>
        </w:rPr>
        <w:t xml:space="preserve">, extended care paramedics, allied health and Aboriginal Health Practitioners. </w:t>
      </w:r>
    </w:p>
    <w:p w14:paraId="3CF8B40F" w14:textId="5D8E422D" w:rsidR="00DD3E61" w:rsidRPr="009B783C" w:rsidRDefault="00605456" w:rsidP="00F345DA">
      <w:pPr>
        <w:rPr>
          <w:szCs w:val="21"/>
          <w:lang w:eastAsia="en-AU"/>
        </w:rPr>
      </w:pPr>
      <w:r w:rsidRPr="009B783C">
        <w:rPr>
          <w:szCs w:val="21"/>
          <w:lang w:eastAsia="en-AU"/>
        </w:rPr>
        <w:fldChar w:fldCharType="begin"/>
      </w:r>
      <w:r w:rsidRPr="009B783C">
        <w:rPr>
          <w:szCs w:val="21"/>
          <w:lang w:eastAsia="en-AU"/>
        </w:rPr>
        <w:instrText xml:space="preserve"> REF _Ref185485459 \h </w:instrText>
      </w:r>
      <w:r w:rsidR="00F345DA"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6E7782" w:rsidRPr="009B783C">
        <w:rPr>
          <w:szCs w:val="21"/>
        </w:rPr>
        <w:t xml:space="preserve">Table </w:t>
      </w:r>
      <w:r w:rsidR="006E7782">
        <w:rPr>
          <w:szCs w:val="21"/>
        </w:rPr>
        <w:t>6</w:t>
      </w:r>
      <w:r w:rsidRPr="009B783C">
        <w:rPr>
          <w:szCs w:val="21"/>
          <w:lang w:eastAsia="en-AU"/>
        </w:rPr>
        <w:fldChar w:fldCharType="end"/>
      </w:r>
      <w:r w:rsidR="008F3909" w:rsidRPr="009B783C">
        <w:rPr>
          <w:szCs w:val="21"/>
          <w:lang w:eastAsia="en-AU"/>
        </w:rPr>
        <w:t xml:space="preserve"> shows Medicare UCC workforce by staff category</w:t>
      </w:r>
      <w:r w:rsidR="009807C9" w:rsidRPr="009B783C">
        <w:rPr>
          <w:szCs w:val="21"/>
          <w:lang w:eastAsia="en-AU"/>
        </w:rPr>
        <w:t xml:space="preserve"> as reported by Medicare UCCs and commissioners</w:t>
      </w:r>
      <w:r w:rsidR="002075A6" w:rsidRPr="009B783C">
        <w:rPr>
          <w:szCs w:val="21"/>
          <w:lang w:eastAsia="en-AU"/>
        </w:rPr>
        <w:t xml:space="preserve">. </w:t>
      </w:r>
      <w:r w:rsidR="00665776" w:rsidRPr="009B783C">
        <w:rPr>
          <w:szCs w:val="21"/>
          <w:lang w:eastAsia="en-AU"/>
        </w:rPr>
        <w:t xml:space="preserve">Medicare UCCs </w:t>
      </w:r>
      <w:r w:rsidR="00983928" w:rsidRPr="009B783C">
        <w:rPr>
          <w:szCs w:val="21"/>
          <w:lang w:eastAsia="en-AU"/>
        </w:rPr>
        <w:t>ha</w:t>
      </w:r>
      <w:r w:rsidR="00F649B4" w:rsidRPr="009B783C">
        <w:rPr>
          <w:szCs w:val="21"/>
          <w:lang w:eastAsia="en-AU"/>
        </w:rPr>
        <w:t>ve</w:t>
      </w:r>
      <w:r w:rsidR="00983928" w:rsidRPr="009B783C">
        <w:rPr>
          <w:szCs w:val="21"/>
          <w:lang w:eastAsia="en-AU"/>
        </w:rPr>
        <w:t xml:space="preserve"> a </w:t>
      </w:r>
      <w:r w:rsidR="0057234A" w:rsidRPr="009B783C">
        <w:rPr>
          <w:szCs w:val="21"/>
          <w:lang w:eastAsia="en-AU"/>
        </w:rPr>
        <w:t xml:space="preserve">mean </w:t>
      </w:r>
      <w:r w:rsidR="007F42B3" w:rsidRPr="009B783C">
        <w:rPr>
          <w:szCs w:val="21"/>
          <w:lang w:eastAsia="en-AU"/>
        </w:rPr>
        <w:t xml:space="preserve">of 2.8 </w:t>
      </w:r>
      <w:r w:rsidR="00E60217" w:rsidRPr="009B783C">
        <w:rPr>
          <w:szCs w:val="21"/>
          <w:lang w:eastAsia="en-AU"/>
        </w:rPr>
        <w:t>full-time equivalent (</w:t>
      </w:r>
      <w:r w:rsidR="00E4690C" w:rsidRPr="009B783C">
        <w:rPr>
          <w:szCs w:val="21"/>
          <w:lang w:eastAsia="en-AU"/>
        </w:rPr>
        <w:t>FTE</w:t>
      </w:r>
      <w:r w:rsidR="00E60217" w:rsidRPr="009B783C">
        <w:rPr>
          <w:szCs w:val="21"/>
          <w:lang w:eastAsia="en-AU"/>
        </w:rPr>
        <w:t>)</w:t>
      </w:r>
      <w:r w:rsidR="00E4690C" w:rsidRPr="009B783C">
        <w:rPr>
          <w:szCs w:val="21"/>
          <w:lang w:eastAsia="en-AU"/>
        </w:rPr>
        <w:t xml:space="preserve"> </w:t>
      </w:r>
      <w:r w:rsidR="005870AC" w:rsidRPr="009B783C">
        <w:rPr>
          <w:szCs w:val="21"/>
          <w:lang w:eastAsia="en-AU"/>
        </w:rPr>
        <w:t xml:space="preserve">medical practitioners and </w:t>
      </w:r>
      <w:r w:rsidR="00E54D7B" w:rsidRPr="009B783C">
        <w:rPr>
          <w:szCs w:val="21"/>
          <w:lang w:eastAsia="en-AU"/>
        </w:rPr>
        <w:t xml:space="preserve">a headcount of </w:t>
      </w:r>
      <w:r w:rsidR="001F49E0" w:rsidRPr="009B783C">
        <w:rPr>
          <w:szCs w:val="21"/>
          <w:lang w:eastAsia="en-AU"/>
        </w:rPr>
        <w:t>8.</w:t>
      </w:r>
      <w:r w:rsidR="00474AFF" w:rsidRPr="009B783C">
        <w:rPr>
          <w:szCs w:val="21"/>
          <w:lang w:eastAsia="en-AU"/>
        </w:rPr>
        <w:t>8</w:t>
      </w:r>
      <w:r w:rsidR="00C17381" w:rsidRPr="009B783C">
        <w:rPr>
          <w:szCs w:val="21"/>
          <w:lang w:eastAsia="en-AU"/>
        </w:rPr>
        <w:t xml:space="preserve"> per clinic. Most medical practitioners employed by Medicare UCCs are vocationally registered GPs, in line with Medicare UCC Operational Guidance. </w:t>
      </w:r>
    </w:p>
    <w:p w14:paraId="2C20701A" w14:textId="12C7527F" w:rsidR="00950C26" w:rsidRPr="009B783C" w:rsidRDefault="00F649B4" w:rsidP="00F345DA">
      <w:pPr>
        <w:rPr>
          <w:szCs w:val="21"/>
          <w:lang w:eastAsia="en-AU"/>
        </w:rPr>
      </w:pPr>
      <w:r w:rsidRPr="009B783C">
        <w:rPr>
          <w:szCs w:val="21"/>
          <w:lang w:eastAsia="en-AU"/>
        </w:rPr>
        <w:t>There is</w:t>
      </w:r>
      <w:r w:rsidR="009F4583" w:rsidRPr="009B783C">
        <w:rPr>
          <w:szCs w:val="21"/>
          <w:lang w:eastAsia="en-AU"/>
        </w:rPr>
        <w:t xml:space="preserve"> a mean </w:t>
      </w:r>
      <w:r w:rsidR="001F49E0" w:rsidRPr="009B783C">
        <w:rPr>
          <w:szCs w:val="21"/>
          <w:lang w:eastAsia="en-AU"/>
        </w:rPr>
        <w:t xml:space="preserve">of </w:t>
      </w:r>
      <w:r w:rsidR="00430C0D" w:rsidRPr="009B783C">
        <w:rPr>
          <w:szCs w:val="21"/>
          <w:lang w:eastAsia="en-AU"/>
        </w:rPr>
        <w:t xml:space="preserve">4 </w:t>
      </w:r>
      <w:r w:rsidR="005617BA" w:rsidRPr="009B783C">
        <w:rPr>
          <w:szCs w:val="21"/>
          <w:lang w:eastAsia="en-AU"/>
        </w:rPr>
        <w:t xml:space="preserve">FTE </w:t>
      </w:r>
      <w:r w:rsidR="00430C0D" w:rsidRPr="009B783C">
        <w:rPr>
          <w:szCs w:val="21"/>
          <w:lang w:eastAsia="en-AU"/>
        </w:rPr>
        <w:t xml:space="preserve">nursing staff </w:t>
      </w:r>
      <w:r w:rsidR="00237A90" w:rsidRPr="009B783C">
        <w:rPr>
          <w:szCs w:val="21"/>
          <w:lang w:eastAsia="en-AU"/>
        </w:rPr>
        <w:t xml:space="preserve">and </w:t>
      </w:r>
      <w:r w:rsidR="00430C0D" w:rsidRPr="009B783C">
        <w:rPr>
          <w:szCs w:val="21"/>
          <w:lang w:eastAsia="en-AU"/>
        </w:rPr>
        <w:t xml:space="preserve">a </w:t>
      </w:r>
      <w:r w:rsidR="00237A90" w:rsidRPr="009B783C">
        <w:rPr>
          <w:szCs w:val="21"/>
          <w:lang w:eastAsia="en-AU"/>
        </w:rPr>
        <w:t xml:space="preserve">mean headcount of </w:t>
      </w:r>
      <w:r w:rsidR="00497ACD" w:rsidRPr="009B783C">
        <w:rPr>
          <w:szCs w:val="21"/>
          <w:lang w:eastAsia="en-AU"/>
        </w:rPr>
        <w:t>8.</w:t>
      </w:r>
      <w:r w:rsidR="00013188" w:rsidRPr="009B783C">
        <w:rPr>
          <w:szCs w:val="21"/>
          <w:lang w:eastAsia="en-AU"/>
        </w:rPr>
        <w:t>5</w:t>
      </w:r>
      <w:r w:rsidR="00237A90" w:rsidRPr="009B783C">
        <w:rPr>
          <w:szCs w:val="21"/>
          <w:lang w:eastAsia="en-AU"/>
        </w:rPr>
        <w:t xml:space="preserve"> </w:t>
      </w:r>
      <w:r w:rsidR="00AD392E" w:rsidRPr="009B783C">
        <w:rPr>
          <w:szCs w:val="21"/>
          <w:lang w:eastAsia="en-AU"/>
        </w:rPr>
        <w:t xml:space="preserve">per </w:t>
      </w:r>
      <w:r w:rsidRPr="009B783C">
        <w:rPr>
          <w:szCs w:val="21"/>
          <w:lang w:eastAsia="en-AU"/>
        </w:rPr>
        <w:t>Medicare UCC</w:t>
      </w:r>
      <w:r w:rsidR="00C050DC" w:rsidRPr="009B783C">
        <w:rPr>
          <w:szCs w:val="21"/>
          <w:lang w:eastAsia="en-AU"/>
        </w:rPr>
        <w:t>.</w:t>
      </w:r>
      <w:r w:rsidR="001F56D1" w:rsidRPr="009B783C">
        <w:rPr>
          <w:szCs w:val="21"/>
          <w:lang w:eastAsia="en-AU"/>
        </w:rPr>
        <w:t xml:space="preserve"> </w:t>
      </w:r>
      <w:r w:rsidR="00B41028" w:rsidRPr="009B783C">
        <w:rPr>
          <w:szCs w:val="21"/>
          <w:lang w:eastAsia="en-AU"/>
        </w:rPr>
        <w:t xml:space="preserve">Nursing staff include nurse practitioners, </w:t>
      </w:r>
      <w:r w:rsidR="006707F4" w:rsidRPr="009B783C">
        <w:rPr>
          <w:szCs w:val="21"/>
          <w:lang w:eastAsia="en-AU"/>
        </w:rPr>
        <w:t>advanced practice nurses, nurse managers, nurse educators,</w:t>
      </w:r>
      <w:r w:rsidR="00767990" w:rsidRPr="009B783C">
        <w:rPr>
          <w:szCs w:val="21"/>
          <w:lang w:eastAsia="en-AU"/>
        </w:rPr>
        <w:t xml:space="preserve"> </w:t>
      </w:r>
      <w:r w:rsidR="00950C26" w:rsidRPr="009B783C">
        <w:rPr>
          <w:szCs w:val="21"/>
          <w:lang w:eastAsia="en-AU"/>
        </w:rPr>
        <w:t xml:space="preserve">registered nurses and enrolled nurses. </w:t>
      </w:r>
    </w:p>
    <w:p w14:paraId="73796850" w14:textId="77777777" w:rsidR="000C28F6" w:rsidRPr="009B783C" w:rsidRDefault="001F56D1" w:rsidP="00F345DA">
      <w:pPr>
        <w:rPr>
          <w:szCs w:val="21"/>
          <w:lang w:eastAsia="en-AU"/>
        </w:rPr>
      </w:pPr>
      <w:r w:rsidRPr="009B783C">
        <w:rPr>
          <w:szCs w:val="21"/>
          <w:lang w:eastAsia="en-AU"/>
        </w:rPr>
        <w:lastRenderedPageBreak/>
        <w:t>There</w:t>
      </w:r>
      <w:r w:rsidR="00AF1F5E" w:rsidRPr="009B783C">
        <w:rPr>
          <w:szCs w:val="21"/>
          <w:lang w:eastAsia="en-AU"/>
        </w:rPr>
        <w:t xml:space="preserve"> </w:t>
      </w:r>
      <w:r w:rsidR="00E51D34" w:rsidRPr="009B783C">
        <w:rPr>
          <w:szCs w:val="21"/>
          <w:lang w:eastAsia="en-AU"/>
        </w:rPr>
        <w:t>is</w:t>
      </w:r>
      <w:r w:rsidR="00AF1F5E" w:rsidRPr="009B783C">
        <w:rPr>
          <w:szCs w:val="21"/>
          <w:lang w:eastAsia="en-AU"/>
        </w:rPr>
        <w:t xml:space="preserve"> a small number of other clinical staff reported to be </w:t>
      </w:r>
      <w:r w:rsidR="007E1C6C" w:rsidRPr="009B783C">
        <w:rPr>
          <w:szCs w:val="21"/>
          <w:lang w:eastAsia="en-AU"/>
        </w:rPr>
        <w:t>working in 1</w:t>
      </w:r>
      <w:r w:rsidR="000444DA" w:rsidRPr="009B783C">
        <w:rPr>
          <w:szCs w:val="21"/>
          <w:lang w:eastAsia="en-AU"/>
        </w:rPr>
        <w:t>5</w:t>
      </w:r>
      <w:r w:rsidR="007E1C6C" w:rsidRPr="009B783C">
        <w:rPr>
          <w:szCs w:val="21"/>
          <w:lang w:eastAsia="en-AU"/>
        </w:rPr>
        <w:t xml:space="preserve"> Medicare UC</w:t>
      </w:r>
      <w:r w:rsidR="00643F69" w:rsidRPr="009B783C">
        <w:rPr>
          <w:szCs w:val="21"/>
          <w:lang w:eastAsia="en-AU"/>
        </w:rPr>
        <w:t>Cs</w:t>
      </w:r>
      <w:r w:rsidR="00E51D34" w:rsidRPr="009B783C">
        <w:rPr>
          <w:szCs w:val="21"/>
          <w:lang w:eastAsia="en-AU"/>
        </w:rPr>
        <w:t>,</w:t>
      </w:r>
      <w:r w:rsidR="00643F69" w:rsidRPr="009B783C">
        <w:rPr>
          <w:szCs w:val="21"/>
          <w:lang w:eastAsia="en-AU"/>
        </w:rPr>
        <w:t xml:space="preserve"> including allied health</w:t>
      </w:r>
      <w:r w:rsidR="009C2600" w:rsidRPr="009B783C">
        <w:rPr>
          <w:szCs w:val="21"/>
          <w:lang w:eastAsia="en-AU"/>
        </w:rPr>
        <w:t xml:space="preserve"> practitioners</w:t>
      </w:r>
      <w:r w:rsidR="00643F69" w:rsidRPr="009B783C">
        <w:rPr>
          <w:szCs w:val="21"/>
          <w:lang w:eastAsia="en-AU"/>
        </w:rPr>
        <w:t xml:space="preserve">, </w:t>
      </w:r>
      <w:r w:rsidR="00E51D34" w:rsidRPr="009B783C">
        <w:rPr>
          <w:szCs w:val="21"/>
          <w:lang w:eastAsia="en-AU"/>
        </w:rPr>
        <w:t>Aboriginal H</w:t>
      </w:r>
      <w:r w:rsidR="00643F69" w:rsidRPr="009B783C">
        <w:rPr>
          <w:szCs w:val="21"/>
          <w:lang w:eastAsia="en-AU"/>
        </w:rPr>
        <w:t xml:space="preserve">ealth </w:t>
      </w:r>
      <w:r w:rsidR="00E51D34" w:rsidRPr="009B783C">
        <w:rPr>
          <w:szCs w:val="21"/>
          <w:lang w:eastAsia="en-AU"/>
        </w:rPr>
        <w:t>Practitioners</w:t>
      </w:r>
      <w:r w:rsidR="00643F69" w:rsidRPr="009B783C">
        <w:rPr>
          <w:szCs w:val="21"/>
          <w:lang w:eastAsia="en-AU"/>
        </w:rPr>
        <w:t xml:space="preserve">, </w:t>
      </w:r>
      <w:r w:rsidR="00E51D34" w:rsidRPr="009B783C">
        <w:rPr>
          <w:szCs w:val="21"/>
          <w:lang w:eastAsia="en-AU"/>
        </w:rPr>
        <w:t xml:space="preserve">Aboriginal Health Workers </w:t>
      </w:r>
      <w:r w:rsidR="00643F69" w:rsidRPr="009B783C">
        <w:rPr>
          <w:szCs w:val="21"/>
          <w:lang w:eastAsia="en-AU"/>
        </w:rPr>
        <w:t xml:space="preserve">and radiographers. </w:t>
      </w:r>
    </w:p>
    <w:p w14:paraId="13A3C139" w14:textId="77777777" w:rsidR="00950C26" w:rsidRPr="009B783C" w:rsidRDefault="002A412A" w:rsidP="00F345DA">
      <w:pPr>
        <w:rPr>
          <w:szCs w:val="21"/>
          <w:lang w:eastAsia="en-AU"/>
        </w:rPr>
      </w:pPr>
      <w:r w:rsidRPr="009B783C">
        <w:rPr>
          <w:szCs w:val="21"/>
          <w:lang w:eastAsia="en-AU"/>
        </w:rPr>
        <w:t>Clin</w:t>
      </w:r>
      <w:r w:rsidR="00BB37EE" w:rsidRPr="009B783C">
        <w:rPr>
          <w:szCs w:val="21"/>
          <w:lang w:eastAsia="en-AU"/>
        </w:rPr>
        <w:t xml:space="preserve">ical staff are supported by </w:t>
      </w:r>
      <w:r w:rsidR="00992FF2" w:rsidRPr="009B783C">
        <w:rPr>
          <w:szCs w:val="21"/>
          <w:lang w:eastAsia="en-AU"/>
        </w:rPr>
        <w:t>a mean FTE 3.1</w:t>
      </w:r>
      <w:r w:rsidR="005D570D" w:rsidRPr="009B783C">
        <w:rPr>
          <w:szCs w:val="21"/>
          <w:lang w:eastAsia="en-AU"/>
        </w:rPr>
        <w:t xml:space="preserve"> </w:t>
      </w:r>
      <w:r w:rsidR="00BF789D" w:rsidRPr="009B783C">
        <w:rPr>
          <w:szCs w:val="21"/>
          <w:lang w:eastAsia="en-AU"/>
        </w:rPr>
        <w:t xml:space="preserve">administrative </w:t>
      </w:r>
      <w:r w:rsidR="005D570D" w:rsidRPr="009B783C">
        <w:rPr>
          <w:szCs w:val="21"/>
          <w:lang w:eastAsia="en-AU"/>
        </w:rPr>
        <w:t>staff per clinic</w:t>
      </w:r>
      <w:r w:rsidR="008A3211" w:rsidRPr="009B783C">
        <w:rPr>
          <w:szCs w:val="21"/>
          <w:lang w:eastAsia="en-AU"/>
        </w:rPr>
        <w:t xml:space="preserve">, with a </w:t>
      </w:r>
      <w:r w:rsidR="00CB3795" w:rsidRPr="009B783C">
        <w:rPr>
          <w:szCs w:val="21"/>
          <w:lang w:eastAsia="en-AU"/>
        </w:rPr>
        <w:t xml:space="preserve">mean </w:t>
      </w:r>
      <w:r w:rsidR="008A3211" w:rsidRPr="009B783C">
        <w:rPr>
          <w:szCs w:val="21"/>
          <w:lang w:eastAsia="en-AU"/>
        </w:rPr>
        <w:t xml:space="preserve">headcount of </w:t>
      </w:r>
      <w:r w:rsidR="00CB3795" w:rsidRPr="009B783C">
        <w:rPr>
          <w:szCs w:val="21"/>
          <w:lang w:eastAsia="en-AU"/>
        </w:rPr>
        <w:t xml:space="preserve">6.5 </w:t>
      </w:r>
      <w:r w:rsidR="004456CE" w:rsidRPr="009B783C">
        <w:rPr>
          <w:szCs w:val="21"/>
          <w:lang w:eastAsia="en-AU"/>
        </w:rPr>
        <w:t xml:space="preserve">per Medicare UCC. </w:t>
      </w:r>
    </w:p>
    <w:p w14:paraId="0C385A70" w14:textId="29F7EAB9" w:rsidR="00A20439" w:rsidRPr="009B783C" w:rsidRDefault="00A20439" w:rsidP="00A20439">
      <w:pPr>
        <w:pStyle w:val="Caption"/>
        <w:rPr>
          <w:szCs w:val="21"/>
        </w:rPr>
      </w:pPr>
      <w:bookmarkStart w:id="75" w:name="_Ref185485459"/>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E7782">
        <w:rPr>
          <w:noProof/>
          <w:szCs w:val="21"/>
        </w:rPr>
        <w:t>6</w:t>
      </w:r>
      <w:r w:rsidRPr="009B783C">
        <w:rPr>
          <w:szCs w:val="21"/>
        </w:rPr>
        <w:fldChar w:fldCharType="end"/>
      </w:r>
      <w:bookmarkEnd w:id="75"/>
      <w:r w:rsidRPr="009B783C">
        <w:rPr>
          <w:szCs w:val="21"/>
        </w:rPr>
        <w:t xml:space="preserve"> | Medicare UCC workforce by staff category</w:t>
      </w:r>
    </w:p>
    <w:tbl>
      <w:tblPr>
        <w:tblStyle w:val="NOUSSideHeader1"/>
        <w:tblW w:w="5003" w:type="pct"/>
        <w:tblLook w:val="04A0" w:firstRow="1" w:lastRow="0" w:firstColumn="1" w:lastColumn="0" w:noHBand="0" w:noVBand="1"/>
      </w:tblPr>
      <w:tblGrid>
        <w:gridCol w:w="2447"/>
        <w:gridCol w:w="1273"/>
        <w:gridCol w:w="1373"/>
        <w:gridCol w:w="1590"/>
        <w:gridCol w:w="966"/>
        <w:gridCol w:w="1281"/>
      </w:tblGrid>
      <w:tr w:rsidR="00C17381" w:rsidRPr="009B783C" w14:paraId="688AC9DD" w14:textId="77777777" w:rsidTr="00C27645">
        <w:trPr>
          <w:cnfStyle w:val="100000000000" w:firstRow="1" w:lastRow="0" w:firstColumn="0" w:lastColumn="0" w:oddVBand="0" w:evenVBand="0" w:oddHBand="0" w:evenHBand="0" w:firstRowFirstColumn="0" w:firstRowLastColumn="0" w:lastRowFirstColumn="0" w:lastRowLastColumn="0"/>
          <w:trHeight w:val="156"/>
        </w:trPr>
        <w:tc>
          <w:tcPr>
            <w:tcW w:w="1370" w:type="pct"/>
            <w:tcBorders>
              <w:top w:val="single" w:sz="2" w:space="0" w:color="00264D" w:themeColor="background2"/>
              <w:bottom w:val="single" w:sz="4" w:space="0" w:color="00264D" w:themeColor="background2"/>
            </w:tcBorders>
            <w:shd w:val="clear" w:color="auto" w:fill="00264D" w:themeFill="background2"/>
          </w:tcPr>
          <w:p w14:paraId="2C059E4B" w14:textId="03184588" w:rsidR="00C17381" w:rsidRPr="009B783C" w:rsidRDefault="00A46C09">
            <w:pPr>
              <w:pStyle w:val="TableNheader"/>
            </w:pPr>
            <w:r w:rsidRPr="009B783C">
              <w:t>Staff category</w:t>
            </w:r>
          </w:p>
        </w:tc>
        <w:tc>
          <w:tcPr>
            <w:tcW w:w="713" w:type="pct"/>
            <w:tcBorders>
              <w:top w:val="single" w:sz="2" w:space="0" w:color="00264D" w:themeColor="background2"/>
              <w:bottom w:val="single" w:sz="4" w:space="0" w:color="00264D" w:themeColor="background2"/>
              <w:right w:val="single" w:sz="4" w:space="0" w:color="FFFFFF" w:themeColor="background1"/>
            </w:tcBorders>
            <w:shd w:val="clear" w:color="auto" w:fill="00264D" w:themeFill="background2"/>
          </w:tcPr>
          <w:p w14:paraId="6E966807" w14:textId="62DDF3D7" w:rsidR="00C17381" w:rsidRPr="009B783C" w:rsidRDefault="00A46C09" w:rsidP="00786482">
            <w:pPr>
              <w:pStyle w:val="TableNheader"/>
            </w:pPr>
            <w:r w:rsidRPr="009B783C">
              <w:t>Medicare UCCs</w:t>
            </w:r>
          </w:p>
        </w:tc>
        <w:tc>
          <w:tcPr>
            <w:tcW w:w="769"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1B21CB02" w14:textId="164309D6" w:rsidR="00C17381" w:rsidRPr="009B783C" w:rsidRDefault="00A46C09" w:rsidP="00786482">
            <w:pPr>
              <w:pStyle w:val="TableNheader"/>
            </w:pPr>
            <w:r w:rsidRPr="009B783C">
              <w:t xml:space="preserve">Headcount, </w:t>
            </w:r>
            <w:r w:rsidR="00C17381" w:rsidRPr="009B783C">
              <w:t>Total</w:t>
            </w:r>
          </w:p>
        </w:tc>
        <w:tc>
          <w:tcPr>
            <w:tcW w:w="890"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7A75C5F1" w14:textId="6E8242A1" w:rsidR="00C17381" w:rsidRPr="009B783C" w:rsidRDefault="00A46C09" w:rsidP="00786482">
            <w:pPr>
              <w:pStyle w:val="TableNheader"/>
            </w:pPr>
            <w:r w:rsidRPr="009B783C">
              <w:t xml:space="preserve">Headcount, </w:t>
            </w:r>
            <w:r w:rsidR="00C17381" w:rsidRPr="009B783C">
              <w:t>Mean per UCC</w:t>
            </w:r>
          </w:p>
        </w:tc>
        <w:tc>
          <w:tcPr>
            <w:tcW w:w="541"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1337B3ED" w14:textId="41C487A8" w:rsidR="00C17381" w:rsidRPr="009B783C" w:rsidRDefault="00A46C09" w:rsidP="00786482">
            <w:pPr>
              <w:pStyle w:val="TableNheader"/>
            </w:pPr>
            <w:r w:rsidRPr="009B783C">
              <w:t xml:space="preserve">FTE, </w:t>
            </w:r>
            <w:r w:rsidR="00C17381" w:rsidRPr="009B783C">
              <w:t>Total</w:t>
            </w:r>
          </w:p>
        </w:tc>
        <w:tc>
          <w:tcPr>
            <w:tcW w:w="718"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5AFE4ADC" w14:textId="6FC64713" w:rsidR="00C17381" w:rsidRPr="009B783C" w:rsidRDefault="00A46C09" w:rsidP="00786482">
            <w:pPr>
              <w:pStyle w:val="TableNheader"/>
            </w:pPr>
            <w:r w:rsidRPr="009B783C">
              <w:t xml:space="preserve">FTE, </w:t>
            </w:r>
            <w:r w:rsidR="00C17381" w:rsidRPr="009B783C">
              <w:t>Mean per UCC</w:t>
            </w:r>
          </w:p>
        </w:tc>
      </w:tr>
      <w:tr w:rsidR="00C17381" w:rsidRPr="009B783C" w14:paraId="565A5DB7" w14:textId="77777777" w:rsidTr="00C27645">
        <w:trPr>
          <w:cnfStyle w:val="000000100000" w:firstRow="0" w:lastRow="0" w:firstColumn="0" w:lastColumn="0" w:oddVBand="0" w:evenVBand="0" w:oddHBand="1" w:evenHBand="0" w:firstRowFirstColumn="0" w:firstRowLastColumn="0" w:lastRowFirstColumn="0" w:lastRowLastColumn="0"/>
        </w:trPr>
        <w:tc>
          <w:tcPr>
            <w:tcW w:w="137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F6F0B5D" w14:textId="77777777" w:rsidR="00C17381" w:rsidRPr="009B783C" w:rsidRDefault="00C17381">
            <w:pPr>
              <w:pStyle w:val="TableNText"/>
              <w:rPr>
                <w:sz w:val="21"/>
                <w:szCs w:val="21"/>
              </w:rPr>
            </w:pPr>
            <w:r w:rsidRPr="009B783C">
              <w:rPr>
                <w:sz w:val="21"/>
                <w:szCs w:val="21"/>
              </w:rPr>
              <w:t>Medical practitioner</w:t>
            </w:r>
          </w:p>
        </w:tc>
        <w:tc>
          <w:tcPr>
            <w:tcW w:w="7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213ADB9" w14:textId="77777777" w:rsidR="00C17381" w:rsidRPr="009B783C" w:rsidRDefault="00C17381">
            <w:pPr>
              <w:pStyle w:val="TableNText"/>
              <w:jc w:val="center"/>
              <w:rPr>
                <w:sz w:val="21"/>
                <w:szCs w:val="21"/>
              </w:rPr>
            </w:pPr>
            <w:r w:rsidRPr="009B783C">
              <w:rPr>
                <w:sz w:val="21"/>
                <w:szCs w:val="21"/>
              </w:rPr>
              <w:t>65</w:t>
            </w:r>
          </w:p>
        </w:tc>
        <w:tc>
          <w:tcPr>
            <w:tcW w:w="7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7FC8239" w14:textId="77777777" w:rsidR="00C17381" w:rsidRPr="009B783C" w:rsidRDefault="00C17381">
            <w:pPr>
              <w:pStyle w:val="TableNText"/>
              <w:jc w:val="center"/>
              <w:rPr>
                <w:sz w:val="21"/>
                <w:szCs w:val="21"/>
              </w:rPr>
            </w:pPr>
            <w:r w:rsidRPr="009B783C">
              <w:rPr>
                <w:sz w:val="21"/>
                <w:szCs w:val="21"/>
              </w:rPr>
              <w:t>570</w:t>
            </w:r>
          </w:p>
        </w:tc>
        <w:tc>
          <w:tcPr>
            <w:tcW w:w="89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D1CB3C1" w14:textId="3C5D36A7" w:rsidR="00C17381" w:rsidRPr="009B783C" w:rsidRDefault="00C17381">
            <w:pPr>
              <w:pStyle w:val="TableNText"/>
              <w:jc w:val="center"/>
              <w:rPr>
                <w:sz w:val="21"/>
                <w:szCs w:val="21"/>
              </w:rPr>
            </w:pPr>
            <w:r w:rsidRPr="009B783C">
              <w:rPr>
                <w:sz w:val="21"/>
                <w:szCs w:val="21"/>
              </w:rPr>
              <w:t>8.</w:t>
            </w:r>
            <w:r w:rsidR="00F605B9" w:rsidRPr="009B783C">
              <w:rPr>
                <w:sz w:val="21"/>
                <w:szCs w:val="21"/>
              </w:rPr>
              <w:t>8</w:t>
            </w:r>
          </w:p>
        </w:tc>
        <w:tc>
          <w:tcPr>
            <w:tcW w:w="5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28ADEF" w14:textId="77777777" w:rsidR="00C17381" w:rsidRPr="009B783C" w:rsidRDefault="00C17381">
            <w:pPr>
              <w:pStyle w:val="TableNText"/>
              <w:jc w:val="center"/>
              <w:rPr>
                <w:sz w:val="21"/>
                <w:szCs w:val="21"/>
              </w:rPr>
            </w:pPr>
            <w:r w:rsidRPr="009B783C">
              <w:rPr>
                <w:sz w:val="21"/>
                <w:szCs w:val="21"/>
              </w:rPr>
              <w:t>182.8</w:t>
            </w:r>
          </w:p>
        </w:tc>
        <w:tc>
          <w:tcPr>
            <w:tcW w:w="71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0A573DB" w14:textId="77777777" w:rsidR="00C17381" w:rsidRPr="009B783C" w:rsidRDefault="00C17381">
            <w:pPr>
              <w:pStyle w:val="TableNText"/>
              <w:jc w:val="center"/>
              <w:rPr>
                <w:sz w:val="21"/>
                <w:szCs w:val="21"/>
              </w:rPr>
            </w:pPr>
            <w:r w:rsidRPr="009B783C">
              <w:rPr>
                <w:sz w:val="21"/>
                <w:szCs w:val="21"/>
              </w:rPr>
              <w:t>2.8</w:t>
            </w:r>
          </w:p>
        </w:tc>
      </w:tr>
      <w:tr w:rsidR="00C17381" w:rsidRPr="009B783C" w14:paraId="74C85ABC" w14:textId="77777777" w:rsidTr="00C27645">
        <w:trPr>
          <w:cnfStyle w:val="000000010000" w:firstRow="0" w:lastRow="0" w:firstColumn="0" w:lastColumn="0" w:oddVBand="0" w:evenVBand="0" w:oddHBand="0" w:evenHBand="1" w:firstRowFirstColumn="0" w:firstRowLastColumn="0" w:lastRowFirstColumn="0" w:lastRowLastColumn="0"/>
        </w:trPr>
        <w:tc>
          <w:tcPr>
            <w:tcW w:w="137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3CA286B" w14:textId="77777777" w:rsidR="00C17381" w:rsidRPr="009B783C" w:rsidRDefault="00C17381">
            <w:pPr>
              <w:pStyle w:val="TableNText"/>
              <w:rPr>
                <w:sz w:val="21"/>
                <w:szCs w:val="21"/>
              </w:rPr>
            </w:pPr>
            <w:r w:rsidRPr="009B783C">
              <w:rPr>
                <w:sz w:val="21"/>
                <w:szCs w:val="21"/>
              </w:rPr>
              <w:t>Nurse</w:t>
            </w:r>
          </w:p>
        </w:tc>
        <w:tc>
          <w:tcPr>
            <w:tcW w:w="7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D7D8323" w14:textId="77777777" w:rsidR="00C17381" w:rsidRPr="009B783C" w:rsidRDefault="00C17381">
            <w:pPr>
              <w:pStyle w:val="TableNText"/>
              <w:jc w:val="center"/>
              <w:rPr>
                <w:sz w:val="21"/>
                <w:szCs w:val="21"/>
              </w:rPr>
            </w:pPr>
            <w:r w:rsidRPr="009B783C">
              <w:rPr>
                <w:sz w:val="21"/>
                <w:szCs w:val="21"/>
              </w:rPr>
              <w:t>66</w:t>
            </w:r>
          </w:p>
        </w:tc>
        <w:tc>
          <w:tcPr>
            <w:tcW w:w="7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31CAFA1" w14:textId="77777777" w:rsidR="00C17381" w:rsidRPr="009B783C" w:rsidRDefault="00C17381">
            <w:pPr>
              <w:pStyle w:val="TableNText"/>
              <w:jc w:val="center"/>
              <w:rPr>
                <w:sz w:val="21"/>
                <w:szCs w:val="21"/>
              </w:rPr>
            </w:pPr>
            <w:r w:rsidRPr="009B783C">
              <w:rPr>
                <w:sz w:val="21"/>
                <w:szCs w:val="21"/>
              </w:rPr>
              <w:t>563</w:t>
            </w:r>
          </w:p>
        </w:tc>
        <w:tc>
          <w:tcPr>
            <w:tcW w:w="89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E8A8C20" w14:textId="77777777" w:rsidR="00C17381" w:rsidRPr="009B783C" w:rsidRDefault="00C17381">
            <w:pPr>
              <w:pStyle w:val="TableNText"/>
              <w:jc w:val="center"/>
              <w:rPr>
                <w:sz w:val="21"/>
                <w:szCs w:val="21"/>
              </w:rPr>
            </w:pPr>
            <w:r w:rsidRPr="009B783C">
              <w:rPr>
                <w:sz w:val="21"/>
                <w:szCs w:val="21"/>
              </w:rPr>
              <w:t>8.5</w:t>
            </w:r>
          </w:p>
        </w:tc>
        <w:tc>
          <w:tcPr>
            <w:tcW w:w="5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42EA341" w14:textId="77777777" w:rsidR="00C17381" w:rsidRPr="009B783C" w:rsidRDefault="00C17381">
            <w:pPr>
              <w:pStyle w:val="TableNText"/>
              <w:jc w:val="center"/>
              <w:rPr>
                <w:sz w:val="21"/>
                <w:szCs w:val="21"/>
              </w:rPr>
            </w:pPr>
            <w:r w:rsidRPr="009B783C">
              <w:rPr>
                <w:sz w:val="21"/>
                <w:szCs w:val="21"/>
              </w:rPr>
              <w:t>261.3</w:t>
            </w:r>
          </w:p>
        </w:tc>
        <w:tc>
          <w:tcPr>
            <w:tcW w:w="71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C39E9BB" w14:textId="77777777" w:rsidR="00C17381" w:rsidRPr="009B783C" w:rsidRDefault="00C17381">
            <w:pPr>
              <w:pStyle w:val="TableNText"/>
              <w:jc w:val="center"/>
              <w:rPr>
                <w:sz w:val="21"/>
                <w:szCs w:val="21"/>
              </w:rPr>
            </w:pPr>
            <w:r w:rsidRPr="009B783C">
              <w:rPr>
                <w:sz w:val="21"/>
                <w:szCs w:val="21"/>
              </w:rPr>
              <w:t>4.0</w:t>
            </w:r>
          </w:p>
        </w:tc>
      </w:tr>
      <w:tr w:rsidR="00C17381" w:rsidRPr="009B783C" w14:paraId="33687CB2" w14:textId="77777777" w:rsidTr="00C27645">
        <w:trPr>
          <w:cnfStyle w:val="000000100000" w:firstRow="0" w:lastRow="0" w:firstColumn="0" w:lastColumn="0" w:oddVBand="0" w:evenVBand="0" w:oddHBand="1" w:evenHBand="0" w:firstRowFirstColumn="0" w:firstRowLastColumn="0" w:lastRowFirstColumn="0" w:lastRowLastColumn="0"/>
        </w:trPr>
        <w:tc>
          <w:tcPr>
            <w:tcW w:w="137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54DDA27" w14:textId="77777777" w:rsidR="00C17381" w:rsidRPr="009B783C" w:rsidRDefault="00C17381">
            <w:pPr>
              <w:pStyle w:val="TableNText"/>
              <w:rPr>
                <w:sz w:val="21"/>
                <w:szCs w:val="21"/>
              </w:rPr>
            </w:pPr>
            <w:r w:rsidRPr="009B783C">
              <w:rPr>
                <w:sz w:val="21"/>
                <w:szCs w:val="21"/>
              </w:rPr>
              <w:t>Other clinical</w:t>
            </w:r>
          </w:p>
        </w:tc>
        <w:tc>
          <w:tcPr>
            <w:tcW w:w="7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6B6EDBF" w14:textId="77777777" w:rsidR="00C17381" w:rsidRPr="009B783C" w:rsidRDefault="00C17381">
            <w:pPr>
              <w:pStyle w:val="TableNText"/>
              <w:jc w:val="center"/>
              <w:rPr>
                <w:sz w:val="21"/>
                <w:szCs w:val="21"/>
              </w:rPr>
            </w:pPr>
            <w:r w:rsidRPr="009B783C">
              <w:rPr>
                <w:sz w:val="21"/>
                <w:szCs w:val="21"/>
              </w:rPr>
              <w:t>15</w:t>
            </w:r>
          </w:p>
        </w:tc>
        <w:tc>
          <w:tcPr>
            <w:tcW w:w="7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CBA196" w14:textId="77777777" w:rsidR="00C17381" w:rsidRPr="009B783C" w:rsidRDefault="00C17381">
            <w:pPr>
              <w:pStyle w:val="TableNText"/>
              <w:jc w:val="center"/>
              <w:rPr>
                <w:sz w:val="21"/>
                <w:szCs w:val="21"/>
              </w:rPr>
            </w:pPr>
            <w:r w:rsidRPr="009B783C">
              <w:rPr>
                <w:sz w:val="21"/>
                <w:szCs w:val="21"/>
              </w:rPr>
              <w:t>45</w:t>
            </w:r>
          </w:p>
        </w:tc>
        <w:tc>
          <w:tcPr>
            <w:tcW w:w="89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902D23C" w14:textId="77777777" w:rsidR="00C17381" w:rsidRPr="009B783C" w:rsidRDefault="00C17381">
            <w:pPr>
              <w:pStyle w:val="TableNText"/>
              <w:jc w:val="center"/>
              <w:rPr>
                <w:sz w:val="21"/>
                <w:szCs w:val="21"/>
              </w:rPr>
            </w:pPr>
            <w:r w:rsidRPr="009B783C">
              <w:rPr>
                <w:sz w:val="21"/>
                <w:szCs w:val="21"/>
              </w:rPr>
              <w:t>3.0</w:t>
            </w:r>
          </w:p>
        </w:tc>
        <w:tc>
          <w:tcPr>
            <w:tcW w:w="5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C47FA00" w14:textId="77777777" w:rsidR="00C17381" w:rsidRPr="009B783C" w:rsidRDefault="00C17381">
            <w:pPr>
              <w:pStyle w:val="TableNText"/>
              <w:jc w:val="center"/>
              <w:rPr>
                <w:sz w:val="21"/>
                <w:szCs w:val="21"/>
              </w:rPr>
            </w:pPr>
            <w:r w:rsidRPr="009B783C">
              <w:rPr>
                <w:sz w:val="21"/>
                <w:szCs w:val="21"/>
              </w:rPr>
              <w:t>15.6</w:t>
            </w:r>
          </w:p>
        </w:tc>
        <w:tc>
          <w:tcPr>
            <w:tcW w:w="71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04EA04E" w14:textId="77777777" w:rsidR="00C17381" w:rsidRPr="009B783C" w:rsidRDefault="00C17381">
            <w:pPr>
              <w:pStyle w:val="TableNText"/>
              <w:jc w:val="center"/>
              <w:rPr>
                <w:sz w:val="21"/>
                <w:szCs w:val="21"/>
              </w:rPr>
            </w:pPr>
            <w:r w:rsidRPr="009B783C">
              <w:rPr>
                <w:sz w:val="21"/>
                <w:szCs w:val="21"/>
              </w:rPr>
              <w:t>1.0</w:t>
            </w:r>
          </w:p>
        </w:tc>
      </w:tr>
      <w:tr w:rsidR="00C17381" w:rsidRPr="009B783C" w14:paraId="2F5F01C6" w14:textId="77777777" w:rsidTr="00C27645">
        <w:trPr>
          <w:cnfStyle w:val="000000010000" w:firstRow="0" w:lastRow="0" w:firstColumn="0" w:lastColumn="0" w:oddVBand="0" w:evenVBand="0" w:oddHBand="0" w:evenHBand="1" w:firstRowFirstColumn="0" w:firstRowLastColumn="0" w:lastRowFirstColumn="0" w:lastRowLastColumn="0"/>
        </w:trPr>
        <w:tc>
          <w:tcPr>
            <w:tcW w:w="137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A848085" w14:textId="77777777" w:rsidR="00C17381" w:rsidRPr="009B783C" w:rsidRDefault="00C17381">
            <w:pPr>
              <w:pStyle w:val="TableNText"/>
              <w:rPr>
                <w:sz w:val="21"/>
                <w:szCs w:val="21"/>
              </w:rPr>
            </w:pPr>
            <w:r w:rsidRPr="009B783C">
              <w:rPr>
                <w:sz w:val="21"/>
                <w:szCs w:val="21"/>
              </w:rPr>
              <w:t>Administration staff</w:t>
            </w:r>
          </w:p>
        </w:tc>
        <w:tc>
          <w:tcPr>
            <w:tcW w:w="7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8434F92" w14:textId="77777777" w:rsidR="00C17381" w:rsidRPr="009B783C" w:rsidRDefault="00C17381">
            <w:pPr>
              <w:pStyle w:val="TableNText"/>
              <w:jc w:val="center"/>
              <w:rPr>
                <w:sz w:val="21"/>
                <w:szCs w:val="21"/>
              </w:rPr>
            </w:pPr>
            <w:r w:rsidRPr="009B783C">
              <w:rPr>
                <w:sz w:val="21"/>
                <w:szCs w:val="21"/>
              </w:rPr>
              <w:t>63</w:t>
            </w:r>
          </w:p>
        </w:tc>
        <w:tc>
          <w:tcPr>
            <w:tcW w:w="7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9508B67" w14:textId="77777777" w:rsidR="00C17381" w:rsidRPr="009B783C" w:rsidRDefault="00C17381">
            <w:pPr>
              <w:pStyle w:val="TableNText"/>
              <w:jc w:val="center"/>
              <w:rPr>
                <w:sz w:val="21"/>
                <w:szCs w:val="21"/>
              </w:rPr>
            </w:pPr>
            <w:r w:rsidRPr="009B783C">
              <w:rPr>
                <w:sz w:val="21"/>
                <w:szCs w:val="21"/>
              </w:rPr>
              <w:t>408</w:t>
            </w:r>
          </w:p>
        </w:tc>
        <w:tc>
          <w:tcPr>
            <w:tcW w:w="89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200AF75" w14:textId="77777777" w:rsidR="00C17381" w:rsidRPr="009B783C" w:rsidRDefault="00C17381">
            <w:pPr>
              <w:pStyle w:val="TableNText"/>
              <w:jc w:val="center"/>
              <w:rPr>
                <w:sz w:val="21"/>
                <w:szCs w:val="21"/>
              </w:rPr>
            </w:pPr>
            <w:r w:rsidRPr="009B783C">
              <w:rPr>
                <w:sz w:val="21"/>
                <w:szCs w:val="21"/>
              </w:rPr>
              <w:t>6.5</w:t>
            </w:r>
          </w:p>
        </w:tc>
        <w:tc>
          <w:tcPr>
            <w:tcW w:w="5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F57E875" w14:textId="77777777" w:rsidR="00C17381" w:rsidRPr="009B783C" w:rsidRDefault="00C17381">
            <w:pPr>
              <w:pStyle w:val="TableNText"/>
              <w:jc w:val="center"/>
              <w:rPr>
                <w:sz w:val="21"/>
                <w:szCs w:val="21"/>
              </w:rPr>
            </w:pPr>
            <w:r w:rsidRPr="009B783C">
              <w:rPr>
                <w:sz w:val="21"/>
                <w:szCs w:val="21"/>
              </w:rPr>
              <w:t>195.2</w:t>
            </w:r>
          </w:p>
        </w:tc>
        <w:tc>
          <w:tcPr>
            <w:tcW w:w="71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A7D98E3" w14:textId="77777777" w:rsidR="00C17381" w:rsidRPr="009B783C" w:rsidRDefault="00C17381">
            <w:pPr>
              <w:pStyle w:val="TableNText"/>
              <w:jc w:val="center"/>
              <w:rPr>
                <w:sz w:val="21"/>
                <w:szCs w:val="21"/>
              </w:rPr>
            </w:pPr>
            <w:r w:rsidRPr="009B783C">
              <w:rPr>
                <w:sz w:val="21"/>
                <w:szCs w:val="21"/>
              </w:rPr>
              <w:t>3.1</w:t>
            </w:r>
          </w:p>
        </w:tc>
      </w:tr>
      <w:tr w:rsidR="00C17381" w:rsidRPr="009B783C" w14:paraId="6978D63E" w14:textId="77777777" w:rsidTr="00C27645">
        <w:trPr>
          <w:cnfStyle w:val="000000100000" w:firstRow="0" w:lastRow="0" w:firstColumn="0" w:lastColumn="0" w:oddVBand="0" w:evenVBand="0" w:oddHBand="1" w:evenHBand="0" w:firstRowFirstColumn="0" w:firstRowLastColumn="0" w:lastRowFirstColumn="0" w:lastRowLastColumn="0"/>
        </w:trPr>
        <w:tc>
          <w:tcPr>
            <w:tcW w:w="137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AD3E371" w14:textId="77777777" w:rsidR="00C17381" w:rsidRPr="009B783C" w:rsidRDefault="00C17381">
            <w:pPr>
              <w:pStyle w:val="TableNText"/>
              <w:rPr>
                <w:sz w:val="21"/>
                <w:szCs w:val="21"/>
              </w:rPr>
            </w:pPr>
            <w:r w:rsidRPr="009B783C">
              <w:rPr>
                <w:sz w:val="21"/>
                <w:szCs w:val="21"/>
              </w:rPr>
              <w:t>Total</w:t>
            </w:r>
          </w:p>
        </w:tc>
        <w:tc>
          <w:tcPr>
            <w:tcW w:w="7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DC95013" w14:textId="77777777" w:rsidR="00C17381" w:rsidRPr="009B783C" w:rsidRDefault="00C17381">
            <w:pPr>
              <w:pStyle w:val="TableNText"/>
              <w:jc w:val="center"/>
              <w:rPr>
                <w:sz w:val="21"/>
                <w:szCs w:val="21"/>
              </w:rPr>
            </w:pPr>
            <w:r w:rsidRPr="009B783C">
              <w:rPr>
                <w:sz w:val="21"/>
                <w:szCs w:val="21"/>
              </w:rPr>
              <w:t>66</w:t>
            </w:r>
          </w:p>
        </w:tc>
        <w:tc>
          <w:tcPr>
            <w:tcW w:w="7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F11C3A5" w14:textId="77777777" w:rsidR="00C17381" w:rsidRPr="009B783C" w:rsidRDefault="00C17381">
            <w:pPr>
              <w:pStyle w:val="TableNText"/>
              <w:jc w:val="center"/>
              <w:rPr>
                <w:sz w:val="21"/>
                <w:szCs w:val="21"/>
              </w:rPr>
            </w:pPr>
            <w:r w:rsidRPr="009B783C">
              <w:rPr>
                <w:sz w:val="21"/>
                <w:szCs w:val="21"/>
              </w:rPr>
              <w:t>1,586</w:t>
            </w:r>
          </w:p>
        </w:tc>
        <w:tc>
          <w:tcPr>
            <w:tcW w:w="89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78B4325" w14:textId="77777777" w:rsidR="00C17381" w:rsidRPr="009B783C" w:rsidRDefault="00C17381">
            <w:pPr>
              <w:pStyle w:val="TableNText"/>
              <w:jc w:val="center"/>
              <w:rPr>
                <w:sz w:val="21"/>
                <w:szCs w:val="21"/>
              </w:rPr>
            </w:pPr>
            <w:r w:rsidRPr="009B783C">
              <w:rPr>
                <w:sz w:val="21"/>
                <w:szCs w:val="21"/>
              </w:rPr>
              <w:t>24.0</w:t>
            </w:r>
          </w:p>
        </w:tc>
        <w:tc>
          <w:tcPr>
            <w:tcW w:w="5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49BB0BD" w14:textId="77777777" w:rsidR="00C17381" w:rsidRPr="009B783C" w:rsidRDefault="00C17381">
            <w:pPr>
              <w:pStyle w:val="TableNText"/>
              <w:jc w:val="center"/>
              <w:rPr>
                <w:sz w:val="21"/>
                <w:szCs w:val="21"/>
              </w:rPr>
            </w:pPr>
            <w:r w:rsidRPr="009B783C">
              <w:rPr>
                <w:sz w:val="21"/>
                <w:szCs w:val="21"/>
              </w:rPr>
              <w:t>654.8</w:t>
            </w:r>
          </w:p>
        </w:tc>
        <w:tc>
          <w:tcPr>
            <w:tcW w:w="71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3D83BBF" w14:textId="77777777" w:rsidR="00C17381" w:rsidRPr="009B783C" w:rsidRDefault="00C17381">
            <w:pPr>
              <w:pStyle w:val="TableNText"/>
              <w:jc w:val="center"/>
              <w:rPr>
                <w:sz w:val="21"/>
                <w:szCs w:val="21"/>
              </w:rPr>
            </w:pPr>
            <w:r w:rsidRPr="009B783C">
              <w:rPr>
                <w:sz w:val="21"/>
                <w:szCs w:val="21"/>
              </w:rPr>
              <w:t>9.9</w:t>
            </w:r>
          </w:p>
        </w:tc>
      </w:tr>
    </w:tbl>
    <w:p w14:paraId="5BD7579B" w14:textId="210C57E9" w:rsidR="00F345DA" w:rsidRPr="00ED1544" w:rsidRDefault="00F345DA" w:rsidP="00ED1544">
      <w:bookmarkStart w:id="76" w:name="_Toc188946093"/>
      <w:bookmarkEnd w:id="76"/>
      <w:r w:rsidRPr="00ED1544">
        <w:t xml:space="preserve">Note: Table includes data from 66 clinics that reported staffing data out of the 75 operational clinics </w:t>
      </w:r>
      <w:proofErr w:type="gramStart"/>
      <w:r w:rsidRPr="00ED1544">
        <w:t>at</w:t>
      </w:r>
      <w:proofErr w:type="gramEnd"/>
      <w:r w:rsidRPr="00ED1544">
        <w:t xml:space="preserve"> 30 September 2024. Data for ten clinics was collected in October to November 2024. In a few instances, Medicare UCCs reported a headcount but no FTE staff. In a few other instances, no headcount was reported but an FTE value was reported. Missing values were estimated by using ratios between headcount and FTE by staff type reported by other Medicare UCCs, or alternatively, utilising the explanation provided by the Medicare UCCs. This resulted in an increase in headcount of 15 and an increase in FTE of 30.5 across all staff types and clinic categories.</w:t>
      </w:r>
    </w:p>
    <w:p w14:paraId="6C786EA7" w14:textId="77CBADCC" w:rsidR="004D26B9" w:rsidRPr="009B783C" w:rsidRDefault="00044C7D" w:rsidP="00383E27">
      <w:pPr>
        <w:pStyle w:val="Heading2"/>
        <w:ind w:left="578" w:hanging="578"/>
      </w:pPr>
      <w:bookmarkStart w:id="77" w:name="_Toc189639224"/>
      <w:bookmarkStart w:id="78" w:name="_Toc189772024"/>
      <w:r w:rsidRPr="009B783C">
        <w:t>P</w:t>
      </w:r>
      <w:r w:rsidR="00630AE9" w:rsidRPr="009B783C">
        <w:t xml:space="preserve">resentations </w:t>
      </w:r>
      <w:r w:rsidR="007743AB" w:rsidRPr="009B783C">
        <w:t xml:space="preserve">to </w:t>
      </w:r>
      <w:r w:rsidR="004D26B9" w:rsidRPr="009B783C">
        <w:t>Medicare UCCs</w:t>
      </w:r>
      <w:bookmarkEnd w:id="77"/>
      <w:bookmarkEnd w:id="78"/>
    </w:p>
    <w:p w14:paraId="6339E411" w14:textId="77777777" w:rsidR="006B3DB7" w:rsidRPr="00E352B1" w:rsidRDefault="00F476F8" w:rsidP="000D706D">
      <w:pPr>
        <w:pStyle w:val="Heading3"/>
      </w:pPr>
      <w:r w:rsidRPr="00E352B1">
        <w:t>T</w:t>
      </w:r>
      <w:r w:rsidR="00E37CF8" w:rsidRPr="00E352B1">
        <w:t xml:space="preserve">here </w:t>
      </w:r>
      <w:r w:rsidR="00166267" w:rsidRPr="00E352B1">
        <w:t>were</w:t>
      </w:r>
      <w:r w:rsidR="00E37CF8" w:rsidRPr="00E352B1">
        <w:t xml:space="preserve"> </w:t>
      </w:r>
      <w:r w:rsidR="0082681E" w:rsidRPr="00E352B1">
        <w:t>7</w:t>
      </w:r>
      <w:r w:rsidR="008C7B07" w:rsidRPr="00E352B1">
        <w:t>84,071</w:t>
      </w:r>
      <w:r w:rsidR="00E37CF8" w:rsidRPr="00E352B1">
        <w:t xml:space="preserve"> presentations to Medicare UCCs </w:t>
      </w:r>
      <w:r w:rsidR="00166267" w:rsidRPr="00E352B1">
        <w:t xml:space="preserve">between </w:t>
      </w:r>
      <w:r w:rsidR="008C7B07" w:rsidRPr="00E352B1">
        <w:t>30 June</w:t>
      </w:r>
      <w:r w:rsidR="00166267" w:rsidRPr="00E352B1">
        <w:t xml:space="preserve"> 2023 and</w:t>
      </w:r>
      <w:r w:rsidRPr="00E352B1">
        <w:t xml:space="preserve"> </w:t>
      </w:r>
      <w:r w:rsidR="008C7B07" w:rsidRPr="00E352B1">
        <w:t xml:space="preserve">30 </w:t>
      </w:r>
      <w:r w:rsidRPr="00E352B1">
        <w:t>September 2024</w:t>
      </w:r>
    </w:p>
    <w:p w14:paraId="3EEF537E" w14:textId="2005A8DF" w:rsidR="006B407E" w:rsidRPr="009B783C" w:rsidRDefault="00D952E4" w:rsidP="00F345DA">
      <w:pPr>
        <w:rPr>
          <w:szCs w:val="21"/>
        </w:rPr>
      </w:pPr>
      <w:r w:rsidRPr="009B783C">
        <w:rPr>
          <w:szCs w:val="21"/>
        </w:rPr>
        <w:t xml:space="preserve">As shown in </w:t>
      </w:r>
      <w:r w:rsidR="00605456" w:rsidRPr="009B783C">
        <w:rPr>
          <w:szCs w:val="21"/>
        </w:rPr>
        <w:fldChar w:fldCharType="begin"/>
      </w:r>
      <w:r w:rsidR="00605456" w:rsidRPr="009B783C">
        <w:rPr>
          <w:szCs w:val="21"/>
        </w:rPr>
        <w:instrText xml:space="preserve"> REF _Ref185485503 \h </w:instrText>
      </w:r>
      <w:r w:rsidR="00F345DA" w:rsidRPr="009B783C">
        <w:rPr>
          <w:szCs w:val="21"/>
        </w:rPr>
        <w:instrText xml:space="preserve"> \* MERGEFORMAT </w:instrText>
      </w:r>
      <w:r w:rsidR="00605456" w:rsidRPr="009B783C">
        <w:rPr>
          <w:szCs w:val="21"/>
        </w:rPr>
      </w:r>
      <w:r w:rsidR="00605456" w:rsidRPr="009B783C">
        <w:rPr>
          <w:szCs w:val="21"/>
        </w:rPr>
        <w:fldChar w:fldCharType="separate"/>
      </w:r>
      <w:r w:rsidR="006E7782" w:rsidRPr="009B783C">
        <w:rPr>
          <w:szCs w:val="21"/>
        </w:rPr>
        <w:t xml:space="preserve">Figure </w:t>
      </w:r>
      <w:r w:rsidR="006E7782">
        <w:rPr>
          <w:szCs w:val="21"/>
        </w:rPr>
        <w:t>7</w:t>
      </w:r>
      <w:r w:rsidR="00605456" w:rsidRPr="009B783C">
        <w:rPr>
          <w:szCs w:val="21"/>
        </w:rPr>
        <w:fldChar w:fldCharType="end"/>
      </w:r>
      <w:r w:rsidRPr="009B783C">
        <w:rPr>
          <w:szCs w:val="21"/>
        </w:rPr>
        <w:t xml:space="preserve">, </w:t>
      </w:r>
      <w:r w:rsidR="0088383F" w:rsidRPr="009B783C">
        <w:rPr>
          <w:szCs w:val="21"/>
        </w:rPr>
        <w:t xml:space="preserve">mean presentations to </w:t>
      </w:r>
      <w:r w:rsidR="005F2575" w:rsidRPr="009B783C">
        <w:rPr>
          <w:szCs w:val="21"/>
        </w:rPr>
        <w:t xml:space="preserve">Medicare UCCs </w:t>
      </w:r>
      <w:r w:rsidR="00BD2A81" w:rsidRPr="009B783C">
        <w:rPr>
          <w:szCs w:val="21"/>
        </w:rPr>
        <w:t>p</w:t>
      </w:r>
      <w:r w:rsidR="005F2575" w:rsidRPr="009B783C">
        <w:rPr>
          <w:szCs w:val="21"/>
        </w:rPr>
        <w:t>er day range between 36.2 to 40.5</w:t>
      </w:r>
      <w:r w:rsidR="00BD2A81" w:rsidRPr="009B783C">
        <w:rPr>
          <w:szCs w:val="21"/>
        </w:rPr>
        <w:t>.</w:t>
      </w:r>
      <w:r w:rsidR="008A611A" w:rsidRPr="009B783C">
        <w:rPr>
          <w:szCs w:val="21"/>
        </w:rPr>
        <w:t xml:space="preserve"> </w:t>
      </w:r>
      <w:r w:rsidR="00C17381" w:rsidRPr="009B783C">
        <w:rPr>
          <w:szCs w:val="21"/>
        </w:rPr>
        <w:t>Mean presentations to Medicare UCCs were slightly higher on Sundays and Mondays, but otherwise relatively consistent throughout the week</w:t>
      </w:r>
      <w:r w:rsidR="002F0794" w:rsidRPr="009B783C">
        <w:rPr>
          <w:szCs w:val="21"/>
        </w:rPr>
        <w:t>.</w:t>
      </w:r>
    </w:p>
    <w:p w14:paraId="7E62D127" w14:textId="6E7B99C8" w:rsidR="00C17381" w:rsidRPr="009B783C" w:rsidRDefault="00E051B1" w:rsidP="00C17381">
      <w:pPr>
        <w:pStyle w:val="Caption"/>
        <w:rPr>
          <w:szCs w:val="21"/>
        </w:rPr>
      </w:pPr>
      <w:bookmarkStart w:id="79" w:name="_Ref185485503"/>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E7782">
        <w:rPr>
          <w:noProof/>
          <w:szCs w:val="21"/>
        </w:rPr>
        <w:t>7</w:t>
      </w:r>
      <w:r w:rsidRPr="009B783C">
        <w:rPr>
          <w:szCs w:val="21"/>
        </w:rPr>
        <w:fldChar w:fldCharType="end"/>
      </w:r>
      <w:bookmarkEnd w:id="79"/>
      <w:r w:rsidR="00C17381" w:rsidRPr="009B783C">
        <w:rPr>
          <w:szCs w:val="21"/>
        </w:rPr>
        <w:t xml:space="preserve"> | Mean presentations </w:t>
      </w:r>
      <w:r w:rsidR="00CE6351" w:rsidRPr="009B783C">
        <w:rPr>
          <w:szCs w:val="21"/>
        </w:rPr>
        <w:t xml:space="preserve">per clinic </w:t>
      </w:r>
      <w:r w:rsidR="00C17381" w:rsidRPr="009B783C">
        <w:rPr>
          <w:szCs w:val="21"/>
        </w:rPr>
        <w:t>by day of the week, 1 February 2024 to 30 September 2024</w:t>
      </w:r>
    </w:p>
    <w:p w14:paraId="2FFEB0D7" w14:textId="7432E7F3" w:rsidR="00C17381" w:rsidRPr="009B783C" w:rsidRDefault="547E6296" w:rsidP="00C17381">
      <w:pPr>
        <w:spacing w:after="0"/>
      </w:pPr>
      <w:r>
        <w:rPr>
          <w:noProof/>
        </w:rPr>
        <w:drawing>
          <wp:inline distT="0" distB="0" distL="0" distR="0" wp14:anchorId="32D8944B" wp14:editId="7BEF19B7">
            <wp:extent cx="5676900" cy="2888056"/>
            <wp:effectExtent l="0" t="0" r="0" b="7620"/>
            <wp:docPr id="432515243" name="Picture 432515243" descr="This image presents a bar chart showing mean presentations per clinic by day of the wee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515243" name="Picture 432515243" descr="This image presents a bar chart showing mean presentations per clinic by day of the week. "/>
                    <pic:cNvPicPr/>
                  </pic:nvPicPr>
                  <pic:blipFill rotWithShape="1">
                    <a:blip r:embed="rId31">
                      <a:extLst>
                        <a:ext uri="{28A0092B-C50C-407E-A947-70E740481C1C}">
                          <a14:useLocalDpi xmlns:a14="http://schemas.microsoft.com/office/drawing/2010/main" val="0"/>
                        </a:ext>
                      </a:extLst>
                    </a:blip>
                    <a:srcRect b="10558"/>
                    <a:stretch/>
                  </pic:blipFill>
                  <pic:spPr bwMode="auto">
                    <a:xfrm>
                      <a:off x="0" y="0"/>
                      <a:ext cx="5676902" cy="2888057"/>
                    </a:xfrm>
                    <a:prstGeom prst="rect">
                      <a:avLst/>
                    </a:prstGeom>
                    <a:ln>
                      <a:noFill/>
                    </a:ln>
                    <a:extLst>
                      <a:ext uri="{53640926-AAD7-44D8-BBD7-CCE9431645EC}">
                        <a14:shadowObscured xmlns:a14="http://schemas.microsoft.com/office/drawing/2010/main"/>
                      </a:ext>
                    </a:extLst>
                  </pic:spPr>
                </pic:pic>
              </a:graphicData>
            </a:graphic>
          </wp:inline>
        </w:drawing>
      </w:r>
    </w:p>
    <w:p w14:paraId="71B5D248" w14:textId="3E0D44E5" w:rsidR="00C91742" w:rsidRPr="009B783C" w:rsidRDefault="000D706D" w:rsidP="00C91742">
      <w:pPr>
        <w:spacing w:after="0"/>
        <w:rPr>
          <w:szCs w:val="21"/>
        </w:rPr>
      </w:pPr>
      <w:r>
        <w:rPr>
          <w:szCs w:val="21"/>
        </w:rPr>
        <w:t xml:space="preserve">Detailed </w:t>
      </w:r>
      <w:r w:rsidR="00C91742" w:rsidRPr="009B783C">
        <w:rPr>
          <w:szCs w:val="21"/>
        </w:rPr>
        <w:t>description:</w:t>
      </w:r>
    </w:p>
    <w:p w14:paraId="29AA2D8C" w14:textId="5EA90EEC" w:rsidR="00AA4CFF" w:rsidRPr="009B783C" w:rsidRDefault="00C91742" w:rsidP="00C91742">
      <w:pPr>
        <w:spacing w:after="0"/>
        <w:rPr>
          <w:szCs w:val="21"/>
          <w:lang w:val="en-US"/>
        </w:rPr>
      </w:pPr>
      <w:r w:rsidRPr="009B783C">
        <w:rPr>
          <w:szCs w:val="21"/>
        </w:rPr>
        <w:t xml:space="preserve">Data is summarised </w:t>
      </w:r>
      <w:r w:rsidR="00AA4CFF" w:rsidRPr="009B783C">
        <w:rPr>
          <w:szCs w:val="21"/>
        </w:rPr>
        <w:t>in the table below.</w:t>
      </w:r>
    </w:p>
    <w:tbl>
      <w:tblPr>
        <w:tblStyle w:val="TableGrid"/>
        <w:tblW w:w="0" w:type="auto"/>
        <w:tblCellMar>
          <w:top w:w="57" w:type="dxa"/>
          <w:bottom w:w="57" w:type="dxa"/>
        </w:tblCellMar>
        <w:tblLook w:val="04A0" w:firstRow="1" w:lastRow="0" w:firstColumn="1" w:lastColumn="0" w:noHBand="0" w:noVBand="1"/>
      </w:tblPr>
      <w:tblGrid>
        <w:gridCol w:w="4460"/>
        <w:gridCol w:w="4460"/>
      </w:tblGrid>
      <w:tr w:rsidR="00AA4CFF" w:rsidRPr="009B783C" w14:paraId="2908861C" w14:textId="77777777" w:rsidTr="000C20F4">
        <w:trPr>
          <w:tblHeader/>
        </w:trPr>
        <w:tc>
          <w:tcPr>
            <w:tcW w:w="44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F203C75" w14:textId="0CF21CEE" w:rsidR="00AA4CFF" w:rsidRPr="009B783C" w:rsidRDefault="00AA4CFF" w:rsidP="007A48C9">
            <w:pPr>
              <w:pStyle w:val="TableNheader"/>
              <w:rPr>
                <w:rFonts w:asciiTheme="majorHAnsi" w:hAnsiTheme="majorHAnsi" w:cstheme="majorHAnsi"/>
              </w:rPr>
            </w:pPr>
            <w:r w:rsidRPr="009B783C">
              <w:t>Day of week</w:t>
            </w:r>
          </w:p>
        </w:tc>
        <w:tc>
          <w:tcPr>
            <w:tcW w:w="446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22BC334B" w14:textId="361FD785" w:rsidR="00AA4CFF" w:rsidRPr="009B783C" w:rsidRDefault="00AA4CFF" w:rsidP="006A4BE2">
            <w:pPr>
              <w:pStyle w:val="TableNheader"/>
              <w:rPr>
                <w:rFonts w:asciiTheme="majorHAnsi" w:hAnsiTheme="majorHAnsi" w:cstheme="majorHAnsi"/>
              </w:rPr>
            </w:pPr>
            <w:r w:rsidRPr="009B783C">
              <w:t>Mean presentations</w:t>
            </w:r>
          </w:p>
        </w:tc>
      </w:tr>
      <w:tr w:rsidR="00845CB5" w:rsidRPr="009B783C" w14:paraId="02672B2B" w14:textId="77777777" w:rsidTr="00845CB5">
        <w:tc>
          <w:tcPr>
            <w:tcW w:w="4460" w:type="dxa"/>
            <w:tcBorders>
              <w:top w:val="single" w:sz="4" w:space="0" w:color="FFFFFF" w:themeColor="background1"/>
            </w:tcBorders>
            <w:vAlign w:val="bottom"/>
          </w:tcPr>
          <w:p w14:paraId="47CB8A19" w14:textId="30AA1C97"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Monday</w:t>
            </w:r>
          </w:p>
        </w:tc>
        <w:tc>
          <w:tcPr>
            <w:tcW w:w="4460" w:type="dxa"/>
            <w:tcBorders>
              <w:top w:val="single" w:sz="4" w:space="0" w:color="FFFFFF" w:themeColor="background1"/>
            </w:tcBorders>
            <w:vAlign w:val="bottom"/>
          </w:tcPr>
          <w:p w14:paraId="667DC7CF" w14:textId="24E8BC5F"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40.5</w:t>
            </w:r>
          </w:p>
        </w:tc>
      </w:tr>
      <w:tr w:rsidR="00845CB5" w:rsidRPr="009B783C" w14:paraId="72F8204A" w14:textId="77777777" w:rsidTr="00845CB5">
        <w:tc>
          <w:tcPr>
            <w:tcW w:w="4460" w:type="dxa"/>
            <w:vAlign w:val="bottom"/>
          </w:tcPr>
          <w:p w14:paraId="4ABFA7D7" w14:textId="09179756"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Tuesday</w:t>
            </w:r>
          </w:p>
        </w:tc>
        <w:tc>
          <w:tcPr>
            <w:tcW w:w="4460" w:type="dxa"/>
            <w:vAlign w:val="bottom"/>
          </w:tcPr>
          <w:p w14:paraId="3596BDB2" w14:textId="0F8F5C6F"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36.6</w:t>
            </w:r>
          </w:p>
        </w:tc>
      </w:tr>
      <w:tr w:rsidR="00845CB5" w:rsidRPr="009B783C" w14:paraId="34E5EDA0" w14:textId="77777777" w:rsidTr="00845CB5">
        <w:tc>
          <w:tcPr>
            <w:tcW w:w="4460" w:type="dxa"/>
            <w:vAlign w:val="bottom"/>
          </w:tcPr>
          <w:p w14:paraId="0FF537D5" w14:textId="691586D8"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Wednesday</w:t>
            </w:r>
          </w:p>
        </w:tc>
        <w:tc>
          <w:tcPr>
            <w:tcW w:w="4460" w:type="dxa"/>
            <w:vAlign w:val="bottom"/>
          </w:tcPr>
          <w:p w14:paraId="4D6BA000" w14:textId="09D9D296"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37.1</w:t>
            </w:r>
          </w:p>
        </w:tc>
      </w:tr>
      <w:tr w:rsidR="00845CB5" w:rsidRPr="009B783C" w14:paraId="13974126" w14:textId="77777777" w:rsidTr="00845CB5">
        <w:tc>
          <w:tcPr>
            <w:tcW w:w="4460" w:type="dxa"/>
            <w:vAlign w:val="bottom"/>
          </w:tcPr>
          <w:p w14:paraId="470DAD0C" w14:textId="79E30D0B"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Thursday</w:t>
            </w:r>
          </w:p>
        </w:tc>
        <w:tc>
          <w:tcPr>
            <w:tcW w:w="4460" w:type="dxa"/>
            <w:vAlign w:val="bottom"/>
          </w:tcPr>
          <w:p w14:paraId="72B48D22" w14:textId="04708A2E"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36.2</w:t>
            </w:r>
          </w:p>
        </w:tc>
      </w:tr>
      <w:tr w:rsidR="00845CB5" w:rsidRPr="009B783C" w14:paraId="7D9A26F7" w14:textId="77777777" w:rsidTr="00845CB5">
        <w:tc>
          <w:tcPr>
            <w:tcW w:w="4460" w:type="dxa"/>
            <w:vAlign w:val="bottom"/>
          </w:tcPr>
          <w:p w14:paraId="2CAB0295" w14:textId="16785383"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Friday</w:t>
            </w:r>
          </w:p>
        </w:tc>
        <w:tc>
          <w:tcPr>
            <w:tcW w:w="4460" w:type="dxa"/>
            <w:vAlign w:val="bottom"/>
          </w:tcPr>
          <w:p w14:paraId="378ED550" w14:textId="6C71B756"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37.4</w:t>
            </w:r>
          </w:p>
        </w:tc>
      </w:tr>
      <w:tr w:rsidR="00845CB5" w:rsidRPr="009B783C" w14:paraId="43E2FD49" w14:textId="77777777" w:rsidTr="00845CB5">
        <w:tc>
          <w:tcPr>
            <w:tcW w:w="4460" w:type="dxa"/>
            <w:vAlign w:val="bottom"/>
          </w:tcPr>
          <w:p w14:paraId="1DD5C7D2" w14:textId="21288D73"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Saturday</w:t>
            </w:r>
          </w:p>
        </w:tc>
        <w:tc>
          <w:tcPr>
            <w:tcW w:w="4460" w:type="dxa"/>
            <w:vAlign w:val="bottom"/>
          </w:tcPr>
          <w:p w14:paraId="2D5F80F5" w14:textId="61935A06"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36.5</w:t>
            </w:r>
          </w:p>
        </w:tc>
      </w:tr>
      <w:tr w:rsidR="00845CB5" w:rsidRPr="009B783C" w14:paraId="33FF8AE6" w14:textId="77777777" w:rsidTr="00845CB5">
        <w:tc>
          <w:tcPr>
            <w:tcW w:w="4460" w:type="dxa"/>
            <w:vAlign w:val="bottom"/>
          </w:tcPr>
          <w:p w14:paraId="761BC1E4" w14:textId="2BC74BD8"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Sunday</w:t>
            </w:r>
          </w:p>
        </w:tc>
        <w:tc>
          <w:tcPr>
            <w:tcW w:w="4460" w:type="dxa"/>
            <w:vAlign w:val="bottom"/>
          </w:tcPr>
          <w:p w14:paraId="21EA4902" w14:textId="6CF174B7"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38.7</w:t>
            </w:r>
          </w:p>
        </w:tc>
      </w:tr>
      <w:tr w:rsidR="00845CB5" w:rsidRPr="009B783C" w14:paraId="2EBF451A" w14:textId="77777777" w:rsidTr="00845CB5">
        <w:tc>
          <w:tcPr>
            <w:tcW w:w="4460" w:type="dxa"/>
            <w:vAlign w:val="bottom"/>
          </w:tcPr>
          <w:p w14:paraId="6D8063BB" w14:textId="0239FB4B" w:rsidR="00845CB5" w:rsidRPr="009B783C" w:rsidRDefault="00845CB5" w:rsidP="00845CB5">
            <w:pPr>
              <w:spacing w:after="0"/>
              <w:rPr>
                <w:rFonts w:asciiTheme="minorHAnsi" w:hAnsiTheme="minorHAnsi" w:cstheme="minorHAnsi"/>
                <w:szCs w:val="21"/>
              </w:rPr>
            </w:pPr>
            <w:r w:rsidRPr="009B783C">
              <w:rPr>
                <w:rFonts w:asciiTheme="minorHAnsi" w:hAnsiTheme="minorHAnsi" w:cstheme="minorHAnsi"/>
                <w:color w:val="000000"/>
                <w:szCs w:val="21"/>
              </w:rPr>
              <w:t>Public holiday</w:t>
            </w:r>
          </w:p>
        </w:tc>
        <w:tc>
          <w:tcPr>
            <w:tcW w:w="4460" w:type="dxa"/>
            <w:vAlign w:val="bottom"/>
          </w:tcPr>
          <w:p w14:paraId="717EF664" w14:textId="061776D6" w:rsidR="00845CB5" w:rsidRPr="009B783C" w:rsidRDefault="00845CB5" w:rsidP="00D81D0B">
            <w:pPr>
              <w:spacing w:after="0"/>
              <w:jc w:val="center"/>
              <w:rPr>
                <w:rFonts w:asciiTheme="minorHAnsi" w:hAnsiTheme="minorHAnsi" w:cstheme="minorHAnsi"/>
                <w:szCs w:val="21"/>
              </w:rPr>
            </w:pPr>
            <w:r w:rsidRPr="009B783C">
              <w:rPr>
                <w:rFonts w:asciiTheme="minorHAnsi" w:hAnsiTheme="minorHAnsi" w:cstheme="minorHAnsi"/>
                <w:color w:val="000000"/>
                <w:szCs w:val="21"/>
              </w:rPr>
              <w:t>36.8</w:t>
            </w:r>
          </w:p>
        </w:tc>
      </w:tr>
    </w:tbl>
    <w:p w14:paraId="58D302B1" w14:textId="6C2445E7" w:rsidR="00432281" w:rsidRPr="009B783C" w:rsidRDefault="00432281" w:rsidP="00C91742">
      <w:pPr>
        <w:rPr>
          <w:szCs w:val="21"/>
          <w:lang w:eastAsia="en-AU"/>
        </w:rPr>
      </w:pPr>
      <w:r w:rsidRPr="009B783C">
        <w:rPr>
          <w:szCs w:val="21"/>
        </w:rPr>
        <w:t xml:space="preserve">Note: </w:t>
      </w:r>
      <w:r w:rsidR="00DD7CCC" w:rsidRPr="009B783C">
        <w:rPr>
          <w:szCs w:val="21"/>
        </w:rPr>
        <w:t>Based</w:t>
      </w:r>
      <w:r w:rsidRPr="009B783C">
        <w:rPr>
          <w:szCs w:val="21"/>
        </w:rPr>
        <w:t xml:space="preserve"> on all </w:t>
      </w:r>
      <w:r w:rsidR="00D54738" w:rsidRPr="009B783C">
        <w:rPr>
          <w:szCs w:val="21"/>
        </w:rPr>
        <w:t xml:space="preserve">data </w:t>
      </w:r>
      <w:r w:rsidRPr="009B783C">
        <w:rPr>
          <w:szCs w:val="21"/>
        </w:rPr>
        <w:t>reported</w:t>
      </w:r>
      <w:r w:rsidR="00D54738" w:rsidRPr="009B783C">
        <w:rPr>
          <w:szCs w:val="21"/>
        </w:rPr>
        <w:t xml:space="preserve"> from 1 February 2024</w:t>
      </w:r>
      <w:r w:rsidR="0039036E" w:rsidRPr="009B783C">
        <w:rPr>
          <w:szCs w:val="21"/>
        </w:rPr>
        <w:t xml:space="preserve"> to 30 September 2024</w:t>
      </w:r>
      <w:r w:rsidR="00DD7CCC" w:rsidRPr="009B783C">
        <w:rPr>
          <w:szCs w:val="21"/>
        </w:rPr>
        <w:t xml:space="preserve"> for 75 Medicare UCCs. </w:t>
      </w:r>
      <w:r w:rsidR="0085346E" w:rsidRPr="009B783C">
        <w:rPr>
          <w:szCs w:val="21"/>
        </w:rPr>
        <w:t>This period was chosen to provide a more accurate reflection of activity once clinics were established.</w:t>
      </w:r>
      <w:r w:rsidR="00D54738" w:rsidRPr="009B783C">
        <w:rPr>
          <w:szCs w:val="21"/>
        </w:rPr>
        <w:t xml:space="preserve"> Includes aggregate counts for </w:t>
      </w:r>
      <w:r w:rsidR="00EB4683" w:rsidRPr="009B783C">
        <w:rPr>
          <w:szCs w:val="21"/>
        </w:rPr>
        <w:t>clinics</w:t>
      </w:r>
      <w:r w:rsidR="00D54738" w:rsidRPr="009B783C">
        <w:rPr>
          <w:szCs w:val="21"/>
        </w:rPr>
        <w:t xml:space="preserve"> where unit record data</w:t>
      </w:r>
      <w:r w:rsidR="00EB4683" w:rsidRPr="009B783C">
        <w:rPr>
          <w:szCs w:val="21"/>
        </w:rPr>
        <w:t xml:space="preserve"> was not reported.</w:t>
      </w:r>
    </w:p>
    <w:p w14:paraId="583EE0CA" w14:textId="7C509D30" w:rsidR="00077338" w:rsidRPr="009B783C" w:rsidRDefault="00404434" w:rsidP="00F345DA">
      <w:pPr>
        <w:spacing w:before="240" w:after="160"/>
        <w:rPr>
          <w:szCs w:val="21"/>
          <w:lang w:val="en-US"/>
        </w:rPr>
      </w:pPr>
      <w:r w:rsidRPr="009B783C">
        <w:rPr>
          <w:szCs w:val="21"/>
        </w:rPr>
        <w:t xml:space="preserve">Presentations to Medicare UCCs </w:t>
      </w:r>
      <w:r w:rsidR="0072633B" w:rsidRPr="009B783C">
        <w:rPr>
          <w:szCs w:val="21"/>
        </w:rPr>
        <w:t xml:space="preserve">are relatively consistent </w:t>
      </w:r>
      <w:r w:rsidR="00CA5330" w:rsidRPr="009B783C">
        <w:rPr>
          <w:szCs w:val="21"/>
        </w:rPr>
        <w:t xml:space="preserve">throughout the day and </w:t>
      </w:r>
      <w:r w:rsidR="005C1941" w:rsidRPr="009B783C">
        <w:rPr>
          <w:szCs w:val="21"/>
        </w:rPr>
        <w:t xml:space="preserve">gradually </w:t>
      </w:r>
      <w:r w:rsidR="00CA5330" w:rsidRPr="009B783C">
        <w:rPr>
          <w:szCs w:val="21"/>
        </w:rPr>
        <w:t xml:space="preserve">decrease </w:t>
      </w:r>
      <w:r w:rsidR="005C1941" w:rsidRPr="009B783C">
        <w:rPr>
          <w:szCs w:val="21"/>
        </w:rPr>
        <w:t>from</w:t>
      </w:r>
      <w:r w:rsidR="007A1F37" w:rsidRPr="009B783C">
        <w:rPr>
          <w:szCs w:val="21"/>
        </w:rPr>
        <w:t xml:space="preserve"> 5</w:t>
      </w:r>
      <w:r w:rsidR="00B8200B" w:rsidRPr="009B783C">
        <w:rPr>
          <w:szCs w:val="21"/>
        </w:rPr>
        <w:t xml:space="preserve">:00 </w:t>
      </w:r>
      <w:r w:rsidR="007A1F37" w:rsidRPr="009B783C">
        <w:rPr>
          <w:szCs w:val="21"/>
        </w:rPr>
        <w:t xml:space="preserve">pm </w:t>
      </w:r>
      <w:r w:rsidR="005C1941" w:rsidRPr="009B783C">
        <w:rPr>
          <w:szCs w:val="21"/>
        </w:rPr>
        <w:t>(</w:t>
      </w:r>
      <w:r w:rsidR="008A611A" w:rsidRPr="009B783C">
        <w:rPr>
          <w:szCs w:val="21"/>
        </w:rPr>
        <w:fldChar w:fldCharType="begin"/>
      </w:r>
      <w:r w:rsidR="008A611A" w:rsidRPr="009B783C">
        <w:rPr>
          <w:szCs w:val="21"/>
        </w:rPr>
        <w:instrText xml:space="preserve"> REF _Ref185488587 \h </w:instrText>
      </w:r>
      <w:r w:rsidR="00F345DA" w:rsidRPr="009B783C">
        <w:rPr>
          <w:szCs w:val="21"/>
        </w:rPr>
        <w:instrText xml:space="preserve"> \* MERGEFORMAT </w:instrText>
      </w:r>
      <w:r w:rsidR="008A611A" w:rsidRPr="009B783C">
        <w:rPr>
          <w:szCs w:val="21"/>
        </w:rPr>
      </w:r>
      <w:r w:rsidR="008A611A" w:rsidRPr="009B783C">
        <w:rPr>
          <w:szCs w:val="21"/>
        </w:rPr>
        <w:fldChar w:fldCharType="separate"/>
      </w:r>
      <w:r w:rsidR="006E7782" w:rsidRPr="009B783C">
        <w:rPr>
          <w:szCs w:val="21"/>
        </w:rPr>
        <w:t xml:space="preserve">Figure </w:t>
      </w:r>
      <w:r w:rsidR="006E7782">
        <w:rPr>
          <w:szCs w:val="21"/>
        </w:rPr>
        <w:t>8</w:t>
      </w:r>
      <w:r w:rsidR="008A611A" w:rsidRPr="009B783C">
        <w:rPr>
          <w:szCs w:val="21"/>
        </w:rPr>
        <w:fldChar w:fldCharType="end"/>
      </w:r>
      <w:r w:rsidR="001366DF" w:rsidRPr="009B783C">
        <w:rPr>
          <w:szCs w:val="21"/>
        </w:rPr>
        <w:t>)</w:t>
      </w:r>
      <w:r w:rsidR="005C1941" w:rsidRPr="009B783C">
        <w:rPr>
          <w:szCs w:val="21"/>
        </w:rPr>
        <w:t>.</w:t>
      </w:r>
      <w:r w:rsidR="00077338" w:rsidRPr="009B783C">
        <w:rPr>
          <w:szCs w:val="21"/>
        </w:rPr>
        <w:t xml:space="preserve"> </w:t>
      </w:r>
      <w:r w:rsidR="00C17381" w:rsidRPr="009B783C">
        <w:rPr>
          <w:szCs w:val="21"/>
        </w:rPr>
        <w:t>In comparison, semi-urgent and non-urgent (triage categor</w:t>
      </w:r>
      <w:r w:rsidR="002F41D7" w:rsidRPr="009B783C">
        <w:rPr>
          <w:szCs w:val="21"/>
        </w:rPr>
        <w:t xml:space="preserve">ies </w:t>
      </w:r>
      <w:r w:rsidR="002F41D7" w:rsidRPr="009B783C">
        <w:rPr>
          <w:szCs w:val="21"/>
        </w:rPr>
        <w:lastRenderedPageBreak/>
        <w:t>four and five</w:t>
      </w:r>
      <w:r w:rsidR="007063AC" w:rsidRPr="009B783C">
        <w:rPr>
          <w:szCs w:val="21"/>
        </w:rPr>
        <w:t>)</w:t>
      </w:r>
      <w:r w:rsidR="004648D1" w:rsidRPr="009B783C">
        <w:rPr>
          <w:szCs w:val="21"/>
        </w:rPr>
        <w:t xml:space="preserve"> presentations to EDs</w:t>
      </w:r>
      <w:r w:rsidR="00BE1496" w:rsidRPr="35C5891D">
        <w:rPr>
          <w:rStyle w:val="FootnoteReference"/>
          <w:szCs w:val="21"/>
          <w:lang w:val="en-US"/>
        </w:rPr>
        <w:footnoteReference w:id="35"/>
      </w:r>
      <w:r w:rsidR="00DF0399" w:rsidRPr="009B783C">
        <w:rPr>
          <w:szCs w:val="21"/>
          <w:vertAlign w:val="superscript"/>
        </w:rPr>
        <w:t>,</w:t>
      </w:r>
      <w:r w:rsidR="00DF0399" w:rsidRPr="35C5891D">
        <w:rPr>
          <w:szCs w:val="21"/>
          <w:vertAlign w:val="superscript"/>
          <w:lang w:val="en-US"/>
        </w:rPr>
        <w:footnoteReference w:id="36"/>
      </w:r>
      <w:r w:rsidR="004648D1" w:rsidRPr="009B783C">
        <w:rPr>
          <w:szCs w:val="21"/>
        </w:rPr>
        <w:t xml:space="preserve"> peak</w:t>
      </w:r>
      <w:r w:rsidR="0027460B" w:rsidRPr="009B783C">
        <w:rPr>
          <w:szCs w:val="21"/>
        </w:rPr>
        <w:t xml:space="preserve"> at</w:t>
      </w:r>
      <w:r w:rsidR="004648D1" w:rsidRPr="009B783C">
        <w:rPr>
          <w:szCs w:val="21"/>
        </w:rPr>
        <w:t xml:space="preserve"> around 10</w:t>
      </w:r>
      <w:r w:rsidR="007D3EFE" w:rsidRPr="009B783C">
        <w:rPr>
          <w:szCs w:val="21"/>
        </w:rPr>
        <w:t xml:space="preserve">:00 </w:t>
      </w:r>
      <w:r w:rsidR="004648D1" w:rsidRPr="009B783C">
        <w:rPr>
          <w:szCs w:val="21"/>
        </w:rPr>
        <w:t xml:space="preserve">am and decrease gradually </w:t>
      </w:r>
      <w:r w:rsidR="00BB2DDB" w:rsidRPr="009B783C">
        <w:rPr>
          <w:szCs w:val="21"/>
        </w:rPr>
        <w:t>thereafter (</w:t>
      </w:r>
      <w:r w:rsidR="008A611A" w:rsidRPr="009B783C">
        <w:rPr>
          <w:szCs w:val="21"/>
        </w:rPr>
        <w:fldChar w:fldCharType="begin"/>
      </w:r>
      <w:r w:rsidR="008A611A" w:rsidRPr="009B783C">
        <w:rPr>
          <w:szCs w:val="21"/>
        </w:rPr>
        <w:instrText xml:space="preserve"> REF _Ref185488582 \h </w:instrText>
      </w:r>
      <w:r w:rsidR="00F345DA" w:rsidRPr="009B783C">
        <w:rPr>
          <w:szCs w:val="21"/>
        </w:rPr>
        <w:instrText xml:space="preserve"> \* MERGEFORMAT </w:instrText>
      </w:r>
      <w:r w:rsidR="008A611A" w:rsidRPr="009B783C">
        <w:rPr>
          <w:szCs w:val="21"/>
        </w:rPr>
      </w:r>
      <w:r w:rsidR="008A611A" w:rsidRPr="009B783C">
        <w:rPr>
          <w:szCs w:val="21"/>
        </w:rPr>
        <w:fldChar w:fldCharType="separate"/>
      </w:r>
      <w:r w:rsidR="006E7782" w:rsidRPr="009B783C">
        <w:rPr>
          <w:szCs w:val="21"/>
        </w:rPr>
        <w:t xml:space="preserve">Figure </w:t>
      </w:r>
      <w:r w:rsidR="006E7782">
        <w:rPr>
          <w:szCs w:val="21"/>
        </w:rPr>
        <w:t>9</w:t>
      </w:r>
      <w:r w:rsidR="008A611A" w:rsidRPr="009B783C">
        <w:rPr>
          <w:szCs w:val="21"/>
        </w:rPr>
        <w:fldChar w:fldCharType="end"/>
      </w:r>
      <w:r w:rsidR="00BB2DDB" w:rsidRPr="009B783C">
        <w:rPr>
          <w:szCs w:val="21"/>
        </w:rPr>
        <w:t>).</w:t>
      </w:r>
    </w:p>
    <w:p w14:paraId="7F42775A" w14:textId="5E49C3BA" w:rsidR="00C17381" w:rsidRPr="009B783C" w:rsidRDefault="00D72309" w:rsidP="00C17381">
      <w:pPr>
        <w:pStyle w:val="Caption"/>
        <w:rPr>
          <w:szCs w:val="21"/>
        </w:rPr>
      </w:pPr>
      <w:bookmarkStart w:id="80" w:name="_Ref185488587"/>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E7782">
        <w:rPr>
          <w:noProof/>
          <w:szCs w:val="21"/>
        </w:rPr>
        <w:t>8</w:t>
      </w:r>
      <w:r w:rsidRPr="009B783C">
        <w:rPr>
          <w:szCs w:val="21"/>
        </w:rPr>
        <w:fldChar w:fldCharType="end"/>
      </w:r>
      <w:bookmarkEnd w:id="80"/>
      <w:r w:rsidR="00C17381" w:rsidRPr="009B783C">
        <w:rPr>
          <w:szCs w:val="21"/>
        </w:rPr>
        <w:t xml:space="preserve"> | Mean presentations by time of day and day of week, 1 February 2024 to 30 September 2024</w:t>
      </w:r>
    </w:p>
    <w:p w14:paraId="33E9ACF6" w14:textId="7FED5D21" w:rsidR="00C17381" w:rsidRPr="009B783C" w:rsidRDefault="003700A4" w:rsidP="00C17381">
      <w:pPr>
        <w:spacing w:after="0"/>
      </w:pPr>
      <w:r>
        <w:rPr>
          <w:noProof/>
        </w:rPr>
        <w:drawing>
          <wp:inline distT="0" distB="0" distL="0" distR="0" wp14:anchorId="501AB8DE" wp14:editId="08AE67CC">
            <wp:extent cx="5670434" cy="4127862"/>
            <wp:effectExtent l="0" t="0" r="6985" b="6350"/>
            <wp:docPr id="11" name="Picture 11" descr="This image presents four vertical bar charts that visualise mean presentations for Medicare UCCs, split by hours and days of the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his image presents four vertical bar charts that visualise mean presentations for Medicare UCCs, split by hours and days of the week"/>
                    <pic:cNvPicPr>
                      <a:picLocks noChangeAspect="1" noChangeArrowheads="1"/>
                    </pic:cNvPicPr>
                  </pic:nvPicPr>
                  <pic:blipFill rotWithShape="1">
                    <a:blip r:embed="rId32" cstate="print"/>
                    <a:srcRect b="13968"/>
                    <a:stretch/>
                  </pic:blipFill>
                  <pic:spPr bwMode="auto">
                    <a:xfrm>
                      <a:off x="0" y="0"/>
                      <a:ext cx="5670550" cy="4127946"/>
                    </a:xfrm>
                    <a:prstGeom prst="rect">
                      <a:avLst/>
                    </a:prstGeom>
                    <a:noFill/>
                    <a:ln>
                      <a:noFill/>
                    </a:ln>
                    <a:extLst>
                      <a:ext uri="{53640926-AAD7-44D8-BBD7-CCE9431645EC}">
                        <a14:shadowObscured xmlns:a14="http://schemas.microsoft.com/office/drawing/2010/main"/>
                      </a:ext>
                    </a:extLst>
                  </pic:spPr>
                </pic:pic>
              </a:graphicData>
            </a:graphic>
          </wp:inline>
        </w:drawing>
      </w:r>
    </w:p>
    <w:p w14:paraId="71FA6A88" w14:textId="60294C6D" w:rsidR="00BF6BEA" w:rsidRPr="009B783C" w:rsidRDefault="000D706D" w:rsidP="00BF6BEA">
      <w:pPr>
        <w:rPr>
          <w:szCs w:val="21"/>
        </w:rPr>
      </w:pPr>
      <w:r>
        <w:rPr>
          <w:szCs w:val="21"/>
        </w:rPr>
        <w:t xml:space="preserve">Detailed </w:t>
      </w:r>
      <w:r w:rsidR="00BF6BEA" w:rsidRPr="009B783C">
        <w:rPr>
          <w:szCs w:val="21"/>
        </w:rPr>
        <w:t>Description:</w:t>
      </w:r>
    </w:p>
    <w:p w14:paraId="2ED5DA52" w14:textId="6890888B" w:rsidR="00BF6BEA" w:rsidRPr="009B783C" w:rsidRDefault="00BF6BEA" w:rsidP="00BF6BEA">
      <w:pPr>
        <w:rPr>
          <w:szCs w:val="21"/>
        </w:rPr>
      </w:pPr>
      <w:r w:rsidRPr="009B783C">
        <w:rPr>
          <w:szCs w:val="21"/>
        </w:rPr>
        <w:t>Four bar charts split by days of the week displaying the mean presentations to Medicare UCCs for the hours between 6</w:t>
      </w:r>
      <w:r w:rsidR="004E3005">
        <w:rPr>
          <w:szCs w:val="21"/>
        </w:rPr>
        <w:t>:00</w:t>
      </w:r>
      <w:r w:rsidRPr="009B783C">
        <w:rPr>
          <w:szCs w:val="21"/>
        </w:rPr>
        <w:t xml:space="preserve">am and </w:t>
      </w:r>
      <w:r w:rsidR="00C12C47">
        <w:rPr>
          <w:szCs w:val="21"/>
        </w:rPr>
        <w:t>m</w:t>
      </w:r>
      <w:r w:rsidRPr="009B783C">
        <w:rPr>
          <w:szCs w:val="21"/>
        </w:rPr>
        <w:t>idnight. The data is summarised in the following table.</w:t>
      </w:r>
    </w:p>
    <w:tbl>
      <w:tblPr>
        <w:tblStyle w:val="TableGrid"/>
        <w:tblW w:w="0" w:type="auto"/>
        <w:tblLook w:val="04A0" w:firstRow="1" w:lastRow="0" w:firstColumn="1" w:lastColumn="0" w:noHBand="0" w:noVBand="1"/>
      </w:tblPr>
      <w:tblGrid>
        <w:gridCol w:w="1980"/>
        <w:gridCol w:w="1134"/>
        <w:gridCol w:w="2977"/>
        <w:gridCol w:w="2829"/>
      </w:tblGrid>
      <w:tr w:rsidR="006321D4" w:rsidRPr="009B783C" w14:paraId="4A9D4DE6" w14:textId="77777777" w:rsidTr="000C20F4">
        <w:trPr>
          <w:tblHeader/>
        </w:trPr>
        <w:tc>
          <w:tcPr>
            <w:tcW w:w="198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03C475EC" w14:textId="1A9FE099" w:rsidR="006321D4" w:rsidRPr="009B783C" w:rsidRDefault="006321D4" w:rsidP="007A48C9">
            <w:pPr>
              <w:pStyle w:val="TableNheader"/>
              <w:rPr>
                <w:rFonts w:asciiTheme="majorHAnsi" w:hAnsiTheme="majorHAnsi" w:cstheme="majorHAnsi"/>
              </w:rPr>
            </w:pPr>
            <w:r w:rsidRPr="009B783C">
              <w:t>Day of week</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22EC8327" w14:textId="687AB1C0" w:rsidR="006321D4" w:rsidRPr="009B783C" w:rsidRDefault="006321D4" w:rsidP="007A48C9">
            <w:pPr>
              <w:pStyle w:val="TableNheader"/>
              <w:rPr>
                <w:rFonts w:asciiTheme="majorHAnsi" w:hAnsiTheme="majorHAnsi" w:cstheme="majorHAnsi"/>
              </w:rPr>
            </w:pPr>
            <w:r w:rsidRPr="009B783C">
              <w:t>Hour</w:t>
            </w:r>
          </w:p>
        </w:tc>
        <w:tc>
          <w:tcPr>
            <w:tcW w:w="29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66702D48" w14:textId="46020D68" w:rsidR="006321D4" w:rsidRPr="009B783C" w:rsidRDefault="006321D4" w:rsidP="007A48C9">
            <w:pPr>
              <w:pStyle w:val="TableNheader"/>
              <w:rPr>
                <w:rFonts w:asciiTheme="majorHAnsi" w:hAnsiTheme="majorHAnsi" w:cstheme="majorHAnsi"/>
              </w:rPr>
            </w:pPr>
            <w:r w:rsidRPr="009B783C">
              <w:t>Business or after hours</w:t>
            </w:r>
          </w:p>
        </w:tc>
        <w:tc>
          <w:tcPr>
            <w:tcW w:w="28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7886133F" w14:textId="48D75914" w:rsidR="006321D4" w:rsidRPr="009B783C" w:rsidRDefault="006321D4" w:rsidP="007A48C9">
            <w:pPr>
              <w:pStyle w:val="TableNheader"/>
              <w:rPr>
                <w:rFonts w:asciiTheme="majorHAnsi" w:hAnsiTheme="majorHAnsi" w:cstheme="majorHAnsi"/>
              </w:rPr>
            </w:pPr>
            <w:r w:rsidRPr="009B783C">
              <w:t>Mean presentations</w:t>
            </w:r>
          </w:p>
        </w:tc>
      </w:tr>
      <w:tr w:rsidR="00A675DF" w:rsidRPr="009B783C" w14:paraId="03710380" w14:textId="77777777" w:rsidTr="00F93BAC">
        <w:tc>
          <w:tcPr>
            <w:tcW w:w="1980" w:type="dxa"/>
            <w:tcBorders>
              <w:top w:val="single" w:sz="4" w:space="0" w:color="FFFFFF" w:themeColor="background1"/>
            </w:tcBorders>
            <w:vAlign w:val="bottom"/>
          </w:tcPr>
          <w:p w14:paraId="2C6C3DB0" w14:textId="0DBEE184"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tcBorders>
              <w:top w:val="single" w:sz="4" w:space="0" w:color="FFFFFF" w:themeColor="background1"/>
            </w:tcBorders>
            <w:vAlign w:val="bottom"/>
          </w:tcPr>
          <w:p w14:paraId="4F875D9B" w14:textId="5DD7294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977" w:type="dxa"/>
            <w:tcBorders>
              <w:top w:val="single" w:sz="4" w:space="0" w:color="FFFFFF" w:themeColor="background1"/>
            </w:tcBorders>
            <w:vAlign w:val="bottom"/>
          </w:tcPr>
          <w:p w14:paraId="171EE6E4" w14:textId="6AF13FC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tcBorders>
              <w:top w:val="single" w:sz="4" w:space="0" w:color="FFFFFF" w:themeColor="background1"/>
            </w:tcBorders>
            <w:vAlign w:val="bottom"/>
          </w:tcPr>
          <w:p w14:paraId="178C7BAB" w14:textId="16B449F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0.1</w:t>
            </w:r>
          </w:p>
        </w:tc>
      </w:tr>
      <w:tr w:rsidR="00A675DF" w:rsidRPr="009B783C" w14:paraId="44780716" w14:textId="77777777" w:rsidTr="00F93BAC">
        <w:tc>
          <w:tcPr>
            <w:tcW w:w="1980" w:type="dxa"/>
            <w:vAlign w:val="bottom"/>
          </w:tcPr>
          <w:p w14:paraId="0CACDB88" w14:textId="23F0C64A"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5E6E9B0A" w14:textId="3011064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977" w:type="dxa"/>
            <w:vAlign w:val="bottom"/>
          </w:tcPr>
          <w:p w14:paraId="543EB608" w14:textId="4B4EB97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4DA443A" w14:textId="527511E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13.9</w:t>
            </w:r>
          </w:p>
        </w:tc>
      </w:tr>
      <w:tr w:rsidR="00A675DF" w:rsidRPr="009B783C" w14:paraId="33B2993F" w14:textId="77777777" w:rsidTr="00F93BAC">
        <w:tc>
          <w:tcPr>
            <w:tcW w:w="1980" w:type="dxa"/>
            <w:vAlign w:val="bottom"/>
          </w:tcPr>
          <w:p w14:paraId="48A97949" w14:textId="72E29056"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289EB3D2" w14:textId="338CEC9C"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977" w:type="dxa"/>
            <w:vAlign w:val="bottom"/>
          </w:tcPr>
          <w:p w14:paraId="6B655202" w14:textId="6F1A590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290804F3" w14:textId="0CAF981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118</w:t>
            </w:r>
          </w:p>
        </w:tc>
      </w:tr>
      <w:tr w:rsidR="00A675DF" w:rsidRPr="009B783C" w14:paraId="085997DD" w14:textId="77777777" w:rsidTr="00F93BAC">
        <w:tc>
          <w:tcPr>
            <w:tcW w:w="1980" w:type="dxa"/>
            <w:vAlign w:val="bottom"/>
          </w:tcPr>
          <w:p w14:paraId="36D6C353" w14:textId="3BBA1BC9"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681023B0" w14:textId="4C2C232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977" w:type="dxa"/>
            <w:vAlign w:val="bottom"/>
          </w:tcPr>
          <w:p w14:paraId="4E35FD4A" w14:textId="1ED22E2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0842DE5F" w14:textId="57C4243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125</w:t>
            </w:r>
          </w:p>
        </w:tc>
      </w:tr>
      <w:tr w:rsidR="00A675DF" w:rsidRPr="009B783C" w14:paraId="2E2A4168" w14:textId="77777777" w:rsidTr="00F93BAC">
        <w:tc>
          <w:tcPr>
            <w:tcW w:w="1980" w:type="dxa"/>
            <w:vAlign w:val="bottom"/>
          </w:tcPr>
          <w:p w14:paraId="7FF0F8AB" w14:textId="58BFF85D"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5A80A238" w14:textId="600E773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977" w:type="dxa"/>
            <w:vAlign w:val="bottom"/>
          </w:tcPr>
          <w:p w14:paraId="13DC1FFA" w14:textId="6C243F4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7EC3874B" w14:textId="3E8CE17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119.6</w:t>
            </w:r>
          </w:p>
        </w:tc>
      </w:tr>
      <w:tr w:rsidR="00A675DF" w:rsidRPr="009B783C" w14:paraId="52ED1E24" w14:textId="77777777" w:rsidTr="00F93BAC">
        <w:tc>
          <w:tcPr>
            <w:tcW w:w="1980" w:type="dxa"/>
            <w:vAlign w:val="bottom"/>
          </w:tcPr>
          <w:p w14:paraId="09F3C1A3" w14:textId="17F056F7"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67583FF0" w14:textId="4653F7D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977" w:type="dxa"/>
            <w:vAlign w:val="bottom"/>
          </w:tcPr>
          <w:p w14:paraId="3F99BD18" w14:textId="147022A7"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07F81292" w14:textId="45CF525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113.4</w:t>
            </w:r>
          </w:p>
        </w:tc>
      </w:tr>
      <w:tr w:rsidR="00A675DF" w:rsidRPr="009B783C" w14:paraId="66A74B7D" w14:textId="77777777" w:rsidTr="00F93BAC">
        <w:tc>
          <w:tcPr>
            <w:tcW w:w="1980" w:type="dxa"/>
            <w:vAlign w:val="bottom"/>
          </w:tcPr>
          <w:p w14:paraId="1D02D6D4" w14:textId="050B3F71"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lastRenderedPageBreak/>
              <w:t>Weekdays</w:t>
            </w:r>
          </w:p>
        </w:tc>
        <w:tc>
          <w:tcPr>
            <w:tcW w:w="1134" w:type="dxa"/>
            <w:vAlign w:val="bottom"/>
          </w:tcPr>
          <w:p w14:paraId="10F8421C" w14:textId="203F929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977" w:type="dxa"/>
            <w:vAlign w:val="bottom"/>
          </w:tcPr>
          <w:p w14:paraId="1F0CDD67" w14:textId="6E2A40AC"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4B9678DB" w14:textId="288C310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125.8</w:t>
            </w:r>
          </w:p>
        </w:tc>
      </w:tr>
      <w:tr w:rsidR="00A675DF" w:rsidRPr="009B783C" w14:paraId="54B17AB7" w14:textId="77777777" w:rsidTr="00F93BAC">
        <w:tc>
          <w:tcPr>
            <w:tcW w:w="1980" w:type="dxa"/>
            <w:vAlign w:val="bottom"/>
          </w:tcPr>
          <w:p w14:paraId="7C2C7C54" w14:textId="50CB4BC2"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51AA8DE3" w14:textId="2D0537D9"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977" w:type="dxa"/>
            <w:vAlign w:val="bottom"/>
          </w:tcPr>
          <w:p w14:paraId="1712228C" w14:textId="72E1464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2DC4099C" w14:textId="50F9F6D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110</w:t>
            </w:r>
          </w:p>
        </w:tc>
      </w:tr>
      <w:tr w:rsidR="00A675DF" w:rsidRPr="009B783C" w14:paraId="5616E292" w14:textId="77777777" w:rsidTr="00F93BAC">
        <w:tc>
          <w:tcPr>
            <w:tcW w:w="1980" w:type="dxa"/>
            <w:vAlign w:val="bottom"/>
          </w:tcPr>
          <w:p w14:paraId="73CC86C5" w14:textId="6BB5F70F"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085B1E4F" w14:textId="6410182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977" w:type="dxa"/>
            <w:vAlign w:val="bottom"/>
          </w:tcPr>
          <w:p w14:paraId="2AA65ECB" w14:textId="36E3132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4B8F5E06" w14:textId="3571AE9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131.2</w:t>
            </w:r>
          </w:p>
        </w:tc>
      </w:tr>
      <w:tr w:rsidR="00A675DF" w:rsidRPr="009B783C" w14:paraId="4F9E4923" w14:textId="77777777" w:rsidTr="00F93BAC">
        <w:tc>
          <w:tcPr>
            <w:tcW w:w="1980" w:type="dxa"/>
            <w:vAlign w:val="bottom"/>
          </w:tcPr>
          <w:p w14:paraId="7B808DEF" w14:textId="1E9FFF56"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0DD207A2" w14:textId="2D01695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977" w:type="dxa"/>
            <w:vAlign w:val="bottom"/>
          </w:tcPr>
          <w:p w14:paraId="4D7B846D" w14:textId="1193256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16943ABE" w14:textId="3CD67FD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125.6</w:t>
            </w:r>
          </w:p>
        </w:tc>
      </w:tr>
      <w:tr w:rsidR="00A675DF" w:rsidRPr="009B783C" w14:paraId="75FD3462" w14:textId="77777777" w:rsidTr="00F93BAC">
        <w:tc>
          <w:tcPr>
            <w:tcW w:w="1980" w:type="dxa"/>
            <w:vAlign w:val="bottom"/>
          </w:tcPr>
          <w:p w14:paraId="6C80ADF5" w14:textId="246163CC"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1F9E8C76" w14:textId="3B1147D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977" w:type="dxa"/>
            <w:vAlign w:val="bottom"/>
          </w:tcPr>
          <w:p w14:paraId="207F5978" w14:textId="70EB141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509818D3" w14:textId="6CC1222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131.9</w:t>
            </w:r>
          </w:p>
        </w:tc>
      </w:tr>
      <w:tr w:rsidR="00A675DF" w:rsidRPr="009B783C" w14:paraId="17A8F1D2" w14:textId="77777777" w:rsidTr="00F93BAC">
        <w:tc>
          <w:tcPr>
            <w:tcW w:w="1980" w:type="dxa"/>
            <w:vAlign w:val="bottom"/>
          </w:tcPr>
          <w:p w14:paraId="37665903" w14:textId="17BAF5EA"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6C718EF8" w14:textId="093C753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17</w:t>
            </w:r>
          </w:p>
        </w:tc>
        <w:tc>
          <w:tcPr>
            <w:tcW w:w="2977" w:type="dxa"/>
            <w:vAlign w:val="bottom"/>
          </w:tcPr>
          <w:p w14:paraId="5B86B9DA" w14:textId="1AA07D09"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5A94C07A" w14:textId="2C6DF107"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114.8</w:t>
            </w:r>
          </w:p>
        </w:tc>
      </w:tr>
      <w:tr w:rsidR="00A675DF" w:rsidRPr="009B783C" w14:paraId="431E5A42" w14:textId="77777777" w:rsidTr="00F93BAC">
        <w:tc>
          <w:tcPr>
            <w:tcW w:w="1980" w:type="dxa"/>
            <w:vAlign w:val="bottom"/>
          </w:tcPr>
          <w:p w14:paraId="07261069" w14:textId="568941F4"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5A504E9B" w14:textId="16FA521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18</w:t>
            </w:r>
          </w:p>
        </w:tc>
        <w:tc>
          <w:tcPr>
            <w:tcW w:w="2977" w:type="dxa"/>
            <w:vAlign w:val="bottom"/>
          </w:tcPr>
          <w:p w14:paraId="55E46E91" w14:textId="546A2E7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37729DD9" w14:textId="77599EB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92.4</w:t>
            </w:r>
          </w:p>
        </w:tc>
      </w:tr>
      <w:tr w:rsidR="00A675DF" w:rsidRPr="009B783C" w14:paraId="69AEEB12" w14:textId="77777777" w:rsidTr="00F93BAC">
        <w:tc>
          <w:tcPr>
            <w:tcW w:w="1980" w:type="dxa"/>
            <w:vAlign w:val="bottom"/>
          </w:tcPr>
          <w:p w14:paraId="34984AC5" w14:textId="5A549F91"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51792CE0" w14:textId="23A0E4E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977" w:type="dxa"/>
            <w:vAlign w:val="bottom"/>
          </w:tcPr>
          <w:p w14:paraId="30BB67E4" w14:textId="66BE8BDE"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08D597E" w14:textId="64546AA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59.9</w:t>
            </w:r>
          </w:p>
        </w:tc>
      </w:tr>
      <w:tr w:rsidR="00A675DF" w:rsidRPr="009B783C" w14:paraId="321ACF5C" w14:textId="77777777" w:rsidTr="00F93BAC">
        <w:tc>
          <w:tcPr>
            <w:tcW w:w="1980" w:type="dxa"/>
            <w:vAlign w:val="bottom"/>
          </w:tcPr>
          <w:p w14:paraId="3C36B23A" w14:textId="22923B2C"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19602A46" w14:textId="722B5E4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20</w:t>
            </w:r>
          </w:p>
        </w:tc>
        <w:tc>
          <w:tcPr>
            <w:tcW w:w="2977" w:type="dxa"/>
            <w:vAlign w:val="bottom"/>
          </w:tcPr>
          <w:p w14:paraId="194272AF" w14:textId="4E51A1E6"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5366058" w14:textId="60B73C56"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24.8</w:t>
            </w:r>
          </w:p>
        </w:tc>
      </w:tr>
      <w:tr w:rsidR="00A675DF" w:rsidRPr="009B783C" w14:paraId="748BB5D5" w14:textId="77777777" w:rsidTr="00F93BAC">
        <w:tc>
          <w:tcPr>
            <w:tcW w:w="1980" w:type="dxa"/>
            <w:vAlign w:val="bottom"/>
          </w:tcPr>
          <w:p w14:paraId="28AD0B8A" w14:textId="7092AC5F"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11A080D5" w14:textId="45EB9F6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21</w:t>
            </w:r>
          </w:p>
        </w:tc>
        <w:tc>
          <w:tcPr>
            <w:tcW w:w="2977" w:type="dxa"/>
            <w:vAlign w:val="bottom"/>
          </w:tcPr>
          <w:p w14:paraId="557B1ABC" w14:textId="7B4E81F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EBD7057" w14:textId="0DDBC06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9.9</w:t>
            </w:r>
          </w:p>
        </w:tc>
      </w:tr>
      <w:tr w:rsidR="00A675DF" w:rsidRPr="009B783C" w14:paraId="0A181A13" w14:textId="77777777" w:rsidTr="00F93BAC">
        <w:tc>
          <w:tcPr>
            <w:tcW w:w="1980" w:type="dxa"/>
            <w:vAlign w:val="bottom"/>
          </w:tcPr>
          <w:p w14:paraId="4C3F228A" w14:textId="42705488"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2D1CF275" w14:textId="6A67B29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977" w:type="dxa"/>
            <w:vAlign w:val="bottom"/>
          </w:tcPr>
          <w:p w14:paraId="4A8E42AD" w14:textId="273ADB6B"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4EA0CE53" w14:textId="180050D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w:t>
            </w:r>
          </w:p>
        </w:tc>
      </w:tr>
      <w:tr w:rsidR="00A675DF" w:rsidRPr="009B783C" w14:paraId="4A7AAA24" w14:textId="77777777" w:rsidTr="00F93BAC">
        <w:tc>
          <w:tcPr>
            <w:tcW w:w="1980" w:type="dxa"/>
            <w:vAlign w:val="bottom"/>
          </w:tcPr>
          <w:p w14:paraId="5245758B" w14:textId="5F293D90"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Weekdays</w:t>
            </w:r>
          </w:p>
        </w:tc>
        <w:tc>
          <w:tcPr>
            <w:tcW w:w="1134" w:type="dxa"/>
            <w:vAlign w:val="bottom"/>
          </w:tcPr>
          <w:p w14:paraId="4DBB3BD9" w14:textId="4C2B9CC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23</w:t>
            </w:r>
          </w:p>
        </w:tc>
        <w:tc>
          <w:tcPr>
            <w:tcW w:w="2977" w:type="dxa"/>
            <w:vAlign w:val="bottom"/>
          </w:tcPr>
          <w:p w14:paraId="22F3D252" w14:textId="402A1B2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ED84922" w14:textId="45DD64A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0</w:t>
            </w:r>
            <w:r w:rsidR="009B1CB8">
              <w:rPr>
                <w:rFonts w:asciiTheme="minorHAnsi" w:hAnsiTheme="minorHAnsi" w:cstheme="minorHAnsi"/>
                <w:color w:val="000000"/>
                <w:szCs w:val="21"/>
              </w:rPr>
              <w:t>.0</w:t>
            </w:r>
          </w:p>
        </w:tc>
      </w:tr>
      <w:tr w:rsidR="00A675DF" w:rsidRPr="009B783C" w14:paraId="07BEA8AF" w14:textId="77777777" w:rsidTr="00F93BAC">
        <w:tc>
          <w:tcPr>
            <w:tcW w:w="1980" w:type="dxa"/>
            <w:vAlign w:val="bottom"/>
          </w:tcPr>
          <w:p w14:paraId="0AD4D91F" w14:textId="1B0FBE33"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229A27F8" w14:textId="460061C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977" w:type="dxa"/>
            <w:vAlign w:val="bottom"/>
          </w:tcPr>
          <w:p w14:paraId="0EFC274B" w14:textId="17B2D79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A7C25AF" w14:textId="5B82DE4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0</w:t>
            </w:r>
            <w:r w:rsidR="009B1CB8">
              <w:rPr>
                <w:rFonts w:asciiTheme="minorHAnsi" w:hAnsiTheme="minorHAnsi" w:cstheme="minorHAnsi"/>
                <w:color w:val="000000"/>
                <w:szCs w:val="21"/>
              </w:rPr>
              <w:t>.0</w:t>
            </w:r>
          </w:p>
        </w:tc>
      </w:tr>
      <w:tr w:rsidR="00A675DF" w:rsidRPr="009B783C" w14:paraId="5B23AB3C" w14:textId="77777777" w:rsidTr="00F93BAC">
        <w:tc>
          <w:tcPr>
            <w:tcW w:w="1980" w:type="dxa"/>
            <w:vAlign w:val="bottom"/>
          </w:tcPr>
          <w:p w14:paraId="44009918" w14:textId="295A83C2"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65FE0E26" w14:textId="107D84F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977" w:type="dxa"/>
            <w:vAlign w:val="bottom"/>
          </w:tcPr>
          <w:p w14:paraId="5E71BF3D" w14:textId="3A62C94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4CC27587" w14:textId="7ACF8E1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12.8</w:t>
            </w:r>
          </w:p>
        </w:tc>
      </w:tr>
      <w:tr w:rsidR="00A675DF" w:rsidRPr="009B783C" w14:paraId="3A0793DF" w14:textId="77777777" w:rsidTr="00F93BAC">
        <w:tc>
          <w:tcPr>
            <w:tcW w:w="1980" w:type="dxa"/>
            <w:vAlign w:val="bottom"/>
          </w:tcPr>
          <w:p w14:paraId="3E46A3DD" w14:textId="0789F8A6"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370933C5" w14:textId="53149D1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977" w:type="dxa"/>
            <w:vAlign w:val="bottom"/>
          </w:tcPr>
          <w:p w14:paraId="7713E847" w14:textId="58DB82A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51C2D238" w14:textId="7831025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148.3</w:t>
            </w:r>
          </w:p>
        </w:tc>
      </w:tr>
      <w:tr w:rsidR="00A675DF" w:rsidRPr="009B783C" w14:paraId="4ADD55CA" w14:textId="77777777" w:rsidTr="00F93BAC">
        <w:tc>
          <w:tcPr>
            <w:tcW w:w="1980" w:type="dxa"/>
            <w:vAlign w:val="bottom"/>
          </w:tcPr>
          <w:p w14:paraId="3B9A51EC" w14:textId="0B336EC5"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2A459CEF" w14:textId="4F2D20A8"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977" w:type="dxa"/>
            <w:vAlign w:val="bottom"/>
          </w:tcPr>
          <w:p w14:paraId="4BA23A44" w14:textId="114AA38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29A21A72" w14:textId="776F308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150.4</w:t>
            </w:r>
          </w:p>
        </w:tc>
      </w:tr>
      <w:tr w:rsidR="00A675DF" w:rsidRPr="009B783C" w14:paraId="262A4EF4" w14:textId="77777777" w:rsidTr="00F93BAC">
        <w:tc>
          <w:tcPr>
            <w:tcW w:w="1980" w:type="dxa"/>
            <w:vAlign w:val="bottom"/>
          </w:tcPr>
          <w:p w14:paraId="15CD9D72" w14:textId="7FA497E1"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0C1DC9BA" w14:textId="68639CD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977" w:type="dxa"/>
            <w:vAlign w:val="bottom"/>
          </w:tcPr>
          <w:p w14:paraId="6DD09798" w14:textId="5084683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765496CE" w14:textId="029F528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160.2</w:t>
            </w:r>
          </w:p>
        </w:tc>
      </w:tr>
      <w:tr w:rsidR="00A675DF" w:rsidRPr="009B783C" w14:paraId="187942C3" w14:textId="77777777" w:rsidTr="00F93BAC">
        <w:tc>
          <w:tcPr>
            <w:tcW w:w="1980" w:type="dxa"/>
            <w:vAlign w:val="bottom"/>
          </w:tcPr>
          <w:p w14:paraId="713B2438" w14:textId="352E26F7"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04E96418" w14:textId="4699995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977" w:type="dxa"/>
            <w:vAlign w:val="bottom"/>
          </w:tcPr>
          <w:p w14:paraId="08B1A7FE" w14:textId="0D9D682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Business hours</w:t>
            </w:r>
          </w:p>
        </w:tc>
        <w:tc>
          <w:tcPr>
            <w:tcW w:w="2829" w:type="dxa"/>
            <w:vAlign w:val="bottom"/>
          </w:tcPr>
          <w:p w14:paraId="22866263" w14:textId="6AB1015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138.5</w:t>
            </w:r>
          </w:p>
        </w:tc>
      </w:tr>
      <w:tr w:rsidR="00A675DF" w:rsidRPr="009B783C" w14:paraId="59E63999" w14:textId="77777777" w:rsidTr="00F93BAC">
        <w:tc>
          <w:tcPr>
            <w:tcW w:w="1980" w:type="dxa"/>
            <w:vAlign w:val="bottom"/>
          </w:tcPr>
          <w:p w14:paraId="68966966" w14:textId="238E809D"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6D565F0B" w14:textId="2CE8DE7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977" w:type="dxa"/>
            <w:vAlign w:val="bottom"/>
          </w:tcPr>
          <w:p w14:paraId="258925E7" w14:textId="7CABC72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97FE0F8" w14:textId="6505403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131.9</w:t>
            </w:r>
          </w:p>
        </w:tc>
      </w:tr>
      <w:tr w:rsidR="00A675DF" w:rsidRPr="009B783C" w14:paraId="33AA0FF9" w14:textId="77777777" w:rsidTr="00F93BAC">
        <w:tc>
          <w:tcPr>
            <w:tcW w:w="1980" w:type="dxa"/>
            <w:vAlign w:val="bottom"/>
          </w:tcPr>
          <w:p w14:paraId="1ACA5321" w14:textId="157E9991"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5EE3E364" w14:textId="34D5F9A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977" w:type="dxa"/>
            <w:vAlign w:val="bottom"/>
          </w:tcPr>
          <w:p w14:paraId="67975B54" w14:textId="0FD6B14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349783DA" w14:textId="3A5B496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123.1</w:t>
            </w:r>
          </w:p>
        </w:tc>
      </w:tr>
      <w:tr w:rsidR="00A675DF" w:rsidRPr="009B783C" w14:paraId="094D7EA0" w14:textId="77777777" w:rsidTr="00F93BAC">
        <w:tc>
          <w:tcPr>
            <w:tcW w:w="1980" w:type="dxa"/>
            <w:vAlign w:val="bottom"/>
          </w:tcPr>
          <w:p w14:paraId="6D3C7166" w14:textId="5B1AF99C"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42D73C55" w14:textId="34E6BAA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977" w:type="dxa"/>
            <w:vAlign w:val="bottom"/>
          </w:tcPr>
          <w:p w14:paraId="56326078" w14:textId="129452F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5ABC265" w14:textId="5F40B37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136.6</w:t>
            </w:r>
          </w:p>
        </w:tc>
      </w:tr>
      <w:tr w:rsidR="00A675DF" w:rsidRPr="009B783C" w14:paraId="680012DB" w14:textId="77777777" w:rsidTr="00F93BAC">
        <w:tc>
          <w:tcPr>
            <w:tcW w:w="1980" w:type="dxa"/>
            <w:vAlign w:val="bottom"/>
          </w:tcPr>
          <w:p w14:paraId="6EFC14A4" w14:textId="5030AF5F"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57B0C62C" w14:textId="76C4A7A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977" w:type="dxa"/>
            <w:vAlign w:val="bottom"/>
          </w:tcPr>
          <w:p w14:paraId="33AF63B9" w14:textId="715F9657"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A916C99" w14:textId="7B17732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118.5</w:t>
            </w:r>
          </w:p>
        </w:tc>
      </w:tr>
      <w:tr w:rsidR="00A675DF" w:rsidRPr="009B783C" w14:paraId="15AAAA59" w14:textId="77777777" w:rsidTr="00F93BAC">
        <w:tc>
          <w:tcPr>
            <w:tcW w:w="1980" w:type="dxa"/>
            <w:vAlign w:val="bottom"/>
          </w:tcPr>
          <w:p w14:paraId="299446B8" w14:textId="4DA885A4"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3869BD9D" w14:textId="551BB786"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977" w:type="dxa"/>
            <w:vAlign w:val="bottom"/>
          </w:tcPr>
          <w:p w14:paraId="4B9BEF6D" w14:textId="235C6C7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383CF5B3" w14:textId="2BB8FFF2"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111.1</w:t>
            </w:r>
          </w:p>
        </w:tc>
      </w:tr>
      <w:tr w:rsidR="00A675DF" w:rsidRPr="009B783C" w14:paraId="51607FBB" w14:textId="77777777" w:rsidTr="00F93BAC">
        <w:tc>
          <w:tcPr>
            <w:tcW w:w="1980" w:type="dxa"/>
            <w:vAlign w:val="bottom"/>
          </w:tcPr>
          <w:p w14:paraId="042BAAEE" w14:textId="733FB908"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1A491BAB" w14:textId="6EAA6B1A"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17</w:t>
            </w:r>
          </w:p>
        </w:tc>
        <w:tc>
          <w:tcPr>
            <w:tcW w:w="2977" w:type="dxa"/>
            <w:vAlign w:val="bottom"/>
          </w:tcPr>
          <w:p w14:paraId="01B7333C" w14:textId="1ADBC6C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C353C8B" w14:textId="7C64626D"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85.1</w:t>
            </w:r>
          </w:p>
        </w:tc>
      </w:tr>
      <w:tr w:rsidR="00A675DF" w:rsidRPr="009B783C" w14:paraId="70AE79CF" w14:textId="77777777" w:rsidTr="00F93BAC">
        <w:tc>
          <w:tcPr>
            <w:tcW w:w="1980" w:type="dxa"/>
            <w:vAlign w:val="bottom"/>
          </w:tcPr>
          <w:p w14:paraId="59A05609" w14:textId="3220F605"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77118BEE" w14:textId="358AF29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18</w:t>
            </w:r>
          </w:p>
        </w:tc>
        <w:tc>
          <w:tcPr>
            <w:tcW w:w="2977" w:type="dxa"/>
            <w:vAlign w:val="bottom"/>
          </w:tcPr>
          <w:p w14:paraId="7732228B" w14:textId="2E884280"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59641CB7" w14:textId="3C6BE737"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60.1</w:t>
            </w:r>
          </w:p>
        </w:tc>
      </w:tr>
      <w:tr w:rsidR="00A675DF" w:rsidRPr="009B783C" w14:paraId="4342D042" w14:textId="77777777" w:rsidTr="00F93BAC">
        <w:tc>
          <w:tcPr>
            <w:tcW w:w="1980" w:type="dxa"/>
            <w:vAlign w:val="bottom"/>
          </w:tcPr>
          <w:p w14:paraId="0D5D2FDD" w14:textId="12920419"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4B01E0A4" w14:textId="06B3E1C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977" w:type="dxa"/>
            <w:vAlign w:val="bottom"/>
          </w:tcPr>
          <w:p w14:paraId="2213C5A0" w14:textId="3DE8D5E6"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B9160FE" w14:textId="2862AD27"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43.5</w:t>
            </w:r>
          </w:p>
        </w:tc>
      </w:tr>
      <w:tr w:rsidR="00A675DF" w:rsidRPr="009B783C" w14:paraId="7C7FA19D" w14:textId="77777777" w:rsidTr="00F93BAC">
        <w:tc>
          <w:tcPr>
            <w:tcW w:w="1980" w:type="dxa"/>
            <w:vAlign w:val="bottom"/>
          </w:tcPr>
          <w:p w14:paraId="22B6A38D" w14:textId="6C99676A"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53AD24A6" w14:textId="54213AD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20</w:t>
            </w:r>
          </w:p>
        </w:tc>
        <w:tc>
          <w:tcPr>
            <w:tcW w:w="2977" w:type="dxa"/>
            <w:vAlign w:val="bottom"/>
          </w:tcPr>
          <w:p w14:paraId="3463D8A2" w14:textId="19DAB17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57AA101" w14:textId="75D6923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21.3</w:t>
            </w:r>
          </w:p>
        </w:tc>
      </w:tr>
      <w:tr w:rsidR="00A675DF" w:rsidRPr="009B783C" w14:paraId="7DA418D5" w14:textId="77777777" w:rsidTr="00F93BAC">
        <w:tc>
          <w:tcPr>
            <w:tcW w:w="1980" w:type="dxa"/>
            <w:vAlign w:val="bottom"/>
          </w:tcPr>
          <w:p w14:paraId="08BD3A40" w14:textId="43B366F3"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5E7067AA" w14:textId="54814993"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21</w:t>
            </w:r>
          </w:p>
        </w:tc>
        <w:tc>
          <w:tcPr>
            <w:tcW w:w="2977" w:type="dxa"/>
            <w:vAlign w:val="bottom"/>
          </w:tcPr>
          <w:p w14:paraId="1945CA5D" w14:textId="7EF0694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57110F4" w14:textId="680504E4"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9.2</w:t>
            </w:r>
          </w:p>
        </w:tc>
      </w:tr>
      <w:tr w:rsidR="00A675DF" w:rsidRPr="009B783C" w14:paraId="331EF633" w14:textId="77777777" w:rsidTr="00F93BAC">
        <w:tc>
          <w:tcPr>
            <w:tcW w:w="1980" w:type="dxa"/>
            <w:vAlign w:val="bottom"/>
          </w:tcPr>
          <w:p w14:paraId="4BE36416" w14:textId="23998F26"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6D838046" w14:textId="551562F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977" w:type="dxa"/>
            <w:vAlign w:val="bottom"/>
          </w:tcPr>
          <w:p w14:paraId="68DCE6ED" w14:textId="3083A156"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D9408B5" w14:textId="44D12BC5"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1.4</w:t>
            </w:r>
          </w:p>
        </w:tc>
      </w:tr>
      <w:tr w:rsidR="00A675DF" w:rsidRPr="009B783C" w14:paraId="6B832E3A" w14:textId="77777777" w:rsidTr="00F93BAC">
        <w:tc>
          <w:tcPr>
            <w:tcW w:w="1980" w:type="dxa"/>
            <w:vAlign w:val="bottom"/>
          </w:tcPr>
          <w:p w14:paraId="1F09FCBC" w14:textId="27890201" w:rsidR="00A675DF" w:rsidRPr="009B783C" w:rsidRDefault="00A675DF" w:rsidP="00F93BAC">
            <w:pPr>
              <w:rPr>
                <w:rFonts w:asciiTheme="minorHAnsi" w:hAnsiTheme="minorHAnsi" w:cstheme="minorHAnsi"/>
                <w:szCs w:val="21"/>
              </w:rPr>
            </w:pPr>
            <w:r w:rsidRPr="009B783C">
              <w:rPr>
                <w:rFonts w:asciiTheme="minorHAnsi" w:hAnsiTheme="minorHAnsi" w:cstheme="minorHAnsi"/>
                <w:color w:val="000000"/>
                <w:szCs w:val="21"/>
              </w:rPr>
              <w:t>Saturday</w:t>
            </w:r>
          </w:p>
        </w:tc>
        <w:tc>
          <w:tcPr>
            <w:tcW w:w="1134" w:type="dxa"/>
            <w:vAlign w:val="bottom"/>
          </w:tcPr>
          <w:p w14:paraId="5D318060" w14:textId="4E1EA73F"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23</w:t>
            </w:r>
          </w:p>
        </w:tc>
        <w:tc>
          <w:tcPr>
            <w:tcW w:w="2977" w:type="dxa"/>
            <w:vAlign w:val="bottom"/>
          </w:tcPr>
          <w:p w14:paraId="4F16D909" w14:textId="0902EF49"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3A911945" w14:textId="0B579811" w:rsidR="00A675DF" w:rsidRPr="009B783C" w:rsidRDefault="00A675DF" w:rsidP="006A4BE2">
            <w:pPr>
              <w:jc w:val="center"/>
              <w:rPr>
                <w:rFonts w:asciiTheme="minorHAnsi" w:hAnsiTheme="minorHAnsi" w:cstheme="minorHAnsi"/>
                <w:szCs w:val="21"/>
              </w:rPr>
            </w:pPr>
            <w:r w:rsidRPr="009B783C">
              <w:rPr>
                <w:rFonts w:asciiTheme="minorHAnsi" w:hAnsiTheme="minorHAnsi" w:cstheme="minorHAnsi"/>
                <w:color w:val="000000"/>
                <w:szCs w:val="21"/>
              </w:rPr>
              <w:t>0</w:t>
            </w:r>
            <w:r w:rsidR="009B1CB8">
              <w:rPr>
                <w:rFonts w:asciiTheme="minorHAnsi" w:hAnsiTheme="minorHAnsi" w:cstheme="minorHAnsi"/>
                <w:color w:val="000000"/>
                <w:szCs w:val="21"/>
              </w:rPr>
              <w:t>.0</w:t>
            </w:r>
          </w:p>
        </w:tc>
      </w:tr>
      <w:tr w:rsidR="00F93BAC" w:rsidRPr="009B783C" w14:paraId="08802A94" w14:textId="77777777" w:rsidTr="00F93BAC">
        <w:tc>
          <w:tcPr>
            <w:tcW w:w="1980" w:type="dxa"/>
            <w:vAlign w:val="bottom"/>
          </w:tcPr>
          <w:p w14:paraId="614816C1" w14:textId="63884854"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lastRenderedPageBreak/>
              <w:t>Sunday</w:t>
            </w:r>
          </w:p>
        </w:tc>
        <w:tc>
          <w:tcPr>
            <w:tcW w:w="1134" w:type="dxa"/>
            <w:vAlign w:val="bottom"/>
          </w:tcPr>
          <w:p w14:paraId="259DD9D5" w14:textId="38202A3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w:t>
            </w:r>
          </w:p>
        </w:tc>
        <w:tc>
          <w:tcPr>
            <w:tcW w:w="2977" w:type="dxa"/>
            <w:vAlign w:val="bottom"/>
          </w:tcPr>
          <w:p w14:paraId="33BA938D" w14:textId="2449D36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7BB5387" w14:textId="2F838245"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0</w:t>
            </w:r>
            <w:r w:rsidR="009B1CB8">
              <w:rPr>
                <w:rFonts w:asciiTheme="minorHAnsi" w:hAnsiTheme="minorHAnsi" w:cstheme="minorHAnsi"/>
                <w:color w:val="000000"/>
                <w:szCs w:val="21"/>
              </w:rPr>
              <w:t>.0</w:t>
            </w:r>
          </w:p>
        </w:tc>
      </w:tr>
      <w:tr w:rsidR="00F93BAC" w:rsidRPr="009B783C" w14:paraId="6B2A4035" w14:textId="77777777" w:rsidTr="00F93BAC">
        <w:tc>
          <w:tcPr>
            <w:tcW w:w="1980" w:type="dxa"/>
            <w:vAlign w:val="bottom"/>
          </w:tcPr>
          <w:p w14:paraId="2962FDD8" w14:textId="5C675F52"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55B11DA3" w14:textId="6E3DFAB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977" w:type="dxa"/>
            <w:vAlign w:val="bottom"/>
          </w:tcPr>
          <w:p w14:paraId="06CACBB6" w14:textId="5D566D56"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CF5C243" w14:textId="2F8FD805"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13.3</w:t>
            </w:r>
          </w:p>
        </w:tc>
      </w:tr>
      <w:tr w:rsidR="00F93BAC" w:rsidRPr="009B783C" w14:paraId="24E37CE5" w14:textId="77777777" w:rsidTr="00F93BAC">
        <w:tc>
          <w:tcPr>
            <w:tcW w:w="1980" w:type="dxa"/>
            <w:vAlign w:val="bottom"/>
          </w:tcPr>
          <w:p w14:paraId="48D3036B" w14:textId="21DCBDC1"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62370BB1" w14:textId="3AEE9569"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977" w:type="dxa"/>
            <w:vAlign w:val="bottom"/>
          </w:tcPr>
          <w:p w14:paraId="74C86DBF" w14:textId="47EF88BE"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48274088" w14:textId="677FEED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149.2</w:t>
            </w:r>
          </w:p>
        </w:tc>
      </w:tr>
      <w:tr w:rsidR="00F93BAC" w:rsidRPr="009B783C" w14:paraId="19377CE6" w14:textId="77777777" w:rsidTr="00F93BAC">
        <w:tc>
          <w:tcPr>
            <w:tcW w:w="1980" w:type="dxa"/>
            <w:vAlign w:val="bottom"/>
          </w:tcPr>
          <w:p w14:paraId="0F131246" w14:textId="5143E7ED"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69B0C4CB" w14:textId="72B0EDC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977" w:type="dxa"/>
            <w:vAlign w:val="bottom"/>
          </w:tcPr>
          <w:p w14:paraId="3D7A96E2" w14:textId="2DDAAD3B"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2FB2E9A" w14:textId="2D6D6AD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165.1</w:t>
            </w:r>
          </w:p>
        </w:tc>
      </w:tr>
      <w:tr w:rsidR="00F93BAC" w:rsidRPr="009B783C" w14:paraId="3B73D796" w14:textId="77777777" w:rsidTr="00F93BAC">
        <w:tc>
          <w:tcPr>
            <w:tcW w:w="1980" w:type="dxa"/>
            <w:vAlign w:val="bottom"/>
          </w:tcPr>
          <w:p w14:paraId="282A59DC" w14:textId="2F9A469E"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7BC60FFB" w14:textId="62A15D6D"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977" w:type="dxa"/>
            <w:vAlign w:val="bottom"/>
          </w:tcPr>
          <w:p w14:paraId="785FFFD3" w14:textId="41BBB373"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5E6345F" w14:textId="2A85764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168.3</w:t>
            </w:r>
          </w:p>
        </w:tc>
      </w:tr>
      <w:tr w:rsidR="00F93BAC" w:rsidRPr="009B783C" w14:paraId="23606608" w14:textId="77777777" w:rsidTr="00F93BAC">
        <w:tc>
          <w:tcPr>
            <w:tcW w:w="1980" w:type="dxa"/>
            <w:vAlign w:val="bottom"/>
          </w:tcPr>
          <w:p w14:paraId="5D678DBC" w14:textId="3A21AB55"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68B5535D" w14:textId="538E8F3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977" w:type="dxa"/>
            <w:vAlign w:val="bottom"/>
          </w:tcPr>
          <w:p w14:paraId="0F4C1079" w14:textId="1F0308FD"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420A4D5" w14:textId="110FB65E"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142.9</w:t>
            </w:r>
          </w:p>
        </w:tc>
      </w:tr>
      <w:tr w:rsidR="00F93BAC" w:rsidRPr="009B783C" w14:paraId="051685EA" w14:textId="77777777" w:rsidTr="00F93BAC">
        <w:tc>
          <w:tcPr>
            <w:tcW w:w="1980" w:type="dxa"/>
            <w:vAlign w:val="bottom"/>
          </w:tcPr>
          <w:p w14:paraId="24B40D97" w14:textId="22D3FBA2"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2A7A1EF1" w14:textId="3969344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977" w:type="dxa"/>
            <w:vAlign w:val="bottom"/>
          </w:tcPr>
          <w:p w14:paraId="2A01C929" w14:textId="1406FA4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218EF9EC" w14:textId="6ABD67DD"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137.6</w:t>
            </w:r>
          </w:p>
        </w:tc>
      </w:tr>
      <w:tr w:rsidR="00F93BAC" w:rsidRPr="009B783C" w14:paraId="5B772508" w14:textId="77777777" w:rsidTr="00F93BAC">
        <w:tc>
          <w:tcPr>
            <w:tcW w:w="1980" w:type="dxa"/>
            <w:vAlign w:val="bottom"/>
          </w:tcPr>
          <w:p w14:paraId="6AE0D15E" w14:textId="7F4667D7"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4DCD02E7" w14:textId="4B0AAC26"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977" w:type="dxa"/>
            <w:vAlign w:val="bottom"/>
          </w:tcPr>
          <w:p w14:paraId="4CF52638" w14:textId="737B102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3C80510" w14:textId="5328C7D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126.3</w:t>
            </w:r>
          </w:p>
        </w:tc>
      </w:tr>
      <w:tr w:rsidR="00F93BAC" w:rsidRPr="009B783C" w14:paraId="1E77C555" w14:textId="77777777" w:rsidTr="00F93BAC">
        <w:tc>
          <w:tcPr>
            <w:tcW w:w="1980" w:type="dxa"/>
            <w:vAlign w:val="bottom"/>
          </w:tcPr>
          <w:p w14:paraId="269AF188" w14:textId="5E8885F5"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2130C57A" w14:textId="368800F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977" w:type="dxa"/>
            <w:vAlign w:val="bottom"/>
          </w:tcPr>
          <w:p w14:paraId="67148F57" w14:textId="1A98D779"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ACBFB63" w14:textId="748F001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136.8</w:t>
            </w:r>
          </w:p>
        </w:tc>
      </w:tr>
      <w:tr w:rsidR="00F93BAC" w:rsidRPr="009B783C" w14:paraId="24C5ADB9" w14:textId="77777777" w:rsidTr="00F93BAC">
        <w:tc>
          <w:tcPr>
            <w:tcW w:w="1980" w:type="dxa"/>
            <w:vAlign w:val="bottom"/>
          </w:tcPr>
          <w:p w14:paraId="1E6E0F6B" w14:textId="2D0368F8"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7F52461F" w14:textId="76DEBA3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977" w:type="dxa"/>
            <w:vAlign w:val="bottom"/>
          </w:tcPr>
          <w:p w14:paraId="125913B1" w14:textId="599C000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E552DA9" w14:textId="410E024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120</w:t>
            </w:r>
            <w:r w:rsidR="009B1CB8">
              <w:rPr>
                <w:rFonts w:asciiTheme="minorHAnsi" w:hAnsiTheme="minorHAnsi" w:cstheme="minorHAnsi"/>
                <w:color w:val="000000"/>
                <w:szCs w:val="21"/>
              </w:rPr>
              <w:t>.0</w:t>
            </w:r>
          </w:p>
        </w:tc>
      </w:tr>
      <w:tr w:rsidR="00F93BAC" w:rsidRPr="009B783C" w14:paraId="3A0C3A1C" w14:textId="77777777" w:rsidTr="00F93BAC">
        <w:tc>
          <w:tcPr>
            <w:tcW w:w="1980" w:type="dxa"/>
            <w:vAlign w:val="bottom"/>
          </w:tcPr>
          <w:p w14:paraId="075AB4FD" w14:textId="7782BF27"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3DDDFB51" w14:textId="6DEC3E8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977" w:type="dxa"/>
            <w:vAlign w:val="bottom"/>
          </w:tcPr>
          <w:p w14:paraId="07FF2F1E" w14:textId="1B2737D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3BF3975" w14:textId="4A958CD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114.3</w:t>
            </w:r>
          </w:p>
        </w:tc>
      </w:tr>
      <w:tr w:rsidR="00F93BAC" w:rsidRPr="009B783C" w14:paraId="1FAED384" w14:textId="77777777" w:rsidTr="00F93BAC">
        <w:tc>
          <w:tcPr>
            <w:tcW w:w="1980" w:type="dxa"/>
            <w:vAlign w:val="bottom"/>
          </w:tcPr>
          <w:p w14:paraId="6E4DEE5B" w14:textId="66480EBB"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3EBE13F1" w14:textId="756A0FD8"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17</w:t>
            </w:r>
          </w:p>
        </w:tc>
        <w:tc>
          <w:tcPr>
            <w:tcW w:w="2977" w:type="dxa"/>
            <w:vAlign w:val="bottom"/>
          </w:tcPr>
          <w:p w14:paraId="1D0FDA32" w14:textId="00EED19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4327B3F" w14:textId="64EBA56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89.6</w:t>
            </w:r>
          </w:p>
        </w:tc>
      </w:tr>
      <w:tr w:rsidR="00F93BAC" w:rsidRPr="009B783C" w14:paraId="79B7C3ED" w14:textId="77777777" w:rsidTr="00F93BAC">
        <w:tc>
          <w:tcPr>
            <w:tcW w:w="1980" w:type="dxa"/>
            <w:vAlign w:val="bottom"/>
          </w:tcPr>
          <w:p w14:paraId="6C7073EA" w14:textId="3F367EC6"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311BBCA3" w14:textId="28AA430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18</w:t>
            </w:r>
          </w:p>
        </w:tc>
        <w:tc>
          <w:tcPr>
            <w:tcW w:w="2977" w:type="dxa"/>
            <w:vAlign w:val="bottom"/>
          </w:tcPr>
          <w:p w14:paraId="102090F6" w14:textId="26D9455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4C65D561" w14:textId="7847165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68.8</w:t>
            </w:r>
          </w:p>
        </w:tc>
      </w:tr>
      <w:tr w:rsidR="00F93BAC" w:rsidRPr="009B783C" w14:paraId="6169597D" w14:textId="77777777" w:rsidTr="00F93BAC">
        <w:tc>
          <w:tcPr>
            <w:tcW w:w="1980" w:type="dxa"/>
            <w:vAlign w:val="bottom"/>
          </w:tcPr>
          <w:p w14:paraId="4946A5B5" w14:textId="5A30F6B9"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364FEDE4" w14:textId="2375FF6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19</w:t>
            </w:r>
          </w:p>
        </w:tc>
        <w:tc>
          <w:tcPr>
            <w:tcW w:w="2977" w:type="dxa"/>
            <w:vAlign w:val="bottom"/>
          </w:tcPr>
          <w:p w14:paraId="33661534" w14:textId="00D51234"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E482967" w14:textId="0928164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49.5</w:t>
            </w:r>
          </w:p>
        </w:tc>
      </w:tr>
      <w:tr w:rsidR="00F93BAC" w:rsidRPr="009B783C" w14:paraId="231FF5A6" w14:textId="77777777" w:rsidTr="00F93BAC">
        <w:tc>
          <w:tcPr>
            <w:tcW w:w="1980" w:type="dxa"/>
            <w:vAlign w:val="bottom"/>
          </w:tcPr>
          <w:p w14:paraId="2B0D0D20" w14:textId="61EC77C4"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2EBD45D1" w14:textId="47BB7FD8"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20</w:t>
            </w:r>
          </w:p>
        </w:tc>
        <w:tc>
          <w:tcPr>
            <w:tcW w:w="2977" w:type="dxa"/>
            <w:vAlign w:val="bottom"/>
          </w:tcPr>
          <w:p w14:paraId="2E2C2E74" w14:textId="7F245755"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FFEF593" w14:textId="30375E3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20.5</w:t>
            </w:r>
          </w:p>
        </w:tc>
      </w:tr>
      <w:tr w:rsidR="00F93BAC" w:rsidRPr="009B783C" w14:paraId="64CC75EC" w14:textId="77777777" w:rsidTr="00F93BAC">
        <w:tc>
          <w:tcPr>
            <w:tcW w:w="1980" w:type="dxa"/>
            <w:vAlign w:val="bottom"/>
          </w:tcPr>
          <w:p w14:paraId="1CE14FEA" w14:textId="5726A4C5"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0AC38520" w14:textId="008C0145"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21</w:t>
            </w:r>
          </w:p>
        </w:tc>
        <w:tc>
          <w:tcPr>
            <w:tcW w:w="2977" w:type="dxa"/>
            <w:vAlign w:val="bottom"/>
          </w:tcPr>
          <w:p w14:paraId="09D6CA2F" w14:textId="16197688"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0173156" w14:textId="69E4F74D"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8.5</w:t>
            </w:r>
          </w:p>
        </w:tc>
      </w:tr>
      <w:tr w:rsidR="00F93BAC" w:rsidRPr="009B783C" w14:paraId="3F79DF90" w14:textId="77777777" w:rsidTr="00F93BAC">
        <w:tc>
          <w:tcPr>
            <w:tcW w:w="1980" w:type="dxa"/>
            <w:vAlign w:val="bottom"/>
          </w:tcPr>
          <w:p w14:paraId="7FF0E8C2" w14:textId="0FF03DA6"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581E6A7D" w14:textId="0E79BE0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22</w:t>
            </w:r>
          </w:p>
        </w:tc>
        <w:tc>
          <w:tcPr>
            <w:tcW w:w="2977" w:type="dxa"/>
            <w:vAlign w:val="bottom"/>
          </w:tcPr>
          <w:p w14:paraId="21E81BBF" w14:textId="6F7CF42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07D3C29" w14:textId="27AE760C"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1.5</w:t>
            </w:r>
          </w:p>
        </w:tc>
      </w:tr>
      <w:tr w:rsidR="00F93BAC" w:rsidRPr="009B783C" w14:paraId="0CB9FEA4" w14:textId="77777777" w:rsidTr="00F93BAC">
        <w:tc>
          <w:tcPr>
            <w:tcW w:w="1980" w:type="dxa"/>
            <w:vAlign w:val="bottom"/>
          </w:tcPr>
          <w:p w14:paraId="38D35D0B" w14:textId="6AF37F1A"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Sunday</w:t>
            </w:r>
          </w:p>
        </w:tc>
        <w:tc>
          <w:tcPr>
            <w:tcW w:w="1134" w:type="dxa"/>
            <w:vAlign w:val="bottom"/>
          </w:tcPr>
          <w:p w14:paraId="1FA53F8C" w14:textId="1A5FF2F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23</w:t>
            </w:r>
          </w:p>
        </w:tc>
        <w:tc>
          <w:tcPr>
            <w:tcW w:w="2977" w:type="dxa"/>
            <w:vAlign w:val="bottom"/>
          </w:tcPr>
          <w:p w14:paraId="21839B74" w14:textId="6DF9DF8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50EF7074" w14:textId="26001A8D"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0.1</w:t>
            </w:r>
          </w:p>
        </w:tc>
      </w:tr>
      <w:tr w:rsidR="00F93BAC" w:rsidRPr="009B783C" w14:paraId="2CD6789D" w14:textId="77777777" w:rsidTr="00F93BAC">
        <w:tc>
          <w:tcPr>
            <w:tcW w:w="1980" w:type="dxa"/>
            <w:vAlign w:val="bottom"/>
          </w:tcPr>
          <w:p w14:paraId="39D8D415" w14:textId="579A3F0A"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4E4CEA37" w14:textId="3C1DE92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7</w:t>
            </w:r>
          </w:p>
        </w:tc>
        <w:tc>
          <w:tcPr>
            <w:tcW w:w="2977" w:type="dxa"/>
            <w:vAlign w:val="bottom"/>
          </w:tcPr>
          <w:p w14:paraId="77C22FD8" w14:textId="303B753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6FB278F0" w14:textId="4E5946B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6.5</w:t>
            </w:r>
          </w:p>
        </w:tc>
      </w:tr>
      <w:tr w:rsidR="00F93BAC" w:rsidRPr="009B783C" w14:paraId="3C1210AF" w14:textId="77777777" w:rsidTr="00F93BAC">
        <w:tc>
          <w:tcPr>
            <w:tcW w:w="1980" w:type="dxa"/>
            <w:vAlign w:val="bottom"/>
          </w:tcPr>
          <w:p w14:paraId="58786843" w14:textId="460B02F4"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1E44C6DB" w14:textId="6CA8AE7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8</w:t>
            </w:r>
          </w:p>
        </w:tc>
        <w:tc>
          <w:tcPr>
            <w:tcW w:w="2977" w:type="dxa"/>
            <w:vAlign w:val="bottom"/>
          </w:tcPr>
          <w:p w14:paraId="4F8D8458" w14:textId="4348C11E"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31AF412" w14:textId="0F30ADAB"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66.7</w:t>
            </w:r>
          </w:p>
        </w:tc>
      </w:tr>
      <w:tr w:rsidR="00F93BAC" w:rsidRPr="009B783C" w14:paraId="09420E56" w14:textId="77777777" w:rsidTr="00F93BAC">
        <w:tc>
          <w:tcPr>
            <w:tcW w:w="1980" w:type="dxa"/>
            <w:vAlign w:val="bottom"/>
          </w:tcPr>
          <w:p w14:paraId="2C339BA2" w14:textId="1A388567"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52E656AA" w14:textId="2C1094DC"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9</w:t>
            </w:r>
          </w:p>
        </w:tc>
        <w:tc>
          <w:tcPr>
            <w:tcW w:w="2977" w:type="dxa"/>
            <w:vAlign w:val="bottom"/>
          </w:tcPr>
          <w:p w14:paraId="6997962A" w14:textId="050CC5D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7768C45D" w14:textId="074F34F7"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66.4</w:t>
            </w:r>
          </w:p>
        </w:tc>
      </w:tr>
      <w:tr w:rsidR="00F93BAC" w:rsidRPr="009B783C" w14:paraId="0CFF156B" w14:textId="77777777" w:rsidTr="00F93BAC">
        <w:tc>
          <w:tcPr>
            <w:tcW w:w="1980" w:type="dxa"/>
            <w:vAlign w:val="bottom"/>
          </w:tcPr>
          <w:p w14:paraId="06CB3902" w14:textId="6012EFBA"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3D56B521" w14:textId="3F9CFF15"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10</w:t>
            </w:r>
          </w:p>
        </w:tc>
        <w:tc>
          <w:tcPr>
            <w:tcW w:w="2977" w:type="dxa"/>
            <w:vAlign w:val="bottom"/>
          </w:tcPr>
          <w:p w14:paraId="426F7DB1" w14:textId="6BBA027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4A35CCD0" w14:textId="00C7BF9A"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75.7</w:t>
            </w:r>
          </w:p>
        </w:tc>
      </w:tr>
      <w:tr w:rsidR="00F93BAC" w:rsidRPr="009B783C" w14:paraId="04D3FFFB" w14:textId="77777777" w:rsidTr="00F93BAC">
        <w:tc>
          <w:tcPr>
            <w:tcW w:w="1980" w:type="dxa"/>
            <w:vAlign w:val="bottom"/>
          </w:tcPr>
          <w:p w14:paraId="5D2DB454" w14:textId="5A30FD6B"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3D6BE297" w14:textId="7E39724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11</w:t>
            </w:r>
          </w:p>
        </w:tc>
        <w:tc>
          <w:tcPr>
            <w:tcW w:w="2977" w:type="dxa"/>
            <w:vAlign w:val="bottom"/>
          </w:tcPr>
          <w:p w14:paraId="6EE0A028" w14:textId="5E43D96C"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3A6D0E8D" w14:textId="46ED7F3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64.7</w:t>
            </w:r>
          </w:p>
        </w:tc>
      </w:tr>
      <w:tr w:rsidR="00F93BAC" w:rsidRPr="009B783C" w14:paraId="44A6B264" w14:textId="77777777" w:rsidTr="00F93BAC">
        <w:tc>
          <w:tcPr>
            <w:tcW w:w="1980" w:type="dxa"/>
            <w:vAlign w:val="bottom"/>
          </w:tcPr>
          <w:p w14:paraId="0FC24DB2" w14:textId="07236525"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2C2B50AD" w14:textId="3F48860F"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12</w:t>
            </w:r>
          </w:p>
        </w:tc>
        <w:tc>
          <w:tcPr>
            <w:tcW w:w="2977" w:type="dxa"/>
            <w:vAlign w:val="bottom"/>
          </w:tcPr>
          <w:p w14:paraId="14C2BA5E" w14:textId="6096C5A9"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D74607F" w14:textId="439C13A9"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58.6</w:t>
            </w:r>
          </w:p>
        </w:tc>
      </w:tr>
      <w:tr w:rsidR="00F93BAC" w:rsidRPr="009B783C" w14:paraId="6106C4E9" w14:textId="77777777" w:rsidTr="00F93BAC">
        <w:tc>
          <w:tcPr>
            <w:tcW w:w="1980" w:type="dxa"/>
            <w:vAlign w:val="bottom"/>
          </w:tcPr>
          <w:p w14:paraId="4A168064" w14:textId="1C3D359D"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5C4862E7" w14:textId="4114CB3E"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13</w:t>
            </w:r>
          </w:p>
        </w:tc>
        <w:tc>
          <w:tcPr>
            <w:tcW w:w="2977" w:type="dxa"/>
            <w:vAlign w:val="bottom"/>
          </w:tcPr>
          <w:p w14:paraId="60072B4E" w14:textId="22ECC14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E15450D" w14:textId="7E0D06A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52.6</w:t>
            </w:r>
          </w:p>
        </w:tc>
      </w:tr>
      <w:tr w:rsidR="00F93BAC" w:rsidRPr="009B783C" w14:paraId="57E3B6F8" w14:textId="77777777" w:rsidTr="00F93BAC">
        <w:tc>
          <w:tcPr>
            <w:tcW w:w="1980" w:type="dxa"/>
            <w:vAlign w:val="bottom"/>
          </w:tcPr>
          <w:p w14:paraId="5BBCF988" w14:textId="54C42388"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7BBDBCE8" w14:textId="0393F88B"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14</w:t>
            </w:r>
          </w:p>
        </w:tc>
        <w:tc>
          <w:tcPr>
            <w:tcW w:w="2977" w:type="dxa"/>
            <w:vAlign w:val="bottom"/>
          </w:tcPr>
          <w:p w14:paraId="3904FCB4" w14:textId="5EB2A1B2"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0F5F58F0" w14:textId="05F20229"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60.1</w:t>
            </w:r>
          </w:p>
        </w:tc>
      </w:tr>
      <w:tr w:rsidR="00F93BAC" w:rsidRPr="009B783C" w14:paraId="445B382F" w14:textId="77777777" w:rsidTr="00F93BAC">
        <w:tc>
          <w:tcPr>
            <w:tcW w:w="1980" w:type="dxa"/>
            <w:vAlign w:val="bottom"/>
          </w:tcPr>
          <w:p w14:paraId="55EF2262" w14:textId="30497FDD"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5206DEB8" w14:textId="0EBB1821"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15</w:t>
            </w:r>
          </w:p>
        </w:tc>
        <w:tc>
          <w:tcPr>
            <w:tcW w:w="2977" w:type="dxa"/>
            <w:vAlign w:val="bottom"/>
          </w:tcPr>
          <w:p w14:paraId="6C9B1FDE" w14:textId="3A997178"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6227E7D" w14:textId="2BA2ED6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50.6</w:t>
            </w:r>
          </w:p>
        </w:tc>
      </w:tr>
      <w:tr w:rsidR="00F93BAC" w:rsidRPr="009B783C" w14:paraId="15C688EF" w14:textId="77777777" w:rsidTr="00F93BAC">
        <w:tc>
          <w:tcPr>
            <w:tcW w:w="1980" w:type="dxa"/>
            <w:vAlign w:val="bottom"/>
          </w:tcPr>
          <w:p w14:paraId="7A873471" w14:textId="24793B1E" w:rsidR="00F93BAC" w:rsidRPr="009B783C" w:rsidRDefault="00F93BAC" w:rsidP="00F93BAC">
            <w:pPr>
              <w:rPr>
                <w:rFonts w:asciiTheme="minorHAnsi" w:hAnsiTheme="minorHAnsi" w:cstheme="minorHAnsi"/>
                <w:szCs w:val="21"/>
              </w:rPr>
            </w:pPr>
            <w:r w:rsidRPr="009B783C">
              <w:rPr>
                <w:rFonts w:asciiTheme="minorHAnsi" w:hAnsiTheme="minorHAnsi" w:cstheme="minorHAnsi"/>
                <w:color w:val="000000"/>
                <w:szCs w:val="21"/>
              </w:rPr>
              <w:t>Public holidays</w:t>
            </w:r>
          </w:p>
        </w:tc>
        <w:tc>
          <w:tcPr>
            <w:tcW w:w="1134" w:type="dxa"/>
            <w:vAlign w:val="bottom"/>
          </w:tcPr>
          <w:p w14:paraId="2FF3DD4B" w14:textId="59DDAD1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16</w:t>
            </w:r>
          </w:p>
        </w:tc>
        <w:tc>
          <w:tcPr>
            <w:tcW w:w="2977" w:type="dxa"/>
            <w:vAlign w:val="bottom"/>
          </w:tcPr>
          <w:p w14:paraId="397D6508" w14:textId="28451D6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After hours</w:t>
            </w:r>
          </w:p>
        </w:tc>
        <w:tc>
          <w:tcPr>
            <w:tcW w:w="2829" w:type="dxa"/>
            <w:vAlign w:val="bottom"/>
          </w:tcPr>
          <w:p w14:paraId="1A99B522" w14:textId="7E84A830" w:rsidR="00F93BAC" w:rsidRPr="009B783C" w:rsidRDefault="00F93BAC" w:rsidP="006A4BE2">
            <w:pPr>
              <w:jc w:val="center"/>
              <w:rPr>
                <w:rFonts w:asciiTheme="minorHAnsi" w:hAnsiTheme="minorHAnsi" w:cstheme="minorHAnsi"/>
                <w:szCs w:val="21"/>
              </w:rPr>
            </w:pPr>
            <w:r w:rsidRPr="009B783C">
              <w:rPr>
                <w:rFonts w:asciiTheme="minorHAnsi" w:hAnsiTheme="minorHAnsi" w:cstheme="minorHAnsi"/>
                <w:color w:val="000000"/>
                <w:szCs w:val="21"/>
              </w:rPr>
              <w:t>45.8</w:t>
            </w:r>
          </w:p>
        </w:tc>
      </w:tr>
      <w:tr w:rsidR="00F93BAC" w:rsidRPr="009B783C" w14:paraId="7609AE06" w14:textId="77777777" w:rsidTr="00F93BAC">
        <w:tc>
          <w:tcPr>
            <w:tcW w:w="1980" w:type="dxa"/>
            <w:vAlign w:val="bottom"/>
          </w:tcPr>
          <w:p w14:paraId="14F522B1" w14:textId="3A9C1478"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t>Public holidays</w:t>
            </w:r>
          </w:p>
        </w:tc>
        <w:tc>
          <w:tcPr>
            <w:tcW w:w="1134" w:type="dxa"/>
            <w:vAlign w:val="bottom"/>
          </w:tcPr>
          <w:p w14:paraId="1B40A264" w14:textId="10CA05CE"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17</w:t>
            </w:r>
          </w:p>
        </w:tc>
        <w:tc>
          <w:tcPr>
            <w:tcW w:w="2977" w:type="dxa"/>
            <w:vAlign w:val="bottom"/>
          </w:tcPr>
          <w:p w14:paraId="19A291C0" w14:textId="314D6AE1"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0CBE27CD" w14:textId="020A18AD"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35.6</w:t>
            </w:r>
          </w:p>
        </w:tc>
      </w:tr>
      <w:tr w:rsidR="00F93BAC" w:rsidRPr="009B783C" w14:paraId="05C46DC2" w14:textId="77777777" w:rsidTr="00F93BAC">
        <w:tc>
          <w:tcPr>
            <w:tcW w:w="1980" w:type="dxa"/>
            <w:vAlign w:val="bottom"/>
          </w:tcPr>
          <w:p w14:paraId="0B28B174" w14:textId="58615DA4"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t>Public holidays</w:t>
            </w:r>
          </w:p>
        </w:tc>
        <w:tc>
          <w:tcPr>
            <w:tcW w:w="1134" w:type="dxa"/>
            <w:vAlign w:val="bottom"/>
          </w:tcPr>
          <w:p w14:paraId="332C647E" w14:textId="2A5250A5"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18</w:t>
            </w:r>
          </w:p>
        </w:tc>
        <w:tc>
          <w:tcPr>
            <w:tcW w:w="2977" w:type="dxa"/>
            <w:vAlign w:val="bottom"/>
          </w:tcPr>
          <w:p w14:paraId="4917F5D6" w14:textId="32ECA248"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373EF832" w14:textId="3B1A83EA"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23.9</w:t>
            </w:r>
          </w:p>
        </w:tc>
      </w:tr>
      <w:tr w:rsidR="00F93BAC" w:rsidRPr="009B783C" w14:paraId="7792A6E6" w14:textId="77777777" w:rsidTr="00F93BAC">
        <w:tc>
          <w:tcPr>
            <w:tcW w:w="1980" w:type="dxa"/>
            <w:vAlign w:val="bottom"/>
          </w:tcPr>
          <w:p w14:paraId="5C2A8ABC" w14:textId="03438719"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lastRenderedPageBreak/>
              <w:t>Public holidays</w:t>
            </w:r>
          </w:p>
        </w:tc>
        <w:tc>
          <w:tcPr>
            <w:tcW w:w="1134" w:type="dxa"/>
            <w:vAlign w:val="bottom"/>
          </w:tcPr>
          <w:p w14:paraId="671943B5" w14:textId="50A26A73"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19</w:t>
            </w:r>
          </w:p>
        </w:tc>
        <w:tc>
          <w:tcPr>
            <w:tcW w:w="2977" w:type="dxa"/>
            <w:vAlign w:val="bottom"/>
          </w:tcPr>
          <w:p w14:paraId="4F4768CB" w14:textId="01DAA99B"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018C1F1F" w14:textId="3CA95209"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19.6</w:t>
            </w:r>
          </w:p>
        </w:tc>
      </w:tr>
      <w:tr w:rsidR="00F93BAC" w:rsidRPr="009B783C" w14:paraId="02774DE2" w14:textId="77777777" w:rsidTr="00F93BAC">
        <w:tc>
          <w:tcPr>
            <w:tcW w:w="1980" w:type="dxa"/>
            <w:vAlign w:val="bottom"/>
          </w:tcPr>
          <w:p w14:paraId="34A46F77" w14:textId="46BCFBFD"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t>Public holidays</w:t>
            </w:r>
          </w:p>
        </w:tc>
        <w:tc>
          <w:tcPr>
            <w:tcW w:w="1134" w:type="dxa"/>
            <w:vAlign w:val="bottom"/>
          </w:tcPr>
          <w:p w14:paraId="23550AEA" w14:textId="5B1BE5C9"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20</w:t>
            </w:r>
          </w:p>
        </w:tc>
        <w:tc>
          <w:tcPr>
            <w:tcW w:w="2977" w:type="dxa"/>
            <w:vAlign w:val="bottom"/>
          </w:tcPr>
          <w:p w14:paraId="10906EF4" w14:textId="584B37CB"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0FFD461C" w14:textId="58A8568A"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10.6</w:t>
            </w:r>
          </w:p>
        </w:tc>
      </w:tr>
      <w:tr w:rsidR="00F93BAC" w:rsidRPr="009B783C" w14:paraId="15E5A7FB" w14:textId="77777777" w:rsidTr="00F93BAC">
        <w:tc>
          <w:tcPr>
            <w:tcW w:w="1980" w:type="dxa"/>
            <w:vAlign w:val="bottom"/>
          </w:tcPr>
          <w:p w14:paraId="3FC52A53" w14:textId="4D0CC645"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t>Public holidays</w:t>
            </w:r>
          </w:p>
        </w:tc>
        <w:tc>
          <w:tcPr>
            <w:tcW w:w="1134" w:type="dxa"/>
            <w:vAlign w:val="bottom"/>
          </w:tcPr>
          <w:p w14:paraId="09F575D2" w14:textId="7E1F329C"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21</w:t>
            </w:r>
          </w:p>
        </w:tc>
        <w:tc>
          <w:tcPr>
            <w:tcW w:w="2977" w:type="dxa"/>
            <w:vAlign w:val="bottom"/>
          </w:tcPr>
          <w:p w14:paraId="28B59E3B" w14:textId="0DE579F2"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5A8405F6" w14:textId="3783E25A"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6.1</w:t>
            </w:r>
          </w:p>
        </w:tc>
      </w:tr>
      <w:tr w:rsidR="00F93BAC" w:rsidRPr="009B783C" w14:paraId="61BB9888" w14:textId="77777777" w:rsidTr="00F93BAC">
        <w:tc>
          <w:tcPr>
            <w:tcW w:w="1980" w:type="dxa"/>
            <w:vAlign w:val="bottom"/>
          </w:tcPr>
          <w:p w14:paraId="2546CA67" w14:textId="598F5B54" w:rsidR="00F93BAC" w:rsidRPr="009B783C" w:rsidRDefault="00F93BAC" w:rsidP="00F93BAC">
            <w:pPr>
              <w:rPr>
                <w:rFonts w:asciiTheme="minorHAnsi" w:hAnsiTheme="minorHAnsi" w:cstheme="minorHAnsi"/>
                <w:color w:val="000000"/>
                <w:szCs w:val="21"/>
              </w:rPr>
            </w:pPr>
            <w:r w:rsidRPr="009B783C">
              <w:rPr>
                <w:rFonts w:asciiTheme="minorHAnsi" w:hAnsiTheme="minorHAnsi" w:cstheme="minorHAnsi"/>
                <w:color w:val="000000"/>
                <w:szCs w:val="21"/>
              </w:rPr>
              <w:t>Public holidays</w:t>
            </w:r>
          </w:p>
        </w:tc>
        <w:tc>
          <w:tcPr>
            <w:tcW w:w="1134" w:type="dxa"/>
            <w:vAlign w:val="bottom"/>
          </w:tcPr>
          <w:p w14:paraId="27CFA710" w14:textId="6BAF8E0A"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22</w:t>
            </w:r>
          </w:p>
        </w:tc>
        <w:tc>
          <w:tcPr>
            <w:tcW w:w="2977" w:type="dxa"/>
            <w:vAlign w:val="bottom"/>
          </w:tcPr>
          <w:p w14:paraId="6448DBE4" w14:textId="48E8FE62"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After hours</w:t>
            </w:r>
          </w:p>
        </w:tc>
        <w:tc>
          <w:tcPr>
            <w:tcW w:w="2829" w:type="dxa"/>
            <w:vAlign w:val="bottom"/>
          </w:tcPr>
          <w:p w14:paraId="5A2893D1" w14:textId="32F50651" w:rsidR="00F93BAC" w:rsidRPr="009B783C" w:rsidRDefault="00F93BAC" w:rsidP="006A4BE2">
            <w:pPr>
              <w:jc w:val="center"/>
              <w:rPr>
                <w:rFonts w:asciiTheme="minorHAnsi" w:hAnsiTheme="minorHAnsi" w:cstheme="minorHAnsi"/>
                <w:color w:val="000000"/>
                <w:szCs w:val="21"/>
              </w:rPr>
            </w:pPr>
            <w:r w:rsidRPr="009B783C">
              <w:rPr>
                <w:rFonts w:asciiTheme="minorHAnsi" w:hAnsiTheme="minorHAnsi" w:cstheme="minorHAnsi"/>
                <w:color w:val="000000"/>
                <w:szCs w:val="21"/>
              </w:rPr>
              <w:t>2</w:t>
            </w:r>
            <w:r w:rsidR="009B1CB8">
              <w:rPr>
                <w:rFonts w:asciiTheme="minorHAnsi" w:hAnsiTheme="minorHAnsi" w:cstheme="minorHAnsi"/>
                <w:color w:val="000000"/>
                <w:szCs w:val="21"/>
              </w:rPr>
              <w:t>.0</w:t>
            </w:r>
          </w:p>
        </w:tc>
      </w:tr>
    </w:tbl>
    <w:p w14:paraId="7CAF8853" w14:textId="05A06E65" w:rsidR="00295262" w:rsidRPr="009B783C" w:rsidRDefault="00EB4683" w:rsidP="00BF6BEA">
      <w:pPr>
        <w:spacing w:after="0"/>
        <w:rPr>
          <w:sz w:val="20"/>
          <w:szCs w:val="20"/>
          <w:lang w:eastAsia="en-AU"/>
        </w:rPr>
      </w:pPr>
      <w:r w:rsidRPr="009B783C">
        <w:rPr>
          <w:sz w:val="20"/>
          <w:szCs w:val="20"/>
        </w:rPr>
        <w:t xml:space="preserve">Note: Based on </w:t>
      </w:r>
      <w:r w:rsidR="002F41D7" w:rsidRPr="009B783C">
        <w:rPr>
          <w:sz w:val="20"/>
          <w:szCs w:val="20"/>
        </w:rPr>
        <w:t xml:space="preserve">Medicare </w:t>
      </w:r>
      <w:r w:rsidRPr="009B783C">
        <w:rPr>
          <w:sz w:val="20"/>
          <w:szCs w:val="20"/>
        </w:rPr>
        <w:t xml:space="preserve">UCC </w:t>
      </w:r>
      <w:r w:rsidRPr="009B783C" w:rsidDel="004E7366">
        <w:rPr>
          <w:sz w:val="20"/>
          <w:szCs w:val="20"/>
        </w:rPr>
        <w:t>Module</w:t>
      </w:r>
      <w:r w:rsidRPr="009B783C">
        <w:rPr>
          <w:sz w:val="20"/>
          <w:szCs w:val="20"/>
        </w:rPr>
        <w:t xml:space="preserve"> data reported from 1 February 2024</w:t>
      </w:r>
      <w:r w:rsidR="001B3186" w:rsidRPr="009B783C">
        <w:rPr>
          <w:sz w:val="20"/>
          <w:szCs w:val="20"/>
        </w:rPr>
        <w:t xml:space="preserve"> to 30 September 2024. This period was chosen to provide a more accurate reflection of activity once clinics were established.</w:t>
      </w:r>
      <w:r w:rsidR="00B32646" w:rsidRPr="009B783C">
        <w:rPr>
          <w:sz w:val="20"/>
          <w:szCs w:val="20"/>
        </w:rPr>
        <w:t xml:space="preserve"> Presentation time available for 358,297 presentations across 63 Medicare UCCs.</w:t>
      </w:r>
      <w:r w:rsidR="0061727A" w:rsidRPr="009B783C">
        <w:rPr>
          <w:sz w:val="20"/>
          <w:szCs w:val="20"/>
        </w:rPr>
        <w:t xml:space="preserve"> </w:t>
      </w:r>
      <w:r w:rsidR="00B32646" w:rsidRPr="009B783C">
        <w:rPr>
          <w:sz w:val="20"/>
          <w:szCs w:val="20"/>
          <w:lang w:eastAsia="en-AU"/>
        </w:rPr>
        <w:t xml:space="preserve">Mean by day across all Medicare UCCs for the specified hour of day and day of week. </w:t>
      </w:r>
    </w:p>
    <w:p w14:paraId="738F3A4A" w14:textId="6212F13F" w:rsidR="00C17381" w:rsidRPr="009B783C" w:rsidRDefault="00D72309" w:rsidP="00C17381">
      <w:pPr>
        <w:pStyle w:val="Caption"/>
        <w:rPr>
          <w:szCs w:val="21"/>
        </w:rPr>
      </w:pPr>
      <w:bookmarkStart w:id="81" w:name="_Ref185488582"/>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E7782">
        <w:rPr>
          <w:noProof/>
          <w:szCs w:val="21"/>
        </w:rPr>
        <w:t>9</w:t>
      </w:r>
      <w:r w:rsidRPr="009B783C">
        <w:rPr>
          <w:szCs w:val="21"/>
        </w:rPr>
        <w:fldChar w:fldCharType="end"/>
      </w:r>
      <w:bookmarkEnd w:id="81"/>
      <w:r w:rsidR="00C17381" w:rsidRPr="009B783C">
        <w:rPr>
          <w:szCs w:val="21"/>
        </w:rPr>
        <w:t xml:space="preserve"> | Time of day for presentations to ED assigned to triage categories </w:t>
      </w:r>
      <w:r w:rsidR="004A10AC" w:rsidRPr="009B783C">
        <w:rPr>
          <w:szCs w:val="21"/>
        </w:rPr>
        <w:t>four and five</w:t>
      </w:r>
      <w:r w:rsidR="00C17381" w:rsidRPr="009B783C">
        <w:rPr>
          <w:szCs w:val="21"/>
        </w:rPr>
        <w:t xml:space="preserve"> (2022</w:t>
      </w:r>
      <w:r w:rsidR="004A10AC" w:rsidRPr="009B783C">
        <w:rPr>
          <w:szCs w:val="21"/>
        </w:rPr>
        <w:t>-</w:t>
      </w:r>
      <w:r w:rsidR="00C17381" w:rsidRPr="009B783C">
        <w:rPr>
          <w:szCs w:val="21"/>
        </w:rPr>
        <w:t>23)</w:t>
      </w:r>
    </w:p>
    <w:p w14:paraId="58BC2F61" w14:textId="457B8818" w:rsidR="00C17381" w:rsidRPr="009B783C" w:rsidRDefault="00706F6B" w:rsidP="00C17381">
      <w:pPr>
        <w:spacing w:after="0"/>
      </w:pPr>
      <w:r>
        <w:rPr>
          <w:noProof/>
        </w:rPr>
        <w:drawing>
          <wp:inline distT="0" distB="0" distL="0" distR="0" wp14:anchorId="674EE3ED" wp14:editId="6021BDA9">
            <wp:extent cx="5669881" cy="2730138"/>
            <wp:effectExtent l="0" t="0" r="7620" b="0"/>
            <wp:docPr id="13" name="Picture 13" descr="This image presents a vertical bar chart that visualises number of presentations to ED, split by hour of the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his image presents a vertical bar chart that visualises number of presentations to ED, split by hour of the day"/>
                    <pic:cNvPicPr>
                      <a:picLocks noChangeAspect="1" noChangeArrowheads="1"/>
                    </pic:cNvPicPr>
                  </pic:nvPicPr>
                  <pic:blipFill rotWithShape="1">
                    <a:blip r:embed="rId33" cstate="print"/>
                    <a:srcRect b="17636"/>
                    <a:stretch/>
                  </pic:blipFill>
                  <pic:spPr bwMode="auto">
                    <a:xfrm>
                      <a:off x="0" y="0"/>
                      <a:ext cx="5670550" cy="2730460"/>
                    </a:xfrm>
                    <a:prstGeom prst="rect">
                      <a:avLst/>
                    </a:prstGeom>
                    <a:noFill/>
                    <a:ln>
                      <a:noFill/>
                    </a:ln>
                    <a:extLst>
                      <a:ext uri="{53640926-AAD7-44D8-BBD7-CCE9431645EC}">
                        <a14:shadowObscured xmlns:a14="http://schemas.microsoft.com/office/drawing/2010/main"/>
                      </a:ext>
                    </a:extLst>
                  </pic:spPr>
                </pic:pic>
              </a:graphicData>
            </a:graphic>
          </wp:inline>
        </w:drawing>
      </w:r>
    </w:p>
    <w:p w14:paraId="34EE11FD" w14:textId="7B14FB0A" w:rsidR="008773E6" w:rsidRPr="009B783C" w:rsidRDefault="000D706D" w:rsidP="008773E6">
      <w:pPr>
        <w:rPr>
          <w:szCs w:val="21"/>
        </w:rPr>
      </w:pPr>
      <w:r>
        <w:rPr>
          <w:szCs w:val="21"/>
        </w:rPr>
        <w:t xml:space="preserve">Detailed </w:t>
      </w:r>
      <w:r w:rsidR="008773E6" w:rsidRPr="009B783C">
        <w:rPr>
          <w:szCs w:val="21"/>
        </w:rPr>
        <w:t>Description:</w:t>
      </w:r>
    </w:p>
    <w:p w14:paraId="329BC17D" w14:textId="77777777" w:rsidR="003B283E" w:rsidRPr="009B783C" w:rsidRDefault="008773E6" w:rsidP="008773E6">
      <w:pPr>
        <w:rPr>
          <w:szCs w:val="21"/>
        </w:rPr>
      </w:pPr>
      <w:r w:rsidRPr="009B783C">
        <w:rPr>
          <w:szCs w:val="21"/>
        </w:rPr>
        <w:t>A bar chart displaying the number of presentations to EDs across 24 hours. The data is summarised in the following table.</w:t>
      </w:r>
    </w:p>
    <w:tbl>
      <w:tblPr>
        <w:tblStyle w:val="TableGrid"/>
        <w:tblW w:w="0" w:type="auto"/>
        <w:tblLook w:val="04A0" w:firstRow="1" w:lastRow="0" w:firstColumn="1" w:lastColumn="0" w:noHBand="0" w:noVBand="1"/>
      </w:tblPr>
      <w:tblGrid>
        <w:gridCol w:w="988"/>
        <w:gridCol w:w="3966"/>
        <w:gridCol w:w="3966"/>
      </w:tblGrid>
      <w:tr w:rsidR="009C3719" w:rsidRPr="009B783C" w14:paraId="3DA6F2C0" w14:textId="77777777" w:rsidTr="00E26B1C">
        <w:trPr>
          <w:tblHeader/>
        </w:trPr>
        <w:tc>
          <w:tcPr>
            <w:tcW w:w="988" w:type="dxa"/>
            <w:tcBorders>
              <w:right w:val="single" w:sz="4" w:space="0" w:color="FFFFFF" w:themeColor="background1"/>
            </w:tcBorders>
            <w:shd w:val="clear" w:color="auto" w:fill="00264D" w:themeFill="background2"/>
          </w:tcPr>
          <w:p w14:paraId="7EDE0615" w14:textId="59823E9F" w:rsidR="009C3719" w:rsidRPr="009B783C" w:rsidRDefault="009C3719" w:rsidP="007A48C9">
            <w:pPr>
              <w:pStyle w:val="TableNheader"/>
              <w:rPr>
                <w:rFonts w:asciiTheme="majorHAnsi" w:hAnsiTheme="majorHAnsi" w:cstheme="majorHAnsi"/>
              </w:rPr>
            </w:pPr>
            <w:r w:rsidRPr="009B783C">
              <w:t>Hour</w:t>
            </w:r>
          </w:p>
        </w:tc>
        <w:tc>
          <w:tcPr>
            <w:tcW w:w="3966" w:type="dxa"/>
            <w:tcBorders>
              <w:left w:val="single" w:sz="4" w:space="0" w:color="FFFFFF" w:themeColor="background1"/>
              <w:right w:val="single" w:sz="4" w:space="0" w:color="FFFFFF" w:themeColor="background1"/>
            </w:tcBorders>
            <w:shd w:val="clear" w:color="auto" w:fill="00264D" w:themeFill="background2"/>
          </w:tcPr>
          <w:p w14:paraId="269C4DEA" w14:textId="335FD954" w:rsidR="009C3719" w:rsidRPr="009B783C" w:rsidRDefault="009C3719" w:rsidP="007A48C9">
            <w:pPr>
              <w:pStyle w:val="TableNheader"/>
              <w:rPr>
                <w:rFonts w:asciiTheme="majorHAnsi" w:hAnsiTheme="majorHAnsi" w:cstheme="majorHAnsi"/>
              </w:rPr>
            </w:pPr>
            <w:r w:rsidRPr="009B783C">
              <w:t>Presentation (n)</w:t>
            </w:r>
            <w:r w:rsidRPr="009B783C">
              <w:rPr>
                <w:rFonts w:asciiTheme="majorHAnsi" w:hAnsiTheme="majorHAnsi" w:cstheme="majorHAnsi"/>
              </w:rPr>
              <w:t>, non-urgent</w:t>
            </w:r>
          </w:p>
        </w:tc>
        <w:tc>
          <w:tcPr>
            <w:tcW w:w="3966" w:type="dxa"/>
            <w:tcBorders>
              <w:left w:val="single" w:sz="4" w:space="0" w:color="FFFFFF" w:themeColor="background1"/>
            </w:tcBorders>
            <w:shd w:val="clear" w:color="auto" w:fill="00264D" w:themeFill="background2"/>
          </w:tcPr>
          <w:p w14:paraId="5565CE44" w14:textId="122F2D9B" w:rsidR="009C3719" w:rsidRPr="009B783C" w:rsidRDefault="009C3719" w:rsidP="007A48C9">
            <w:pPr>
              <w:pStyle w:val="TableNheader"/>
              <w:rPr>
                <w:rFonts w:asciiTheme="majorHAnsi" w:hAnsiTheme="majorHAnsi" w:cstheme="majorHAnsi"/>
              </w:rPr>
            </w:pPr>
            <w:r w:rsidRPr="009B783C">
              <w:t>Presentation (n)</w:t>
            </w:r>
            <w:r w:rsidRPr="009B783C">
              <w:rPr>
                <w:rFonts w:asciiTheme="majorHAnsi" w:hAnsiTheme="majorHAnsi" w:cstheme="majorHAnsi"/>
              </w:rPr>
              <w:t>, semi-urgent</w:t>
            </w:r>
          </w:p>
        </w:tc>
      </w:tr>
      <w:tr w:rsidR="008D2E3D" w:rsidRPr="009B783C" w14:paraId="4375FBD8" w14:textId="77777777" w:rsidTr="00E26B1C">
        <w:tc>
          <w:tcPr>
            <w:tcW w:w="988" w:type="dxa"/>
          </w:tcPr>
          <w:p w14:paraId="48BB86BE" w14:textId="57AC9F12"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0</w:t>
            </w:r>
          </w:p>
        </w:tc>
        <w:tc>
          <w:tcPr>
            <w:tcW w:w="3966" w:type="dxa"/>
            <w:vAlign w:val="bottom"/>
          </w:tcPr>
          <w:p w14:paraId="5D2CFC71" w14:textId="76A16652"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7569</w:t>
            </w:r>
          </w:p>
        </w:tc>
        <w:tc>
          <w:tcPr>
            <w:tcW w:w="3966" w:type="dxa"/>
            <w:vAlign w:val="bottom"/>
          </w:tcPr>
          <w:p w14:paraId="21DD5797" w14:textId="765B372F"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59347</w:t>
            </w:r>
          </w:p>
        </w:tc>
      </w:tr>
      <w:tr w:rsidR="008D2E3D" w:rsidRPr="009B783C" w14:paraId="06F464B8" w14:textId="77777777" w:rsidTr="00E26B1C">
        <w:tc>
          <w:tcPr>
            <w:tcW w:w="988" w:type="dxa"/>
          </w:tcPr>
          <w:p w14:paraId="204B6BF5" w14:textId="1D8C4107"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w:t>
            </w:r>
          </w:p>
        </w:tc>
        <w:tc>
          <w:tcPr>
            <w:tcW w:w="3966" w:type="dxa"/>
            <w:vAlign w:val="bottom"/>
          </w:tcPr>
          <w:p w14:paraId="08794B5B" w14:textId="28DF4E54"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5996</w:t>
            </w:r>
          </w:p>
        </w:tc>
        <w:tc>
          <w:tcPr>
            <w:tcW w:w="3966" w:type="dxa"/>
            <w:vAlign w:val="bottom"/>
          </w:tcPr>
          <w:p w14:paraId="304CA220" w14:textId="24610AD9"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48279</w:t>
            </w:r>
          </w:p>
        </w:tc>
      </w:tr>
      <w:tr w:rsidR="008D2E3D" w:rsidRPr="009B783C" w14:paraId="414CE932" w14:textId="77777777" w:rsidTr="00E26B1C">
        <w:tc>
          <w:tcPr>
            <w:tcW w:w="988" w:type="dxa"/>
          </w:tcPr>
          <w:p w14:paraId="68C89812" w14:textId="28A771B3"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2</w:t>
            </w:r>
          </w:p>
        </w:tc>
        <w:tc>
          <w:tcPr>
            <w:tcW w:w="3966" w:type="dxa"/>
            <w:vAlign w:val="bottom"/>
          </w:tcPr>
          <w:p w14:paraId="727ED157" w14:textId="19CCADC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4923</w:t>
            </w:r>
          </w:p>
        </w:tc>
        <w:tc>
          <w:tcPr>
            <w:tcW w:w="3966" w:type="dxa"/>
            <w:vAlign w:val="bottom"/>
          </w:tcPr>
          <w:p w14:paraId="0631D88A" w14:textId="39E9FB94"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40709</w:t>
            </w:r>
          </w:p>
        </w:tc>
      </w:tr>
      <w:tr w:rsidR="008D2E3D" w:rsidRPr="009B783C" w14:paraId="5FCEB7CF" w14:textId="77777777" w:rsidTr="00E26B1C">
        <w:tc>
          <w:tcPr>
            <w:tcW w:w="988" w:type="dxa"/>
          </w:tcPr>
          <w:p w14:paraId="3E9AEC72" w14:textId="3AC1B6CC"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3</w:t>
            </w:r>
          </w:p>
        </w:tc>
        <w:tc>
          <w:tcPr>
            <w:tcW w:w="3966" w:type="dxa"/>
            <w:vAlign w:val="bottom"/>
          </w:tcPr>
          <w:p w14:paraId="586D9D9D" w14:textId="5C338D26"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4479</w:t>
            </w:r>
          </w:p>
        </w:tc>
        <w:tc>
          <w:tcPr>
            <w:tcW w:w="3966" w:type="dxa"/>
            <w:vAlign w:val="bottom"/>
          </w:tcPr>
          <w:p w14:paraId="004485D4" w14:textId="606520F3"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36454</w:t>
            </w:r>
          </w:p>
        </w:tc>
      </w:tr>
      <w:tr w:rsidR="008D2E3D" w:rsidRPr="009B783C" w14:paraId="6281607D" w14:textId="77777777" w:rsidTr="00E26B1C">
        <w:tc>
          <w:tcPr>
            <w:tcW w:w="988" w:type="dxa"/>
          </w:tcPr>
          <w:p w14:paraId="186E56F8" w14:textId="348E70A0"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4</w:t>
            </w:r>
          </w:p>
        </w:tc>
        <w:tc>
          <w:tcPr>
            <w:tcW w:w="3966" w:type="dxa"/>
            <w:vAlign w:val="bottom"/>
          </w:tcPr>
          <w:p w14:paraId="5C0B36FE" w14:textId="40BACD30"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4035</w:t>
            </w:r>
          </w:p>
        </w:tc>
        <w:tc>
          <w:tcPr>
            <w:tcW w:w="3966" w:type="dxa"/>
            <w:vAlign w:val="bottom"/>
          </w:tcPr>
          <w:p w14:paraId="35499261" w14:textId="22ADEF5C"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34033</w:t>
            </w:r>
          </w:p>
        </w:tc>
      </w:tr>
      <w:tr w:rsidR="008D2E3D" w:rsidRPr="009B783C" w14:paraId="5E479538" w14:textId="77777777" w:rsidTr="00E26B1C">
        <w:tc>
          <w:tcPr>
            <w:tcW w:w="988" w:type="dxa"/>
          </w:tcPr>
          <w:p w14:paraId="21B7585E" w14:textId="13C07406"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5</w:t>
            </w:r>
          </w:p>
        </w:tc>
        <w:tc>
          <w:tcPr>
            <w:tcW w:w="3966" w:type="dxa"/>
            <w:vAlign w:val="bottom"/>
          </w:tcPr>
          <w:p w14:paraId="11C5C8AC" w14:textId="595E70DE"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4907</w:t>
            </w:r>
          </w:p>
        </w:tc>
        <w:tc>
          <w:tcPr>
            <w:tcW w:w="3966" w:type="dxa"/>
            <w:vAlign w:val="bottom"/>
          </w:tcPr>
          <w:p w14:paraId="6BB01CA3" w14:textId="05C4512D"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36300</w:t>
            </w:r>
          </w:p>
        </w:tc>
      </w:tr>
      <w:tr w:rsidR="008D2E3D" w:rsidRPr="009B783C" w14:paraId="23906362" w14:textId="77777777" w:rsidTr="00E26B1C">
        <w:tc>
          <w:tcPr>
            <w:tcW w:w="988" w:type="dxa"/>
          </w:tcPr>
          <w:p w14:paraId="62858F55" w14:textId="592FC55F"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6</w:t>
            </w:r>
          </w:p>
        </w:tc>
        <w:tc>
          <w:tcPr>
            <w:tcW w:w="3966" w:type="dxa"/>
            <w:vAlign w:val="bottom"/>
          </w:tcPr>
          <w:p w14:paraId="38D89974" w14:textId="171CEAF7"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9296</w:t>
            </w:r>
          </w:p>
        </w:tc>
        <w:tc>
          <w:tcPr>
            <w:tcW w:w="3966" w:type="dxa"/>
            <w:vAlign w:val="bottom"/>
          </w:tcPr>
          <w:p w14:paraId="6883CE5B" w14:textId="576ADA07"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50201</w:t>
            </w:r>
          </w:p>
        </w:tc>
      </w:tr>
      <w:tr w:rsidR="008D2E3D" w:rsidRPr="009B783C" w14:paraId="22C1B6EE" w14:textId="77777777" w:rsidTr="00E26B1C">
        <w:tc>
          <w:tcPr>
            <w:tcW w:w="988" w:type="dxa"/>
          </w:tcPr>
          <w:p w14:paraId="4C7E7B98" w14:textId="18B3BA63"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7</w:t>
            </w:r>
          </w:p>
        </w:tc>
        <w:tc>
          <w:tcPr>
            <w:tcW w:w="3966" w:type="dxa"/>
            <w:vAlign w:val="bottom"/>
          </w:tcPr>
          <w:p w14:paraId="2B58651D" w14:textId="4B6EB1F0"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24423</w:t>
            </w:r>
          </w:p>
        </w:tc>
        <w:tc>
          <w:tcPr>
            <w:tcW w:w="3966" w:type="dxa"/>
            <w:vAlign w:val="bottom"/>
          </w:tcPr>
          <w:p w14:paraId="792BDCC7" w14:textId="393B1E9A"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93838</w:t>
            </w:r>
          </w:p>
        </w:tc>
      </w:tr>
      <w:tr w:rsidR="008D2E3D" w:rsidRPr="009B783C" w14:paraId="7A59F4A2" w14:textId="77777777" w:rsidTr="00E26B1C">
        <w:tc>
          <w:tcPr>
            <w:tcW w:w="988" w:type="dxa"/>
          </w:tcPr>
          <w:p w14:paraId="54AF5542" w14:textId="42021885"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lastRenderedPageBreak/>
              <w:t>8</w:t>
            </w:r>
          </w:p>
        </w:tc>
        <w:tc>
          <w:tcPr>
            <w:tcW w:w="3966" w:type="dxa"/>
            <w:vAlign w:val="bottom"/>
          </w:tcPr>
          <w:p w14:paraId="6566B18C" w14:textId="70AD247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40987</w:t>
            </w:r>
          </w:p>
        </w:tc>
        <w:tc>
          <w:tcPr>
            <w:tcW w:w="3966" w:type="dxa"/>
            <w:vAlign w:val="bottom"/>
          </w:tcPr>
          <w:p w14:paraId="2FB62944" w14:textId="2C11CE8A"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148983</w:t>
            </w:r>
          </w:p>
        </w:tc>
      </w:tr>
      <w:tr w:rsidR="008D2E3D" w:rsidRPr="009B783C" w14:paraId="2DB32D65" w14:textId="77777777" w:rsidTr="00E26B1C">
        <w:tc>
          <w:tcPr>
            <w:tcW w:w="988" w:type="dxa"/>
          </w:tcPr>
          <w:p w14:paraId="1147D50E" w14:textId="657374C4"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9</w:t>
            </w:r>
          </w:p>
        </w:tc>
        <w:tc>
          <w:tcPr>
            <w:tcW w:w="3966" w:type="dxa"/>
            <w:vAlign w:val="bottom"/>
          </w:tcPr>
          <w:p w14:paraId="0BC532BC" w14:textId="3D5CF91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53106</w:t>
            </w:r>
          </w:p>
        </w:tc>
        <w:tc>
          <w:tcPr>
            <w:tcW w:w="3966" w:type="dxa"/>
            <w:vAlign w:val="bottom"/>
          </w:tcPr>
          <w:p w14:paraId="27381610" w14:textId="422D60BF"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199458</w:t>
            </w:r>
          </w:p>
        </w:tc>
      </w:tr>
      <w:tr w:rsidR="008D2E3D" w:rsidRPr="009B783C" w14:paraId="5BE130CA" w14:textId="77777777" w:rsidTr="00E26B1C">
        <w:tc>
          <w:tcPr>
            <w:tcW w:w="988" w:type="dxa"/>
          </w:tcPr>
          <w:p w14:paraId="1F8145F8" w14:textId="2F2AD4E7"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10</w:t>
            </w:r>
          </w:p>
        </w:tc>
        <w:tc>
          <w:tcPr>
            <w:tcW w:w="3966" w:type="dxa"/>
            <w:vAlign w:val="bottom"/>
          </w:tcPr>
          <w:p w14:paraId="3D65F5EA" w14:textId="32CCDDF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53314</w:t>
            </w:r>
          </w:p>
        </w:tc>
        <w:tc>
          <w:tcPr>
            <w:tcW w:w="3966" w:type="dxa"/>
            <w:vAlign w:val="bottom"/>
          </w:tcPr>
          <w:p w14:paraId="0B97DC0A" w14:textId="61E5465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214671</w:t>
            </w:r>
          </w:p>
        </w:tc>
      </w:tr>
      <w:tr w:rsidR="008D2E3D" w:rsidRPr="009B783C" w14:paraId="1A9CAFBA" w14:textId="77777777" w:rsidTr="00E26B1C">
        <w:tc>
          <w:tcPr>
            <w:tcW w:w="988" w:type="dxa"/>
          </w:tcPr>
          <w:p w14:paraId="646983A3" w14:textId="55B02744"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11</w:t>
            </w:r>
          </w:p>
        </w:tc>
        <w:tc>
          <w:tcPr>
            <w:tcW w:w="3966" w:type="dxa"/>
            <w:vAlign w:val="bottom"/>
          </w:tcPr>
          <w:p w14:paraId="3EEBFFD9" w14:textId="786C3B2C"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47169</w:t>
            </w:r>
          </w:p>
        </w:tc>
        <w:tc>
          <w:tcPr>
            <w:tcW w:w="3966" w:type="dxa"/>
            <w:vAlign w:val="bottom"/>
          </w:tcPr>
          <w:p w14:paraId="7EC304D1" w14:textId="33C87855"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211903</w:t>
            </w:r>
          </w:p>
        </w:tc>
      </w:tr>
      <w:tr w:rsidR="008D2E3D" w:rsidRPr="009B783C" w14:paraId="1821A51C" w14:textId="77777777" w:rsidTr="00E26B1C">
        <w:tc>
          <w:tcPr>
            <w:tcW w:w="988" w:type="dxa"/>
          </w:tcPr>
          <w:p w14:paraId="1CCDCB50" w14:textId="4CB0F4AD"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12</w:t>
            </w:r>
          </w:p>
        </w:tc>
        <w:tc>
          <w:tcPr>
            <w:tcW w:w="3966" w:type="dxa"/>
            <w:vAlign w:val="bottom"/>
          </w:tcPr>
          <w:p w14:paraId="1DFD7888" w14:textId="6B26FD25"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40813</w:t>
            </w:r>
          </w:p>
        </w:tc>
        <w:tc>
          <w:tcPr>
            <w:tcW w:w="3966" w:type="dxa"/>
            <w:vAlign w:val="bottom"/>
          </w:tcPr>
          <w:p w14:paraId="2005C34A" w14:textId="2CBD30F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199963</w:t>
            </w:r>
          </w:p>
        </w:tc>
      </w:tr>
      <w:tr w:rsidR="008D2E3D" w:rsidRPr="009B783C" w14:paraId="488D941C" w14:textId="77777777" w:rsidTr="00E26B1C">
        <w:tc>
          <w:tcPr>
            <w:tcW w:w="988" w:type="dxa"/>
          </w:tcPr>
          <w:p w14:paraId="209F1F42" w14:textId="1E8FAC50"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13</w:t>
            </w:r>
          </w:p>
        </w:tc>
        <w:tc>
          <w:tcPr>
            <w:tcW w:w="3966" w:type="dxa"/>
            <w:vAlign w:val="bottom"/>
          </w:tcPr>
          <w:p w14:paraId="137EF880" w14:textId="51CA5F83"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39011</w:t>
            </w:r>
          </w:p>
        </w:tc>
        <w:tc>
          <w:tcPr>
            <w:tcW w:w="3966" w:type="dxa"/>
            <w:vAlign w:val="bottom"/>
          </w:tcPr>
          <w:p w14:paraId="091011F5" w14:textId="710C56A2"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194865</w:t>
            </w:r>
          </w:p>
        </w:tc>
      </w:tr>
      <w:tr w:rsidR="008D2E3D" w:rsidRPr="009B783C" w14:paraId="3E0B29F5" w14:textId="77777777" w:rsidTr="00E26B1C">
        <w:tc>
          <w:tcPr>
            <w:tcW w:w="988" w:type="dxa"/>
          </w:tcPr>
          <w:p w14:paraId="5E799B82" w14:textId="04EBFA50"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14</w:t>
            </w:r>
          </w:p>
        </w:tc>
        <w:tc>
          <w:tcPr>
            <w:tcW w:w="3966" w:type="dxa"/>
            <w:vAlign w:val="bottom"/>
          </w:tcPr>
          <w:p w14:paraId="7A4FC315" w14:textId="5BBF142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38056</w:t>
            </w:r>
          </w:p>
        </w:tc>
        <w:tc>
          <w:tcPr>
            <w:tcW w:w="3966" w:type="dxa"/>
            <w:vAlign w:val="bottom"/>
          </w:tcPr>
          <w:p w14:paraId="60FBFC4E" w14:textId="01647C11"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193063</w:t>
            </w:r>
          </w:p>
        </w:tc>
      </w:tr>
      <w:tr w:rsidR="008D2E3D" w:rsidRPr="009B783C" w14:paraId="7EA19FAF" w14:textId="77777777" w:rsidTr="00E26B1C">
        <w:tc>
          <w:tcPr>
            <w:tcW w:w="988" w:type="dxa"/>
          </w:tcPr>
          <w:p w14:paraId="274B9DDA" w14:textId="39070ED0"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15</w:t>
            </w:r>
          </w:p>
        </w:tc>
        <w:tc>
          <w:tcPr>
            <w:tcW w:w="3966" w:type="dxa"/>
            <w:vAlign w:val="bottom"/>
          </w:tcPr>
          <w:p w14:paraId="1AF3880B" w14:textId="4C752E21"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36562</w:t>
            </w:r>
          </w:p>
        </w:tc>
        <w:tc>
          <w:tcPr>
            <w:tcW w:w="3966" w:type="dxa"/>
            <w:vAlign w:val="bottom"/>
          </w:tcPr>
          <w:p w14:paraId="0BB6CB4A" w14:textId="06F84B5B"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189941</w:t>
            </w:r>
          </w:p>
        </w:tc>
      </w:tr>
      <w:tr w:rsidR="008D2E3D" w:rsidRPr="009B783C" w14:paraId="60D32109" w14:textId="77777777" w:rsidTr="00E26B1C">
        <w:tc>
          <w:tcPr>
            <w:tcW w:w="988" w:type="dxa"/>
          </w:tcPr>
          <w:p w14:paraId="31342AC5" w14:textId="4E0A1708"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16</w:t>
            </w:r>
          </w:p>
        </w:tc>
        <w:tc>
          <w:tcPr>
            <w:tcW w:w="3966" w:type="dxa"/>
            <w:vAlign w:val="bottom"/>
          </w:tcPr>
          <w:p w14:paraId="3959914C" w14:textId="46777B89"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34422</w:t>
            </w:r>
          </w:p>
        </w:tc>
        <w:tc>
          <w:tcPr>
            <w:tcW w:w="3966" w:type="dxa"/>
            <w:vAlign w:val="bottom"/>
          </w:tcPr>
          <w:p w14:paraId="3C27E042" w14:textId="7E6F97DB"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190243</w:t>
            </w:r>
          </w:p>
        </w:tc>
      </w:tr>
      <w:tr w:rsidR="008D2E3D" w:rsidRPr="009B783C" w14:paraId="6E9A0A1D" w14:textId="77777777" w:rsidTr="00E26B1C">
        <w:tc>
          <w:tcPr>
            <w:tcW w:w="988" w:type="dxa"/>
          </w:tcPr>
          <w:p w14:paraId="7552EA31" w14:textId="3A62AA63"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17</w:t>
            </w:r>
          </w:p>
        </w:tc>
        <w:tc>
          <w:tcPr>
            <w:tcW w:w="3966" w:type="dxa"/>
            <w:vAlign w:val="bottom"/>
          </w:tcPr>
          <w:p w14:paraId="08EF4879" w14:textId="70CAFE8C"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30377</w:t>
            </w:r>
          </w:p>
        </w:tc>
        <w:tc>
          <w:tcPr>
            <w:tcW w:w="3966" w:type="dxa"/>
            <w:vAlign w:val="bottom"/>
          </w:tcPr>
          <w:p w14:paraId="5EBC085F" w14:textId="1A21A1F0"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182451</w:t>
            </w:r>
          </w:p>
        </w:tc>
      </w:tr>
      <w:tr w:rsidR="008D2E3D" w:rsidRPr="009B783C" w14:paraId="5A1320B2" w14:textId="77777777" w:rsidTr="00E26B1C">
        <w:tc>
          <w:tcPr>
            <w:tcW w:w="988" w:type="dxa"/>
          </w:tcPr>
          <w:p w14:paraId="488DAAFF" w14:textId="141F89AB"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18</w:t>
            </w:r>
          </w:p>
        </w:tc>
        <w:tc>
          <w:tcPr>
            <w:tcW w:w="3966" w:type="dxa"/>
            <w:vAlign w:val="bottom"/>
          </w:tcPr>
          <w:p w14:paraId="7DE5DED6" w14:textId="36944183"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26920</w:t>
            </w:r>
          </w:p>
        </w:tc>
        <w:tc>
          <w:tcPr>
            <w:tcW w:w="3966" w:type="dxa"/>
            <w:vAlign w:val="bottom"/>
          </w:tcPr>
          <w:p w14:paraId="76A2AEA6" w14:textId="174E2951"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176426</w:t>
            </w:r>
          </w:p>
        </w:tc>
      </w:tr>
      <w:tr w:rsidR="008D2E3D" w:rsidRPr="009B783C" w14:paraId="0FDBC1C5" w14:textId="77777777" w:rsidTr="00E26B1C">
        <w:tc>
          <w:tcPr>
            <w:tcW w:w="988" w:type="dxa"/>
          </w:tcPr>
          <w:p w14:paraId="21F6B738" w14:textId="74C7F190"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19</w:t>
            </w:r>
          </w:p>
        </w:tc>
        <w:tc>
          <w:tcPr>
            <w:tcW w:w="3966" w:type="dxa"/>
            <w:vAlign w:val="bottom"/>
          </w:tcPr>
          <w:p w14:paraId="10DFA601" w14:textId="70A213C8"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25892</w:t>
            </w:r>
          </w:p>
        </w:tc>
        <w:tc>
          <w:tcPr>
            <w:tcW w:w="3966" w:type="dxa"/>
            <w:vAlign w:val="bottom"/>
          </w:tcPr>
          <w:p w14:paraId="6EF032DA" w14:textId="2C93B396"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172065</w:t>
            </w:r>
          </w:p>
        </w:tc>
      </w:tr>
      <w:tr w:rsidR="008D2E3D" w:rsidRPr="009B783C" w14:paraId="33293F47" w14:textId="77777777" w:rsidTr="00E26B1C">
        <w:tc>
          <w:tcPr>
            <w:tcW w:w="988" w:type="dxa"/>
          </w:tcPr>
          <w:p w14:paraId="30197693" w14:textId="31530796"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20</w:t>
            </w:r>
          </w:p>
        </w:tc>
        <w:tc>
          <w:tcPr>
            <w:tcW w:w="3966" w:type="dxa"/>
            <w:vAlign w:val="bottom"/>
          </w:tcPr>
          <w:p w14:paraId="5BE6AA2F" w14:textId="14DDCDA7"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22063</w:t>
            </w:r>
          </w:p>
        </w:tc>
        <w:tc>
          <w:tcPr>
            <w:tcW w:w="3966" w:type="dxa"/>
            <w:vAlign w:val="bottom"/>
          </w:tcPr>
          <w:p w14:paraId="3B1BC389" w14:textId="395D4CF2"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154022</w:t>
            </w:r>
          </w:p>
        </w:tc>
      </w:tr>
      <w:tr w:rsidR="008D2E3D" w:rsidRPr="009B783C" w14:paraId="273D145C" w14:textId="77777777" w:rsidTr="00E26B1C">
        <w:tc>
          <w:tcPr>
            <w:tcW w:w="988" w:type="dxa"/>
          </w:tcPr>
          <w:p w14:paraId="4A2D29E6" w14:textId="7378006C"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21</w:t>
            </w:r>
          </w:p>
        </w:tc>
        <w:tc>
          <w:tcPr>
            <w:tcW w:w="3966" w:type="dxa"/>
            <w:vAlign w:val="bottom"/>
          </w:tcPr>
          <w:p w14:paraId="41AD301A" w14:textId="1C274C06"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17682</w:t>
            </w:r>
          </w:p>
        </w:tc>
        <w:tc>
          <w:tcPr>
            <w:tcW w:w="3966" w:type="dxa"/>
            <w:vAlign w:val="bottom"/>
          </w:tcPr>
          <w:p w14:paraId="2C1B1D3A" w14:textId="4B5DB662"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128441</w:t>
            </w:r>
          </w:p>
        </w:tc>
      </w:tr>
      <w:tr w:rsidR="008D2E3D" w:rsidRPr="009B783C" w14:paraId="79969B6C" w14:textId="77777777" w:rsidTr="00E26B1C">
        <w:tc>
          <w:tcPr>
            <w:tcW w:w="988" w:type="dxa"/>
          </w:tcPr>
          <w:p w14:paraId="2D9C3B02" w14:textId="0720F919"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22</w:t>
            </w:r>
          </w:p>
        </w:tc>
        <w:tc>
          <w:tcPr>
            <w:tcW w:w="3966" w:type="dxa"/>
            <w:vAlign w:val="bottom"/>
          </w:tcPr>
          <w:p w14:paraId="5D907B0A" w14:textId="2A9C392E"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13892</w:t>
            </w:r>
          </w:p>
        </w:tc>
        <w:tc>
          <w:tcPr>
            <w:tcW w:w="3966" w:type="dxa"/>
            <w:vAlign w:val="bottom"/>
          </w:tcPr>
          <w:p w14:paraId="0ACD1B22" w14:textId="652A989A"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102507</w:t>
            </w:r>
          </w:p>
        </w:tc>
      </w:tr>
      <w:tr w:rsidR="008D2E3D" w:rsidRPr="009B783C" w14:paraId="145C39FF" w14:textId="77777777" w:rsidTr="00E26B1C">
        <w:tc>
          <w:tcPr>
            <w:tcW w:w="988" w:type="dxa"/>
          </w:tcPr>
          <w:p w14:paraId="32A79083" w14:textId="162DE83D" w:rsidR="008D2E3D" w:rsidRPr="009B783C" w:rsidRDefault="008D2E3D" w:rsidP="008D2E3D">
            <w:pPr>
              <w:rPr>
                <w:rFonts w:asciiTheme="minorHAnsi" w:hAnsiTheme="minorHAnsi" w:cstheme="minorHAnsi"/>
                <w:szCs w:val="21"/>
              </w:rPr>
            </w:pPr>
            <w:r w:rsidRPr="009B783C">
              <w:rPr>
                <w:rFonts w:asciiTheme="minorHAnsi" w:hAnsiTheme="minorHAnsi" w:cstheme="minorHAnsi"/>
                <w:szCs w:val="21"/>
              </w:rPr>
              <w:t>23</w:t>
            </w:r>
          </w:p>
        </w:tc>
        <w:tc>
          <w:tcPr>
            <w:tcW w:w="3966" w:type="dxa"/>
            <w:vAlign w:val="bottom"/>
          </w:tcPr>
          <w:p w14:paraId="615FB2ED" w14:textId="464A59A0"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10246</w:t>
            </w:r>
          </w:p>
        </w:tc>
        <w:tc>
          <w:tcPr>
            <w:tcW w:w="3966" w:type="dxa"/>
            <w:vAlign w:val="bottom"/>
          </w:tcPr>
          <w:p w14:paraId="2F6016EC" w14:textId="2E2D4555" w:rsidR="008D2E3D" w:rsidRPr="009B783C" w:rsidRDefault="008D2E3D" w:rsidP="006A4BE2">
            <w:pPr>
              <w:jc w:val="center"/>
              <w:rPr>
                <w:rFonts w:asciiTheme="minorHAnsi" w:hAnsiTheme="minorHAnsi" w:cstheme="minorHAnsi"/>
                <w:szCs w:val="21"/>
              </w:rPr>
            </w:pPr>
            <w:r w:rsidRPr="009B783C">
              <w:rPr>
                <w:rFonts w:asciiTheme="minorHAnsi" w:hAnsiTheme="minorHAnsi" w:cstheme="minorHAnsi"/>
                <w:color w:val="000000"/>
                <w:szCs w:val="21"/>
              </w:rPr>
              <w:t>77317</w:t>
            </w:r>
          </w:p>
        </w:tc>
      </w:tr>
    </w:tbl>
    <w:p w14:paraId="467277E0" w14:textId="6A71D70E" w:rsidR="00C17381" w:rsidRPr="009B783C" w:rsidRDefault="00C17381" w:rsidP="00C17381">
      <w:pPr>
        <w:rPr>
          <w:sz w:val="20"/>
          <w:szCs w:val="20"/>
          <w:lang w:eastAsia="en-AU"/>
        </w:rPr>
      </w:pPr>
      <w:r w:rsidRPr="009B783C">
        <w:rPr>
          <w:sz w:val="20"/>
          <w:szCs w:val="20"/>
        </w:rPr>
        <w:t>Note: The ED data is based on AIHW 2024 ED care 2022</w:t>
      </w:r>
      <w:r w:rsidR="004A10AC" w:rsidRPr="009B783C">
        <w:rPr>
          <w:sz w:val="20"/>
          <w:szCs w:val="20"/>
        </w:rPr>
        <w:t>-</w:t>
      </w:r>
      <w:r w:rsidRPr="009B783C">
        <w:rPr>
          <w:sz w:val="20"/>
          <w:szCs w:val="20"/>
        </w:rPr>
        <w:t xml:space="preserve">23: Australian hospitals statistics: Supplement Data Tables </w:t>
      </w:r>
      <w:hyperlink r:id="rId34" w:history="1">
        <w:r w:rsidRPr="009B783C">
          <w:rPr>
            <w:sz w:val="20"/>
            <w:szCs w:val="20"/>
          </w:rPr>
          <w:t>https://www.aihw.gov.au/reports-data/myhospitals/sectors/emergency-department-care</w:t>
        </w:r>
      </w:hyperlink>
      <w:r w:rsidRPr="009B783C">
        <w:rPr>
          <w:sz w:val="20"/>
          <w:szCs w:val="20"/>
        </w:rPr>
        <w:t xml:space="preserve"> Table S4.5</w:t>
      </w:r>
    </w:p>
    <w:p w14:paraId="306DABD6" w14:textId="77777777" w:rsidR="00404D22" w:rsidRPr="009B783C" w:rsidRDefault="00855F9C" w:rsidP="00C17381">
      <w:pPr>
        <w:pStyle w:val="Heading2"/>
        <w:ind w:left="567" w:hanging="567"/>
      </w:pPr>
      <w:bookmarkStart w:id="82" w:name="_Ref185510731"/>
      <w:bookmarkStart w:id="83" w:name="_Toc189639225"/>
      <w:bookmarkStart w:id="84" w:name="_Toc189772025"/>
      <w:r w:rsidRPr="009B783C">
        <w:t xml:space="preserve">Comparison of </w:t>
      </w:r>
      <w:r w:rsidR="00F76A64" w:rsidRPr="009B783C">
        <w:t xml:space="preserve">characteristics of </w:t>
      </w:r>
      <w:r w:rsidRPr="009B783C">
        <w:t>p</w:t>
      </w:r>
      <w:r w:rsidR="00404D22" w:rsidRPr="009B783C">
        <w:t xml:space="preserve">atients attending Medicare UCCs </w:t>
      </w:r>
      <w:r w:rsidR="00A45CAF" w:rsidRPr="009B783C">
        <w:t xml:space="preserve">with ED </w:t>
      </w:r>
      <w:r w:rsidR="005520EC" w:rsidRPr="009B783C">
        <w:t>patients</w:t>
      </w:r>
      <w:bookmarkEnd w:id="82"/>
      <w:bookmarkEnd w:id="83"/>
      <w:bookmarkEnd w:id="84"/>
    </w:p>
    <w:p w14:paraId="7A65F3F3" w14:textId="77777777" w:rsidR="00404D22" w:rsidRPr="00E352B1" w:rsidRDefault="00140EE9" w:rsidP="00E352B1">
      <w:pPr>
        <w:rPr>
          <w:rFonts w:asciiTheme="majorHAnsi" w:hAnsiTheme="majorHAnsi" w:cstheme="majorHAnsi"/>
          <w:color w:val="00264D" w:themeColor="background2"/>
          <w:sz w:val="22"/>
        </w:rPr>
      </w:pPr>
      <w:r w:rsidRPr="00E352B1">
        <w:rPr>
          <w:rFonts w:asciiTheme="majorHAnsi" w:hAnsiTheme="majorHAnsi" w:cstheme="majorHAnsi"/>
          <w:color w:val="00264D" w:themeColor="background2"/>
          <w:sz w:val="22"/>
        </w:rPr>
        <w:t xml:space="preserve">Available data indicates </w:t>
      </w:r>
      <w:r w:rsidR="00404D22" w:rsidRPr="00E352B1">
        <w:rPr>
          <w:rFonts w:asciiTheme="majorHAnsi" w:hAnsiTheme="majorHAnsi" w:cstheme="majorHAnsi"/>
          <w:color w:val="00264D" w:themeColor="background2"/>
          <w:sz w:val="22"/>
        </w:rPr>
        <w:t>Medicare UCC patients tend to be younger than patients attending EDs for similar care</w:t>
      </w:r>
    </w:p>
    <w:p w14:paraId="344CAEDC" w14:textId="275E10C0" w:rsidR="00404D22" w:rsidRPr="009B783C" w:rsidRDefault="00404D22" w:rsidP="00F345DA">
      <w:pPr>
        <w:rPr>
          <w:szCs w:val="21"/>
          <w:lang w:val="en-US"/>
        </w:rPr>
      </w:pPr>
      <w:r w:rsidRPr="620A8401">
        <w:rPr>
          <w:szCs w:val="21"/>
          <w:lang w:val="en-US"/>
        </w:rPr>
        <w:t>Of the patients attending Medicare UCCs, 45 per cent were male and 55 per cent were female.</w:t>
      </w:r>
      <w:r w:rsidRPr="620A8401">
        <w:rPr>
          <w:rStyle w:val="FootnoteReference"/>
          <w:szCs w:val="21"/>
          <w:lang w:val="en-US"/>
        </w:rPr>
        <w:footnoteReference w:id="37"/>
      </w:r>
      <w:r w:rsidRPr="620A8401">
        <w:rPr>
          <w:szCs w:val="21"/>
          <w:lang w:val="en-US"/>
        </w:rPr>
        <w:t xml:space="preserve"> This was slightly different to patients attending EDs in </w:t>
      </w:r>
      <w:r w:rsidR="00D26223" w:rsidRPr="620A8401">
        <w:rPr>
          <w:szCs w:val="21"/>
          <w:lang w:val="en-US"/>
        </w:rPr>
        <w:t>triage</w:t>
      </w:r>
      <w:r w:rsidRPr="620A8401">
        <w:rPr>
          <w:szCs w:val="21"/>
          <w:lang w:val="en-US"/>
        </w:rPr>
        <w:t xml:space="preserve"> </w:t>
      </w:r>
      <w:r w:rsidR="00C17381" w:rsidRPr="620A8401">
        <w:rPr>
          <w:szCs w:val="21"/>
          <w:lang w:val="en-US"/>
        </w:rPr>
        <w:t xml:space="preserve">categories </w:t>
      </w:r>
      <w:r w:rsidR="004A10AC" w:rsidRPr="620A8401">
        <w:rPr>
          <w:szCs w:val="21"/>
          <w:lang w:val="en-US"/>
        </w:rPr>
        <w:t>four</w:t>
      </w:r>
      <w:r w:rsidR="00C17381" w:rsidRPr="620A8401">
        <w:rPr>
          <w:szCs w:val="21"/>
          <w:lang w:val="en-US"/>
        </w:rPr>
        <w:t xml:space="preserve"> (semi-urgent) and </w:t>
      </w:r>
      <w:r w:rsidR="004A10AC" w:rsidRPr="620A8401">
        <w:rPr>
          <w:szCs w:val="21"/>
          <w:lang w:val="en-US"/>
        </w:rPr>
        <w:t xml:space="preserve">five </w:t>
      </w:r>
      <w:r w:rsidRPr="620A8401">
        <w:rPr>
          <w:szCs w:val="21"/>
          <w:lang w:val="en-US"/>
        </w:rPr>
        <w:t>(non-urgent care), where 51 per cent were male and 49 per cent female.</w:t>
      </w:r>
      <w:r w:rsidRPr="620A8401">
        <w:rPr>
          <w:rStyle w:val="FootnoteReference"/>
          <w:szCs w:val="21"/>
          <w:lang w:val="en-US"/>
        </w:rPr>
        <w:footnoteReference w:id="38"/>
      </w:r>
    </w:p>
    <w:p w14:paraId="7CDCF1E1" w14:textId="700BD70B" w:rsidR="00404D22" w:rsidRPr="009B783C" w:rsidRDefault="00605456" w:rsidP="00F345DA">
      <w:pPr>
        <w:rPr>
          <w:szCs w:val="21"/>
          <w:lang w:val="en-US"/>
        </w:rPr>
      </w:pPr>
      <w:r w:rsidRPr="009B783C">
        <w:rPr>
          <w:szCs w:val="21"/>
        </w:rPr>
        <w:fldChar w:fldCharType="begin"/>
      </w:r>
      <w:r w:rsidRPr="009B783C">
        <w:rPr>
          <w:szCs w:val="21"/>
        </w:rPr>
        <w:instrText xml:space="preserve"> REF _Ref185485581 \h </w:instrText>
      </w:r>
      <w:r w:rsidR="00F345DA" w:rsidRPr="009B783C">
        <w:rPr>
          <w:szCs w:val="21"/>
        </w:rPr>
        <w:instrText xml:space="preserve"> \* MERGEFORMAT </w:instrText>
      </w:r>
      <w:r w:rsidRPr="009B783C">
        <w:rPr>
          <w:szCs w:val="21"/>
        </w:rPr>
      </w:r>
      <w:r w:rsidRPr="009B783C">
        <w:rPr>
          <w:szCs w:val="21"/>
        </w:rPr>
        <w:fldChar w:fldCharType="separate"/>
      </w:r>
      <w:r w:rsidR="006E7782" w:rsidRPr="006E7782">
        <w:rPr>
          <w:szCs w:val="21"/>
          <w:lang w:val="en-US"/>
        </w:rPr>
        <w:t>Figure 10</w:t>
      </w:r>
      <w:r w:rsidRPr="009B783C">
        <w:rPr>
          <w:szCs w:val="21"/>
        </w:rPr>
        <w:fldChar w:fldCharType="end"/>
      </w:r>
      <w:r w:rsidRPr="620A8401">
        <w:rPr>
          <w:szCs w:val="21"/>
          <w:lang w:val="en-US"/>
        </w:rPr>
        <w:t xml:space="preserve"> </w:t>
      </w:r>
      <w:r w:rsidR="00404D22" w:rsidRPr="620A8401">
        <w:rPr>
          <w:szCs w:val="21"/>
          <w:lang w:val="en-US"/>
        </w:rPr>
        <w:t xml:space="preserve">shows </w:t>
      </w:r>
      <w:r w:rsidR="00140EE9" w:rsidRPr="620A8401">
        <w:rPr>
          <w:szCs w:val="21"/>
          <w:lang w:val="en-US"/>
        </w:rPr>
        <w:t xml:space="preserve">available data for </w:t>
      </w:r>
      <w:r w:rsidR="00404D22" w:rsidRPr="620A8401">
        <w:rPr>
          <w:szCs w:val="21"/>
          <w:lang w:val="en-US"/>
        </w:rPr>
        <w:t xml:space="preserve">the age at presentation of Medicare UCC patients. Children up to four years made up 11 per cent of total presentations. This is </w:t>
      </w:r>
      <w:proofErr w:type="gramStart"/>
      <w:r w:rsidR="00404D22" w:rsidRPr="620A8401">
        <w:rPr>
          <w:szCs w:val="21"/>
          <w:lang w:val="en-US"/>
        </w:rPr>
        <w:t>similar to</w:t>
      </w:r>
      <w:proofErr w:type="gramEnd"/>
      <w:r w:rsidR="00404D22" w:rsidRPr="620A8401">
        <w:rPr>
          <w:szCs w:val="21"/>
          <w:lang w:val="en-US"/>
        </w:rPr>
        <w:t xml:space="preserve"> patients attending EDs in </w:t>
      </w:r>
      <w:r w:rsidR="00D26223" w:rsidRPr="620A8401">
        <w:rPr>
          <w:szCs w:val="21"/>
          <w:lang w:val="en-US"/>
        </w:rPr>
        <w:t>triage</w:t>
      </w:r>
      <w:r w:rsidR="00404D22" w:rsidRPr="620A8401">
        <w:rPr>
          <w:szCs w:val="21"/>
          <w:lang w:val="en-US"/>
        </w:rPr>
        <w:t xml:space="preserve"> categories </w:t>
      </w:r>
      <w:r w:rsidR="004A10AC" w:rsidRPr="620A8401">
        <w:rPr>
          <w:szCs w:val="21"/>
          <w:lang w:val="en-US"/>
        </w:rPr>
        <w:t>four and five</w:t>
      </w:r>
      <w:r w:rsidR="00C17381" w:rsidRPr="620A8401">
        <w:rPr>
          <w:szCs w:val="21"/>
          <w:lang w:val="en-US"/>
        </w:rPr>
        <w:t>.</w:t>
      </w:r>
      <w:r w:rsidR="00404D22" w:rsidRPr="620A8401">
        <w:rPr>
          <w:szCs w:val="21"/>
          <w:lang w:val="en-US"/>
        </w:rPr>
        <w:t xml:space="preserve"> Children aged between five and 14 years accounted for 17 </w:t>
      </w:r>
      <w:r w:rsidR="00404D22" w:rsidRPr="620A8401">
        <w:rPr>
          <w:szCs w:val="21"/>
          <w:lang w:val="en-US"/>
        </w:rPr>
        <w:lastRenderedPageBreak/>
        <w:t>per cent of presentations to Medicare UCCs. Children in this age range ma</w:t>
      </w:r>
      <w:r w:rsidR="004764F2" w:rsidRPr="620A8401">
        <w:rPr>
          <w:szCs w:val="21"/>
          <w:lang w:val="en-US"/>
        </w:rPr>
        <w:t>d</w:t>
      </w:r>
      <w:r w:rsidR="00404D22" w:rsidRPr="620A8401">
        <w:rPr>
          <w:szCs w:val="21"/>
          <w:lang w:val="en-US"/>
        </w:rPr>
        <w:t xml:space="preserve">e up 14 per cent of ED presentations in </w:t>
      </w:r>
      <w:r w:rsidR="00D26223" w:rsidRPr="620A8401">
        <w:rPr>
          <w:szCs w:val="21"/>
          <w:lang w:val="en-US"/>
        </w:rPr>
        <w:t>triage</w:t>
      </w:r>
      <w:r w:rsidR="00404D22" w:rsidRPr="620A8401">
        <w:rPr>
          <w:szCs w:val="21"/>
          <w:lang w:val="en-US"/>
        </w:rPr>
        <w:t xml:space="preserve"> categories </w:t>
      </w:r>
      <w:r w:rsidR="004A10AC" w:rsidRPr="620A8401">
        <w:rPr>
          <w:szCs w:val="21"/>
          <w:lang w:val="en-US"/>
        </w:rPr>
        <w:t>four and five</w:t>
      </w:r>
      <w:r w:rsidR="00C17381" w:rsidRPr="620A8401">
        <w:rPr>
          <w:szCs w:val="21"/>
          <w:lang w:val="en-US"/>
        </w:rPr>
        <w:t>.</w:t>
      </w:r>
      <w:r w:rsidR="00C17381" w:rsidRPr="620A8401">
        <w:rPr>
          <w:rStyle w:val="FootnoteReference"/>
          <w:szCs w:val="21"/>
          <w:lang w:val="en-US"/>
        </w:rPr>
        <w:footnoteReference w:id="39"/>
      </w:r>
      <w:r w:rsidR="00404D22" w:rsidRPr="620A8401">
        <w:rPr>
          <w:szCs w:val="21"/>
          <w:lang w:val="en-US"/>
        </w:rPr>
        <w:t xml:space="preserve"> </w:t>
      </w:r>
    </w:p>
    <w:p w14:paraId="43383B46" w14:textId="10150C58" w:rsidR="00404D22" w:rsidRPr="009B783C" w:rsidRDefault="00404D22" w:rsidP="00F345DA">
      <w:pPr>
        <w:rPr>
          <w:szCs w:val="21"/>
          <w:lang w:val="en-US"/>
        </w:rPr>
      </w:pPr>
      <w:r w:rsidRPr="620A8401">
        <w:rPr>
          <w:szCs w:val="21"/>
          <w:lang w:val="en-US"/>
        </w:rPr>
        <w:t xml:space="preserve">People aged 65 years and over made up 13 per cent of Medicare UCCs presentations, whereas they made up 17 per cent of ED presentations in </w:t>
      </w:r>
      <w:r w:rsidR="00D26223" w:rsidRPr="620A8401">
        <w:rPr>
          <w:szCs w:val="21"/>
          <w:lang w:val="en-US"/>
        </w:rPr>
        <w:t>triage</w:t>
      </w:r>
      <w:r w:rsidRPr="620A8401">
        <w:rPr>
          <w:szCs w:val="21"/>
          <w:lang w:val="en-US"/>
        </w:rPr>
        <w:t xml:space="preserve"> categories </w:t>
      </w:r>
      <w:r w:rsidR="004A10AC" w:rsidRPr="620A8401">
        <w:rPr>
          <w:szCs w:val="21"/>
          <w:lang w:val="en-US"/>
        </w:rPr>
        <w:t>four and five</w:t>
      </w:r>
      <w:r w:rsidRPr="620A8401">
        <w:rPr>
          <w:szCs w:val="21"/>
          <w:lang w:val="en-US"/>
        </w:rPr>
        <w:t>.</w:t>
      </w:r>
    </w:p>
    <w:p w14:paraId="5F46D40E" w14:textId="7279760C" w:rsidR="00C17381" w:rsidRPr="009B783C" w:rsidRDefault="00404D22" w:rsidP="00C17381">
      <w:pPr>
        <w:pStyle w:val="Caption"/>
        <w:rPr>
          <w:szCs w:val="21"/>
        </w:rPr>
      </w:pPr>
      <w:bookmarkStart w:id="85" w:name="_Ref185485581"/>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E7782">
        <w:rPr>
          <w:noProof/>
          <w:szCs w:val="21"/>
        </w:rPr>
        <w:t>10</w:t>
      </w:r>
      <w:r w:rsidRPr="009B783C">
        <w:rPr>
          <w:szCs w:val="21"/>
        </w:rPr>
        <w:fldChar w:fldCharType="end"/>
      </w:r>
      <w:bookmarkEnd w:id="85"/>
      <w:r w:rsidR="00C17381" w:rsidRPr="009B783C">
        <w:rPr>
          <w:szCs w:val="21"/>
        </w:rPr>
        <w:t xml:space="preserve"> | Comparison of proportion of presentations by age group: Medicare UCCs (30 June 2023 to 30 September 2024) compared with ED triage categories </w:t>
      </w:r>
      <w:r w:rsidR="00A76B6F" w:rsidRPr="009B783C">
        <w:rPr>
          <w:szCs w:val="21"/>
        </w:rPr>
        <w:t>four and five</w:t>
      </w:r>
      <w:r w:rsidR="00C17381" w:rsidRPr="009B783C">
        <w:rPr>
          <w:szCs w:val="21"/>
        </w:rPr>
        <w:t xml:space="preserve"> (2022</w:t>
      </w:r>
      <w:r w:rsidR="00605456" w:rsidRPr="009B783C">
        <w:rPr>
          <w:szCs w:val="21"/>
        </w:rPr>
        <w:t>-</w:t>
      </w:r>
      <w:r w:rsidR="00C17381" w:rsidRPr="009B783C">
        <w:rPr>
          <w:szCs w:val="21"/>
        </w:rPr>
        <w:t>23)</w:t>
      </w:r>
    </w:p>
    <w:p w14:paraId="3B41FEF1" w14:textId="4CE7A9AF" w:rsidR="00C17381" w:rsidRPr="009B783C" w:rsidRDefault="0044786E" w:rsidP="00C17381">
      <w:r>
        <w:rPr>
          <w:noProof/>
        </w:rPr>
        <w:drawing>
          <wp:inline distT="0" distB="0" distL="0" distR="0" wp14:anchorId="6E656B13" wp14:editId="5E2FDFC6">
            <wp:extent cx="5669512" cy="3192780"/>
            <wp:effectExtent l="0" t="0" r="7620" b="7620"/>
            <wp:docPr id="15" name="Picture 15" descr="This image presents a horizontal bar chart that compares Medicare UCCs presentations and ED presentations by age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This image presents a horizontal bar chart that compares Medicare UCCs presentations and ED presentations by age group"/>
                    <pic:cNvPicPr>
                      <a:picLocks noChangeAspect="1" noChangeArrowheads="1"/>
                    </pic:cNvPicPr>
                  </pic:nvPicPr>
                  <pic:blipFill rotWithShape="1">
                    <a:blip r:embed="rId35" cstate="print"/>
                    <a:srcRect b="23741"/>
                    <a:stretch/>
                  </pic:blipFill>
                  <pic:spPr bwMode="auto">
                    <a:xfrm>
                      <a:off x="0" y="0"/>
                      <a:ext cx="5670550" cy="3193364"/>
                    </a:xfrm>
                    <a:prstGeom prst="rect">
                      <a:avLst/>
                    </a:prstGeom>
                    <a:noFill/>
                    <a:ln>
                      <a:noFill/>
                    </a:ln>
                    <a:extLst>
                      <a:ext uri="{53640926-AAD7-44D8-BBD7-CCE9431645EC}">
                        <a14:shadowObscured xmlns:a14="http://schemas.microsoft.com/office/drawing/2010/main"/>
                      </a:ext>
                    </a:extLst>
                  </pic:spPr>
                </pic:pic>
              </a:graphicData>
            </a:graphic>
          </wp:inline>
        </w:drawing>
      </w:r>
    </w:p>
    <w:p w14:paraId="3F30FFD8" w14:textId="7889A226" w:rsidR="00DA6D41" w:rsidRPr="009B783C" w:rsidRDefault="000D706D" w:rsidP="00DA6D41">
      <w:pPr>
        <w:rPr>
          <w:szCs w:val="21"/>
        </w:rPr>
      </w:pPr>
      <w:r>
        <w:rPr>
          <w:szCs w:val="21"/>
        </w:rPr>
        <w:t xml:space="preserve">Detailed </w:t>
      </w:r>
      <w:r w:rsidR="00DA6D41" w:rsidRPr="009B783C">
        <w:rPr>
          <w:szCs w:val="21"/>
        </w:rPr>
        <w:t>Description:</w:t>
      </w:r>
    </w:p>
    <w:p w14:paraId="55D3CF8B" w14:textId="67A73CB9" w:rsidR="00DA6D41" w:rsidRPr="009B783C" w:rsidRDefault="00DA6D41" w:rsidP="00DA6D41">
      <w:pPr>
        <w:rPr>
          <w:szCs w:val="21"/>
        </w:rPr>
      </w:pPr>
      <w:r w:rsidRPr="009B783C">
        <w:rPr>
          <w:szCs w:val="21"/>
        </w:rPr>
        <w:t>The bar chart compares the percentage of presentations to Medicare UCCs or ED</w:t>
      </w:r>
      <w:r w:rsidR="00510365" w:rsidRPr="009B783C">
        <w:rPr>
          <w:szCs w:val="21"/>
        </w:rPr>
        <w:t xml:space="preserve">s for </w:t>
      </w:r>
      <w:r w:rsidR="002F2577">
        <w:rPr>
          <w:szCs w:val="21"/>
        </w:rPr>
        <w:t>t</w:t>
      </w:r>
      <w:r w:rsidR="00510365" w:rsidRPr="009B783C">
        <w:rPr>
          <w:szCs w:val="21"/>
        </w:rPr>
        <w:t xml:space="preserve">riage categories </w:t>
      </w:r>
      <w:r w:rsidR="002F2577">
        <w:rPr>
          <w:szCs w:val="21"/>
        </w:rPr>
        <w:t>four</w:t>
      </w:r>
      <w:r w:rsidR="00510365" w:rsidRPr="009B783C">
        <w:rPr>
          <w:szCs w:val="21"/>
        </w:rPr>
        <w:t xml:space="preserve"> and </w:t>
      </w:r>
      <w:r w:rsidR="002F2577">
        <w:rPr>
          <w:szCs w:val="21"/>
        </w:rPr>
        <w:t>five</w:t>
      </w:r>
      <w:r w:rsidR="0063388B">
        <w:rPr>
          <w:szCs w:val="21"/>
        </w:rPr>
        <w:t>,</w:t>
      </w:r>
      <w:r w:rsidR="00510365" w:rsidRPr="009B783C">
        <w:rPr>
          <w:szCs w:val="21"/>
        </w:rPr>
        <w:t xml:space="preserve"> split by age groups</w:t>
      </w:r>
      <w:r w:rsidRPr="009B783C">
        <w:rPr>
          <w:szCs w:val="21"/>
        </w:rPr>
        <w:t>. 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2122"/>
        <w:gridCol w:w="4536"/>
        <w:gridCol w:w="2262"/>
      </w:tblGrid>
      <w:tr w:rsidR="001A4F5A" w:rsidRPr="009B783C" w14:paraId="7FE3C2D8" w14:textId="77777777" w:rsidTr="000C20F4">
        <w:trPr>
          <w:trHeight w:val="349"/>
          <w:tblHeader/>
        </w:trPr>
        <w:tc>
          <w:tcPr>
            <w:tcW w:w="21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5FB1E06" w14:textId="05BC9E17" w:rsidR="001A4F5A" w:rsidRPr="009B783C" w:rsidRDefault="001A4F5A" w:rsidP="007A48C9">
            <w:pPr>
              <w:pStyle w:val="TableNheader"/>
              <w:rPr>
                <w:rFonts w:asciiTheme="majorHAnsi" w:hAnsiTheme="majorHAnsi" w:cstheme="majorHAnsi"/>
              </w:rPr>
            </w:pPr>
            <w:r w:rsidRPr="009B783C">
              <w:t>Age group</w:t>
            </w:r>
          </w:p>
        </w:tc>
        <w:tc>
          <w:tcPr>
            <w:tcW w:w="453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DBBA80B" w14:textId="32BB83EE" w:rsidR="001A4F5A" w:rsidRPr="009B783C" w:rsidRDefault="001A4F5A" w:rsidP="007A48C9">
            <w:pPr>
              <w:pStyle w:val="TableNheader"/>
              <w:rPr>
                <w:rFonts w:asciiTheme="majorHAnsi" w:hAnsiTheme="majorHAnsi" w:cstheme="majorHAnsi"/>
              </w:rPr>
            </w:pPr>
            <w:r w:rsidRPr="009B783C">
              <w:t>Location</w:t>
            </w:r>
          </w:p>
        </w:tc>
        <w:tc>
          <w:tcPr>
            <w:tcW w:w="22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332A7BFF" w14:textId="1B6F8EE1" w:rsidR="001A4F5A" w:rsidRPr="009B783C" w:rsidRDefault="001A4F5A" w:rsidP="007A48C9">
            <w:pPr>
              <w:pStyle w:val="TableNheader"/>
              <w:rPr>
                <w:rFonts w:asciiTheme="majorHAnsi" w:hAnsiTheme="majorHAnsi" w:cstheme="majorHAnsi"/>
              </w:rPr>
            </w:pPr>
            <w:r w:rsidRPr="009B783C">
              <w:t>Presentation (%)</w:t>
            </w:r>
          </w:p>
        </w:tc>
      </w:tr>
      <w:tr w:rsidR="00806C52" w:rsidRPr="009B783C" w14:paraId="6019FCCB" w14:textId="77777777" w:rsidTr="00806C52">
        <w:tc>
          <w:tcPr>
            <w:tcW w:w="2122" w:type="dxa"/>
            <w:tcBorders>
              <w:top w:val="single" w:sz="4" w:space="0" w:color="FFFFFF" w:themeColor="background1"/>
            </w:tcBorders>
            <w:vAlign w:val="bottom"/>
          </w:tcPr>
          <w:p w14:paraId="5FB6D72C" w14:textId="3A9F5188"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00-04 years</w:t>
            </w:r>
          </w:p>
        </w:tc>
        <w:tc>
          <w:tcPr>
            <w:tcW w:w="4536" w:type="dxa"/>
            <w:tcBorders>
              <w:top w:val="single" w:sz="4" w:space="0" w:color="FFFFFF" w:themeColor="background1"/>
            </w:tcBorders>
            <w:vAlign w:val="bottom"/>
          </w:tcPr>
          <w:p w14:paraId="046992D2" w14:textId="0D07ACD2"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tcBorders>
              <w:top w:val="single" w:sz="4" w:space="0" w:color="FFFFFF" w:themeColor="background1"/>
            </w:tcBorders>
            <w:vAlign w:val="bottom"/>
          </w:tcPr>
          <w:p w14:paraId="613241FA" w14:textId="089C4DFF"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15</w:t>
            </w:r>
            <w:r w:rsidR="00E57760">
              <w:rPr>
                <w:rFonts w:asciiTheme="minorHAnsi" w:hAnsiTheme="minorHAnsi" w:cstheme="minorHAnsi"/>
                <w:color w:val="000000"/>
                <w:szCs w:val="21"/>
              </w:rPr>
              <w:t>.0</w:t>
            </w:r>
          </w:p>
        </w:tc>
      </w:tr>
      <w:tr w:rsidR="00806C52" w:rsidRPr="009B783C" w14:paraId="20A84536" w14:textId="77777777" w:rsidTr="00806C52">
        <w:tc>
          <w:tcPr>
            <w:tcW w:w="2122" w:type="dxa"/>
            <w:vAlign w:val="bottom"/>
          </w:tcPr>
          <w:p w14:paraId="6003E3F1" w14:textId="40D664AB"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00-04 years</w:t>
            </w:r>
          </w:p>
        </w:tc>
        <w:tc>
          <w:tcPr>
            <w:tcW w:w="4536" w:type="dxa"/>
            <w:vAlign w:val="bottom"/>
          </w:tcPr>
          <w:p w14:paraId="104C797C" w14:textId="7BE0D959"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60DD30DC" w14:textId="24A72F2D"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11</w:t>
            </w:r>
            <w:r w:rsidR="00E57760">
              <w:rPr>
                <w:rFonts w:asciiTheme="minorHAnsi" w:hAnsiTheme="minorHAnsi" w:cstheme="minorHAnsi"/>
                <w:color w:val="000000"/>
                <w:szCs w:val="21"/>
              </w:rPr>
              <w:t>.0</w:t>
            </w:r>
          </w:p>
        </w:tc>
      </w:tr>
      <w:tr w:rsidR="00806C52" w:rsidRPr="009B783C" w14:paraId="0EF106BF" w14:textId="77777777" w:rsidTr="00806C52">
        <w:tc>
          <w:tcPr>
            <w:tcW w:w="2122" w:type="dxa"/>
            <w:vAlign w:val="bottom"/>
          </w:tcPr>
          <w:p w14:paraId="7273E18F" w14:textId="03BDC08F"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05-14 years</w:t>
            </w:r>
          </w:p>
        </w:tc>
        <w:tc>
          <w:tcPr>
            <w:tcW w:w="4536" w:type="dxa"/>
            <w:vAlign w:val="bottom"/>
          </w:tcPr>
          <w:p w14:paraId="62A12CF3" w14:textId="2190D00B"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5C4645CF" w14:textId="4B8A0246"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15.8</w:t>
            </w:r>
          </w:p>
        </w:tc>
      </w:tr>
      <w:tr w:rsidR="00806C52" w:rsidRPr="009B783C" w14:paraId="123B35AC" w14:textId="77777777" w:rsidTr="00806C52">
        <w:tc>
          <w:tcPr>
            <w:tcW w:w="2122" w:type="dxa"/>
            <w:vAlign w:val="bottom"/>
          </w:tcPr>
          <w:p w14:paraId="4F9C7A1E" w14:textId="08860DD3"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05-14 years</w:t>
            </w:r>
          </w:p>
        </w:tc>
        <w:tc>
          <w:tcPr>
            <w:tcW w:w="4536" w:type="dxa"/>
            <w:vAlign w:val="bottom"/>
          </w:tcPr>
          <w:p w14:paraId="4105BB99" w14:textId="19CD1BB1"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13FAA93D" w14:textId="6CAC0614"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13.5</w:t>
            </w:r>
          </w:p>
        </w:tc>
      </w:tr>
      <w:tr w:rsidR="00806C52" w:rsidRPr="009B783C" w14:paraId="4EA1B648" w14:textId="77777777" w:rsidTr="00806C52">
        <w:tc>
          <w:tcPr>
            <w:tcW w:w="2122" w:type="dxa"/>
            <w:vAlign w:val="bottom"/>
          </w:tcPr>
          <w:p w14:paraId="407E733E" w14:textId="1E72109F"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15-24 years</w:t>
            </w:r>
          </w:p>
        </w:tc>
        <w:tc>
          <w:tcPr>
            <w:tcW w:w="4536" w:type="dxa"/>
            <w:vAlign w:val="bottom"/>
          </w:tcPr>
          <w:p w14:paraId="4E17E43E" w14:textId="18F47835"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059C0CBF" w14:textId="75B457ED"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13.5</w:t>
            </w:r>
          </w:p>
        </w:tc>
      </w:tr>
      <w:tr w:rsidR="00806C52" w:rsidRPr="009B783C" w14:paraId="69494B92" w14:textId="77777777" w:rsidTr="00806C52">
        <w:tc>
          <w:tcPr>
            <w:tcW w:w="2122" w:type="dxa"/>
            <w:vAlign w:val="bottom"/>
          </w:tcPr>
          <w:p w14:paraId="720245A7" w14:textId="229E14AA"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15-24 years</w:t>
            </w:r>
          </w:p>
        </w:tc>
        <w:tc>
          <w:tcPr>
            <w:tcW w:w="4536" w:type="dxa"/>
            <w:vAlign w:val="bottom"/>
          </w:tcPr>
          <w:p w14:paraId="5C37037D" w14:textId="258B7116"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458DBAEF" w14:textId="717E1CBA"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14.1</w:t>
            </w:r>
          </w:p>
        </w:tc>
      </w:tr>
      <w:tr w:rsidR="00806C52" w:rsidRPr="009B783C" w14:paraId="7EDA090C" w14:textId="77777777" w:rsidTr="00806C52">
        <w:tc>
          <w:tcPr>
            <w:tcW w:w="2122" w:type="dxa"/>
            <w:vAlign w:val="bottom"/>
          </w:tcPr>
          <w:p w14:paraId="0DCEA5EC" w14:textId="0E20ED35"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25-34 years</w:t>
            </w:r>
          </w:p>
        </w:tc>
        <w:tc>
          <w:tcPr>
            <w:tcW w:w="4536" w:type="dxa"/>
            <w:vAlign w:val="bottom"/>
          </w:tcPr>
          <w:p w14:paraId="4BBFF8C5" w14:textId="2038B172"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1EB77396" w14:textId="39FC15D1"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14.4</w:t>
            </w:r>
          </w:p>
        </w:tc>
      </w:tr>
      <w:tr w:rsidR="00806C52" w:rsidRPr="009B783C" w14:paraId="5D9F5AF4" w14:textId="77777777" w:rsidTr="00806C52">
        <w:tc>
          <w:tcPr>
            <w:tcW w:w="2122" w:type="dxa"/>
            <w:vAlign w:val="bottom"/>
          </w:tcPr>
          <w:p w14:paraId="09C35FD8" w14:textId="16DDBDA2"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lastRenderedPageBreak/>
              <w:t>25-34 years</w:t>
            </w:r>
          </w:p>
        </w:tc>
        <w:tc>
          <w:tcPr>
            <w:tcW w:w="4536" w:type="dxa"/>
            <w:vAlign w:val="bottom"/>
          </w:tcPr>
          <w:p w14:paraId="274089EF" w14:textId="53C0A6FF"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71F84C98" w14:textId="20D378DA"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14.5</w:t>
            </w:r>
          </w:p>
        </w:tc>
      </w:tr>
      <w:tr w:rsidR="00806C52" w:rsidRPr="009B783C" w14:paraId="0DEFD544" w14:textId="77777777" w:rsidTr="00806C52">
        <w:tc>
          <w:tcPr>
            <w:tcW w:w="2122" w:type="dxa"/>
            <w:vAlign w:val="bottom"/>
          </w:tcPr>
          <w:p w14:paraId="0D8E7D95" w14:textId="6BD01278"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35-44 years</w:t>
            </w:r>
          </w:p>
        </w:tc>
        <w:tc>
          <w:tcPr>
            <w:tcW w:w="4536" w:type="dxa"/>
            <w:vAlign w:val="bottom"/>
          </w:tcPr>
          <w:p w14:paraId="2E74764D" w14:textId="2861662E"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44EB3227" w14:textId="3B99AB6F"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12.1</w:t>
            </w:r>
          </w:p>
        </w:tc>
      </w:tr>
      <w:tr w:rsidR="00806C52" w:rsidRPr="009B783C" w14:paraId="72FF0C7D" w14:textId="77777777" w:rsidTr="00806C52">
        <w:tc>
          <w:tcPr>
            <w:tcW w:w="2122" w:type="dxa"/>
            <w:vAlign w:val="bottom"/>
          </w:tcPr>
          <w:p w14:paraId="5F60031F" w14:textId="1152880F"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35-44 years</w:t>
            </w:r>
          </w:p>
        </w:tc>
        <w:tc>
          <w:tcPr>
            <w:tcW w:w="4536" w:type="dxa"/>
            <w:vAlign w:val="bottom"/>
          </w:tcPr>
          <w:p w14:paraId="01649548" w14:textId="263A6CE9"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0ABF968B" w14:textId="2A70E8BC"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11.7</w:t>
            </w:r>
          </w:p>
        </w:tc>
      </w:tr>
      <w:tr w:rsidR="00806C52" w:rsidRPr="009B783C" w14:paraId="1511E237" w14:textId="77777777" w:rsidTr="00806C52">
        <w:tc>
          <w:tcPr>
            <w:tcW w:w="2122" w:type="dxa"/>
            <w:vAlign w:val="bottom"/>
          </w:tcPr>
          <w:p w14:paraId="51E4450C" w14:textId="489D2FB7"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45-54 years</w:t>
            </w:r>
          </w:p>
        </w:tc>
        <w:tc>
          <w:tcPr>
            <w:tcW w:w="4536" w:type="dxa"/>
            <w:vAlign w:val="bottom"/>
          </w:tcPr>
          <w:p w14:paraId="3D39B0D4" w14:textId="513C5AE4"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69419C31" w14:textId="1377CDC0"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9.2</w:t>
            </w:r>
          </w:p>
        </w:tc>
      </w:tr>
      <w:tr w:rsidR="00806C52" w:rsidRPr="009B783C" w14:paraId="108C0C0B" w14:textId="77777777" w:rsidTr="00806C52">
        <w:tc>
          <w:tcPr>
            <w:tcW w:w="2122" w:type="dxa"/>
            <w:vAlign w:val="bottom"/>
          </w:tcPr>
          <w:p w14:paraId="7EEA8F18" w14:textId="761CE7F5"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45-54 years</w:t>
            </w:r>
          </w:p>
        </w:tc>
        <w:tc>
          <w:tcPr>
            <w:tcW w:w="4536" w:type="dxa"/>
            <w:vAlign w:val="bottom"/>
          </w:tcPr>
          <w:p w14:paraId="07808721" w14:textId="4DFB9E76"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68CCB6C1" w14:textId="48FAE377"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9.8</w:t>
            </w:r>
          </w:p>
        </w:tc>
      </w:tr>
      <w:tr w:rsidR="00806C52" w:rsidRPr="009B783C" w14:paraId="4C848E48" w14:textId="77777777" w:rsidTr="00806C52">
        <w:tc>
          <w:tcPr>
            <w:tcW w:w="2122" w:type="dxa"/>
            <w:vAlign w:val="bottom"/>
          </w:tcPr>
          <w:p w14:paraId="1DE2AB51" w14:textId="5BF53AD3"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55-64 years</w:t>
            </w:r>
          </w:p>
        </w:tc>
        <w:tc>
          <w:tcPr>
            <w:tcW w:w="4536" w:type="dxa"/>
            <w:vAlign w:val="bottom"/>
          </w:tcPr>
          <w:p w14:paraId="1BD300D8" w14:textId="69DE8E63"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08D41DB6" w14:textId="1A094EB9"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7.9</w:t>
            </w:r>
          </w:p>
        </w:tc>
      </w:tr>
      <w:tr w:rsidR="00806C52" w:rsidRPr="009B783C" w14:paraId="66A92BF4" w14:textId="77777777" w:rsidTr="00806C52">
        <w:tc>
          <w:tcPr>
            <w:tcW w:w="2122" w:type="dxa"/>
            <w:vAlign w:val="bottom"/>
          </w:tcPr>
          <w:p w14:paraId="5211525B" w14:textId="721DD21E"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55-64 years</w:t>
            </w:r>
          </w:p>
        </w:tc>
        <w:tc>
          <w:tcPr>
            <w:tcW w:w="4536" w:type="dxa"/>
            <w:vAlign w:val="bottom"/>
          </w:tcPr>
          <w:p w14:paraId="7D914120" w14:textId="7D12AA9A"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487C612F" w14:textId="5027D0C1"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8.7</w:t>
            </w:r>
          </w:p>
        </w:tc>
      </w:tr>
      <w:tr w:rsidR="00806C52" w:rsidRPr="009B783C" w14:paraId="24FFDDB3" w14:textId="77777777" w:rsidTr="00806C52">
        <w:tc>
          <w:tcPr>
            <w:tcW w:w="2122" w:type="dxa"/>
            <w:vAlign w:val="bottom"/>
          </w:tcPr>
          <w:p w14:paraId="177EF730" w14:textId="22804ADD"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65-74 years</w:t>
            </w:r>
          </w:p>
        </w:tc>
        <w:tc>
          <w:tcPr>
            <w:tcW w:w="4536" w:type="dxa"/>
            <w:vAlign w:val="bottom"/>
          </w:tcPr>
          <w:p w14:paraId="7CDDB065" w14:textId="2EC4D674"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5FC5093A" w14:textId="5063F5A2"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6.5</w:t>
            </w:r>
          </w:p>
        </w:tc>
      </w:tr>
      <w:tr w:rsidR="00806C52" w:rsidRPr="009B783C" w14:paraId="0CD96C73" w14:textId="77777777" w:rsidTr="00806C52">
        <w:tc>
          <w:tcPr>
            <w:tcW w:w="2122" w:type="dxa"/>
            <w:vAlign w:val="bottom"/>
          </w:tcPr>
          <w:p w14:paraId="4F0E96D1" w14:textId="25D32B5C"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65-74 years</w:t>
            </w:r>
          </w:p>
        </w:tc>
        <w:tc>
          <w:tcPr>
            <w:tcW w:w="4536" w:type="dxa"/>
            <w:vAlign w:val="bottom"/>
          </w:tcPr>
          <w:p w14:paraId="7DBCA27E" w14:textId="3133244A"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48B2C26B" w14:textId="120409BF"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7.4</w:t>
            </w:r>
          </w:p>
        </w:tc>
      </w:tr>
      <w:tr w:rsidR="00806C52" w:rsidRPr="009B783C" w14:paraId="0F3CCC31" w14:textId="77777777" w:rsidTr="00806C52">
        <w:tc>
          <w:tcPr>
            <w:tcW w:w="2122" w:type="dxa"/>
            <w:vAlign w:val="bottom"/>
          </w:tcPr>
          <w:p w14:paraId="03C6E4C7" w14:textId="3FF69637"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75-84 years</w:t>
            </w:r>
          </w:p>
        </w:tc>
        <w:tc>
          <w:tcPr>
            <w:tcW w:w="4536" w:type="dxa"/>
            <w:vAlign w:val="bottom"/>
          </w:tcPr>
          <w:p w14:paraId="004353DB" w14:textId="71ED8DCD"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31F49675" w14:textId="4165D8CD"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4.2</w:t>
            </w:r>
          </w:p>
        </w:tc>
      </w:tr>
      <w:tr w:rsidR="00806C52" w:rsidRPr="009B783C" w14:paraId="08D3E010" w14:textId="77777777" w:rsidTr="00806C52">
        <w:tc>
          <w:tcPr>
            <w:tcW w:w="2122" w:type="dxa"/>
            <w:vAlign w:val="bottom"/>
          </w:tcPr>
          <w:p w14:paraId="0884B74B" w14:textId="7B3AF687"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75-84 years</w:t>
            </w:r>
          </w:p>
        </w:tc>
        <w:tc>
          <w:tcPr>
            <w:tcW w:w="4536" w:type="dxa"/>
            <w:vAlign w:val="bottom"/>
          </w:tcPr>
          <w:p w14:paraId="66785F6E" w14:textId="201092E1"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32F1FF17" w14:textId="36DF82B4"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6.1</w:t>
            </w:r>
          </w:p>
        </w:tc>
      </w:tr>
      <w:tr w:rsidR="00806C52" w:rsidRPr="009B783C" w14:paraId="490B31EE" w14:textId="77777777" w:rsidTr="00806C52">
        <w:tc>
          <w:tcPr>
            <w:tcW w:w="2122" w:type="dxa"/>
            <w:vAlign w:val="bottom"/>
          </w:tcPr>
          <w:p w14:paraId="0EEDC3FC" w14:textId="37A5F960"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85-89 years</w:t>
            </w:r>
          </w:p>
        </w:tc>
        <w:tc>
          <w:tcPr>
            <w:tcW w:w="4536" w:type="dxa"/>
            <w:vAlign w:val="bottom"/>
          </w:tcPr>
          <w:p w14:paraId="52845344" w14:textId="755CA460"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397B44CD" w14:textId="1D633D03"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w:t>
            </w:r>
            <w:r w:rsidR="00E57760">
              <w:rPr>
                <w:rFonts w:asciiTheme="minorHAnsi" w:hAnsiTheme="minorHAnsi" w:cstheme="minorHAnsi"/>
                <w:color w:val="000000"/>
                <w:szCs w:val="21"/>
              </w:rPr>
              <w:t>.0</w:t>
            </w:r>
          </w:p>
        </w:tc>
      </w:tr>
      <w:tr w:rsidR="00806C52" w:rsidRPr="009B783C" w14:paraId="09E7E6F6" w14:textId="77777777" w:rsidTr="00806C52">
        <w:tc>
          <w:tcPr>
            <w:tcW w:w="2122" w:type="dxa"/>
            <w:vAlign w:val="bottom"/>
          </w:tcPr>
          <w:p w14:paraId="32EE11A5" w14:textId="68639004"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85-89 years</w:t>
            </w:r>
          </w:p>
        </w:tc>
        <w:tc>
          <w:tcPr>
            <w:tcW w:w="4536" w:type="dxa"/>
            <w:vAlign w:val="bottom"/>
          </w:tcPr>
          <w:p w14:paraId="7227B683" w14:textId="4E98E828"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7891BC0B" w14:textId="5B0F264A"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1.9</w:t>
            </w:r>
          </w:p>
        </w:tc>
      </w:tr>
      <w:tr w:rsidR="00806C52" w:rsidRPr="009B783C" w14:paraId="0566867C" w14:textId="77777777" w:rsidTr="00806C52">
        <w:tc>
          <w:tcPr>
            <w:tcW w:w="2122" w:type="dxa"/>
            <w:vAlign w:val="bottom"/>
          </w:tcPr>
          <w:p w14:paraId="5211AE43" w14:textId="6F3CC3F7"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90-94 years</w:t>
            </w:r>
          </w:p>
        </w:tc>
        <w:tc>
          <w:tcPr>
            <w:tcW w:w="4536" w:type="dxa"/>
            <w:vAlign w:val="bottom"/>
          </w:tcPr>
          <w:p w14:paraId="0B57257F" w14:textId="0936C7D4"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294634DB" w14:textId="159CD57A"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0.4</w:t>
            </w:r>
          </w:p>
        </w:tc>
      </w:tr>
      <w:tr w:rsidR="00806C52" w:rsidRPr="009B783C" w14:paraId="19C38139" w14:textId="77777777" w:rsidTr="00806C52">
        <w:tc>
          <w:tcPr>
            <w:tcW w:w="2122" w:type="dxa"/>
            <w:vAlign w:val="bottom"/>
          </w:tcPr>
          <w:p w14:paraId="67BD4E0F" w14:textId="3CB66B68"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90-94 years</w:t>
            </w:r>
          </w:p>
        </w:tc>
        <w:tc>
          <w:tcPr>
            <w:tcW w:w="4536" w:type="dxa"/>
            <w:vAlign w:val="bottom"/>
          </w:tcPr>
          <w:p w14:paraId="64688491" w14:textId="3D435690"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18B2ADD5" w14:textId="3E69E95D"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1</w:t>
            </w:r>
            <w:r w:rsidR="00E57760">
              <w:rPr>
                <w:rFonts w:asciiTheme="minorHAnsi" w:hAnsiTheme="minorHAnsi" w:cstheme="minorHAnsi"/>
                <w:color w:val="000000"/>
                <w:szCs w:val="21"/>
              </w:rPr>
              <w:t>.0</w:t>
            </w:r>
          </w:p>
        </w:tc>
      </w:tr>
      <w:tr w:rsidR="00806C52" w:rsidRPr="009B783C" w14:paraId="00B0C572" w14:textId="77777777" w:rsidTr="00806C52">
        <w:tc>
          <w:tcPr>
            <w:tcW w:w="2122" w:type="dxa"/>
            <w:vAlign w:val="bottom"/>
          </w:tcPr>
          <w:p w14:paraId="7B912E6E" w14:textId="0D818321"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95+ years</w:t>
            </w:r>
          </w:p>
        </w:tc>
        <w:tc>
          <w:tcPr>
            <w:tcW w:w="4536" w:type="dxa"/>
            <w:vAlign w:val="bottom"/>
          </w:tcPr>
          <w:p w14:paraId="0BAF1DB6" w14:textId="3C903233"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Medicare UCC presentations</w:t>
            </w:r>
          </w:p>
        </w:tc>
        <w:tc>
          <w:tcPr>
            <w:tcW w:w="2262" w:type="dxa"/>
            <w:vAlign w:val="bottom"/>
          </w:tcPr>
          <w:p w14:paraId="58138A62" w14:textId="02E2A4A0"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0.1</w:t>
            </w:r>
          </w:p>
        </w:tc>
      </w:tr>
      <w:tr w:rsidR="00806C52" w:rsidRPr="009B783C" w14:paraId="14B9B706" w14:textId="77777777" w:rsidTr="00806C52">
        <w:tc>
          <w:tcPr>
            <w:tcW w:w="2122" w:type="dxa"/>
            <w:vAlign w:val="bottom"/>
          </w:tcPr>
          <w:p w14:paraId="01E7E62F" w14:textId="4BD23649"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95+ years</w:t>
            </w:r>
          </w:p>
        </w:tc>
        <w:tc>
          <w:tcPr>
            <w:tcW w:w="4536" w:type="dxa"/>
            <w:vAlign w:val="bottom"/>
          </w:tcPr>
          <w:p w14:paraId="38764775" w14:textId="5A797625" w:rsidR="00806C52" w:rsidRPr="009B783C" w:rsidRDefault="00806C52" w:rsidP="00806C52">
            <w:pPr>
              <w:rPr>
                <w:rFonts w:asciiTheme="minorHAnsi" w:hAnsiTheme="minorHAnsi" w:cstheme="minorHAnsi"/>
                <w:szCs w:val="21"/>
              </w:rPr>
            </w:pPr>
            <w:r w:rsidRPr="009B783C">
              <w:rPr>
                <w:rFonts w:asciiTheme="minorHAnsi" w:hAnsiTheme="minorHAnsi" w:cstheme="minorHAnsi"/>
                <w:color w:val="000000"/>
                <w:szCs w:val="21"/>
              </w:rPr>
              <w:t>ED presentations Triage categories 4 and 5</w:t>
            </w:r>
          </w:p>
        </w:tc>
        <w:tc>
          <w:tcPr>
            <w:tcW w:w="2262" w:type="dxa"/>
            <w:vAlign w:val="bottom"/>
          </w:tcPr>
          <w:p w14:paraId="2CA017B1" w14:textId="00B6624E" w:rsidR="00806C52" w:rsidRPr="009B783C" w:rsidRDefault="00806C52" w:rsidP="003E2CF3">
            <w:pPr>
              <w:jc w:val="center"/>
              <w:rPr>
                <w:rFonts w:asciiTheme="minorHAnsi" w:hAnsiTheme="minorHAnsi" w:cstheme="minorHAnsi"/>
                <w:szCs w:val="21"/>
              </w:rPr>
            </w:pPr>
            <w:r w:rsidRPr="009B783C">
              <w:rPr>
                <w:rFonts w:asciiTheme="minorHAnsi" w:hAnsiTheme="minorHAnsi" w:cstheme="minorHAnsi"/>
                <w:color w:val="000000"/>
                <w:szCs w:val="21"/>
              </w:rPr>
              <w:t>0.3</w:t>
            </w:r>
          </w:p>
        </w:tc>
      </w:tr>
    </w:tbl>
    <w:p w14:paraId="6DDE45EE" w14:textId="50C26458" w:rsidR="00404D22" w:rsidRPr="009B783C" w:rsidRDefault="00404D22" w:rsidP="00404D22">
      <w:pPr>
        <w:rPr>
          <w:sz w:val="20"/>
          <w:szCs w:val="20"/>
          <w:lang w:eastAsia="en-AU"/>
        </w:rPr>
      </w:pPr>
      <w:r w:rsidRPr="009B783C">
        <w:rPr>
          <w:sz w:val="20"/>
          <w:szCs w:val="20"/>
        </w:rPr>
        <w:t xml:space="preserve">Note: Medicare UCC data is based on presentations reported through the Medicare UCC </w:t>
      </w:r>
      <w:r w:rsidR="004E7366" w:rsidRPr="009B783C">
        <w:rPr>
          <w:sz w:val="20"/>
          <w:szCs w:val="20"/>
        </w:rPr>
        <w:t>Module</w:t>
      </w:r>
      <w:r w:rsidR="00C17381" w:rsidRPr="009B783C">
        <w:rPr>
          <w:sz w:val="20"/>
          <w:szCs w:val="20"/>
        </w:rPr>
        <w:t xml:space="preserve"> </w:t>
      </w:r>
      <w:r w:rsidR="00A76B6F" w:rsidRPr="009B783C">
        <w:rPr>
          <w:sz w:val="20"/>
          <w:szCs w:val="20"/>
        </w:rPr>
        <w:t xml:space="preserve">data </w:t>
      </w:r>
      <w:r w:rsidR="00C17381" w:rsidRPr="009B783C">
        <w:rPr>
          <w:sz w:val="20"/>
          <w:szCs w:val="20"/>
        </w:rPr>
        <w:t>plus the Interim data extraction solution.</w:t>
      </w:r>
      <w:r w:rsidRPr="009B783C">
        <w:rPr>
          <w:sz w:val="20"/>
          <w:szCs w:val="20"/>
        </w:rPr>
        <w:t xml:space="preserve"> Data was available for 63 Medicare UCCs. </w:t>
      </w:r>
      <w:r w:rsidR="007D7DD5" w:rsidRPr="009B783C">
        <w:rPr>
          <w:sz w:val="20"/>
          <w:szCs w:val="20"/>
        </w:rPr>
        <w:t>Proportions are calculated using available data only, rather than the proportion of all presentations.</w:t>
      </w:r>
      <w:r w:rsidRPr="009B783C">
        <w:rPr>
          <w:sz w:val="20"/>
          <w:szCs w:val="20"/>
        </w:rPr>
        <w:t xml:space="preserve"> The ED data is based on AIHW 2024 ED care 2022</w:t>
      </w:r>
      <w:r w:rsidR="00A76B6F" w:rsidRPr="009B783C">
        <w:rPr>
          <w:sz w:val="20"/>
          <w:szCs w:val="20"/>
        </w:rPr>
        <w:t>-</w:t>
      </w:r>
      <w:r w:rsidRPr="009B783C">
        <w:rPr>
          <w:sz w:val="20"/>
          <w:szCs w:val="20"/>
        </w:rPr>
        <w:t xml:space="preserve">23: Australian hospitals statistics: Supplement Data Tables </w:t>
      </w:r>
      <w:hyperlink r:id="rId36">
        <w:r w:rsidRPr="009B783C">
          <w:rPr>
            <w:sz w:val="20"/>
            <w:szCs w:val="20"/>
          </w:rPr>
          <w:t>https://www.aihw.gov.au/reports-data/myhospitals/sectors/emergency-department-care</w:t>
        </w:r>
      </w:hyperlink>
      <w:r w:rsidRPr="009B783C">
        <w:rPr>
          <w:sz w:val="20"/>
          <w:szCs w:val="20"/>
        </w:rPr>
        <w:t xml:space="preserve"> Table 4.3.</w:t>
      </w:r>
    </w:p>
    <w:p w14:paraId="099CBBEE" w14:textId="49D87D19" w:rsidR="00404D22" w:rsidRPr="009B783C" w:rsidRDefault="00605456" w:rsidP="00F345DA">
      <w:pPr>
        <w:spacing w:before="240" w:after="160"/>
        <w:rPr>
          <w:szCs w:val="21"/>
          <w:lang w:val="en-US"/>
        </w:rPr>
      </w:pPr>
      <w:r w:rsidRPr="009B783C">
        <w:rPr>
          <w:szCs w:val="21"/>
        </w:rPr>
        <w:fldChar w:fldCharType="begin"/>
      </w:r>
      <w:r w:rsidRPr="009B783C">
        <w:rPr>
          <w:szCs w:val="21"/>
        </w:rPr>
        <w:instrText xml:space="preserve"> REF _Ref185485624 \h </w:instrText>
      </w:r>
      <w:r w:rsidR="00F345DA" w:rsidRPr="009B783C">
        <w:rPr>
          <w:szCs w:val="21"/>
        </w:rPr>
        <w:instrText xml:space="preserve"> \* MERGEFORMAT </w:instrText>
      </w:r>
      <w:r w:rsidRPr="009B783C">
        <w:rPr>
          <w:szCs w:val="21"/>
        </w:rPr>
      </w:r>
      <w:r w:rsidRPr="009B783C">
        <w:rPr>
          <w:szCs w:val="21"/>
        </w:rPr>
        <w:fldChar w:fldCharType="separate"/>
      </w:r>
      <w:r w:rsidR="006E7782" w:rsidRPr="006E7782">
        <w:rPr>
          <w:szCs w:val="21"/>
          <w:lang w:val="en-US"/>
        </w:rPr>
        <w:t>Table 7</w:t>
      </w:r>
      <w:r w:rsidRPr="009B783C">
        <w:rPr>
          <w:szCs w:val="21"/>
        </w:rPr>
        <w:fldChar w:fldCharType="end"/>
      </w:r>
      <w:r w:rsidR="00404D22" w:rsidRPr="620A8401">
        <w:rPr>
          <w:szCs w:val="21"/>
          <w:lang w:val="en-US"/>
        </w:rPr>
        <w:t xml:space="preserve"> shows the Indigenous status of patients presenting to Medicare UCCs, with </w:t>
      </w:r>
      <w:r w:rsidR="00A76B6F" w:rsidRPr="620A8401">
        <w:rPr>
          <w:szCs w:val="21"/>
          <w:lang w:val="en-US"/>
        </w:rPr>
        <w:t xml:space="preserve">6 </w:t>
      </w:r>
      <w:r w:rsidR="00C17381" w:rsidRPr="620A8401">
        <w:rPr>
          <w:szCs w:val="21"/>
          <w:lang w:val="en-US"/>
        </w:rPr>
        <w:t>per cent identifying as Aboriginal and/or Torres Strait Islander. This is slightly lower compared with ED</w:t>
      </w:r>
      <w:r w:rsidR="00886E82" w:rsidRPr="620A8401">
        <w:rPr>
          <w:szCs w:val="21"/>
          <w:lang w:val="en-US"/>
        </w:rPr>
        <w:t>s</w:t>
      </w:r>
      <w:r w:rsidR="00C17381" w:rsidRPr="620A8401">
        <w:rPr>
          <w:szCs w:val="21"/>
          <w:lang w:val="en-US"/>
        </w:rPr>
        <w:t xml:space="preserve">, where </w:t>
      </w:r>
      <w:r w:rsidR="00A76B6F" w:rsidRPr="620A8401">
        <w:rPr>
          <w:szCs w:val="21"/>
          <w:lang w:val="en-US"/>
        </w:rPr>
        <w:t xml:space="preserve">8 </w:t>
      </w:r>
      <w:r w:rsidR="00C17381" w:rsidRPr="620A8401">
        <w:rPr>
          <w:szCs w:val="21"/>
          <w:lang w:val="en-US"/>
        </w:rPr>
        <w:t>per cent of patients overall identified as Aboriginal and/or Torres Strait Islander.</w:t>
      </w:r>
      <w:r w:rsidR="00C17381" w:rsidRPr="620A8401">
        <w:rPr>
          <w:rStyle w:val="FootnoteReference"/>
          <w:szCs w:val="21"/>
          <w:lang w:val="en-US"/>
        </w:rPr>
        <w:footnoteReference w:id="40"/>
      </w:r>
      <w:r w:rsidR="00C17381" w:rsidRPr="620A8401">
        <w:rPr>
          <w:szCs w:val="21"/>
          <w:lang w:val="en-US"/>
        </w:rPr>
        <w:t xml:space="preserve"> However, Indigenous status is not stated/recorded for 21 per cent of records in the Medicare </w:t>
      </w:r>
      <w:r w:rsidR="00C17381" w:rsidRPr="620A8401">
        <w:rPr>
          <w:szCs w:val="21"/>
          <w:lang w:val="en-US"/>
        </w:rPr>
        <w:lastRenderedPageBreak/>
        <w:t>UCC data, compared with only 0.8 per cent in the ED data. Removing these records, the percentage of Medicare UCC patients identifying as Aboriginal and/or Torres Strait Islander is closer to the percentage for EDs (</w:t>
      </w:r>
      <w:r w:rsidR="00A76B6F" w:rsidRPr="620A8401">
        <w:rPr>
          <w:szCs w:val="21"/>
          <w:lang w:val="en-US"/>
        </w:rPr>
        <w:t xml:space="preserve">8 </w:t>
      </w:r>
      <w:r w:rsidR="00C17381" w:rsidRPr="620A8401">
        <w:rPr>
          <w:szCs w:val="21"/>
          <w:lang w:val="en-US"/>
        </w:rPr>
        <w:t>per cent</w:t>
      </w:r>
      <w:r w:rsidR="00404D22" w:rsidRPr="620A8401">
        <w:rPr>
          <w:szCs w:val="21"/>
          <w:lang w:val="en-US"/>
        </w:rPr>
        <w:t>).</w:t>
      </w:r>
    </w:p>
    <w:p w14:paraId="5CE245AB" w14:textId="77777777" w:rsidR="00B100E8" w:rsidRPr="009B783C" w:rsidRDefault="00B100E8" w:rsidP="00404D22">
      <w:pPr>
        <w:spacing w:after="160" w:line="259" w:lineRule="auto"/>
      </w:pPr>
      <w:r w:rsidRPr="009B783C">
        <w:br w:type="page"/>
      </w:r>
    </w:p>
    <w:p w14:paraId="6F97A865" w14:textId="418D1C8E" w:rsidR="00404D22" w:rsidRPr="009B783C" w:rsidRDefault="00404D22" w:rsidP="00404D22">
      <w:pPr>
        <w:pStyle w:val="Caption"/>
        <w:rPr>
          <w:szCs w:val="21"/>
        </w:rPr>
      </w:pPr>
      <w:bookmarkStart w:id="86" w:name="_Ref185485624"/>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E7782">
        <w:rPr>
          <w:noProof/>
          <w:szCs w:val="21"/>
        </w:rPr>
        <w:t>7</w:t>
      </w:r>
      <w:r w:rsidRPr="009B783C">
        <w:rPr>
          <w:szCs w:val="21"/>
        </w:rPr>
        <w:fldChar w:fldCharType="end"/>
      </w:r>
      <w:bookmarkEnd w:id="86"/>
      <w:r w:rsidRPr="009B783C">
        <w:rPr>
          <w:szCs w:val="21"/>
        </w:rPr>
        <w:t xml:space="preserve"> | Indigenous status of patients attending Medicare UCCs compared with patients attending EDs </w:t>
      </w:r>
    </w:p>
    <w:tbl>
      <w:tblPr>
        <w:tblW w:w="5000" w:type="pct"/>
        <w:jc w:val="center"/>
        <w:tblLook w:val="0420" w:firstRow="1" w:lastRow="0" w:firstColumn="0" w:lastColumn="0" w:noHBand="0" w:noVBand="1"/>
      </w:tblPr>
      <w:tblGrid>
        <w:gridCol w:w="2713"/>
        <w:gridCol w:w="1695"/>
        <w:gridCol w:w="1598"/>
        <w:gridCol w:w="1458"/>
        <w:gridCol w:w="1456"/>
      </w:tblGrid>
      <w:tr w:rsidR="00C17381" w:rsidRPr="009B783C" w14:paraId="422D7999" w14:textId="77777777" w:rsidTr="0084594B">
        <w:trPr>
          <w:tblHeader/>
          <w:jc w:val="center"/>
        </w:trPr>
        <w:tc>
          <w:tcPr>
            <w:tcW w:w="1521"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0D40F3F2" w14:textId="77777777" w:rsidR="00C17381" w:rsidRPr="007A48C9" w:rsidRDefault="00C17381" w:rsidP="00A91209">
            <w:pPr>
              <w:pStyle w:val="TableNheader"/>
            </w:pPr>
            <w:r w:rsidRPr="007A48C9">
              <w:rPr>
                <w:rFonts w:eastAsia="Segoe UI Semibold"/>
              </w:rPr>
              <w:t>Indigenous status</w:t>
            </w:r>
          </w:p>
        </w:tc>
        <w:tc>
          <w:tcPr>
            <w:tcW w:w="95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0FDB303B" w14:textId="77777777" w:rsidR="00C17381" w:rsidRPr="007A48C9" w:rsidRDefault="00C17381" w:rsidP="007A48C9">
            <w:pPr>
              <w:pStyle w:val="TableNheader"/>
            </w:pPr>
            <w:r w:rsidRPr="007A48C9">
              <w:rPr>
                <w:rFonts w:eastAsia="Segoe UI Semibold"/>
              </w:rPr>
              <w:t>Presentations</w:t>
            </w:r>
          </w:p>
        </w:tc>
        <w:tc>
          <w:tcPr>
            <w:tcW w:w="89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66D60C71" w14:textId="3A1B87E8" w:rsidR="00C17381" w:rsidRPr="007A48C9" w:rsidRDefault="00C17381" w:rsidP="007A48C9">
            <w:pPr>
              <w:pStyle w:val="TableNheader"/>
            </w:pPr>
            <w:r w:rsidRPr="007A48C9">
              <w:rPr>
                <w:rFonts w:eastAsia="Segoe UI Semibold"/>
              </w:rPr>
              <w:t xml:space="preserve">Percentage </w:t>
            </w:r>
            <w:r w:rsidR="00A76B6F" w:rsidRPr="007A48C9">
              <w:rPr>
                <w:rFonts w:eastAsia="Segoe UI Semibold"/>
              </w:rPr>
              <w:t>i</w:t>
            </w:r>
            <w:r w:rsidRPr="007A48C9">
              <w:rPr>
                <w:rFonts w:eastAsia="Segoe UI Semibold"/>
              </w:rPr>
              <w:t>ncluding</w:t>
            </w:r>
            <w:r w:rsidRPr="007A48C9">
              <w:rPr>
                <w:rFonts w:eastAsia="Segoe UI Semibold"/>
              </w:rPr>
              <w:br/>
            </w:r>
            <w:r w:rsidR="00A76B6F" w:rsidRPr="007A48C9">
              <w:rPr>
                <w:rFonts w:eastAsia="Segoe UI Semibold"/>
              </w:rPr>
              <w:t>“</w:t>
            </w:r>
            <w:r w:rsidRPr="007A48C9">
              <w:rPr>
                <w:rFonts w:eastAsia="Segoe UI Semibold"/>
              </w:rPr>
              <w:t>Not recorded</w:t>
            </w:r>
            <w:r w:rsidR="00A76B6F" w:rsidRPr="007A48C9">
              <w:rPr>
                <w:rFonts w:eastAsia="Segoe UI Semibold"/>
              </w:rPr>
              <w:t>”</w:t>
            </w:r>
          </w:p>
        </w:tc>
        <w:tc>
          <w:tcPr>
            <w:tcW w:w="81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3CA8300E" w14:textId="396D0CAD" w:rsidR="00C17381" w:rsidRPr="007A48C9" w:rsidRDefault="00C17381" w:rsidP="007A48C9">
            <w:pPr>
              <w:pStyle w:val="TableNheader"/>
            </w:pPr>
            <w:r w:rsidRPr="007A48C9">
              <w:rPr>
                <w:rFonts w:eastAsia="Segoe UI Semibold"/>
              </w:rPr>
              <w:t xml:space="preserve">Percentage </w:t>
            </w:r>
            <w:r w:rsidR="00A76B6F" w:rsidRPr="007A48C9">
              <w:rPr>
                <w:rFonts w:eastAsia="Segoe UI Semibold"/>
              </w:rPr>
              <w:t>e</w:t>
            </w:r>
            <w:r w:rsidRPr="007A48C9">
              <w:rPr>
                <w:rFonts w:eastAsia="Segoe UI Semibold"/>
              </w:rPr>
              <w:t>xcluding</w:t>
            </w:r>
            <w:r w:rsidRPr="007A48C9">
              <w:rPr>
                <w:rFonts w:eastAsia="Segoe UI Semibold"/>
              </w:rPr>
              <w:br/>
            </w:r>
            <w:r w:rsidR="00A76B6F" w:rsidRPr="007A48C9">
              <w:rPr>
                <w:rFonts w:eastAsia="Segoe UI Semibold"/>
              </w:rPr>
              <w:t>“</w:t>
            </w:r>
            <w:r w:rsidRPr="007A48C9">
              <w:rPr>
                <w:rFonts w:eastAsia="Segoe UI Semibold"/>
              </w:rPr>
              <w:t>Not recorded</w:t>
            </w:r>
            <w:r w:rsidR="00A76B6F" w:rsidRPr="007A48C9">
              <w:rPr>
                <w:rFonts w:eastAsia="Segoe UI Semibold"/>
              </w:rPr>
              <w:t>”</w:t>
            </w:r>
          </w:p>
        </w:tc>
        <w:tc>
          <w:tcPr>
            <w:tcW w:w="816"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B485D3C" w14:textId="574952AD" w:rsidR="00C17381" w:rsidRPr="007A48C9" w:rsidRDefault="00C17381" w:rsidP="007A48C9">
            <w:pPr>
              <w:pStyle w:val="TableNheader"/>
              <w:rPr>
                <w:rFonts w:eastAsia="Segoe UI Semibold"/>
              </w:rPr>
            </w:pPr>
            <w:r w:rsidRPr="007A48C9">
              <w:rPr>
                <w:rFonts w:eastAsia="Segoe UI Semibold"/>
              </w:rPr>
              <w:t>Patients attending ED 2022-23</w:t>
            </w:r>
          </w:p>
        </w:tc>
      </w:tr>
      <w:tr w:rsidR="00C17381" w:rsidRPr="009B783C" w14:paraId="104017B2" w14:textId="77777777" w:rsidTr="0084594B">
        <w:trPr>
          <w:jc w:val="center"/>
        </w:trPr>
        <w:tc>
          <w:tcPr>
            <w:tcW w:w="1521"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59EC243" w14:textId="77777777" w:rsidR="00C17381" w:rsidRPr="009B783C" w:rsidRDefault="00C17381" w:rsidP="00A91209">
            <w:pPr>
              <w:pStyle w:val="TableNText"/>
              <w:rPr>
                <w:sz w:val="21"/>
                <w:szCs w:val="21"/>
              </w:rPr>
            </w:pPr>
            <w:r w:rsidRPr="009B783C">
              <w:rPr>
                <w:sz w:val="21"/>
                <w:szCs w:val="21"/>
              </w:rPr>
              <w:t>Indigenous – Aboriginal</w:t>
            </w:r>
          </w:p>
        </w:tc>
        <w:tc>
          <w:tcPr>
            <w:tcW w:w="95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68F82D2" w14:textId="77777777" w:rsidR="00C17381" w:rsidRPr="009B783C" w:rsidRDefault="00C17381" w:rsidP="00C27645">
            <w:pPr>
              <w:pStyle w:val="TableNText"/>
              <w:jc w:val="center"/>
              <w:rPr>
                <w:sz w:val="21"/>
                <w:szCs w:val="21"/>
              </w:rPr>
            </w:pPr>
            <w:r w:rsidRPr="009B783C">
              <w:rPr>
                <w:sz w:val="21"/>
                <w:szCs w:val="21"/>
              </w:rPr>
              <w:t>26,079</w:t>
            </w:r>
          </w:p>
        </w:tc>
        <w:tc>
          <w:tcPr>
            <w:tcW w:w="896"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A9A7D25" w14:textId="77777777" w:rsidR="00C17381" w:rsidRPr="009B783C" w:rsidRDefault="00C17381" w:rsidP="00C27645">
            <w:pPr>
              <w:pStyle w:val="TableNText"/>
              <w:jc w:val="center"/>
              <w:rPr>
                <w:sz w:val="21"/>
                <w:szCs w:val="21"/>
              </w:rPr>
            </w:pPr>
            <w:r w:rsidRPr="009B783C">
              <w:rPr>
                <w:sz w:val="21"/>
                <w:szCs w:val="21"/>
              </w:rPr>
              <w:t>5.0%</w:t>
            </w:r>
          </w:p>
        </w:tc>
        <w:tc>
          <w:tcPr>
            <w:tcW w:w="81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3BFB987" w14:textId="77777777" w:rsidR="00C17381" w:rsidRPr="009B783C" w:rsidRDefault="00C17381" w:rsidP="00C27645">
            <w:pPr>
              <w:pStyle w:val="TableNText"/>
              <w:jc w:val="center"/>
              <w:rPr>
                <w:sz w:val="21"/>
                <w:szCs w:val="21"/>
              </w:rPr>
            </w:pPr>
            <w:r w:rsidRPr="009B783C">
              <w:rPr>
                <w:sz w:val="21"/>
                <w:szCs w:val="21"/>
              </w:rPr>
              <w:t>6.3%</w:t>
            </w:r>
          </w:p>
        </w:tc>
        <w:tc>
          <w:tcPr>
            <w:tcW w:w="816"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5D3D35A6" w14:textId="77777777" w:rsidR="00C17381" w:rsidRPr="009B783C" w:rsidRDefault="00C17381" w:rsidP="00C27645">
            <w:pPr>
              <w:pStyle w:val="TableNText"/>
              <w:jc w:val="center"/>
              <w:rPr>
                <w:sz w:val="21"/>
                <w:szCs w:val="21"/>
              </w:rPr>
            </w:pPr>
          </w:p>
        </w:tc>
      </w:tr>
      <w:tr w:rsidR="00C17381" w:rsidRPr="009B783C" w14:paraId="623B99C8"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5D9BAD8" w14:textId="77777777" w:rsidR="00C17381" w:rsidRPr="009B783C" w:rsidRDefault="00C17381" w:rsidP="00A91209">
            <w:pPr>
              <w:pStyle w:val="TableNText"/>
              <w:rPr>
                <w:sz w:val="21"/>
                <w:szCs w:val="21"/>
              </w:rPr>
            </w:pPr>
            <w:r w:rsidRPr="009B783C">
              <w:rPr>
                <w:sz w:val="21"/>
                <w:szCs w:val="21"/>
              </w:rPr>
              <w:t>Indigenous – Torres Strait Islander</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CE1A645" w14:textId="77777777" w:rsidR="00C17381" w:rsidRPr="009B783C" w:rsidRDefault="00C17381" w:rsidP="00C27645">
            <w:pPr>
              <w:pStyle w:val="TableNText"/>
              <w:jc w:val="center"/>
              <w:rPr>
                <w:sz w:val="21"/>
                <w:szCs w:val="21"/>
              </w:rPr>
            </w:pPr>
            <w:r w:rsidRPr="009B783C">
              <w:rPr>
                <w:sz w:val="21"/>
                <w:szCs w:val="21"/>
              </w:rPr>
              <w:t>1,030</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7B46894" w14:textId="77777777" w:rsidR="00C17381" w:rsidRPr="009B783C" w:rsidRDefault="00C17381" w:rsidP="00C27645">
            <w:pPr>
              <w:pStyle w:val="TableNText"/>
              <w:jc w:val="center"/>
              <w:rPr>
                <w:sz w:val="21"/>
                <w:szCs w:val="21"/>
              </w:rPr>
            </w:pPr>
            <w:r w:rsidRPr="009B783C">
              <w:rPr>
                <w:sz w:val="21"/>
                <w:szCs w:val="21"/>
              </w:rPr>
              <w:t>0.2%</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F1CC27D" w14:textId="77777777" w:rsidR="00C17381" w:rsidRPr="009B783C" w:rsidRDefault="00C17381" w:rsidP="00C27645">
            <w:pPr>
              <w:pStyle w:val="TableNText"/>
              <w:jc w:val="center"/>
              <w:rPr>
                <w:sz w:val="21"/>
                <w:szCs w:val="21"/>
              </w:rPr>
            </w:pPr>
            <w:r w:rsidRPr="009B783C">
              <w:rPr>
                <w:sz w:val="21"/>
                <w:szCs w:val="21"/>
              </w:rPr>
              <w:t>0.2%</w:t>
            </w: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D5E359D" w14:textId="77777777" w:rsidR="00C17381" w:rsidRPr="009B783C" w:rsidRDefault="00C17381" w:rsidP="00C27645">
            <w:pPr>
              <w:pStyle w:val="TableNText"/>
              <w:jc w:val="center"/>
              <w:rPr>
                <w:sz w:val="21"/>
                <w:szCs w:val="21"/>
              </w:rPr>
            </w:pPr>
          </w:p>
        </w:tc>
      </w:tr>
      <w:tr w:rsidR="00C17381" w:rsidRPr="009B783C" w14:paraId="63CAC670"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3876E04" w14:textId="77777777" w:rsidR="00C17381" w:rsidRPr="009B783C" w:rsidRDefault="00C17381" w:rsidP="00A91209">
            <w:pPr>
              <w:pStyle w:val="TableNText"/>
              <w:rPr>
                <w:sz w:val="21"/>
                <w:szCs w:val="21"/>
              </w:rPr>
            </w:pPr>
            <w:r w:rsidRPr="009B783C">
              <w:rPr>
                <w:sz w:val="21"/>
                <w:szCs w:val="21"/>
              </w:rPr>
              <w:t>Indigenous – Aboriginal and Torres Strait Islander</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D94598F" w14:textId="77777777" w:rsidR="00C17381" w:rsidRPr="009B783C" w:rsidRDefault="00C17381" w:rsidP="00C27645">
            <w:pPr>
              <w:pStyle w:val="TableNText"/>
              <w:jc w:val="center"/>
              <w:rPr>
                <w:sz w:val="21"/>
                <w:szCs w:val="21"/>
              </w:rPr>
            </w:pPr>
            <w:r w:rsidRPr="009B783C">
              <w:rPr>
                <w:sz w:val="21"/>
                <w:szCs w:val="21"/>
              </w:rPr>
              <w:t>3,922</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F3C8F13" w14:textId="77777777" w:rsidR="00C17381" w:rsidRPr="009B783C" w:rsidRDefault="00C17381" w:rsidP="00C27645">
            <w:pPr>
              <w:pStyle w:val="TableNText"/>
              <w:jc w:val="center"/>
              <w:rPr>
                <w:sz w:val="21"/>
                <w:szCs w:val="21"/>
              </w:rPr>
            </w:pPr>
            <w:r w:rsidRPr="009B783C">
              <w:rPr>
                <w:sz w:val="21"/>
                <w:szCs w:val="21"/>
              </w:rPr>
              <w:t>0.7%</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149BAB9" w14:textId="77777777" w:rsidR="00C17381" w:rsidRPr="009B783C" w:rsidRDefault="00C17381" w:rsidP="00C27645">
            <w:pPr>
              <w:pStyle w:val="TableNText"/>
              <w:jc w:val="center"/>
              <w:rPr>
                <w:sz w:val="21"/>
                <w:szCs w:val="21"/>
              </w:rPr>
            </w:pPr>
            <w:r w:rsidRPr="009B783C">
              <w:rPr>
                <w:sz w:val="21"/>
                <w:szCs w:val="21"/>
              </w:rPr>
              <w:t>0.9%</w:t>
            </w: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48D177B" w14:textId="77777777" w:rsidR="00C17381" w:rsidRPr="009B783C" w:rsidRDefault="00C17381" w:rsidP="00C27645">
            <w:pPr>
              <w:pStyle w:val="TableNText"/>
              <w:jc w:val="center"/>
              <w:rPr>
                <w:sz w:val="21"/>
                <w:szCs w:val="21"/>
              </w:rPr>
            </w:pPr>
          </w:p>
        </w:tc>
      </w:tr>
      <w:tr w:rsidR="00C17381" w:rsidRPr="009B783C" w14:paraId="2043EB4B"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52BA128" w14:textId="77777777" w:rsidR="00C17381" w:rsidRPr="009B783C" w:rsidRDefault="00C17381" w:rsidP="00A91209">
            <w:pPr>
              <w:pStyle w:val="TableNText"/>
              <w:rPr>
                <w:rFonts w:asciiTheme="majorHAnsi" w:hAnsiTheme="majorHAnsi" w:cstheme="majorHAnsi"/>
                <w:sz w:val="21"/>
                <w:szCs w:val="21"/>
              </w:rPr>
            </w:pPr>
            <w:r w:rsidRPr="009B783C">
              <w:rPr>
                <w:rFonts w:asciiTheme="majorHAnsi" w:hAnsiTheme="majorHAnsi" w:cstheme="majorHAnsi"/>
                <w:sz w:val="21"/>
                <w:szCs w:val="21"/>
              </w:rPr>
              <w:t>Total Indigenous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5D28002" w14:textId="77777777" w:rsidR="00C17381" w:rsidRPr="009B783C" w:rsidRDefault="00C17381" w:rsidP="00C27645">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31,031</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785859A" w14:textId="77777777" w:rsidR="00C17381" w:rsidRPr="009B783C" w:rsidRDefault="00C17381" w:rsidP="00C27645">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5.9%</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863133F" w14:textId="77777777" w:rsidR="00C17381" w:rsidRPr="009B783C" w:rsidRDefault="00C17381" w:rsidP="00C27645">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7.5%</w:t>
            </w: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0BE661D5" w14:textId="77777777" w:rsidR="00C17381" w:rsidRPr="009B783C" w:rsidRDefault="00C17381" w:rsidP="00C27645">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8.4%</w:t>
            </w:r>
          </w:p>
        </w:tc>
      </w:tr>
      <w:tr w:rsidR="00C17381" w:rsidRPr="009B783C" w14:paraId="3C8F1073"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8A65796" w14:textId="77777777" w:rsidR="00C17381" w:rsidRPr="009B783C" w:rsidRDefault="00C17381" w:rsidP="00A91209">
            <w:pPr>
              <w:pStyle w:val="TableNText"/>
              <w:rPr>
                <w:sz w:val="21"/>
                <w:szCs w:val="21"/>
              </w:rPr>
            </w:pPr>
            <w:r w:rsidRPr="009B783C">
              <w:rPr>
                <w:sz w:val="21"/>
                <w:szCs w:val="21"/>
              </w:rPr>
              <w:t>Not Indigenous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07B104D" w14:textId="77777777" w:rsidR="00C17381" w:rsidRPr="009B783C" w:rsidRDefault="00C17381" w:rsidP="00C27645">
            <w:pPr>
              <w:pStyle w:val="TableNText"/>
              <w:jc w:val="center"/>
              <w:rPr>
                <w:sz w:val="21"/>
                <w:szCs w:val="21"/>
              </w:rPr>
            </w:pPr>
            <w:r w:rsidRPr="009B783C">
              <w:rPr>
                <w:sz w:val="21"/>
                <w:szCs w:val="21"/>
              </w:rPr>
              <w:t>383,285</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C2D28A6" w14:textId="77777777" w:rsidR="00C17381" w:rsidRPr="009B783C" w:rsidRDefault="00C17381" w:rsidP="00C27645">
            <w:pPr>
              <w:pStyle w:val="TableNText"/>
              <w:jc w:val="center"/>
              <w:rPr>
                <w:sz w:val="21"/>
                <w:szCs w:val="21"/>
              </w:rPr>
            </w:pPr>
            <w:r w:rsidRPr="009B783C">
              <w:rPr>
                <w:sz w:val="21"/>
                <w:szCs w:val="21"/>
              </w:rPr>
              <w:t>72.9%</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B7D3782" w14:textId="77777777" w:rsidR="00C17381" w:rsidRPr="009B783C" w:rsidRDefault="00C17381" w:rsidP="00C27645">
            <w:pPr>
              <w:pStyle w:val="TableNText"/>
              <w:jc w:val="center"/>
              <w:rPr>
                <w:sz w:val="21"/>
                <w:szCs w:val="21"/>
              </w:rPr>
            </w:pPr>
            <w:r w:rsidRPr="009B783C">
              <w:rPr>
                <w:sz w:val="21"/>
                <w:szCs w:val="21"/>
              </w:rPr>
              <w:t>92.5%</w:t>
            </w: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5DC7297A" w14:textId="77777777" w:rsidR="00C17381" w:rsidRPr="009B783C" w:rsidRDefault="00C17381" w:rsidP="00C27645">
            <w:pPr>
              <w:pStyle w:val="TableNText"/>
              <w:jc w:val="center"/>
              <w:rPr>
                <w:sz w:val="21"/>
                <w:szCs w:val="21"/>
              </w:rPr>
            </w:pPr>
            <w:r w:rsidRPr="009B783C">
              <w:rPr>
                <w:sz w:val="21"/>
                <w:szCs w:val="21"/>
              </w:rPr>
              <w:t>90.7%</w:t>
            </w:r>
          </w:p>
        </w:tc>
      </w:tr>
      <w:tr w:rsidR="00C17381" w:rsidRPr="009B783C" w14:paraId="4DF61E67"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776F187" w14:textId="77777777" w:rsidR="00C17381" w:rsidRPr="009B783C" w:rsidRDefault="00C17381" w:rsidP="00A91209">
            <w:pPr>
              <w:pStyle w:val="TableNText"/>
              <w:rPr>
                <w:sz w:val="21"/>
                <w:szCs w:val="21"/>
              </w:rPr>
            </w:pPr>
            <w:r w:rsidRPr="009B783C">
              <w:rPr>
                <w:sz w:val="21"/>
                <w:szCs w:val="21"/>
              </w:rPr>
              <w:t>Not recorded</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91CBB83" w14:textId="77777777" w:rsidR="00C17381" w:rsidRPr="009B783C" w:rsidRDefault="00C17381" w:rsidP="00C27645">
            <w:pPr>
              <w:pStyle w:val="TableNText"/>
              <w:jc w:val="center"/>
              <w:rPr>
                <w:sz w:val="21"/>
                <w:szCs w:val="21"/>
              </w:rPr>
            </w:pPr>
            <w:r w:rsidRPr="009B783C">
              <w:rPr>
                <w:sz w:val="21"/>
                <w:szCs w:val="21"/>
              </w:rPr>
              <w:t>111,555</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E52408C" w14:textId="77777777" w:rsidR="00C17381" w:rsidRPr="009B783C" w:rsidRDefault="00C17381" w:rsidP="00C27645">
            <w:pPr>
              <w:pStyle w:val="TableNText"/>
              <w:jc w:val="center"/>
              <w:rPr>
                <w:sz w:val="21"/>
                <w:szCs w:val="21"/>
              </w:rPr>
            </w:pPr>
            <w:r w:rsidRPr="009B783C">
              <w:rPr>
                <w:sz w:val="21"/>
                <w:szCs w:val="21"/>
              </w:rPr>
              <w:t>21.2%</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482F7EE" w14:textId="77777777" w:rsidR="00C17381" w:rsidRPr="009B783C" w:rsidRDefault="00C17381" w:rsidP="00C27645">
            <w:pPr>
              <w:pStyle w:val="TableNText"/>
              <w:jc w:val="center"/>
              <w:rPr>
                <w:sz w:val="21"/>
                <w:szCs w:val="21"/>
              </w:rPr>
            </w:pP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4F6E1A5C" w14:textId="77777777" w:rsidR="00C17381" w:rsidRPr="009B783C" w:rsidRDefault="00C17381" w:rsidP="00C27645">
            <w:pPr>
              <w:pStyle w:val="TableNText"/>
              <w:jc w:val="center"/>
              <w:rPr>
                <w:sz w:val="21"/>
                <w:szCs w:val="21"/>
              </w:rPr>
            </w:pPr>
            <w:r w:rsidRPr="009B783C">
              <w:rPr>
                <w:sz w:val="21"/>
                <w:szCs w:val="21"/>
              </w:rPr>
              <w:t>0.8%</w:t>
            </w:r>
          </w:p>
        </w:tc>
      </w:tr>
      <w:tr w:rsidR="00C17381" w:rsidRPr="009B783C" w14:paraId="4366D8BA"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5F92D3B" w14:textId="06A5E78F" w:rsidR="00C17381" w:rsidRPr="009B783C" w:rsidRDefault="00C17381" w:rsidP="00A91209">
            <w:pPr>
              <w:pStyle w:val="TableNText"/>
              <w:rPr>
                <w:sz w:val="21"/>
                <w:szCs w:val="21"/>
              </w:rPr>
            </w:pPr>
            <w:r w:rsidRPr="009B783C">
              <w:rPr>
                <w:sz w:val="21"/>
                <w:szCs w:val="21"/>
              </w:rPr>
              <w:t xml:space="preserve">Total excluding </w:t>
            </w:r>
            <w:r w:rsidR="00BC52EE" w:rsidRPr="009B783C">
              <w:rPr>
                <w:sz w:val="21"/>
                <w:szCs w:val="21"/>
              </w:rPr>
              <w:t>“</w:t>
            </w:r>
            <w:r w:rsidRPr="009B783C">
              <w:rPr>
                <w:sz w:val="21"/>
                <w:szCs w:val="21"/>
              </w:rPr>
              <w:t>Not recorded</w:t>
            </w:r>
            <w:r w:rsidR="00BC52EE" w:rsidRPr="009B783C">
              <w:rPr>
                <w:sz w:val="21"/>
                <w:szCs w:val="21"/>
              </w:rPr>
              <w:t>”</w:t>
            </w:r>
            <w:r w:rsidRPr="009B783C">
              <w:rPr>
                <w:sz w:val="21"/>
                <w:szCs w:val="21"/>
              </w:rPr>
              <w:t xml:space="preserve"> (from 63 Medicare UCCs)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3492C23" w14:textId="77777777" w:rsidR="00C17381" w:rsidRPr="009B783C" w:rsidRDefault="00C17381" w:rsidP="00C27645">
            <w:pPr>
              <w:pStyle w:val="TableNText"/>
              <w:jc w:val="center"/>
              <w:rPr>
                <w:sz w:val="21"/>
                <w:szCs w:val="21"/>
              </w:rPr>
            </w:pPr>
            <w:r w:rsidRPr="009B783C">
              <w:rPr>
                <w:sz w:val="21"/>
                <w:szCs w:val="21"/>
              </w:rPr>
              <w:t>414,316</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92F36B8" w14:textId="77777777" w:rsidR="00C17381" w:rsidRPr="009B783C" w:rsidRDefault="00C17381" w:rsidP="00C27645">
            <w:pPr>
              <w:pStyle w:val="TableNText"/>
              <w:jc w:val="center"/>
              <w:rPr>
                <w:sz w:val="21"/>
                <w:szCs w:val="21"/>
              </w:rPr>
            </w:pP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353225D" w14:textId="77777777" w:rsidR="00C17381" w:rsidRPr="009B783C" w:rsidRDefault="00C17381" w:rsidP="00C27645">
            <w:pPr>
              <w:pStyle w:val="TableNText"/>
              <w:jc w:val="center"/>
              <w:rPr>
                <w:sz w:val="21"/>
                <w:szCs w:val="21"/>
              </w:rPr>
            </w:pPr>
            <w:r w:rsidRPr="009B783C">
              <w:rPr>
                <w:sz w:val="21"/>
                <w:szCs w:val="21"/>
              </w:rPr>
              <w:t>100.0%</w:t>
            </w: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275A0462" w14:textId="77777777" w:rsidR="00C17381" w:rsidRPr="009B783C" w:rsidRDefault="00C17381" w:rsidP="00C27645">
            <w:pPr>
              <w:pStyle w:val="TableNText"/>
              <w:jc w:val="center"/>
              <w:rPr>
                <w:sz w:val="21"/>
                <w:szCs w:val="21"/>
              </w:rPr>
            </w:pPr>
          </w:p>
        </w:tc>
      </w:tr>
      <w:tr w:rsidR="00C17381" w:rsidRPr="009B783C" w14:paraId="636D08DF"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B954018" w14:textId="013EEA24" w:rsidR="00C17381" w:rsidRPr="009B783C" w:rsidRDefault="00C17381" w:rsidP="00A91209">
            <w:pPr>
              <w:pStyle w:val="TableNText"/>
              <w:rPr>
                <w:sz w:val="21"/>
                <w:szCs w:val="21"/>
              </w:rPr>
            </w:pPr>
            <w:r w:rsidRPr="009B783C">
              <w:rPr>
                <w:sz w:val="21"/>
                <w:szCs w:val="21"/>
              </w:rPr>
              <w:t xml:space="preserve">Total including </w:t>
            </w:r>
            <w:r w:rsidR="00BC52EE" w:rsidRPr="009B783C">
              <w:rPr>
                <w:sz w:val="21"/>
                <w:szCs w:val="21"/>
              </w:rPr>
              <w:t>“</w:t>
            </w:r>
            <w:r w:rsidRPr="009B783C">
              <w:rPr>
                <w:sz w:val="21"/>
                <w:szCs w:val="21"/>
              </w:rPr>
              <w:t>Not recorded</w:t>
            </w:r>
            <w:r w:rsidR="00BC52EE" w:rsidRPr="009B783C">
              <w:rPr>
                <w:sz w:val="21"/>
                <w:szCs w:val="21"/>
              </w:rPr>
              <w:t>”</w:t>
            </w:r>
            <w:r w:rsidRPr="009B783C">
              <w:rPr>
                <w:sz w:val="21"/>
                <w:szCs w:val="21"/>
              </w:rPr>
              <w:t xml:space="preserve"> (from 63 Medicare UCCs)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7C8C179" w14:textId="77777777" w:rsidR="00C17381" w:rsidRPr="009B783C" w:rsidRDefault="00C17381" w:rsidP="00C27645">
            <w:pPr>
              <w:pStyle w:val="TableNText"/>
              <w:jc w:val="center"/>
              <w:rPr>
                <w:sz w:val="21"/>
                <w:szCs w:val="21"/>
              </w:rPr>
            </w:pPr>
            <w:r w:rsidRPr="009B783C">
              <w:rPr>
                <w:sz w:val="21"/>
                <w:szCs w:val="21"/>
              </w:rPr>
              <w:t>525,871</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BB2EFE3" w14:textId="77777777" w:rsidR="00C17381" w:rsidRPr="009B783C" w:rsidRDefault="00C17381" w:rsidP="00C27645">
            <w:pPr>
              <w:pStyle w:val="TableNText"/>
              <w:jc w:val="center"/>
              <w:rPr>
                <w:sz w:val="21"/>
                <w:szCs w:val="21"/>
              </w:rPr>
            </w:pPr>
            <w:r w:rsidRPr="009B783C">
              <w:rPr>
                <w:sz w:val="21"/>
                <w:szCs w:val="21"/>
              </w:rPr>
              <w:t>100.0%</w:t>
            </w: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AA9A264" w14:textId="77777777" w:rsidR="00C17381" w:rsidRPr="009B783C" w:rsidRDefault="00C17381" w:rsidP="00C27645">
            <w:pPr>
              <w:pStyle w:val="TableNText"/>
              <w:jc w:val="center"/>
              <w:rPr>
                <w:sz w:val="21"/>
                <w:szCs w:val="21"/>
              </w:rPr>
            </w:pP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8C7C8BF" w14:textId="77777777" w:rsidR="00C17381" w:rsidRPr="009B783C" w:rsidRDefault="00C17381" w:rsidP="00C27645">
            <w:pPr>
              <w:pStyle w:val="TableNText"/>
              <w:jc w:val="center"/>
              <w:rPr>
                <w:sz w:val="21"/>
                <w:szCs w:val="21"/>
              </w:rPr>
            </w:pPr>
          </w:p>
        </w:tc>
      </w:tr>
      <w:tr w:rsidR="00C17381" w:rsidRPr="009B783C" w14:paraId="464A3487"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8FA49C5" w14:textId="77777777" w:rsidR="00C17381" w:rsidRPr="009B783C" w:rsidRDefault="00C17381" w:rsidP="00A91209">
            <w:pPr>
              <w:pStyle w:val="TableNText"/>
              <w:rPr>
                <w:sz w:val="21"/>
                <w:szCs w:val="21"/>
              </w:rPr>
            </w:pPr>
            <w:r w:rsidRPr="009B783C">
              <w:rPr>
                <w:sz w:val="21"/>
                <w:szCs w:val="21"/>
              </w:rPr>
              <w:t>Aggregate counts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4ED06F2" w14:textId="77777777" w:rsidR="00C17381" w:rsidRPr="009B783C" w:rsidRDefault="00C17381" w:rsidP="00C27645">
            <w:pPr>
              <w:pStyle w:val="TableNText"/>
              <w:jc w:val="center"/>
              <w:rPr>
                <w:sz w:val="21"/>
                <w:szCs w:val="21"/>
              </w:rPr>
            </w:pPr>
            <w:r w:rsidRPr="009B783C">
              <w:rPr>
                <w:sz w:val="21"/>
                <w:szCs w:val="21"/>
              </w:rPr>
              <w:t>258,200</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4305FD5" w14:textId="77777777" w:rsidR="00C17381" w:rsidRPr="009B783C" w:rsidRDefault="00C17381" w:rsidP="00C27645">
            <w:pPr>
              <w:pStyle w:val="TableNText"/>
              <w:jc w:val="center"/>
              <w:rPr>
                <w:sz w:val="21"/>
                <w:szCs w:val="21"/>
              </w:rPr>
            </w:pP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ED95A1F" w14:textId="77777777" w:rsidR="00C17381" w:rsidRPr="009B783C" w:rsidRDefault="00C17381" w:rsidP="00C27645">
            <w:pPr>
              <w:pStyle w:val="TableNText"/>
              <w:jc w:val="center"/>
              <w:rPr>
                <w:sz w:val="21"/>
                <w:szCs w:val="21"/>
              </w:rPr>
            </w:pP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3635F41" w14:textId="77777777" w:rsidR="00C17381" w:rsidRPr="009B783C" w:rsidRDefault="00C17381" w:rsidP="00C27645">
            <w:pPr>
              <w:pStyle w:val="TableNText"/>
              <w:jc w:val="center"/>
              <w:rPr>
                <w:sz w:val="21"/>
                <w:szCs w:val="21"/>
              </w:rPr>
            </w:pPr>
          </w:p>
        </w:tc>
      </w:tr>
      <w:tr w:rsidR="00C17381" w:rsidRPr="009B783C" w14:paraId="056D563C" w14:textId="77777777" w:rsidTr="00C27645">
        <w:trPr>
          <w:jc w:val="center"/>
        </w:trPr>
        <w:tc>
          <w:tcPr>
            <w:tcW w:w="152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7CDF8E2" w14:textId="77777777" w:rsidR="00C17381" w:rsidRPr="009B783C" w:rsidRDefault="00C17381" w:rsidP="00A91209">
            <w:pPr>
              <w:pStyle w:val="TableNText"/>
              <w:rPr>
                <w:rFonts w:asciiTheme="majorHAnsi" w:hAnsiTheme="majorHAnsi" w:cstheme="majorHAnsi"/>
                <w:sz w:val="21"/>
                <w:szCs w:val="21"/>
              </w:rPr>
            </w:pPr>
            <w:r w:rsidRPr="009B783C">
              <w:rPr>
                <w:rFonts w:asciiTheme="majorHAnsi" w:hAnsiTheme="majorHAnsi" w:cstheme="majorHAnsi"/>
                <w:sz w:val="21"/>
                <w:szCs w:val="21"/>
              </w:rPr>
              <w:t>Total presentations (from 75 Medicare UCCs)</w:t>
            </w:r>
          </w:p>
        </w:tc>
        <w:tc>
          <w:tcPr>
            <w:tcW w:w="95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3D1C7C7" w14:textId="77777777" w:rsidR="00C17381" w:rsidRPr="009B783C" w:rsidRDefault="00C17381" w:rsidP="00C27645">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784,071</w:t>
            </w:r>
          </w:p>
        </w:tc>
        <w:tc>
          <w:tcPr>
            <w:tcW w:w="8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1E9D052" w14:textId="77777777" w:rsidR="00C17381" w:rsidRPr="009B783C" w:rsidRDefault="00C17381" w:rsidP="00C27645">
            <w:pPr>
              <w:pStyle w:val="TableNText"/>
              <w:jc w:val="center"/>
              <w:rPr>
                <w:sz w:val="21"/>
                <w:szCs w:val="21"/>
              </w:rPr>
            </w:pPr>
          </w:p>
        </w:tc>
        <w:tc>
          <w:tcPr>
            <w:tcW w:w="81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1E9A804" w14:textId="77777777" w:rsidR="00C17381" w:rsidRPr="009B783C" w:rsidRDefault="00C17381" w:rsidP="00C27645">
            <w:pPr>
              <w:pStyle w:val="TableNText"/>
              <w:jc w:val="center"/>
              <w:rPr>
                <w:sz w:val="21"/>
                <w:szCs w:val="21"/>
              </w:rPr>
            </w:pPr>
          </w:p>
        </w:tc>
        <w:tc>
          <w:tcPr>
            <w:tcW w:w="81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3BDF6D35" w14:textId="77777777" w:rsidR="00C17381" w:rsidRPr="009B783C" w:rsidRDefault="00C17381" w:rsidP="00C27645">
            <w:pPr>
              <w:pStyle w:val="TableNText"/>
              <w:jc w:val="center"/>
              <w:rPr>
                <w:sz w:val="21"/>
                <w:szCs w:val="21"/>
              </w:rPr>
            </w:pPr>
          </w:p>
        </w:tc>
      </w:tr>
    </w:tbl>
    <w:p w14:paraId="7F4CDE20" w14:textId="3A38BD4B" w:rsidR="00F345DA" w:rsidRPr="00ED1544" w:rsidRDefault="00F345DA" w:rsidP="00ED1544">
      <w:r w:rsidRPr="00ED1544">
        <w:t>Notes: Table reflects data from 30 June 2023 to 30 September 2024 and extracted on 6 November 2024.</w:t>
      </w:r>
    </w:p>
    <w:p w14:paraId="6F79AAB5" w14:textId="592F1BDD" w:rsidR="00E32436" w:rsidRPr="009B783C" w:rsidRDefault="00E32436" w:rsidP="00AB5B1D">
      <w:pPr>
        <w:pStyle w:val="Heading1"/>
        <w:spacing w:after="120"/>
        <w:ind w:left="431" w:hanging="431"/>
      </w:pPr>
      <w:bookmarkStart w:id="87" w:name="_Toc189639226"/>
      <w:bookmarkStart w:id="88" w:name="_Toc189772026"/>
      <w:r w:rsidRPr="009B783C">
        <w:lastRenderedPageBreak/>
        <w:t xml:space="preserve">Interim </w:t>
      </w:r>
      <w:r w:rsidR="00DA106C" w:rsidRPr="009B783C">
        <w:t>e</w:t>
      </w:r>
      <w:r w:rsidRPr="009B783C">
        <w:t xml:space="preserve">valuation against the </w:t>
      </w:r>
      <w:r w:rsidR="00785140" w:rsidRPr="009B783C">
        <w:t xml:space="preserve">nine </w:t>
      </w:r>
      <w:r w:rsidRPr="009B783C">
        <w:t>Measures of Success</w:t>
      </w:r>
      <w:bookmarkEnd w:id="87"/>
      <w:bookmarkEnd w:id="88"/>
    </w:p>
    <w:p w14:paraId="13BE860C" w14:textId="1225B1F5" w:rsidR="00AB6D6D" w:rsidRPr="009B783C" w:rsidRDefault="00373DAA" w:rsidP="003A1B57">
      <w:pPr>
        <w:spacing w:after="240"/>
        <w:rPr>
          <w:szCs w:val="21"/>
          <w:lang w:eastAsia="en-AU"/>
        </w:rPr>
      </w:pPr>
      <w:r w:rsidRPr="009B783C">
        <w:rPr>
          <w:szCs w:val="21"/>
          <w:lang w:eastAsia="en-AU"/>
        </w:rPr>
        <w:t xml:space="preserve">The nine Measures of Success </w:t>
      </w:r>
      <w:r w:rsidR="009733A0" w:rsidRPr="009B783C">
        <w:rPr>
          <w:szCs w:val="21"/>
          <w:lang w:eastAsia="en-AU"/>
        </w:rPr>
        <w:t xml:space="preserve">were </w:t>
      </w:r>
      <w:r w:rsidR="00CD313C" w:rsidRPr="009B783C">
        <w:rPr>
          <w:szCs w:val="21"/>
          <w:lang w:eastAsia="en-AU"/>
        </w:rPr>
        <w:t xml:space="preserve">developed and agreed by all Australian </w:t>
      </w:r>
      <w:r w:rsidR="005F4E52" w:rsidRPr="009B783C">
        <w:rPr>
          <w:szCs w:val="21"/>
          <w:lang w:eastAsia="en-AU"/>
        </w:rPr>
        <w:t xml:space="preserve">Governments </w:t>
      </w:r>
      <w:r w:rsidR="0063759D" w:rsidRPr="009B783C">
        <w:rPr>
          <w:szCs w:val="21"/>
          <w:lang w:eastAsia="en-AU"/>
        </w:rPr>
        <w:t xml:space="preserve">and form the </w:t>
      </w:r>
      <w:r w:rsidR="008C1C66" w:rsidRPr="009B783C">
        <w:rPr>
          <w:szCs w:val="21"/>
          <w:lang w:eastAsia="en-AU"/>
        </w:rPr>
        <w:t>key evaluation questions fo</w:t>
      </w:r>
      <w:r w:rsidR="004A506D" w:rsidRPr="009B783C">
        <w:rPr>
          <w:szCs w:val="21"/>
          <w:lang w:eastAsia="en-AU"/>
        </w:rPr>
        <w:t>r this evaluation.</w:t>
      </w:r>
      <w:r w:rsidR="00991B71" w:rsidRPr="009B783C">
        <w:rPr>
          <w:szCs w:val="21"/>
          <w:lang w:eastAsia="en-AU"/>
        </w:rPr>
        <w:t xml:space="preserve"> </w:t>
      </w:r>
      <w:r w:rsidR="00237CE2" w:rsidRPr="009B783C">
        <w:rPr>
          <w:szCs w:val="21"/>
          <w:lang w:eastAsia="en-AU"/>
        </w:rPr>
        <w:t xml:space="preserve">These Measures will be </w:t>
      </w:r>
      <w:r w:rsidR="009710A5" w:rsidRPr="009B783C">
        <w:rPr>
          <w:szCs w:val="21"/>
          <w:lang w:eastAsia="en-AU"/>
        </w:rPr>
        <w:t xml:space="preserve">assessed again for the second Interim </w:t>
      </w:r>
      <w:r w:rsidR="0005076A" w:rsidRPr="009B783C">
        <w:rPr>
          <w:szCs w:val="21"/>
          <w:lang w:eastAsia="en-AU"/>
        </w:rPr>
        <w:t>Evaluation R</w:t>
      </w:r>
      <w:r w:rsidR="009710A5" w:rsidRPr="009B783C">
        <w:rPr>
          <w:szCs w:val="21"/>
          <w:lang w:eastAsia="en-AU"/>
        </w:rPr>
        <w:t xml:space="preserve">eport and the Final </w:t>
      </w:r>
      <w:r w:rsidR="0005076A" w:rsidRPr="009B783C">
        <w:rPr>
          <w:szCs w:val="21"/>
          <w:lang w:eastAsia="en-AU"/>
        </w:rPr>
        <w:t xml:space="preserve">Evaluation </w:t>
      </w:r>
      <w:r w:rsidR="009710A5" w:rsidRPr="009B783C">
        <w:rPr>
          <w:szCs w:val="21"/>
          <w:lang w:eastAsia="en-AU"/>
        </w:rPr>
        <w:t xml:space="preserve">Report. Interim findings and </w:t>
      </w:r>
      <w:r w:rsidR="001D3418" w:rsidRPr="009B783C">
        <w:rPr>
          <w:szCs w:val="21"/>
          <w:lang w:eastAsia="en-AU"/>
        </w:rPr>
        <w:t>opportunities for improvement</w:t>
      </w:r>
      <w:r w:rsidR="008C443E" w:rsidRPr="009B783C">
        <w:rPr>
          <w:szCs w:val="21"/>
          <w:lang w:eastAsia="en-AU"/>
        </w:rPr>
        <w:t xml:space="preserve"> </w:t>
      </w:r>
      <w:r w:rsidR="009710A5" w:rsidRPr="009B783C">
        <w:rPr>
          <w:szCs w:val="21"/>
          <w:lang w:eastAsia="en-AU"/>
        </w:rPr>
        <w:t xml:space="preserve">have been </w:t>
      </w:r>
      <w:r w:rsidR="00486374" w:rsidRPr="009B783C">
        <w:rPr>
          <w:szCs w:val="21"/>
          <w:lang w:eastAsia="en-AU"/>
        </w:rPr>
        <w:t>identified</w:t>
      </w:r>
      <w:r w:rsidR="00CF63ED" w:rsidRPr="009B783C">
        <w:rPr>
          <w:szCs w:val="21"/>
          <w:lang w:eastAsia="en-AU"/>
        </w:rPr>
        <w:t xml:space="preserve">, based on the </w:t>
      </w:r>
      <w:r w:rsidR="001362DB" w:rsidRPr="009B783C">
        <w:rPr>
          <w:szCs w:val="21"/>
          <w:lang w:eastAsia="en-AU"/>
        </w:rPr>
        <w:t>qualitative</w:t>
      </w:r>
      <w:r w:rsidR="009F243E" w:rsidRPr="009B783C">
        <w:rPr>
          <w:szCs w:val="21"/>
          <w:lang w:eastAsia="en-AU"/>
        </w:rPr>
        <w:t xml:space="preserve"> and quantitative evidence available</w:t>
      </w:r>
      <w:r w:rsidR="003E560F" w:rsidRPr="009B783C">
        <w:rPr>
          <w:szCs w:val="21"/>
          <w:lang w:eastAsia="en-AU"/>
        </w:rPr>
        <w:t>.</w:t>
      </w:r>
      <w:r w:rsidR="00E874C4" w:rsidRPr="009B783C">
        <w:rPr>
          <w:szCs w:val="21"/>
          <w:lang w:eastAsia="en-AU"/>
        </w:rPr>
        <w:t xml:space="preserve"> The </w:t>
      </w:r>
      <w:r w:rsidR="00486374" w:rsidRPr="009B783C">
        <w:rPr>
          <w:szCs w:val="21"/>
          <w:lang w:eastAsia="en-AU"/>
        </w:rPr>
        <w:t>opportunities for improvement</w:t>
      </w:r>
      <w:r w:rsidR="00E874C4" w:rsidRPr="009B783C">
        <w:rPr>
          <w:szCs w:val="21"/>
          <w:lang w:eastAsia="en-AU"/>
        </w:rPr>
        <w:t xml:space="preserve"> are also summarised in </w:t>
      </w:r>
      <w:r w:rsidR="005F7002" w:rsidRPr="009B783C">
        <w:rPr>
          <w:szCs w:val="21"/>
          <w:lang w:eastAsia="en-AU"/>
        </w:rPr>
        <w:t>s</w:t>
      </w:r>
      <w:r w:rsidR="0011067B" w:rsidRPr="009B783C">
        <w:rPr>
          <w:szCs w:val="21"/>
          <w:lang w:eastAsia="en-AU"/>
        </w:rPr>
        <w:t xml:space="preserve">ection </w:t>
      </w:r>
      <w:r w:rsidR="00BC7CDA" w:rsidRPr="009B783C">
        <w:rPr>
          <w:szCs w:val="21"/>
          <w:lang w:eastAsia="en-AU"/>
        </w:rPr>
        <w:fldChar w:fldCharType="begin"/>
      </w:r>
      <w:r w:rsidR="00BC7CDA" w:rsidRPr="009B783C">
        <w:rPr>
          <w:szCs w:val="21"/>
          <w:lang w:eastAsia="en-AU"/>
        </w:rPr>
        <w:instrText xml:space="preserve"> REF _Ref188946325 \n \h </w:instrText>
      </w:r>
      <w:r w:rsidR="003A1B57" w:rsidRPr="009B783C">
        <w:rPr>
          <w:szCs w:val="21"/>
          <w:lang w:eastAsia="en-AU"/>
        </w:rPr>
        <w:instrText xml:space="preserve"> \* MERGEFORMAT </w:instrText>
      </w:r>
      <w:r w:rsidR="00BC7CDA" w:rsidRPr="009B783C">
        <w:rPr>
          <w:szCs w:val="21"/>
          <w:lang w:eastAsia="en-AU"/>
        </w:rPr>
      </w:r>
      <w:r w:rsidR="00BC7CDA" w:rsidRPr="009B783C">
        <w:rPr>
          <w:szCs w:val="21"/>
          <w:lang w:eastAsia="en-AU"/>
        </w:rPr>
        <w:fldChar w:fldCharType="separate"/>
      </w:r>
      <w:r w:rsidR="0031172E" w:rsidRPr="009B783C">
        <w:rPr>
          <w:szCs w:val="21"/>
          <w:lang w:eastAsia="en-AU"/>
        </w:rPr>
        <w:t>6</w:t>
      </w:r>
      <w:r w:rsidR="00BC7CDA" w:rsidRPr="009B783C">
        <w:rPr>
          <w:szCs w:val="21"/>
          <w:lang w:eastAsia="en-AU"/>
        </w:rPr>
        <w:fldChar w:fldCharType="end"/>
      </w:r>
      <w:r w:rsidR="0011067B" w:rsidRPr="009B783C">
        <w:rPr>
          <w:szCs w:val="21"/>
          <w:lang w:eastAsia="en-AU"/>
        </w:rPr>
        <w:t>.</w:t>
      </w:r>
    </w:p>
    <w:tbl>
      <w:tblPr>
        <w:tblStyle w:val="TableGrid"/>
        <w:tblW w:w="0" w:type="auto"/>
        <w:tblLook w:val="04A0" w:firstRow="1" w:lastRow="0" w:firstColumn="1" w:lastColumn="0" w:noHBand="0" w:noVBand="1"/>
      </w:tblPr>
      <w:tblGrid>
        <w:gridCol w:w="8920"/>
      </w:tblGrid>
      <w:tr w:rsidR="003E6AFC" w:rsidRPr="009B783C" w14:paraId="36F53A65" w14:textId="77777777" w:rsidTr="003E6AFC">
        <w:trPr>
          <w:trHeight w:val="215"/>
        </w:trPr>
        <w:tc>
          <w:tcPr>
            <w:tcW w:w="8920" w:type="dxa"/>
            <w:tcBorders>
              <w:top w:val="nil"/>
              <w:left w:val="nil"/>
              <w:bottom w:val="nil"/>
              <w:right w:val="nil"/>
            </w:tcBorders>
            <w:shd w:val="clear" w:color="auto" w:fill="25B3E0" w:themeFill="accent6"/>
          </w:tcPr>
          <w:p w14:paraId="619547ED" w14:textId="4533DE04" w:rsidR="003E6AFC" w:rsidRPr="003E5F0F" w:rsidRDefault="00427756" w:rsidP="009711A2">
            <w:pPr>
              <w:pStyle w:val="TableNheader"/>
              <w:rPr>
                <w:color w:val="00264D" w:themeColor="background2"/>
              </w:rPr>
            </w:pPr>
            <w:bookmarkStart w:id="89" w:name="_Hlk185254910"/>
            <w:r w:rsidRPr="003E5F0F">
              <w:rPr>
                <w:color w:val="00264D" w:themeColor="background2"/>
              </w:rPr>
              <w:t>Measure Of Success 1</w:t>
            </w:r>
          </w:p>
        </w:tc>
      </w:tr>
    </w:tbl>
    <w:p w14:paraId="335F1E07" w14:textId="52C58B35" w:rsidR="009D3B18" w:rsidRPr="009B783C" w:rsidRDefault="009D3B18" w:rsidP="00976E03">
      <w:pPr>
        <w:pStyle w:val="Heading2"/>
      </w:pPr>
      <w:bookmarkStart w:id="90" w:name="_Toc189639227"/>
      <w:bookmarkStart w:id="91" w:name="_Toc189772027"/>
      <w:bookmarkStart w:id="92" w:name="_Toc181366926"/>
      <w:bookmarkStart w:id="93" w:name="_Ref185248357"/>
      <w:bookmarkEnd w:id="89"/>
      <w:r w:rsidRPr="009B783C">
        <w:t>Timely treatment</w:t>
      </w:r>
      <w:bookmarkEnd w:id="90"/>
      <w:bookmarkEnd w:id="91"/>
    </w:p>
    <w:p w14:paraId="04788223" w14:textId="77777777" w:rsidR="000F01A6" w:rsidRPr="009B783C" w:rsidRDefault="009B3AE5" w:rsidP="009B3AE5">
      <w:pPr>
        <w:rPr>
          <w:szCs w:val="21"/>
          <w:lang w:eastAsia="en-AU"/>
        </w:rPr>
      </w:pPr>
      <w:r w:rsidRPr="009B783C">
        <w:rPr>
          <w:szCs w:val="21"/>
          <w:lang w:eastAsia="en-AU"/>
        </w:rPr>
        <w:t xml:space="preserve">Measure of Success 1 </w:t>
      </w:r>
      <w:r w:rsidR="00135BDA" w:rsidRPr="009B783C">
        <w:rPr>
          <w:szCs w:val="21"/>
          <w:lang w:eastAsia="en-AU"/>
        </w:rPr>
        <w:t>agreed by the Australian, state and territory governments is</w:t>
      </w:r>
      <w:r w:rsidR="000F01A6" w:rsidRPr="009B783C">
        <w:rPr>
          <w:szCs w:val="21"/>
          <w:lang w:eastAsia="en-AU"/>
        </w:rPr>
        <w:t>:</w:t>
      </w:r>
    </w:p>
    <w:p w14:paraId="4204E81C" w14:textId="040665B5" w:rsidR="00012710" w:rsidRPr="009B783C" w:rsidRDefault="00B40F8F" w:rsidP="00976E03">
      <w:pPr>
        <w:pStyle w:val="Caption"/>
        <w:rPr>
          <w:szCs w:val="21"/>
        </w:rPr>
      </w:pPr>
      <w:r w:rsidRPr="009B783C">
        <w:rPr>
          <w:szCs w:val="21"/>
        </w:rPr>
        <w:t xml:space="preserve"> </w:t>
      </w:r>
      <w:r w:rsidR="00DC1B02" w:rsidRPr="009B783C">
        <w:rPr>
          <w:szCs w:val="21"/>
        </w:rPr>
        <w:t>“</w:t>
      </w:r>
      <w:r w:rsidR="00012710" w:rsidRPr="009B783C">
        <w:rPr>
          <w:szCs w:val="21"/>
        </w:rPr>
        <w:t>Patients receive timely treatment for urgent non-life-threatening conditions in Medicare UCCs</w:t>
      </w:r>
      <w:bookmarkEnd w:id="92"/>
      <w:r w:rsidR="00DC1B02" w:rsidRPr="009B783C">
        <w:rPr>
          <w:szCs w:val="21"/>
        </w:rPr>
        <w:t>.”</w:t>
      </w:r>
    </w:p>
    <w:bookmarkEnd w:id="93"/>
    <w:p w14:paraId="514943D3" w14:textId="77777777" w:rsidR="00012710" w:rsidRPr="009B783C" w:rsidRDefault="00012710" w:rsidP="000D706D">
      <w:pPr>
        <w:pStyle w:val="Heading3"/>
      </w:pPr>
      <w:r w:rsidRPr="009B783C">
        <w:t>Timely treatment can differ significantly based on clinical context and location</w:t>
      </w:r>
    </w:p>
    <w:p w14:paraId="02BBE4B3" w14:textId="48ED2FC6" w:rsidR="00012710" w:rsidRPr="009B783C" w:rsidRDefault="00012710" w:rsidP="003A1B57">
      <w:pPr>
        <w:rPr>
          <w:szCs w:val="21"/>
          <w:lang w:eastAsia="en-AU"/>
        </w:rPr>
      </w:pPr>
      <w:r w:rsidRPr="009B783C">
        <w:rPr>
          <w:szCs w:val="21"/>
          <w:lang w:eastAsia="en-AU"/>
        </w:rPr>
        <w:t>Timeliness of care is one of the six commonly accepted dimensions of healthcare quality.</w:t>
      </w:r>
      <w:r w:rsidRPr="009B783C">
        <w:rPr>
          <w:rStyle w:val="FootnoteReference"/>
          <w:szCs w:val="21"/>
          <w:lang w:eastAsia="en-AU"/>
        </w:rPr>
        <w:footnoteReference w:id="41"/>
      </w:r>
      <w:r w:rsidRPr="009B783C">
        <w:rPr>
          <w:szCs w:val="21"/>
          <w:vertAlign w:val="superscript"/>
          <w:lang w:eastAsia="en-AU"/>
        </w:rPr>
        <w:t>,</w:t>
      </w:r>
      <w:r w:rsidRPr="009B783C">
        <w:rPr>
          <w:rStyle w:val="FootnoteReference"/>
          <w:szCs w:val="21"/>
          <w:lang w:eastAsia="en-AU"/>
        </w:rPr>
        <w:footnoteReference w:id="42"/>
      </w:r>
      <w:r w:rsidRPr="009B783C">
        <w:rPr>
          <w:szCs w:val="21"/>
          <w:lang w:eastAsia="en-AU"/>
        </w:rPr>
        <w:t xml:space="preserve"> Receiving timely treatment means obtaining medical care or intervention at an appropriate and optimal moment to address a health issue effectively. It involves prompt access to healthcare services, allowing for early diagnosis and treatment, which can prevent the condition from worsening, reduce complications and improve overall outcomes. Timely treatment is crucial</w:t>
      </w:r>
      <w:r w:rsidRPr="009B783C" w:rsidDel="0005076A">
        <w:rPr>
          <w:szCs w:val="21"/>
          <w:lang w:eastAsia="en-AU"/>
        </w:rPr>
        <w:t xml:space="preserve"> </w:t>
      </w:r>
      <w:r w:rsidR="0005076A" w:rsidRPr="009B783C">
        <w:rPr>
          <w:szCs w:val="21"/>
          <w:lang w:eastAsia="en-AU"/>
        </w:rPr>
        <w:t>as</w:t>
      </w:r>
      <w:r w:rsidRPr="009B783C">
        <w:rPr>
          <w:szCs w:val="21"/>
          <w:lang w:eastAsia="en-AU"/>
        </w:rPr>
        <w:t xml:space="preserve"> delays in care can lead to more severe health problems, prolonged recovery, or in some circumstances, life-threatening consequences.</w:t>
      </w:r>
    </w:p>
    <w:p w14:paraId="2796905A" w14:textId="7D9152FC" w:rsidR="00CA7558" w:rsidRPr="009B783C" w:rsidRDefault="00B07E10" w:rsidP="003A1B57">
      <w:pPr>
        <w:rPr>
          <w:szCs w:val="21"/>
          <w:lang w:eastAsia="en-AU"/>
        </w:rPr>
      </w:pPr>
      <w:r w:rsidRPr="009B783C">
        <w:rPr>
          <w:szCs w:val="21"/>
          <w:lang w:eastAsia="en-AU"/>
        </w:rPr>
        <w:t xml:space="preserve">There is no agreed clinical definition of what is considered timely treatment. It can differ significantly based on clinical context, urgency of the condition and </w:t>
      </w:r>
      <w:r w:rsidRPr="009B783C" w:rsidDel="00BF0F78">
        <w:rPr>
          <w:szCs w:val="21"/>
          <w:lang w:eastAsia="en-AU"/>
        </w:rPr>
        <w:t xml:space="preserve">factors such as </w:t>
      </w:r>
      <w:r w:rsidRPr="009B783C">
        <w:rPr>
          <w:szCs w:val="21"/>
          <w:lang w:eastAsia="en-AU"/>
        </w:rPr>
        <w:t>resource availability, geographic location and patient circumstances. The perception of patients and doctors about what is considered timely care can also differ widely for many common medical conditions.</w:t>
      </w:r>
      <w:r w:rsidRPr="009B783C">
        <w:rPr>
          <w:rStyle w:val="FootnoteReference"/>
          <w:szCs w:val="21"/>
          <w:lang w:eastAsia="en-AU"/>
        </w:rPr>
        <w:footnoteReference w:id="43"/>
      </w:r>
      <w:r w:rsidRPr="009B783C">
        <w:rPr>
          <w:szCs w:val="21"/>
          <w:lang w:eastAsia="en-AU"/>
        </w:rPr>
        <w:t xml:space="preserve"> The ATS is the clinical tool used in Australia to establish the maximum acceptable waiting time for medical assessment and treatment of a patient in an ED.</w:t>
      </w:r>
      <w:r w:rsidRPr="009B783C">
        <w:rPr>
          <w:rStyle w:val="FootnoteReference"/>
          <w:szCs w:val="21"/>
          <w:lang w:eastAsia="en-AU"/>
        </w:rPr>
        <w:footnoteReference w:id="44"/>
      </w:r>
      <w:r w:rsidR="00255977" w:rsidRPr="009B783C">
        <w:rPr>
          <w:szCs w:val="21"/>
          <w:lang w:eastAsia="en-AU"/>
        </w:rPr>
        <w:t xml:space="preserve"> </w:t>
      </w:r>
      <w:r w:rsidR="00CA7558" w:rsidRPr="009B783C" w:rsidDel="00255977">
        <w:rPr>
          <w:szCs w:val="21"/>
          <w:lang w:eastAsia="en-AU"/>
        </w:rPr>
        <w:t xml:space="preserve">The acceptable standard for patients in ED </w:t>
      </w:r>
      <w:r w:rsidR="00370BBF" w:rsidRPr="009B783C">
        <w:rPr>
          <w:szCs w:val="21"/>
          <w:lang w:eastAsia="en-AU"/>
        </w:rPr>
        <w:t>t</w:t>
      </w:r>
      <w:r w:rsidR="00CA7558" w:rsidRPr="009B783C" w:rsidDel="00255977">
        <w:rPr>
          <w:szCs w:val="21"/>
          <w:lang w:eastAsia="en-AU"/>
        </w:rPr>
        <w:t xml:space="preserve">riage category </w:t>
      </w:r>
      <w:r w:rsidR="003455D5" w:rsidRPr="009B783C">
        <w:rPr>
          <w:szCs w:val="21"/>
          <w:lang w:eastAsia="en-AU"/>
        </w:rPr>
        <w:t>four</w:t>
      </w:r>
      <w:r w:rsidR="00CA7558" w:rsidRPr="009B783C" w:rsidDel="00255977">
        <w:rPr>
          <w:szCs w:val="21"/>
          <w:lang w:eastAsia="en-AU"/>
        </w:rPr>
        <w:t xml:space="preserve"> </w:t>
      </w:r>
      <w:r w:rsidR="0001469E" w:rsidRPr="009B783C">
        <w:rPr>
          <w:szCs w:val="21"/>
          <w:lang w:eastAsia="en-AU"/>
        </w:rPr>
        <w:t>(semi</w:t>
      </w:r>
      <w:r w:rsidR="0058360F" w:rsidRPr="009B783C">
        <w:rPr>
          <w:szCs w:val="21"/>
          <w:lang w:eastAsia="en-AU"/>
        </w:rPr>
        <w:t xml:space="preserve">-urgent) </w:t>
      </w:r>
      <w:r w:rsidR="00CA7558" w:rsidRPr="009B783C" w:rsidDel="00255977">
        <w:rPr>
          <w:szCs w:val="21"/>
          <w:lang w:eastAsia="en-AU"/>
        </w:rPr>
        <w:t>is</w:t>
      </w:r>
      <w:r w:rsidR="00DD0C0D" w:rsidRPr="009B783C">
        <w:rPr>
          <w:szCs w:val="21"/>
          <w:lang w:eastAsia="en-AU"/>
        </w:rPr>
        <w:t xml:space="preserve"> a maximum waiting time of</w:t>
      </w:r>
      <w:r w:rsidR="00CA7558" w:rsidRPr="009B783C" w:rsidDel="00255977">
        <w:rPr>
          <w:szCs w:val="21"/>
          <w:lang w:eastAsia="en-AU"/>
        </w:rPr>
        <w:t xml:space="preserve"> 60 minutes and for triage category </w:t>
      </w:r>
      <w:r w:rsidR="003455D5" w:rsidRPr="009B783C">
        <w:rPr>
          <w:szCs w:val="21"/>
          <w:lang w:eastAsia="en-AU"/>
        </w:rPr>
        <w:t>five</w:t>
      </w:r>
      <w:r w:rsidR="0058360F" w:rsidRPr="009B783C">
        <w:rPr>
          <w:szCs w:val="21"/>
          <w:lang w:eastAsia="en-AU"/>
        </w:rPr>
        <w:t xml:space="preserve"> (non-urgent care)</w:t>
      </w:r>
      <w:r w:rsidR="00CA7558" w:rsidRPr="009B783C" w:rsidDel="00255977">
        <w:rPr>
          <w:szCs w:val="21"/>
          <w:lang w:eastAsia="en-AU"/>
        </w:rPr>
        <w:t xml:space="preserve"> it is 120 minutes.</w:t>
      </w:r>
      <w:r w:rsidR="001303AE" w:rsidRPr="009B783C">
        <w:rPr>
          <w:rStyle w:val="FootnoteReference"/>
          <w:szCs w:val="21"/>
          <w:lang w:eastAsia="en-AU"/>
        </w:rPr>
        <w:footnoteReference w:id="45"/>
      </w:r>
      <w:r w:rsidR="00CA7558" w:rsidRPr="009B783C" w:rsidDel="00255977">
        <w:rPr>
          <w:szCs w:val="21"/>
          <w:lang w:eastAsia="en-AU"/>
        </w:rPr>
        <w:t xml:space="preserve"> </w:t>
      </w:r>
      <w:r w:rsidR="00CA7558" w:rsidRPr="009B783C">
        <w:rPr>
          <w:szCs w:val="21"/>
          <w:lang w:eastAsia="en-AU"/>
        </w:rPr>
        <w:t xml:space="preserve">A comparable </w:t>
      </w:r>
      <w:r w:rsidR="007E6546" w:rsidRPr="009B783C">
        <w:rPr>
          <w:szCs w:val="21"/>
          <w:lang w:eastAsia="en-AU"/>
        </w:rPr>
        <w:lastRenderedPageBreak/>
        <w:t xml:space="preserve">Australian </w:t>
      </w:r>
      <w:r w:rsidR="00CA7558" w:rsidRPr="009B783C">
        <w:rPr>
          <w:szCs w:val="21"/>
          <w:lang w:eastAsia="en-AU"/>
        </w:rPr>
        <w:t>standard for</w:t>
      </w:r>
      <w:r w:rsidR="00A436CF" w:rsidRPr="009B783C">
        <w:rPr>
          <w:szCs w:val="21"/>
          <w:lang w:eastAsia="en-AU"/>
        </w:rPr>
        <w:t xml:space="preserve"> maximum</w:t>
      </w:r>
      <w:r w:rsidR="00CA7558" w:rsidRPr="009B783C">
        <w:rPr>
          <w:szCs w:val="21"/>
          <w:lang w:eastAsia="en-AU"/>
        </w:rPr>
        <w:t xml:space="preserve"> </w:t>
      </w:r>
      <w:r w:rsidR="007A4F8F" w:rsidRPr="009B783C">
        <w:rPr>
          <w:szCs w:val="21"/>
          <w:lang w:eastAsia="en-AU"/>
        </w:rPr>
        <w:t>GP</w:t>
      </w:r>
      <w:r w:rsidR="00CA7558" w:rsidRPr="009B783C">
        <w:rPr>
          <w:szCs w:val="21"/>
          <w:lang w:eastAsia="en-AU"/>
        </w:rPr>
        <w:t xml:space="preserve"> urgent care waiting time is not available. </w:t>
      </w:r>
      <w:r w:rsidR="00AE2496" w:rsidRPr="009B783C">
        <w:rPr>
          <w:szCs w:val="21"/>
          <w:lang w:eastAsia="en-AU"/>
        </w:rPr>
        <w:t>There is no definition of timely care for Medicare UCCs.</w:t>
      </w:r>
    </w:p>
    <w:p w14:paraId="50538BDD" w14:textId="787BC1A2" w:rsidR="00012710" w:rsidRPr="009B783C" w:rsidRDefault="003455D5" w:rsidP="003A1B57">
      <w:pPr>
        <w:rPr>
          <w:szCs w:val="21"/>
          <w:lang w:val="en-US" w:eastAsia="en-AU"/>
        </w:rPr>
      </w:pPr>
      <w:r w:rsidRPr="620A8401">
        <w:rPr>
          <w:szCs w:val="21"/>
          <w:lang w:val="en-US" w:eastAsia="en-AU"/>
        </w:rPr>
        <w:t>Considering</w:t>
      </w:r>
      <w:r w:rsidR="00012710" w:rsidRPr="620A8401">
        <w:rPr>
          <w:szCs w:val="21"/>
          <w:lang w:val="en-US" w:eastAsia="en-AU"/>
        </w:rPr>
        <w:t xml:space="preserve"> these different ways to interpret timely care, this Interim Evaluation Report 1 considers timely care through the statistical analysis of patient waiting times at Medicare UCCs and comparison with public hospital EDs for patients in </w:t>
      </w:r>
      <w:r w:rsidR="00370BBF" w:rsidRPr="620A8401">
        <w:rPr>
          <w:szCs w:val="21"/>
          <w:lang w:val="en-US" w:eastAsia="en-AU"/>
        </w:rPr>
        <w:t>triage</w:t>
      </w:r>
      <w:r w:rsidR="00012710" w:rsidRPr="620A8401">
        <w:rPr>
          <w:szCs w:val="21"/>
          <w:lang w:val="en-US" w:eastAsia="en-AU"/>
        </w:rPr>
        <w:t xml:space="preserve"> categories </w:t>
      </w:r>
      <w:r w:rsidR="003B681E" w:rsidRPr="620A8401">
        <w:rPr>
          <w:szCs w:val="21"/>
          <w:lang w:val="en-US" w:eastAsia="en-AU"/>
        </w:rPr>
        <w:t>four</w:t>
      </w:r>
      <w:r w:rsidR="00012710" w:rsidRPr="620A8401">
        <w:rPr>
          <w:szCs w:val="21"/>
          <w:lang w:val="en-US" w:eastAsia="en-AU"/>
        </w:rPr>
        <w:t xml:space="preserve"> and </w:t>
      </w:r>
      <w:r w:rsidR="003B681E" w:rsidRPr="620A8401">
        <w:rPr>
          <w:szCs w:val="21"/>
          <w:lang w:val="en-US" w:eastAsia="en-AU"/>
        </w:rPr>
        <w:t>five</w:t>
      </w:r>
      <w:r w:rsidR="00012710" w:rsidRPr="620A8401">
        <w:rPr>
          <w:szCs w:val="21"/>
          <w:lang w:val="en-US" w:eastAsia="en-AU"/>
        </w:rPr>
        <w:t>. Note that the figures provided here include the period until 30 September 2024. Qualitative evidence in the form of patient stories is described in Measure of Success 4</w:t>
      </w:r>
      <w:r w:rsidR="00707578" w:rsidRPr="620A8401">
        <w:rPr>
          <w:szCs w:val="21"/>
          <w:lang w:val="en-US" w:eastAsia="en-AU"/>
        </w:rPr>
        <w:t xml:space="preserve"> (section </w:t>
      </w:r>
      <w:r w:rsidR="0031172E" w:rsidRPr="009B783C">
        <w:rPr>
          <w:szCs w:val="21"/>
          <w:lang w:eastAsia="en-AU"/>
        </w:rPr>
        <w:fldChar w:fldCharType="begin"/>
      </w:r>
      <w:r w:rsidR="0031172E" w:rsidRPr="009B783C">
        <w:rPr>
          <w:szCs w:val="21"/>
          <w:lang w:eastAsia="en-AU"/>
        </w:rPr>
        <w:instrText xml:space="preserve"> REF _Ref188979239 \n \h </w:instrText>
      </w:r>
      <w:r w:rsidR="003A1B57" w:rsidRPr="009B783C">
        <w:rPr>
          <w:szCs w:val="21"/>
          <w:lang w:eastAsia="en-AU"/>
        </w:rPr>
        <w:instrText xml:space="preserve"> \* MERGEFORMAT </w:instrText>
      </w:r>
      <w:r w:rsidR="0031172E" w:rsidRPr="009B783C">
        <w:rPr>
          <w:szCs w:val="21"/>
          <w:lang w:eastAsia="en-AU"/>
        </w:rPr>
      </w:r>
      <w:r w:rsidR="0031172E" w:rsidRPr="009B783C">
        <w:rPr>
          <w:szCs w:val="21"/>
          <w:lang w:eastAsia="en-AU"/>
        </w:rPr>
        <w:fldChar w:fldCharType="separate"/>
      </w:r>
      <w:r w:rsidR="0031172E" w:rsidRPr="620A8401">
        <w:rPr>
          <w:szCs w:val="21"/>
          <w:lang w:val="en-US" w:eastAsia="en-AU"/>
        </w:rPr>
        <w:t>5.4</w:t>
      </w:r>
      <w:r w:rsidR="0031172E" w:rsidRPr="009B783C">
        <w:rPr>
          <w:szCs w:val="21"/>
          <w:lang w:eastAsia="en-AU"/>
        </w:rPr>
        <w:fldChar w:fldCharType="end"/>
      </w:r>
      <w:r w:rsidR="00707578" w:rsidRPr="620A8401">
        <w:rPr>
          <w:szCs w:val="21"/>
          <w:lang w:val="en-US" w:eastAsia="en-AU"/>
        </w:rPr>
        <w:t>)</w:t>
      </w:r>
      <w:r w:rsidR="00B07E10" w:rsidRPr="620A8401">
        <w:rPr>
          <w:szCs w:val="21"/>
          <w:lang w:val="en-US" w:eastAsia="en-AU"/>
        </w:rPr>
        <w:t>.</w:t>
      </w:r>
      <w:r w:rsidR="00012710" w:rsidRPr="620A8401">
        <w:rPr>
          <w:szCs w:val="21"/>
          <w:lang w:val="en-US" w:eastAsia="en-AU"/>
        </w:rPr>
        <w:t xml:space="preserve"> Appropriateness of care for urgent non-life-threatening conditions is described further in Measure of Success 2</w:t>
      </w:r>
      <w:r w:rsidR="00707578" w:rsidRPr="620A8401">
        <w:rPr>
          <w:szCs w:val="21"/>
          <w:lang w:val="en-US" w:eastAsia="en-AU"/>
        </w:rPr>
        <w:t xml:space="preserve"> (section </w:t>
      </w:r>
      <w:r w:rsidR="00707578" w:rsidRPr="009B783C">
        <w:rPr>
          <w:szCs w:val="21"/>
          <w:lang w:eastAsia="en-AU"/>
        </w:rPr>
        <w:fldChar w:fldCharType="begin"/>
      </w:r>
      <w:r w:rsidR="00707578" w:rsidRPr="009B783C">
        <w:rPr>
          <w:szCs w:val="21"/>
          <w:lang w:eastAsia="en-AU"/>
        </w:rPr>
        <w:instrText xml:space="preserve"> REF _Ref185240779 \n \h </w:instrText>
      </w:r>
      <w:r w:rsidR="003A1B57" w:rsidRPr="009B783C">
        <w:rPr>
          <w:szCs w:val="21"/>
          <w:lang w:eastAsia="en-AU"/>
        </w:rPr>
        <w:instrText xml:space="preserve"> \* MERGEFORMAT </w:instrText>
      </w:r>
      <w:r w:rsidR="00707578" w:rsidRPr="009B783C">
        <w:rPr>
          <w:szCs w:val="21"/>
          <w:lang w:eastAsia="en-AU"/>
        </w:rPr>
      </w:r>
      <w:r w:rsidR="00707578" w:rsidRPr="009B783C">
        <w:rPr>
          <w:szCs w:val="21"/>
          <w:lang w:eastAsia="en-AU"/>
        </w:rPr>
        <w:fldChar w:fldCharType="separate"/>
      </w:r>
      <w:r w:rsidR="0031172E" w:rsidRPr="620A8401">
        <w:rPr>
          <w:szCs w:val="21"/>
          <w:lang w:val="en-US" w:eastAsia="en-AU"/>
        </w:rPr>
        <w:t>5.2</w:t>
      </w:r>
      <w:r w:rsidR="00707578" w:rsidRPr="009B783C">
        <w:rPr>
          <w:szCs w:val="21"/>
          <w:lang w:eastAsia="en-AU"/>
        </w:rPr>
        <w:fldChar w:fldCharType="end"/>
      </w:r>
      <w:r w:rsidR="00707578" w:rsidRPr="620A8401">
        <w:rPr>
          <w:szCs w:val="21"/>
          <w:lang w:val="en-US" w:eastAsia="en-AU"/>
        </w:rPr>
        <w:t>)</w:t>
      </w:r>
      <w:r w:rsidR="00B07E10" w:rsidRPr="620A8401">
        <w:rPr>
          <w:szCs w:val="21"/>
          <w:lang w:val="en-US" w:eastAsia="en-AU"/>
        </w:rPr>
        <w:t>.</w:t>
      </w:r>
      <w:r w:rsidR="008A611A" w:rsidRPr="620A8401">
        <w:rPr>
          <w:szCs w:val="21"/>
          <w:lang w:val="en-US" w:eastAsia="en-AU"/>
        </w:rPr>
        <w:t xml:space="preserve"> </w:t>
      </w:r>
    </w:p>
    <w:p w14:paraId="30297986" w14:textId="77777777" w:rsidR="00012710" w:rsidRPr="009B783C" w:rsidRDefault="00012710" w:rsidP="000D706D">
      <w:pPr>
        <w:pStyle w:val="Heading3"/>
      </w:pPr>
      <w:bookmarkStart w:id="94" w:name="_Toc179962820"/>
      <w:r w:rsidRPr="009B783C">
        <w:t xml:space="preserve">The national median waiting time at Medicare UCCs is 14.5 minutes </w:t>
      </w:r>
    </w:p>
    <w:bookmarkEnd w:id="94"/>
    <w:p w14:paraId="0D02F181" w14:textId="2748CE19" w:rsidR="00012710" w:rsidRPr="009B783C" w:rsidRDefault="00012710" w:rsidP="003A1B57">
      <w:pPr>
        <w:rPr>
          <w:szCs w:val="21"/>
          <w:lang w:eastAsia="en-AU"/>
        </w:rPr>
      </w:pPr>
      <w:r w:rsidRPr="009B783C">
        <w:rPr>
          <w:szCs w:val="21"/>
          <w:lang w:eastAsia="en-AU"/>
        </w:rPr>
        <w:t xml:space="preserve">As shown in </w:t>
      </w:r>
      <w:r w:rsidRPr="009B783C">
        <w:rPr>
          <w:szCs w:val="21"/>
          <w:lang w:eastAsia="en-AU"/>
        </w:rPr>
        <w:fldChar w:fldCharType="begin"/>
      </w:r>
      <w:r w:rsidRPr="009B783C">
        <w:rPr>
          <w:szCs w:val="21"/>
          <w:lang w:eastAsia="en-AU"/>
        </w:rPr>
        <w:instrText xml:space="preserve"> REF _Ref179803562 \h  \* MERGEFORMAT </w:instrText>
      </w:r>
      <w:r w:rsidRPr="009B783C">
        <w:rPr>
          <w:szCs w:val="21"/>
          <w:lang w:eastAsia="en-AU"/>
        </w:rPr>
      </w:r>
      <w:r w:rsidRPr="009B783C">
        <w:rPr>
          <w:szCs w:val="21"/>
          <w:lang w:eastAsia="en-AU"/>
        </w:rPr>
        <w:fldChar w:fldCharType="separate"/>
      </w:r>
      <w:r w:rsidR="006E7782" w:rsidRPr="009B783C">
        <w:rPr>
          <w:szCs w:val="21"/>
        </w:rPr>
        <w:t xml:space="preserve">Table </w:t>
      </w:r>
      <w:r w:rsidR="006E7782" w:rsidRPr="006E7782">
        <w:rPr>
          <w:szCs w:val="21"/>
        </w:rPr>
        <w:t>8</w:t>
      </w:r>
      <w:r w:rsidRPr="009B783C">
        <w:rPr>
          <w:szCs w:val="21"/>
          <w:lang w:eastAsia="en-AU"/>
        </w:rPr>
        <w:fldChar w:fldCharType="end"/>
      </w:r>
      <w:r w:rsidRPr="009B783C">
        <w:rPr>
          <w:szCs w:val="21"/>
          <w:lang w:eastAsia="en-AU"/>
        </w:rPr>
        <w:t>, the national median waiting time at Medicare UCCs is 14.5 minutes. Most patients (70.5 per cent) are seen within 30 minutes at Medicare UCCs. Medicare UCC data indicates that 12 per cent of patients waited longer than 60 minutes to be seen at Medicare UCCs, while only 2.4 per cent of presentations had a waiting time of over two hours.</w:t>
      </w:r>
      <w:r w:rsidRPr="009B783C">
        <w:rPr>
          <w:szCs w:val="21"/>
        </w:rPr>
        <w:t xml:space="preserve"> </w:t>
      </w:r>
    </w:p>
    <w:p w14:paraId="44F795B7" w14:textId="3EC06E8B" w:rsidR="00012710" w:rsidRPr="009B783C" w:rsidRDefault="00012710" w:rsidP="003A1B57">
      <w:pPr>
        <w:rPr>
          <w:szCs w:val="21"/>
          <w:lang w:eastAsia="en-AU"/>
        </w:rPr>
      </w:pPr>
      <w:r w:rsidRPr="009B783C">
        <w:rPr>
          <w:szCs w:val="21"/>
          <w:lang w:eastAsia="en-AU"/>
        </w:rPr>
        <w:t>Wait times can be affected by a range of factors</w:t>
      </w:r>
      <w:r w:rsidR="00DF2A4A" w:rsidRPr="009B783C">
        <w:rPr>
          <w:szCs w:val="21"/>
          <w:lang w:eastAsia="en-AU"/>
        </w:rPr>
        <w:t>,</w:t>
      </w:r>
      <w:r w:rsidRPr="009B783C">
        <w:rPr>
          <w:szCs w:val="21"/>
          <w:lang w:eastAsia="en-AU"/>
        </w:rPr>
        <w:t xml:space="preserve"> such as variability in patient needs and complexity</w:t>
      </w:r>
      <w:r w:rsidR="00B86365" w:rsidRPr="009B783C">
        <w:rPr>
          <w:szCs w:val="21"/>
          <w:lang w:eastAsia="en-AU"/>
        </w:rPr>
        <w:t>,</w:t>
      </w:r>
      <w:r w:rsidRPr="009B783C">
        <w:rPr>
          <w:szCs w:val="21"/>
          <w:lang w:eastAsia="en-AU"/>
        </w:rPr>
        <w:t xml:space="preserve"> or the time of day. </w:t>
      </w:r>
      <w:r w:rsidR="00B07E10" w:rsidRPr="009B783C">
        <w:rPr>
          <w:szCs w:val="21"/>
          <w:lang w:eastAsia="en-AU"/>
        </w:rPr>
        <w:t>Stakeholders</w:t>
      </w:r>
      <w:r w:rsidRPr="009B783C">
        <w:rPr>
          <w:szCs w:val="21"/>
          <w:lang w:eastAsia="en-AU"/>
        </w:rPr>
        <w:t xml:space="preserve"> reported instances where the Medicare UCCs have experienced high demand in the evenings and reached capacity several hours before closing time. It has not been possible to assess time to treatment for those patients who could not </w:t>
      </w:r>
      <w:r w:rsidR="00B07E10" w:rsidRPr="009B783C">
        <w:rPr>
          <w:szCs w:val="21"/>
          <w:lang w:eastAsia="en-AU"/>
        </w:rPr>
        <w:t>be</w:t>
      </w:r>
      <w:r w:rsidRPr="009B783C">
        <w:rPr>
          <w:szCs w:val="21"/>
          <w:lang w:eastAsia="en-AU"/>
        </w:rPr>
        <w:t xml:space="preserve"> seen by a clinician due to this high demand based on current data. This will be explored further through consultations with stakeholders in future phases of </w:t>
      </w:r>
      <w:r w:rsidR="00B86365" w:rsidRPr="009B783C">
        <w:rPr>
          <w:szCs w:val="21"/>
          <w:lang w:eastAsia="en-AU"/>
        </w:rPr>
        <w:t xml:space="preserve">the </w:t>
      </w:r>
      <w:r w:rsidRPr="009B783C">
        <w:rPr>
          <w:szCs w:val="21"/>
          <w:lang w:eastAsia="en-AU"/>
        </w:rPr>
        <w:t>evaluation. Opportunities for improving Medicare UCCs’ service efficiency are described further in Measure of Success 4</w:t>
      </w:r>
      <w:r w:rsidR="004F3CCF" w:rsidRPr="009B783C">
        <w:rPr>
          <w:szCs w:val="21"/>
          <w:lang w:eastAsia="en-AU"/>
        </w:rPr>
        <w:t xml:space="preserve"> (section</w:t>
      </w:r>
      <w:r w:rsidR="0031172E" w:rsidRPr="009B783C">
        <w:rPr>
          <w:szCs w:val="21"/>
          <w:lang w:eastAsia="en-AU"/>
        </w:rPr>
        <w:t xml:space="preserve"> </w:t>
      </w:r>
      <w:r w:rsidR="0031172E" w:rsidRPr="009B783C">
        <w:rPr>
          <w:szCs w:val="21"/>
          <w:lang w:eastAsia="en-AU"/>
        </w:rPr>
        <w:fldChar w:fldCharType="begin"/>
      </w:r>
      <w:r w:rsidR="0031172E" w:rsidRPr="009B783C">
        <w:rPr>
          <w:szCs w:val="21"/>
          <w:lang w:eastAsia="en-AU"/>
        </w:rPr>
        <w:instrText xml:space="preserve"> REF _Ref188979335 \n \h </w:instrText>
      </w:r>
      <w:r w:rsidR="003A1B57" w:rsidRPr="009B783C">
        <w:rPr>
          <w:szCs w:val="21"/>
          <w:lang w:eastAsia="en-AU"/>
        </w:rPr>
        <w:instrText xml:space="preserve"> \* MERGEFORMAT </w:instrText>
      </w:r>
      <w:r w:rsidR="0031172E" w:rsidRPr="009B783C">
        <w:rPr>
          <w:szCs w:val="21"/>
          <w:lang w:eastAsia="en-AU"/>
        </w:rPr>
      </w:r>
      <w:r w:rsidR="0031172E" w:rsidRPr="009B783C">
        <w:rPr>
          <w:szCs w:val="21"/>
          <w:lang w:eastAsia="en-AU"/>
        </w:rPr>
        <w:fldChar w:fldCharType="separate"/>
      </w:r>
      <w:r w:rsidR="0031172E" w:rsidRPr="009B783C">
        <w:rPr>
          <w:szCs w:val="21"/>
          <w:lang w:eastAsia="en-AU"/>
        </w:rPr>
        <w:t>5.4</w:t>
      </w:r>
      <w:r w:rsidR="0031172E" w:rsidRPr="009B783C">
        <w:rPr>
          <w:szCs w:val="21"/>
          <w:lang w:eastAsia="en-AU"/>
        </w:rPr>
        <w:fldChar w:fldCharType="end"/>
      </w:r>
      <w:r w:rsidR="004F3CCF" w:rsidRPr="009B783C">
        <w:rPr>
          <w:szCs w:val="21"/>
          <w:lang w:eastAsia="en-AU"/>
        </w:rPr>
        <w:t>)</w:t>
      </w:r>
      <w:r w:rsidRPr="009B783C">
        <w:rPr>
          <w:szCs w:val="21"/>
          <w:lang w:eastAsia="en-AU"/>
        </w:rPr>
        <w:t>.</w:t>
      </w:r>
    </w:p>
    <w:p w14:paraId="6AFF2AED" w14:textId="5B964489" w:rsidR="00B07E10" w:rsidRPr="009B783C" w:rsidRDefault="00012710" w:rsidP="00B07E10">
      <w:pPr>
        <w:pStyle w:val="Caption"/>
        <w:rPr>
          <w:szCs w:val="21"/>
        </w:rPr>
      </w:pPr>
      <w:bookmarkStart w:id="95" w:name="_Ref179803562"/>
      <w:r w:rsidRPr="009B783C">
        <w:rPr>
          <w:szCs w:val="21"/>
        </w:rPr>
        <w:t xml:space="preserve">Table </w:t>
      </w:r>
      <w:r w:rsidRPr="009B783C">
        <w:rPr>
          <w:szCs w:val="21"/>
        </w:rPr>
        <w:fldChar w:fldCharType="begin"/>
      </w:r>
      <w:r w:rsidRPr="009B783C">
        <w:rPr>
          <w:bCs w:val="0"/>
          <w:szCs w:val="21"/>
        </w:rPr>
        <w:instrText xml:space="preserve"> SEQ Table \* ARABIC </w:instrText>
      </w:r>
      <w:r w:rsidRPr="009B783C">
        <w:rPr>
          <w:szCs w:val="21"/>
        </w:rPr>
        <w:fldChar w:fldCharType="separate"/>
      </w:r>
      <w:r w:rsidR="006E7782">
        <w:rPr>
          <w:bCs w:val="0"/>
          <w:noProof/>
          <w:szCs w:val="21"/>
        </w:rPr>
        <w:t>8</w:t>
      </w:r>
      <w:r w:rsidRPr="009B783C">
        <w:rPr>
          <w:szCs w:val="21"/>
        </w:rPr>
        <w:fldChar w:fldCharType="end"/>
      </w:r>
      <w:bookmarkEnd w:id="95"/>
      <w:r w:rsidR="00B07E10" w:rsidRPr="009B783C">
        <w:rPr>
          <w:szCs w:val="21"/>
        </w:rPr>
        <w:t xml:space="preserve"> | Medicare UCC waiting times </w:t>
      </w:r>
    </w:p>
    <w:tbl>
      <w:tblPr>
        <w:tblStyle w:val="NOUSSideHeader1"/>
        <w:tblW w:w="5000" w:type="pct"/>
        <w:tblLook w:val="04A0" w:firstRow="1" w:lastRow="0" w:firstColumn="1" w:lastColumn="0" w:noHBand="0" w:noVBand="1"/>
      </w:tblPr>
      <w:tblGrid>
        <w:gridCol w:w="1869"/>
        <w:gridCol w:w="1757"/>
        <w:gridCol w:w="1773"/>
        <w:gridCol w:w="1765"/>
        <w:gridCol w:w="1766"/>
      </w:tblGrid>
      <w:tr w:rsidR="00A46C09" w:rsidRPr="009B783C" w14:paraId="345F4388" w14:textId="77777777" w:rsidTr="005A78EE">
        <w:trPr>
          <w:cnfStyle w:val="100000000000" w:firstRow="1" w:lastRow="0" w:firstColumn="0" w:lastColumn="0" w:oddVBand="0" w:evenVBand="0" w:oddHBand="0" w:evenHBand="0" w:firstRowFirstColumn="0" w:firstRowLastColumn="0" w:lastRowFirstColumn="0" w:lastRowLastColumn="0"/>
          <w:trHeight w:val="263"/>
        </w:trPr>
        <w:tc>
          <w:tcPr>
            <w:tcW w:w="1046" w:type="pct"/>
            <w:tcBorders>
              <w:top w:val="single" w:sz="2" w:space="0" w:color="00264D" w:themeColor="background2"/>
              <w:bottom w:val="single" w:sz="4" w:space="0" w:color="00264D" w:themeColor="background2"/>
            </w:tcBorders>
            <w:shd w:val="clear" w:color="auto" w:fill="00264D" w:themeFill="background2"/>
          </w:tcPr>
          <w:p w14:paraId="40346262" w14:textId="0452F5BE" w:rsidR="00A46C09" w:rsidRPr="009B783C" w:rsidRDefault="00A46C09" w:rsidP="003E5F0F">
            <w:pPr>
              <w:pStyle w:val="TableNheader"/>
              <w:rPr>
                <w:rFonts w:asciiTheme="majorHAnsi" w:hAnsiTheme="majorHAnsi" w:cstheme="majorHAnsi"/>
              </w:rPr>
            </w:pPr>
            <w:r w:rsidRPr="009B783C">
              <w:t>Waiting time category</w:t>
            </w:r>
          </w:p>
        </w:tc>
        <w:tc>
          <w:tcPr>
            <w:tcW w:w="984"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34AF2A43" w14:textId="51EC7FFA" w:rsidR="00A46C09" w:rsidRPr="009B783C" w:rsidRDefault="00A46C09" w:rsidP="003E5F0F">
            <w:pPr>
              <w:pStyle w:val="TableNheader"/>
            </w:pPr>
            <w:r w:rsidRPr="009B783C">
              <w:t>Presentations (a), Number</w:t>
            </w:r>
          </w:p>
        </w:tc>
        <w:tc>
          <w:tcPr>
            <w:tcW w:w="993" w:type="pct"/>
            <w:tcBorders>
              <w:top w:val="single" w:sz="2" w:space="0" w:color="00264D" w:themeColor="background2"/>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3EF50BF4" w14:textId="78F67827" w:rsidR="00A46C09" w:rsidRPr="009B783C" w:rsidRDefault="00A46C09" w:rsidP="003E5F0F">
            <w:pPr>
              <w:pStyle w:val="TableNheader"/>
            </w:pPr>
            <w:r w:rsidRPr="009B783C">
              <w:t>Presentations (a), Percentage</w:t>
            </w:r>
          </w:p>
        </w:tc>
        <w:tc>
          <w:tcPr>
            <w:tcW w:w="988" w:type="pct"/>
            <w:tcBorders>
              <w:top w:val="single" w:sz="2" w:space="0" w:color="00264D" w:themeColor="background2"/>
              <w:bottom w:val="single" w:sz="4" w:space="0" w:color="00264D" w:themeColor="background2"/>
            </w:tcBorders>
            <w:shd w:val="clear" w:color="auto" w:fill="00264D" w:themeFill="background2"/>
          </w:tcPr>
          <w:p w14:paraId="59D871A5" w14:textId="44F56248" w:rsidR="00A46C09" w:rsidRPr="009B783C" w:rsidRDefault="00A46C09" w:rsidP="003E5F0F">
            <w:pPr>
              <w:pStyle w:val="TableNheader"/>
              <w:rPr>
                <w:rFonts w:asciiTheme="majorHAnsi" w:hAnsiTheme="majorHAnsi" w:cstheme="majorHAnsi"/>
              </w:rPr>
            </w:pPr>
            <w:r w:rsidRPr="009B783C">
              <w:t>Mean waiting time (minutes)</w:t>
            </w:r>
          </w:p>
        </w:tc>
        <w:tc>
          <w:tcPr>
            <w:tcW w:w="989" w:type="pct"/>
            <w:tcBorders>
              <w:top w:val="single" w:sz="2" w:space="0" w:color="00264D" w:themeColor="background2"/>
              <w:bottom w:val="single" w:sz="4" w:space="0" w:color="00264D" w:themeColor="background2"/>
            </w:tcBorders>
            <w:shd w:val="clear" w:color="auto" w:fill="00264D" w:themeFill="background2"/>
          </w:tcPr>
          <w:p w14:paraId="5F8CB742" w14:textId="14C82E43" w:rsidR="00A46C09" w:rsidRPr="009B783C" w:rsidRDefault="00A46C09" w:rsidP="003E5F0F">
            <w:pPr>
              <w:pStyle w:val="TableNheader"/>
              <w:rPr>
                <w:rFonts w:asciiTheme="majorHAnsi" w:hAnsiTheme="majorHAnsi" w:cstheme="majorHAnsi"/>
              </w:rPr>
            </w:pPr>
            <w:r w:rsidRPr="009B783C">
              <w:t>Median waiting time (minutes)</w:t>
            </w:r>
          </w:p>
        </w:tc>
      </w:tr>
      <w:tr w:rsidR="00B07E10" w:rsidRPr="009B783C" w14:paraId="179F88D7" w14:textId="77777777" w:rsidTr="005A78EE">
        <w:trPr>
          <w:cnfStyle w:val="000000100000" w:firstRow="0" w:lastRow="0" w:firstColumn="0" w:lastColumn="0" w:oddVBand="0" w:evenVBand="0" w:oddHBand="1" w:evenHBand="0"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71ED8C0" w14:textId="77777777" w:rsidR="00B07E10" w:rsidRPr="009B783C" w:rsidRDefault="00B07E10">
            <w:pPr>
              <w:pStyle w:val="TableNText"/>
              <w:rPr>
                <w:sz w:val="21"/>
                <w:szCs w:val="21"/>
              </w:rPr>
            </w:pPr>
            <w:r w:rsidRPr="009B783C">
              <w:rPr>
                <w:sz w:val="21"/>
                <w:szCs w:val="21"/>
              </w:rPr>
              <w:t>&lt;15 minutes</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56DF0C7" w14:textId="77777777" w:rsidR="00B07E10" w:rsidRPr="009B783C" w:rsidRDefault="00B07E10">
            <w:pPr>
              <w:pStyle w:val="TableNText"/>
              <w:jc w:val="center"/>
              <w:rPr>
                <w:sz w:val="21"/>
                <w:szCs w:val="21"/>
              </w:rPr>
            </w:pPr>
            <w:r w:rsidRPr="009B783C">
              <w:rPr>
                <w:sz w:val="21"/>
                <w:szCs w:val="21"/>
              </w:rPr>
              <w:t>180,496</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5BAD085" w14:textId="77777777" w:rsidR="00B07E10" w:rsidRPr="009B783C" w:rsidRDefault="00B07E10">
            <w:pPr>
              <w:pStyle w:val="TableNText"/>
              <w:jc w:val="center"/>
              <w:rPr>
                <w:sz w:val="21"/>
                <w:szCs w:val="21"/>
              </w:rPr>
            </w:pPr>
            <w:r w:rsidRPr="009B783C">
              <w:rPr>
                <w:sz w:val="21"/>
                <w:szCs w:val="21"/>
              </w:rPr>
              <w:t>50.9%</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ADE4A13" w14:textId="77777777" w:rsidR="00B07E10" w:rsidRPr="009B783C" w:rsidRDefault="00B07E10">
            <w:pPr>
              <w:pStyle w:val="TableNText"/>
              <w:jc w:val="center"/>
              <w:rPr>
                <w:sz w:val="21"/>
                <w:szCs w:val="21"/>
              </w:rPr>
            </w:pPr>
            <w:r w:rsidRPr="009B783C">
              <w:rPr>
                <w:sz w:val="21"/>
                <w:szCs w:val="21"/>
              </w:rPr>
              <w:t>5.4</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CCC6085" w14:textId="77777777" w:rsidR="00B07E10" w:rsidRPr="009B783C" w:rsidRDefault="00B07E10">
            <w:pPr>
              <w:pStyle w:val="TableNText"/>
              <w:jc w:val="center"/>
              <w:rPr>
                <w:sz w:val="21"/>
                <w:szCs w:val="21"/>
              </w:rPr>
            </w:pPr>
            <w:r w:rsidRPr="009B783C">
              <w:rPr>
                <w:sz w:val="21"/>
                <w:szCs w:val="21"/>
              </w:rPr>
              <w:t>4.4</w:t>
            </w:r>
          </w:p>
        </w:tc>
      </w:tr>
      <w:tr w:rsidR="00B07E10" w:rsidRPr="009B783C" w14:paraId="547E075F" w14:textId="77777777" w:rsidTr="005A78EE">
        <w:trPr>
          <w:cnfStyle w:val="000000010000" w:firstRow="0" w:lastRow="0" w:firstColumn="0" w:lastColumn="0" w:oddVBand="0" w:evenVBand="0" w:oddHBand="0" w:evenHBand="1"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E514E43" w14:textId="04964039" w:rsidR="00B07E10" w:rsidRPr="009B783C" w:rsidRDefault="00B07E10">
            <w:pPr>
              <w:pStyle w:val="TableNText"/>
              <w:rPr>
                <w:sz w:val="21"/>
                <w:szCs w:val="21"/>
              </w:rPr>
            </w:pPr>
            <w:r w:rsidRPr="009B783C">
              <w:rPr>
                <w:sz w:val="21"/>
                <w:szCs w:val="21"/>
              </w:rPr>
              <w:t>15 to &lt;30 minutes</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03435FB" w14:textId="77777777" w:rsidR="00B07E10" w:rsidRPr="009B783C" w:rsidRDefault="00B07E10">
            <w:pPr>
              <w:pStyle w:val="TableNText"/>
              <w:jc w:val="center"/>
              <w:rPr>
                <w:sz w:val="21"/>
                <w:szCs w:val="21"/>
              </w:rPr>
            </w:pPr>
            <w:r w:rsidRPr="009B783C">
              <w:rPr>
                <w:sz w:val="21"/>
                <w:szCs w:val="21"/>
              </w:rPr>
              <w:t>69,421</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E07CFA1" w14:textId="77777777" w:rsidR="00B07E10" w:rsidRPr="009B783C" w:rsidRDefault="00B07E10">
            <w:pPr>
              <w:pStyle w:val="TableNText"/>
              <w:jc w:val="center"/>
              <w:rPr>
                <w:sz w:val="21"/>
                <w:szCs w:val="21"/>
              </w:rPr>
            </w:pPr>
            <w:r w:rsidRPr="009B783C">
              <w:rPr>
                <w:sz w:val="21"/>
                <w:szCs w:val="21"/>
              </w:rPr>
              <w:t>19.6%</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CB50744" w14:textId="77777777" w:rsidR="00B07E10" w:rsidRPr="009B783C" w:rsidRDefault="00B07E10">
            <w:pPr>
              <w:pStyle w:val="TableNText"/>
              <w:jc w:val="center"/>
              <w:rPr>
                <w:sz w:val="21"/>
                <w:szCs w:val="21"/>
              </w:rPr>
            </w:pPr>
            <w:r w:rsidRPr="009B783C">
              <w:rPr>
                <w:sz w:val="21"/>
                <w:szCs w:val="21"/>
              </w:rPr>
              <w:t>21.7</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7E482E3" w14:textId="77777777" w:rsidR="00B07E10" w:rsidRPr="009B783C" w:rsidRDefault="00B07E10">
            <w:pPr>
              <w:pStyle w:val="TableNText"/>
              <w:jc w:val="center"/>
              <w:rPr>
                <w:sz w:val="21"/>
                <w:szCs w:val="21"/>
              </w:rPr>
            </w:pPr>
            <w:r w:rsidRPr="009B783C">
              <w:rPr>
                <w:sz w:val="21"/>
                <w:szCs w:val="21"/>
              </w:rPr>
              <w:t>21.3</w:t>
            </w:r>
          </w:p>
        </w:tc>
      </w:tr>
      <w:tr w:rsidR="00B07E10" w:rsidRPr="009B783C" w14:paraId="3E882177" w14:textId="77777777" w:rsidTr="005A78EE">
        <w:trPr>
          <w:cnfStyle w:val="000000100000" w:firstRow="0" w:lastRow="0" w:firstColumn="0" w:lastColumn="0" w:oddVBand="0" w:evenVBand="0" w:oddHBand="1" w:evenHBand="0"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1ED973D" w14:textId="0E3D4D0A" w:rsidR="00B07E10" w:rsidRPr="009B783C" w:rsidRDefault="00B07E10">
            <w:pPr>
              <w:pStyle w:val="TableNText"/>
              <w:rPr>
                <w:sz w:val="21"/>
                <w:szCs w:val="21"/>
              </w:rPr>
            </w:pPr>
            <w:r w:rsidRPr="009B783C">
              <w:rPr>
                <w:sz w:val="21"/>
                <w:szCs w:val="21"/>
              </w:rPr>
              <w:t>30 to &lt;60 minutes</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2CFBCD4" w14:textId="77777777" w:rsidR="00B07E10" w:rsidRPr="009B783C" w:rsidRDefault="00B07E10">
            <w:pPr>
              <w:pStyle w:val="TableNText"/>
              <w:jc w:val="center"/>
              <w:rPr>
                <w:sz w:val="21"/>
                <w:szCs w:val="21"/>
              </w:rPr>
            </w:pPr>
            <w:r w:rsidRPr="009B783C">
              <w:rPr>
                <w:sz w:val="21"/>
                <w:szCs w:val="21"/>
              </w:rPr>
              <w:t>62,230</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68BD74D" w14:textId="77777777" w:rsidR="00B07E10" w:rsidRPr="009B783C" w:rsidRDefault="00B07E10">
            <w:pPr>
              <w:pStyle w:val="TableNText"/>
              <w:jc w:val="center"/>
              <w:rPr>
                <w:sz w:val="21"/>
                <w:szCs w:val="21"/>
              </w:rPr>
            </w:pPr>
            <w:r w:rsidRPr="009B783C">
              <w:rPr>
                <w:sz w:val="21"/>
                <w:szCs w:val="21"/>
              </w:rPr>
              <w:t>17.5%</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DCF7DFC" w14:textId="77777777" w:rsidR="00B07E10" w:rsidRPr="009B783C" w:rsidRDefault="00B07E10">
            <w:pPr>
              <w:pStyle w:val="TableNText"/>
              <w:jc w:val="center"/>
              <w:rPr>
                <w:sz w:val="21"/>
                <w:szCs w:val="21"/>
              </w:rPr>
            </w:pPr>
            <w:r w:rsidRPr="009B783C">
              <w:rPr>
                <w:sz w:val="21"/>
                <w:szCs w:val="21"/>
              </w:rPr>
              <w:t>42.5</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C2124A9" w14:textId="77777777" w:rsidR="00B07E10" w:rsidRPr="009B783C" w:rsidRDefault="00B07E10">
            <w:pPr>
              <w:pStyle w:val="TableNText"/>
              <w:jc w:val="center"/>
              <w:rPr>
                <w:sz w:val="21"/>
                <w:szCs w:val="21"/>
              </w:rPr>
            </w:pPr>
            <w:r w:rsidRPr="009B783C">
              <w:rPr>
                <w:sz w:val="21"/>
                <w:szCs w:val="21"/>
              </w:rPr>
              <w:t>41.4</w:t>
            </w:r>
          </w:p>
        </w:tc>
      </w:tr>
      <w:tr w:rsidR="00B07E10" w:rsidRPr="009B783C" w14:paraId="55EFE5C4" w14:textId="77777777" w:rsidTr="005A78EE">
        <w:trPr>
          <w:cnfStyle w:val="000000010000" w:firstRow="0" w:lastRow="0" w:firstColumn="0" w:lastColumn="0" w:oddVBand="0" w:evenVBand="0" w:oddHBand="0" w:evenHBand="1"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778A34F" w14:textId="22366D9C" w:rsidR="00B07E10" w:rsidRPr="009B783C" w:rsidRDefault="00B07E10">
            <w:pPr>
              <w:pStyle w:val="TableNText"/>
              <w:rPr>
                <w:sz w:val="21"/>
                <w:szCs w:val="21"/>
              </w:rPr>
            </w:pPr>
            <w:r w:rsidRPr="009B783C">
              <w:rPr>
                <w:sz w:val="21"/>
                <w:szCs w:val="21"/>
              </w:rPr>
              <w:t>60 to &lt;120 minutes</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A1DAF58" w14:textId="77777777" w:rsidR="00B07E10" w:rsidRPr="009B783C" w:rsidRDefault="00B07E10">
            <w:pPr>
              <w:pStyle w:val="TableNText"/>
              <w:jc w:val="center"/>
              <w:rPr>
                <w:sz w:val="21"/>
                <w:szCs w:val="21"/>
              </w:rPr>
            </w:pPr>
            <w:r w:rsidRPr="009B783C">
              <w:rPr>
                <w:sz w:val="21"/>
                <w:szCs w:val="21"/>
              </w:rPr>
              <w:t>34,090</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FDC8BCD" w14:textId="77777777" w:rsidR="00B07E10" w:rsidRPr="009B783C" w:rsidRDefault="00B07E10">
            <w:pPr>
              <w:pStyle w:val="TableNText"/>
              <w:jc w:val="center"/>
              <w:rPr>
                <w:sz w:val="21"/>
                <w:szCs w:val="21"/>
              </w:rPr>
            </w:pPr>
            <w:r w:rsidRPr="009B783C">
              <w:rPr>
                <w:sz w:val="21"/>
                <w:szCs w:val="21"/>
              </w:rPr>
              <w:t>9.6%</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6AEC003A" w14:textId="77777777" w:rsidR="00B07E10" w:rsidRPr="009B783C" w:rsidRDefault="00B07E10">
            <w:pPr>
              <w:pStyle w:val="TableNText"/>
              <w:jc w:val="center"/>
              <w:rPr>
                <w:sz w:val="21"/>
                <w:szCs w:val="21"/>
              </w:rPr>
            </w:pPr>
            <w:r w:rsidRPr="009B783C">
              <w:rPr>
                <w:sz w:val="21"/>
                <w:szCs w:val="21"/>
              </w:rPr>
              <w:t>81.7</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AD19938" w14:textId="77777777" w:rsidR="00B07E10" w:rsidRPr="009B783C" w:rsidRDefault="00B07E10">
            <w:pPr>
              <w:pStyle w:val="TableNText"/>
              <w:jc w:val="center"/>
              <w:rPr>
                <w:sz w:val="21"/>
                <w:szCs w:val="21"/>
              </w:rPr>
            </w:pPr>
            <w:r w:rsidRPr="009B783C">
              <w:rPr>
                <w:sz w:val="21"/>
                <w:szCs w:val="21"/>
              </w:rPr>
              <w:t>78.2</w:t>
            </w:r>
          </w:p>
        </w:tc>
      </w:tr>
      <w:tr w:rsidR="00B07E10" w:rsidRPr="009B783C" w14:paraId="2258E174" w14:textId="77777777" w:rsidTr="005A78EE">
        <w:trPr>
          <w:cnfStyle w:val="000000100000" w:firstRow="0" w:lastRow="0" w:firstColumn="0" w:lastColumn="0" w:oddVBand="0" w:evenVBand="0" w:oddHBand="1" w:evenHBand="0"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F4E63BF" w14:textId="13A319CB" w:rsidR="00B07E10" w:rsidRPr="009B783C" w:rsidRDefault="00B07E10">
            <w:pPr>
              <w:pStyle w:val="TableNText"/>
              <w:rPr>
                <w:sz w:val="21"/>
                <w:szCs w:val="21"/>
              </w:rPr>
            </w:pPr>
            <w:r w:rsidRPr="009B783C">
              <w:rPr>
                <w:sz w:val="21"/>
                <w:szCs w:val="21"/>
              </w:rPr>
              <w:t>120+ minutes</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D558488" w14:textId="77777777" w:rsidR="00B07E10" w:rsidRPr="009B783C" w:rsidRDefault="00B07E10">
            <w:pPr>
              <w:pStyle w:val="TableNText"/>
              <w:jc w:val="center"/>
              <w:rPr>
                <w:sz w:val="21"/>
                <w:szCs w:val="21"/>
              </w:rPr>
            </w:pPr>
            <w:r w:rsidRPr="009B783C">
              <w:rPr>
                <w:sz w:val="21"/>
                <w:szCs w:val="21"/>
              </w:rPr>
              <w:t>8,538</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4CA2FD8" w14:textId="77777777" w:rsidR="00B07E10" w:rsidRPr="009B783C" w:rsidRDefault="00B07E10">
            <w:pPr>
              <w:pStyle w:val="TableNText"/>
              <w:jc w:val="center"/>
              <w:rPr>
                <w:sz w:val="21"/>
                <w:szCs w:val="21"/>
              </w:rPr>
            </w:pPr>
            <w:r w:rsidRPr="009B783C">
              <w:rPr>
                <w:sz w:val="21"/>
                <w:szCs w:val="21"/>
              </w:rPr>
              <w:t>2.4%</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B9A5487" w14:textId="77777777" w:rsidR="00B07E10" w:rsidRPr="009B783C" w:rsidRDefault="00B07E10">
            <w:pPr>
              <w:pStyle w:val="TableNText"/>
              <w:jc w:val="center"/>
              <w:rPr>
                <w:sz w:val="21"/>
                <w:szCs w:val="21"/>
              </w:rPr>
            </w:pPr>
            <w:r w:rsidRPr="009B783C">
              <w:rPr>
                <w:sz w:val="21"/>
                <w:szCs w:val="21"/>
              </w:rPr>
              <w:t>164.7</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AA97778" w14:textId="77777777" w:rsidR="00B07E10" w:rsidRPr="009B783C" w:rsidRDefault="00B07E10">
            <w:pPr>
              <w:pStyle w:val="TableNText"/>
              <w:jc w:val="center"/>
              <w:rPr>
                <w:sz w:val="21"/>
                <w:szCs w:val="21"/>
              </w:rPr>
            </w:pPr>
            <w:r w:rsidRPr="009B783C">
              <w:rPr>
                <w:sz w:val="21"/>
                <w:szCs w:val="21"/>
              </w:rPr>
              <w:t>147.8</w:t>
            </w:r>
          </w:p>
        </w:tc>
      </w:tr>
      <w:tr w:rsidR="00B07E10" w:rsidRPr="009B783C" w14:paraId="6DB83250" w14:textId="77777777" w:rsidTr="005A78EE">
        <w:trPr>
          <w:cnfStyle w:val="000000010000" w:firstRow="0" w:lastRow="0" w:firstColumn="0" w:lastColumn="0" w:oddVBand="0" w:evenVBand="0" w:oddHBand="0" w:evenHBand="1" w:firstRowFirstColumn="0" w:firstRowLastColumn="0" w:lastRowFirstColumn="0" w:lastRowLastColumn="0"/>
        </w:trPr>
        <w:tc>
          <w:tcPr>
            <w:tcW w:w="1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6CDF515" w14:textId="77777777" w:rsidR="00B07E10" w:rsidRPr="009B783C" w:rsidRDefault="00B07E10">
            <w:pPr>
              <w:pStyle w:val="TableNText"/>
              <w:rPr>
                <w:rFonts w:asciiTheme="majorHAnsi" w:hAnsiTheme="majorHAnsi" w:cstheme="majorHAnsi"/>
                <w:sz w:val="21"/>
                <w:szCs w:val="21"/>
              </w:rPr>
            </w:pPr>
            <w:r w:rsidRPr="009B783C">
              <w:rPr>
                <w:rFonts w:asciiTheme="majorHAnsi" w:hAnsiTheme="majorHAnsi" w:cstheme="majorHAnsi"/>
                <w:sz w:val="21"/>
                <w:szCs w:val="21"/>
              </w:rPr>
              <w:t>Total(a)</w:t>
            </w:r>
          </w:p>
        </w:tc>
        <w:tc>
          <w:tcPr>
            <w:tcW w:w="98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400D94" w14:textId="77777777" w:rsidR="00B07E10" w:rsidRPr="009B783C" w:rsidRDefault="00B07E1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354,775</w:t>
            </w:r>
          </w:p>
        </w:tc>
        <w:tc>
          <w:tcPr>
            <w:tcW w:w="99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55D6A2" w14:textId="77777777" w:rsidR="00B07E10" w:rsidRPr="009B783C" w:rsidRDefault="00B07E1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100.0%</w:t>
            </w:r>
          </w:p>
        </w:tc>
        <w:tc>
          <w:tcPr>
            <w:tcW w:w="9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217E5F5" w14:textId="77777777" w:rsidR="00B07E10" w:rsidRPr="009B783C" w:rsidRDefault="00B07E1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26.3</w:t>
            </w:r>
          </w:p>
        </w:tc>
        <w:tc>
          <w:tcPr>
            <w:tcW w:w="98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9DDD16E" w14:textId="77777777" w:rsidR="00B07E10" w:rsidRPr="009B783C" w:rsidRDefault="00B07E1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14.5</w:t>
            </w:r>
          </w:p>
        </w:tc>
      </w:tr>
    </w:tbl>
    <w:p w14:paraId="0180B94D" w14:textId="55F8B250" w:rsidR="003F44EA" w:rsidRPr="00ED1544" w:rsidRDefault="003F44EA" w:rsidP="00ED1544">
      <w:r w:rsidRPr="00ED1544">
        <w:lastRenderedPageBreak/>
        <w:t>Notes: Table reflects data from 30 June 2023 to 30 September 2024 and extracted on 6 November 2024. Waiting time calculated as the difference in minutes between the time of presentation and the first interaction (episode) recorded in the practice management system involving a clinician (GP, other doctor, nurse or allied health professional), which is based on a time-stamped interaction with the patient's records in the practice management system. Waiting times reported here should be interpreted with caution. In some instances, the interaction with a clinician may be related to triage. In other instances, clinical care may have commenced prior to an interaction with the patient's record. (a) Derived from presentations recorded in the UCC</w:t>
      </w:r>
      <w:r w:rsidRPr="00ED1544" w:rsidDel="00FA07CC">
        <w:t xml:space="preserve"> </w:t>
      </w:r>
      <w:r w:rsidRPr="00ED1544">
        <w:t xml:space="preserve">Module data. Excludes 71,704 presentations where there was no valid waiting </w:t>
      </w:r>
      <w:proofErr w:type="gramStart"/>
      <w:r w:rsidRPr="00ED1544">
        <w:t>time</w:t>
      </w:r>
      <w:proofErr w:type="gramEnd"/>
      <w:r w:rsidRPr="00ED1544">
        <w:t xml:space="preserve"> or the end status was ‘Did not wait’. This presents a potential limitation to the conclusions that can be drawn from the data (see section </w:t>
      </w:r>
      <w:r w:rsidRPr="00ED1544">
        <w:fldChar w:fldCharType="begin"/>
      </w:r>
      <w:r w:rsidRPr="00ED1544">
        <w:instrText xml:space="preserve"> REF _Ref185478021 \r \h  \* MERGEFORMAT </w:instrText>
      </w:r>
      <w:r w:rsidRPr="00ED1544">
        <w:fldChar w:fldCharType="separate"/>
      </w:r>
      <w:r w:rsidRPr="00ED1544">
        <w:t>3.4</w:t>
      </w:r>
      <w:r w:rsidRPr="00ED1544">
        <w:fldChar w:fldCharType="end"/>
      </w:r>
      <w:r w:rsidRPr="00ED1544">
        <w:fldChar w:fldCharType="begin"/>
      </w:r>
      <w:r w:rsidRPr="00ED1544">
        <w:fldChar w:fldCharType="separate"/>
      </w:r>
      <w:r w:rsidRPr="00ED1544">
        <w:fldChar w:fldCharType="end"/>
      </w:r>
      <w:r w:rsidRPr="00ED1544">
        <w:t xml:space="preserve"> for an overview of limitations related to the Medicare UCC data).</w:t>
      </w:r>
    </w:p>
    <w:p w14:paraId="671288FB" w14:textId="6AFCDB94" w:rsidR="00012710" w:rsidRPr="009B783C" w:rsidRDefault="00012710" w:rsidP="000D706D">
      <w:pPr>
        <w:pStyle w:val="Heading3"/>
      </w:pPr>
      <w:r w:rsidRPr="009B783C">
        <w:t>Median waiting times at Medicare UCCs are lower than reported waiting times for urgent GP care</w:t>
      </w:r>
    </w:p>
    <w:p w14:paraId="4D1DF893" w14:textId="77777777" w:rsidR="00012710" w:rsidRPr="009B783C" w:rsidRDefault="00012710" w:rsidP="003F44EA">
      <w:pPr>
        <w:rPr>
          <w:szCs w:val="21"/>
        </w:rPr>
      </w:pPr>
      <w:r w:rsidRPr="009B783C">
        <w:rPr>
          <w:szCs w:val="21"/>
          <w:lang w:eastAsia="en-AU"/>
        </w:rPr>
        <w:t>The national median waiting time at Medicare UCCs is notably lower than t</w:t>
      </w:r>
      <w:r w:rsidRPr="009B783C">
        <w:rPr>
          <w:szCs w:val="21"/>
        </w:rPr>
        <w:t xml:space="preserve">he waiting time for urgent GP care reported by the ABS Patient Experience Survey. </w:t>
      </w:r>
    </w:p>
    <w:p w14:paraId="11D5EEC1" w14:textId="1D1FB67E" w:rsidR="00012710" w:rsidRPr="009B783C" w:rsidRDefault="00012710" w:rsidP="003F44EA">
      <w:pPr>
        <w:rPr>
          <w:szCs w:val="21"/>
        </w:rPr>
      </w:pPr>
      <w:r w:rsidRPr="009B783C">
        <w:rPr>
          <w:szCs w:val="21"/>
        </w:rPr>
        <w:t>Based on the ABS Patient Experience Survey, in 2023</w:t>
      </w:r>
      <w:r w:rsidR="00EE4468" w:rsidRPr="009B783C">
        <w:rPr>
          <w:rFonts w:cs="Segoe UI"/>
          <w:szCs w:val="21"/>
        </w:rPr>
        <w:t>-</w:t>
      </w:r>
      <w:r w:rsidRPr="009B783C">
        <w:rPr>
          <w:szCs w:val="21"/>
        </w:rPr>
        <w:t xml:space="preserve">24, 46 per cent of patients who saw a GP for urgent medical care self-reported that they waited for 24 hours or more, 41.7 per cent were seen within </w:t>
      </w:r>
      <w:r w:rsidR="00EF6CFC" w:rsidRPr="009B783C">
        <w:rPr>
          <w:szCs w:val="21"/>
        </w:rPr>
        <w:t>four</w:t>
      </w:r>
      <w:r w:rsidRPr="009B783C">
        <w:rPr>
          <w:szCs w:val="21"/>
        </w:rPr>
        <w:t xml:space="preserve"> hours and 12.5 per cent waited between </w:t>
      </w:r>
      <w:r w:rsidR="00EF6CFC" w:rsidRPr="009B783C">
        <w:rPr>
          <w:szCs w:val="21"/>
        </w:rPr>
        <w:t>four</w:t>
      </w:r>
      <w:r w:rsidRPr="009B783C">
        <w:rPr>
          <w:szCs w:val="21"/>
        </w:rPr>
        <w:t xml:space="preserve"> to 24 hours.</w:t>
      </w:r>
      <w:r w:rsidRPr="009B783C">
        <w:rPr>
          <w:rStyle w:val="FootnoteReference"/>
          <w:szCs w:val="21"/>
          <w:lang w:eastAsia="en-AU"/>
        </w:rPr>
        <w:footnoteReference w:id="46"/>
      </w:r>
    </w:p>
    <w:p w14:paraId="050D79C8" w14:textId="56AFED9A" w:rsidR="00B07E10" w:rsidRPr="009B783C" w:rsidRDefault="00B07E10" w:rsidP="003F44EA">
      <w:pPr>
        <w:rPr>
          <w:szCs w:val="21"/>
        </w:rPr>
      </w:pPr>
      <w:r w:rsidRPr="009B783C">
        <w:rPr>
          <w:szCs w:val="21"/>
        </w:rPr>
        <w:t xml:space="preserve">Note that while the ABS Patient Experience Survey offers a point of comparison for Medicare UCC wait times, GPs are </w:t>
      </w:r>
      <w:r w:rsidR="00921529" w:rsidRPr="009B783C">
        <w:rPr>
          <w:szCs w:val="21"/>
        </w:rPr>
        <w:t>often</w:t>
      </w:r>
      <w:r w:rsidRPr="009B783C">
        <w:rPr>
          <w:szCs w:val="21"/>
        </w:rPr>
        <w:t xml:space="preserve"> seen by appointment while clinicians at Medicare UCCs are not. GP wait time captured in the survey is between the time a person contacts a health service to make an appointment to commencement of clinical care, which is different from ED and Medicare UCCs. Additionally, the definition </w:t>
      </w:r>
      <w:proofErr w:type="gramStart"/>
      <w:r w:rsidRPr="009B783C">
        <w:rPr>
          <w:szCs w:val="21"/>
        </w:rPr>
        <w:t xml:space="preserve">of </w:t>
      </w:r>
      <w:r w:rsidR="00EF6CFC" w:rsidRPr="009B783C">
        <w:rPr>
          <w:szCs w:val="21"/>
        </w:rPr>
        <w:t>”</w:t>
      </w:r>
      <w:r w:rsidRPr="009B783C">
        <w:rPr>
          <w:szCs w:val="21"/>
        </w:rPr>
        <w:t>urgent</w:t>
      </w:r>
      <w:proofErr w:type="gramEnd"/>
      <w:r w:rsidRPr="009B783C">
        <w:rPr>
          <w:szCs w:val="21"/>
        </w:rPr>
        <w:t xml:space="preserve"> medical care</w:t>
      </w:r>
      <w:r w:rsidR="00EF6CFC" w:rsidRPr="009B783C">
        <w:rPr>
          <w:szCs w:val="21"/>
        </w:rPr>
        <w:t>”</w:t>
      </w:r>
      <w:r w:rsidRPr="009B783C">
        <w:rPr>
          <w:szCs w:val="21"/>
        </w:rPr>
        <w:t xml:space="preserve"> used in the survey is self-defined by survey participants and does not align with the definition used for Medicare UCC wait times or ED triage </w:t>
      </w:r>
      <w:r w:rsidR="00EF6CFC" w:rsidRPr="009B783C">
        <w:rPr>
          <w:szCs w:val="21"/>
        </w:rPr>
        <w:t>categories four</w:t>
      </w:r>
      <w:r w:rsidRPr="009B783C">
        <w:rPr>
          <w:szCs w:val="21"/>
        </w:rPr>
        <w:t xml:space="preserve"> and </w:t>
      </w:r>
      <w:r w:rsidR="00EF6CFC" w:rsidRPr="009B783C">
        <w:rPr>
          <w:szCs w:val="21"/>
        </w:rPr>
        <w:t>five</w:t>
      </w:r>
      <w:r w:rsidRPr="009B783C">
        <w:rPr>
          <w:szCs w:val="21"/>
        </w:rPr>
        <w:t xml:space="preserve"> wait times. </w:t>
      </w:r>
    </w:p>
    <w:p w14:paraId="017ED5F5" w14:textId="1B096229" w:rsidR="00B07E10" w:rsidRPr="009B783C" w:rsidRDefault="00B07E10" w:rsidP="000D706D">
      <w:pPr>
        <w:pStyle w:val="Heading3"/>
      </w:pPr>
      <w:r w:rsidRPr="009B783C">
        <w:t xml:space="preserve">Median waiting times at Medicare UCCs are lower than ED waiting times for national public hospital ED </w:t>
      </w:r>
      <w:r w:rsidR="00370BBF" w:rsidRPr="009B783C">
        <w:t>triage</w:t>
      </w:r>
      <w:r w:rsidRPr="009B783C">
        <w:t xml:space="preserve"> categor</w:t>
      </w:r>
      <w:r w:rsidR="00EF6CFC" w:rsidRPr="009B783C">
        <w:t>ies four</w:t>
      </w:r>
      <w:r w:rsidRPr="009B783C">
        <w:t xml:space="preserve"> and </w:t>
      </w:r>
      <w:r w:rsidR="00EF6CFC" w:rsidRPr="009B783C">
        <w:t>five</w:t>
      </w:r>
      <w:r w:rsidRPr="009B783C">
        <w:t xml:space="preserve"> presentations </w:t>
      </w:r>
    </w:p>
    <w:p w14:paraId="79E2C449" w14:textId="1F9C447D" w:rsidR="00B07E10" w:rsidRPr="009B783C" w:rsidRDefault="00B07E10" w:rsidP="003F44EA">
      <w:pPr>
        <w:rPr>
          <w:szCs w:val="21"/>
          <w:lang w:eastAsia="en-AU"/>
        </w:rPr>
      </w:pPr>
      <w:r w:rsidRPr="009B783C">
        <w:rPr>
          <w:szCs w:val="21"/>
          <w:lang w:eastAsia="en-AU"/>
        </w:rPr>
        <w:t>The national median waiting time at Medicare UCCs is also notably lower than the national median ED waiting times. As noted above, the national median waiting time at Medicare UCCs is 14.5 minutes (</w:t>
      </w:r>
      <w:r w:rsidR="00012710" w:rsidRPr="009B783C">
        <w:rPr>
          <w:szCs w:val="21"/>
          <w:lang w:eastAsia="en-AU"/>
        </w:rPr>
        <w:fldChar w:fldCharType="begin"/>
      </w:r>
      <w:r w:rsidR="00012710" w:rsidRPr="009B783C">
        <w:rPr>
          <w:szCs w:val="21"/>
          <w:lang w:eastAsia="en-AU"/>
        </w:rPr>
        <w:instrText xml:space="preserve"> REF _Ref179803562 \h  \* MERGEFORMAT </w:instrText>
      </w:r>
      <w:r w:rsidR="00012710" w:rsidRPr="009B783C">
        <w:rPr>
          <w:szCs w:val="21"/>
          <w:lang w:eastAsia="en-AU"/>
        </w:rPr>
      </w:r>
      <w:r w:rsidR="00012710" w:rsidRPr="009B783C">
        <w:rPr>
          <w:szCs w:val="21"/>
          <w:lang w:eastAsia="en-AU"/>
        </w:rPr>
        <w:fldChar w:fldCharType="separate"/>
      </w:r>
      <w:r w:rsidR="006E7782" w:rsidRPr="009B783C">
        <w:rPr>
          <w:szCs w:val="21"/>
        </w:rPr>
        <w:t xml:space="preserve">Table </w:t>
      </w:r>
      <w:r w:rsidR="006E7782" w:rsidRPr="006E7782">
        <w:rPr>
          <w:szCs w:val="21"/>
        </w:rPr>
        <w:t>8</w:t>
      </w:r>
      <w:r w:rsidR="00012710" w:rsidRPr="009B783C">
        <w:rPr>
          <w:szCs w:val="21"/>
          <w:lang w:eastAsia="en-AU"/>
        </w:rPr>
        <w:fldChar w:fldCharType="end"/>
      </w:r>
      <w:r w:rsidRPr="009B783C">
        <w:rPr>
          <w:szCs w:val="21"/>
          <w:lang w:eastAsia="en-AU"/>
        </w:rPr>
        <w:t xml:space="preserve">), while the national public hospital median ED waiting times for </w:t>
      </w:r>
      <w:r w:rsidR="00370BBF" w:rsidRPr="009B783C">
        <w:rPr>
          <w:szCs w:val="21"/>
          <w:lang w:eastAsia="en-AU"/>
        </w:rPr>
        <w:t>triage</w:t>
      </w:r>
      <w:r w:rsidRPr="009B783C">
        <w:rPr>
          <w:szCs w:val="21"/>
          <w:lang w:eastAsia="en-AU"/>
        </w:rPr>
        <w:t xml:space="preserve"> category </w:t>
      </w:r>
      <w:r w:rsidR="00EF6CFC" w:rsidRPr="009B783C">
        <w:rPr>
          <w:szCs w:val="21"/>
          <w:lang w:eastAsia="en-AU"/>
        </w:rPr>
        <w:t>four</w:t>
      </w:r>
      <w:r w:rsidRPr="009B783C">
        <w:rPr>
          <w:szCs w:val="21"/>
          <w:lang w:eastAsia="en-AU"/>
        </w:rPr>
        <w:t xml:space="preserve"> is more than double this at 31 minutes and is 24 min</w:t>
      </w:r>
      <w:r w:rsidR="00991B71" w:rsidRPr="009B783C">
        <w:rPr>
          <w:szCs w:val="21"/>
          <w:lang w:eastAsia="en-AU"/>
        </w:rPr>
        <w:t>ute</w:t>
      </w:r>
      <w:r w:rsidRPr="009B783C">
        <w:rPr>
          <w:szCs w:val="21"/>
          <w:lang w:eastAsia="en-AU"/>
        </w:rPr>
        <w:t xml:space="preserve">s for category </w:t>
      </w:r>
      <w:r w:rsidR="00EF6CFC" w:rsidRPr="009B783C">
        <w:rPr>
          <w:szCs w:val="21"/>
          <w:lang w:eastAsia="en-AU"/>
        </w:rPr>
        <w:t>five</w:t>
      </w:r>
      <w:r w:rsidRPr="009B783C">
        <w:rPr>
          <w:szCs w:val="21"/>
          <w:lang w:eastAsia="en-AU"/>
        </w:rPr>
        <w:t xml:space="preserve"> presentations (2022</w:t>
      </w:r>
      <w:r w:rsidR="00615047" w:rsidRPr="009B783C">
        <w:rPr>
          <w:szCs w:val="21"/>
          <w:lang w:eastAsia="en-AU"/>
        </w:rPr>
        <w:t>-</w:t>
      </w:r>
      <w:r w:rsidRPr="009B783C">
        <w:rPr>
          <w:szCs w:val="21"/>
          <w:lang w:eastAsia="en-AU"/>
        </w:rPr>
        <w:t>23).</w:t>
      </w:r>
      <w:r w:rsidRPr="009B783C">
        <w:rPr>
          <w:rStyle w:val="FootnoteReference"/>
          <w:szCs w:val="21"/>
        </w:rPr>
        <w:footnoteReference w:id="47"/>
      </w:r>
      <w:r w:rsidRPr="009B783C">
        <w:rPr>
          <w:szCs w:val="21"/>
          <w:lang w:eastAsia="en-AU"/>
        </w:rPr>
        <w:t xml:space="preserve"> </w:t>
      </w:r>
    </w:p>
    <w:p w14:paraId="567D757B" w14:textId="3694B0ED" w:rsidR="00B07E10" w:rsidRPr="009B783C" w:rsidRDefault="00B07E10" w:rsidP="003F44EA">
      <w:pPr>
        <w:rPr>
          <w:szCs w:val="21"/>
          <w:lang w:eastAsia="en-AU"/>
        </w:rPr>
      </w:pPr>
      <w:r w:rsidRPr="009B783C">
        <w:rPr>
          <w:szCs w:val="21"/>
          <w:lang w:eastAsia="en-AU"/>
        </w:rPr>
        <w:lastRenderedPageBreak/>
        <w:t xml:space="preserve">Twelve per cent of patients waited longer than 60 minutes to be seen at Medicare UCCs. In EDs, 32 per cent of patients in </w:t>
      </w:r>
      <w:r w:rsidR="00370BBF" w:rsidRPr="009B783C">
        <w:rPr>
          <w:szCs w:val="21"/>
          <w:lang w:eastAsia="en-AU"/>
        </w:rPr>
        <w:t>triage</w:t>
      </w:r>
      <w:r w:rsidRPr="009B783C">
        <w:rPr>
          <w:szCs w:val="21"/>
          <w:lang w:eastAsia="en-AU"/>
        </w:rPr>
        <w:t xml:space="preserve"> category </w:t>
      </w:r>
      <w:r w:rsidR="00EF6CFC" w:rsidRPr="009B783C">
        <w:rPr>
          <w:szCs w:val="21"/>
          <w:lang w:eastAsia="en-AU"/>
        </w:rPr>
        <w:t>four</w:t>
      </w:r>
      <w:r w:rsidRPr="009B783C">
        <w:rPr>
          <w:szCs w:val="21"/>
          <w:lang w:eastAsia="en-AU"/>
        </w:rPr>
        <w:t xml:space="preserve"> are seen outside of the 60-minute benchmark and 12 per cent of category </w:t>
      </w:r>
      <w:r w:rsidR="00EF6CFC" w:rsidRPr="009B783C">
        <w:rPr>
          <w:szCs w:val="21"/>
          <w:lang w:eastAsia="en-AU"/>
        </w:rPr>
        <w:t>five</w:t>
      </w:r>
      <w:r w:rsidRPr="009B783C">
        <w:rPr>
          <w:szCs w:val="21"/>
          <w:lang w:eastAsia="en-AU"/>
        </w:rPr>
        <w:t xml:space="preserve"> patients are seen outside the 120-minute benchmark.</w:t>
      </w:r>
    </w:p>
    <w:p w14:paraId="2610E59F" w14:textId="0A941464" w:rsidR="00B07E10" w:rsidRPr="009B783C" w:rsidRDefault="00B07E10" w:rsidP="003F44EA">
      <w:pPr>
        <w:spacing w:before="120"/>
        <w:rPr>
          <w:szCs w:val="21"/>
          <w:lang w:eastAsia="en-AU"/>
        </w:rPr>
      </w:pPr>
      <w:r w:rsidRPr="009B783C">
        <w:rPr>
          <w:szCs w:val="21"/>
          <w:lang w:eastAsia="en-AU"/>
        </w:rPr>
        <w:t xml:space="preserve">While these figures appear favourable, </w:t>
      </w:r>
      <w:r w:rsidR="00EF6CFC" w:rsidRPr="009B783C">
        <w:rPr>
          <w:szCs w:val="21"/>
          <w:lang w:eastAsia="en-AU"/>
        </w:rPr>
        <w:fldChar w:fldCharType="begin"/>
      </w:r>
      <w:r w:rsidR="00EF6CFC" w:rsidRPr="009B783C">
        <w:rPr>
          <w:szCs w:val="21"/>
          <w:lang w:eastAsia="en-AU"/>
        </w:rPr>
        <w:instrText xml:space="preserve"> REF _Ref181258710 \h </w:instrText>
      </w:r>
      <w:r w:rsidR="003F44EA" w:rsidRPr="009B783C">
        <w:rPr>
          <w:szCs w:val="21"/>
          <w:lang w:eastAsia="en-AU"/>
        </w:rPr>
        <w:instrText xml:space="preserve"> \* MERGEFORMAT </w:instrText>
      </w:r>
      <w:r w:rsidR="00EF6CFC" w:rsidRPr="009B783C">
        <w:rPr>
          <w:szCs w:val="21"/>
          <w:lang w:eastAsia="en-AU"/>
        </w:rPr>
      </w:r>
      <w:r w:rsidR="00EF6CFC" w:rsidRPr="009B783C">
        <w:rPr>
          <w:szCs w:val="21"/>
          <w:lang w:eastAsia="en-AU"/>
        </w:rPr>
        <w:fldChar w:fldCharType="separate"/>
      </w:r>
      <w:r w:rsidR="006E7782" w:rsidRPr="009B783C">
        <w:rPr>
          <w:szCs w:val="21"/>
        </w:rPr>
        <w:t xml:space="preserve">Figure </w:t>
      </w:r>
      <w:r w:rsidR="006E7782">
        <w:rPr>
          <w:szCs w:val="21"/>
        </w:rPr>
        <w:t>11</w:t>
      </w:r>
      <w:r w:rsidR="00EF6CFC" w:rsidRPr="009B783C">
        <w:rPr>
          <w:szCs w:val="21"/>
          <w:lang w:eastAsia="en-AU"/>
        </w:rPr>
        <w:fldChar w:fldCharType="end"/>
      </w:r>
      <w:r w:rsidRPr="009B783C">
        <w:rPr>
          <w:szCs w:val="21"/>
          <w:lang w:eastAsia="en-AU"/>
        </w:rPr>
        <w:t xml:space="preserve"> shows that these comparisons need to be interpreted with caution, as differences in how waiting times are recorded in each setting affect the ability to calculate directly comparable times. </w:t>
      </w:r>
    </w:p>
    <w:p w14:paraId="7145DADA" w14:textId="23BE089E" w:rsidR="00B07E10" w:rsidRPr="009B783C" w:rsidRDefault="00B07E10" w:rsidP="00B07E10">
      <w:pPr>
        <w:pStyle w:val="Caption"/>
        <w:rPr>
          <w:szCs w:val="21"/>
          <w:lang w:eastAsia="en-AU"/>
        </w:rPr>
      </w:pPr>
      <w:bookmarkStart w:id="96" w:name="_Ref181258710"/>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E7782">
        <w:rPr>
          <w:noProof/>
          <w:szCs w:val="21"/>
        </w:rPr>
        <w:t>11</w:t>
      </w:r>
      <w:r w:rsidRPr="009B783C">
        <w:rPr>
          <w:szCs w:val="21"/>
        </w:rPr>
        <w:fldChar w:fldCharType="end"/>
      </w:r>
      <w:bookmarkEnd w:id="96"/>
      <w:r w:rsidRPr="009B783C">
        <w:rPr>
          <w:szCs w:val="21"/>
        </w:rPr>
        <w:t xml:space="preserve"> | Comparison of waiting time definitions, EDs and Medicare UCCs</w:t>
      </w:r>
    </w:p>
    <w:p w14:paraId="58D53042" w14:textId="5D226729" w:rsidR="00012710" w:rsidRPr="009B783C" w:rsidRDefault="00107A72" w:rsidP="00012710">
      <w:pPr>
        <w:keepNext/>
        <w:rPr>
          <w:lang w:eastAsia="en-AU"/>
        </w:rPr>
      </w:pPr>
      <w:r w:rsidRPr="009B783C">
        <w:rPr>
          <w:noProof/>
          <w:lang w:eastAsia="en-AU"/>
        </w:rPr>
        <w:drawing>
          <wp:inline distT="0" distB="0" distL="0" distR="0" wp14:anchorId="47B16F56" wp14:editId="2F070F12">
            <wp:extent cx="5669335" cy="4459448"/>
            <wp:effectExtent l="0" t="0" r="7620" b="0"/>
            <wp:docPr id="486432162" name="Picture 12" descr="A diagram comparing ED and Medicare UCCs as follows:&#10;ED waiting time consists of the presentation time and triage time. The presentation time includes the time of first recorded contact with an ED staff member or triage nurse, whichever comes first. The ED treatment time starts when investigation, care and/or treatment is commenced by a health professional, in accordance with an established clinical pathway. Treatment ends when clinical care is completed, for non-admitted patients.&#10;The Medicare UCC waiting time includes only the presentation time, when the patient first registers with reception/admin or a triage nurse. Treatment time is commenced at the time that patient record was first opened by clinical workforce, as timestamped against workforce. Clinical workforce includes triage nurse. Treatment time ends at the time that the patient record is closed during a clinical encounter with a nurse/do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432162" name="Picture 12" descr="A diagram comparing ED and Medicare UCCs as follows:&#10;ED waiting time consists of the presentation time and triage time. The presentation time includes the time of first recorded contact with an ED staff member or triage nurse, whichever comes first. The ED treatment time starts when investigation, care and/or treatment is commenced by a health professional, in accordance with an established clinical pathway. Treatment ends when clinical care is completed, for non-admitted patients.&#10;The Medicare UCC waiting time includes only the presentation time, when the patient first registers with reception/admin or a triage nurse. Treatment time is commenced at the time that patient record was first opened by clinical workforce, as timestamped against workforce. Clinical workforce includes triage nurse. Treatment time ends at the time that the patient record is closed during a clinical encounter with a nurse/doctor."/>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669335" cy="4459448"/>
                    </a:xfrm>
                    <a:prstGeom prst="rect">
                      <a:avLst/>
                    </a:prstGeom>
                  </pic:spPr>
                </pic:pic>
              </a:graphicData>
            </a:graphic>
          </wp:inline>
        </w:drawing>
      </w:r>
    </w:p>
    <w:p w14:paraId="458C0564" w14:textId="16D59FFD" w:rsidR="00012710" w:rsidRPr="009B783C" w:rsidRDefault="00012710" w:rsidP="003F44EA">
      <w:pPr>
        <w:spacing w:before="120"/>
        <w:rPr>
          <w:szCs w:val="21"/>
          <w:lang w:eastAsia="en-AU"/>
        </w:rPr>
      </w:pPr>
      <w:r w:rsidRPr="009B783C">
        <w:rPr>
          <w:szCs w:val="21"/>
          <w:lang w:eastAsia="en-AU"/>
        </w:rPr>
        <w:t xml:space="preserve">For Medicare UCCs, waiting time is defined as the interval between the patient’s initial registration with reception staff (or with a triage nurse) and the time at which a clinical workforce member opens the patient record, as indicated by a timestamp linked to that workforce member. The clinical workforce member may be the triage nurse. Medicare UCCs </w:t>
      </w:r>
      <w:r w:rsidR="00464D68" w:rsidRPr="009B783C">
        <w:rPr>
          <w:szCs w:val="21"/>
          <w:lang w:eastAsia="en-AU"/>
        </w:rPr>
        <w:t>are not required to</w:t>
      </w:r>
      <w:r w:rsidRPr="009B783C">
        <w:rPr>
          <w:szCs w:val="21"/>
          <w:lang w:eastAsia="en-AU"/>
        </w:rPr>
        <w:t xml:space="preserve"> use the </w:t>
      </w:r>
      <w:r w:rsidR="00434297" w:rsidRPr="009B783C">
        <w:rPr>
          <w:szCs w:val="21"/>
          <w:lang w:eastAsia="en-AU"/>
        </w:rPr>
        <w:t>ATS</w:t>
      </w:r>
      <w:r w:rsidRPr="009B783C">
        <w:rPr>
          <w:szCs w:val="21"/>
          <w:lang w:eastAsia="en-AU"/>
        </w:rPr>
        <w:t xml:space="preserve"> to </w:t>
      </w:r>
      <w:r w:rsidR="006A6322" w:rsidRPr="009B783C">
        <w:rPr>
          <w:szCs w:val="21"/>
          <w:lang w:eastAsia="en-AU"/>
        </w:rPr>
        <w:t xml:space="preserve">triage </w:t>
      </w:r>
      <w:r w:rsidRPr="009B783C">
        <w:rPr>
          <w:szCs w:val="21"/>
          <w:lang w:eastAsia="en-AU"/>
        </w:rPr>
        <w:t xml:space="preserve">patients. </w:t>
      </w:r>
    </w:p>
    <w:p w14:paraId="2D114B9C" w14:textId="6B3B9124" w:rsidR="00B07E10" w:rsidRPr="009B783C" w:rsidRDefault="00B07E10" w:rsidP="003F44EA">
      <w:pPr>
        <w:spacing w:after="240"/>
        <w:rPr>
          <w:szCs w:val="21"/>
          <w:lang w:eastAsia="en-AU"/>
        </w:rPr>
      </w:pPr>
      <w:r w:rsidRPr="009B783C">
        <w:rPr>
          <w:szCs w:val="21"/>
          <w:lang w:eastAsia="en-AU"/>
        </w:rPr>
        <w:t>For EDs, waiting time is defined as the interval between the patient’s presentation (which may include registration with reception or a triage nurse) and the commencement of clinical care, marked by the initiation of investigation and/or treatment.</w:t>
      </w:r>
      <w:r w:rsidRPr="009B783C">
        <w:rPr>
          <w:rStyle w:val="FootnoteReference"/>
          <w:szCs w:val="21"/>
          <w:lang w:eastAsia="en-AU"/>
        </w:rPr>
        <w:footnoteReference w:id="48"/>
      </w:r>
      <w:r w:rsidRPr="009B783C">
        <w:rPr>
          <w:szCs w:val="21"/>
          <w:lang w:eastAsia="en-AU"/>
        </w:rPr>
        <w:t xml:space="preserve">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B07E10" w:rsidRPr="009B783C" w14:paraId="668C4A9E" w14:textId="77777777" w:rsidTr="003E79FA">
        <w:tc>
          <w:tcPr>
            <w:tcW w:w="8907" w:type="dxa"/>
          </w:tcPr>
          <w:p w14:paraId="3E007AB2" w14:textId="5588FFFD" w:rsidR="00B07E10" w:rsidRPr="00646FE9" w:rsidRDefault="00457C52" w:rsidP="003F44EA">
            <w:pPr>
              <w:pStyle w:val="Longformcallout"/>
              <w:rPr>
                <w:rFonts w:asciiTheme="majorHAnsi" w:hAnsiTheme="majorHAnsi" w:cstheme="majorHAnsi"/>
                <w:sz w:val="28"/>
                <w:szCs w:val="28"/>
              </w:rPr>
            </w:pPr>
            <w:r w:rsidRPr="00646FE9">
              <w:rPr>
                <w:rFonts w:asciiTheme="majorHAnsi" w:hAnsiTheme="majorHAnsi" w:cstheme="majorHAnsi"/>
                <w:sz w:val="28"/>
                <w:szCs w:val="28"/>
              </w:rPr>
              <w:t xml:space="preserve">Interim </w:t>
            </w:r>
            <w:r w:rsidR="005D1D88" w:rsidRPr="00646FE9">
              <w:rPr>
                <w:rFonts w:asciiTheme="majorHAnsi" w:hAnsiTheme="majorHAnsi" w:cstheme="majorHAnsi"/>
                <w:sz w:val="28"/>
                <w:szCs w:val="28"/>
              </w:rPr>
              <w:t>f</w:t>
            </w:r>
            <w:r w:rsidRPr="00646FE9">
              <w:rPr>
                <w:rFonts w:asciiTheme="majorHAnsi" w:hAnsiTheme="majorHAnsi" w:cstheme="majorHAnsi"/>
                <w:sz w:val="28"/>
                <w:szCs w:val="28"/>
              </w:rPr>
              <w:t>inding</w:t>
            </w:r>
          </w:p>
          <w:p w14:paraId="6C11BF0A" w14:textId="76D53867" w:rsidR="000F3A8A" w:rsidRPr="009B783C" w:rsidRDefault="00B07E10" w:rsidP="003F44EA">
            <w:pPr>
              <w:pStyle w:val="Longformcallout"/>
              <w:rPr>
                <w:szCs w:val="21"/>
              </w:rPr>
            </w:pPr>
            <w:r w:rsidRPr="009B783C">
              <w:rPr>
                <w:szCs w:val="21"/>
              </w:rPr>
              <w:lastRenderedPageBreak/>
              <w:t xml:space="preserve">In the period to 30 September 2024, median waiting times at Medicare UCCs </w:t>
            </w:r>
            <w:r w:rsidR="006804DA" w:rsidRPr="009B783C">
              <w:rPr>
                <w:szCs w:val="21"/>
              </w:rPr>
              <w:t xml:space="preserve">were estimated </w:t>
            </w:r>
            <w:r w:rsidR="00F73E24" w:rsidRPr="009B783C">
              <w:rPr>
                <w:szCs w:val="21"/>
              </w:rPr>
              <w:t xml:space="preserve">at </w:t>
            </w:r>
            <w:r w:rsidRPr="009B783C">
              <w:rPr>
                <w:szCs w:val="21"/>
              </w:rPr>
              <w:t>14.5 min</w:t>
            </w:r>
            <w:r w:rsidR="00753066" w:rsidRPr="009B783C">
              <w:rPr>
                <w:szCs w:val="21"/>
              </w:rPr>
              <w:t>ute</w:t>
            </w:r>
            <w:r w:rsidRPr="009B783C">
              <w:rPr>
                <w:szCs w:val="21"/>
              </w:rPr>
              <w:t>s</w:t>
            </w:r>
            <w:r w:rsidR="00F73E24" w:rsidRPr="009B783C">
              <w:rPr>
                <w:szCs w:val="21"/>
              </w:rPr>
              <w:t>. This was</w:t>
            </w:r>
            <w:r w:rsidRPr="009B783C">
              <w:rPr>
                <w:szCs w:val="21"/>
              </w:rPr>
              <w:t xml:space="preserve"> shorter than </w:t>
            </w:r>
            <w:r w:rsidR="00B55574" w:rsidRPr="009B783C">
              <w:rPr>
                <w:szCs w:val="21"/>
              </w:rPr>
              <w:t>the</w:t>
            </w:r>
            <w:r w:rsidRPr="009B783C">
              <w:rPr>
                <w:szCs w:val="21"/>
              </w:rPr>
              <w:t xml:space="preserve"> median waiting times at EDs for triage categories </w:t>
            </w:r>
            <w:r w:rsidR="00A1369E" w:rsidRPr="009B783C">
              <w:rPr>
                <w:szCs w:val="21"/>
              </w:rPr>
              <w:t>four</w:t>
            </w:r>
            <w:r w:rsidRPr="009B783C">
              <w:rPr>
                <w:szCs w:val="21"/>
              </w:rPr>
              <w:t xml:space="preserve"> and </w:t>
            </w:r>
            <w:r w:rsidR="00A1369E" w:rsidRPr="009B783C">
              <w:rPr>
                <w:szCs w:val="21"/>
              </w:rPr>
              <w:t>five</w:t>
            </w:r>
            <w:r w:rsidR="002130F2" w:rsidRPr="009B783C">
              <w:rPr>
                <w:szCs w:val="21"/>
              </w:rPr>
              <w:t>, noting that these waiting times are not directly comparable</w:t>
            </w:r>
            <w:r w:rsidRPr="009B783C">
              <w:rPr>
                <w:szCs w:val="21"/>
              </w:rPr>
              <w:t>.</w:t>
            </w:r>
          </w:p>
          <w:p w14:paraId="336FE40B" w14:textId="13CEC181" w:rsidR="00B07E10" w:rsidRPr="009B783C" w:rsidRDefault="00B07E10" w:rsidP="003F44EA">
            <w:pPr>
              <w:pStyle w:val="Longformcallout"/>
              <w:rPr>
                <w:szCs w:val="21"/>
              </w:rPr>
            </w:pPr>
            <w:r w:rsidRPr="009B783C">
              <w:rPr>
                <w:szCs w:val="21"/>
              </w:rPr>
              <w:t>A small proportion of Medicare UCC patients (</w:t>
            </w:r>
            <w:r w:rsidR="00A1369E" w:rsidRPr="009B783C">
              <w:rPr>
                <w:szCs w:val="21"/>
              </w:rPr>
              <w:t>12</w:t>
            </w:r>
            <w:r w:rsidRPr="009B783C">
              <w:rPr>
                <w:szCs w:val="21"/>
              </w:rPr>
              <w:t xml:space="preserve"> per cent) waited longer than 60 minutes to be seen. In EDs, 32 per cent of patients in </w:t>
            </w:r>
            <w:r w:rsidR="00370BBF" w:rsidRPr="009B783C">
              <w:rPr>
                <w:szCs w:val="21"/>
              </w:rPr>
              <w:t>triage</w:t>
            </w:r>
            <w:r w:rsidRPr="009B783C">
              <w:rPr>
                <w:szCs w:val="21"/>
              </w:rPr>
              <w:t xml:space="preserve"> category </w:t>
            </w:r>
            <w:r w:rsidR="00250B03" w:rsidRPr="009B783C">
              <w:rPr>
                <w:szCs w:val="21"/>
              </w:rPr>
              <w:t>four</w:t>
            </w:r>
            <w:r w:rsidRPr="009B783C">
              <w:rPr>
                <w:szCs w:val="21"/>
              </w:rPr>
              <w:t xml:space="preserve"> are seen outside of the 60-minute benchmark and 12 per cent of category </w:t>
            </w:r>
            <w:r w:rsidR="00250B03" w:rsidRPr="009B783C">
              <w:rPr>
                <w:szCs w:val="21"/>
              </w:rPr>
              <w:t>five</w:t>
            </w:r>
            <w:r w:rsidRPr="009B783C">
              <w:rPr>
                <w:szCs w:val="21"/>
              </w:rPr>
              <w:t xml:space="preserve"> patients are seen outside the 120-minute benchmark.</w:t>
            </w:r>
          </w:p>
        </w:tc>
      </w:tr>
    </w:tbl>
    <w:p w14:paraId="15C0424B" w14:textId="77777777" w:rsidR="007D389D" w:rsidRPr="009B783C" w:rsidRDefault="007D389D" w:rsidP="003F44EA">
      <w:pPr>
        <w:rPr>
          <w:szCs w:val="21"/>
        </w:rPr>
        <w:sectPr w:rsidR="007D389D" w:rsidRPr="009B783C" w:rsidSect="004D3F31">
          <w:headerReference w:type="even" r:id="rId38"/>
          <w:footerReference w:type="default" r:id="rId39"/>
          <w:headerReference w:type="first" r:id="rId40"/>
          <w:pgSz w:w="11907" w:h="16839" w:code="9"/>
          <w:pgMar w:top="1247" w:right="1418" w:bottom="1276" w:left="1559" w:header="720" w:footer="720" w:gutter="0"/>
          <w:cols w:space="720"/>
          <w:docGrid w:linePitch="360"/>
        </w:sectPr>
      </w:pPr>
    </w:p>
    <w:tbl>
      <w:tblPr>
        <w:tblStyle w:val="NOUSSideHeader"/>
        <w:tblW w:w="5000" w:type="pct"/>
        <w:tblBorders>
          <w:left w:val="single" w:sz="24" w:space="0" w:color="F25E21" w:themeColor="accent2"/>
          <w:insideH w:val="none" w:sz="0" w:space="0" w:color="auto"/>
        </w:tblBorders>
        <w:tblLook w:val="04A0" w:firstRow="1" w:lastRow="0" w:firstColumn="1" w:lastColumn="0" w:noHBand="0" w:noVBand="1"/>
      </w:tblPr>
      <w:tblGrid>
        <w:gridCol w:w="8907"/>
      </w:tblGrid>
      <w:tr w:rsidR="00ED230A" w:rsidRPr="009B783C" w14:paraId="5079CC17" w14:textId="77777777" w:rsidTr="00E00EF9">
        <w:tc>
          <w:tcPr>
            <w:cnfStyle w:val="001000000000" w:firstRow="0" w:lastRow="0" w:firstColumn="1" w:lastColumn="0" w:oddVBand="0" w:evenVBand="0" w:oddHBand="0" w:evenHBand="0" w:firstRowFirstColumn="0" w:firstRowLastColumn="0" w:lastRowFirstColumn="0" w:lastRowLastColumn="0"/>
            <w:tcW w:w="5000" w:type="pct"/>
            <w:tcBorders>
              <w:left w:val="single" w:sz="18" w:space="0" w:color="2D358E"/>
            </w:tcBorders>
          </w:tcPr>
          <w:p w14:paraId="7D22B066" w14:textId="148D77D8" w:rsidR="00ED230A" w:rsidRPr="00646FE9" w:rsidRDefault="00457C52" w:rsidP="003F44EA">
            <w:pPr>
              <w:pStyle w:val="Longformcallout"/>
              <w:ind w:left="0"/>
              <w:jc w:val="left"/>
              <w:rPr>
                <w:rFonts w:asciiTheme="majorHAnsi" w:hAnsiTheme="majorHAnsi" w:cstheme="majorHAnsi"/>
                <w:b w:val="0"/>
                <w:color w:val="2D358E"/>
                <w:sz w:val="28"/>
                <w:szCs w:val="28"/>
              </w:rPr>
            </w:pPr>
            <w:r w:rsidRPr="00646FE9">
              <w:rPr>
                <w:rFonts w:asciiTheme="majorHAnsi" w:hAnsiTheme="majorHAnsi" w:cstheme="majorHAnsi"/>
                <w:b w:val="0"/>
                <w:color w:val="2D358E"/>
                <w:sz w:val="28"/>
                <w:szCs w:val="28"/>
              </w:rPr>
              <w:t xml:space="preserve">Improvement </w:t>
            </w:r>
            <w:r w:rsidR="005D1D88" w:rsidRPr="00646FE9">
              <w:rPr>
                <w:rFonts w:asciiTheme="majorHAnsi" w:hAnsiTheme="majorHAnsi" w:cstheme="majorHAnsi"/>
                <w:b w:val="0"/>
                <w:color w:val="2D358E"/>
                <w:sz w:val="28"/>
                <w:szCs w:val="28"/>
              </w:rPr>
              <w:t>o</w:t>
            </w:r>
            <w:r w:rsidRPr="00646FE9">
              <w:rPr>
                <w:rFonts w:asciiTheme="majorHAnsi" w:hAnsiTheme="majorHAnsi" w:cstheme="majorHAnsi"/>
                <w:b w:val="0"/>
                <w:color w:val="2D358E"/>
                <w:sz w:val="28"/>
                <w:szCs w:val="28"/>
              </w:rPr>
              <w:t>pportunity</w:t>
            </w:r>
          </w:p>
          <w:p w14:paraId="36D625ED" w14:textId="50283D8E" w:rsidR="00ED230A" w:rsidRPr="009B783C" w:rsidRDefault="00ED230A" w:rsidP="003F44EA">
            <w:pPr>
              <w:pStyle w:val="Longformcallout"/>
              <w:ind w:left="0"/>
              <w:jc w:val="left"/>
              <w:rPr>
                <w:szCs w:val="21"/>
                <w:lang w:val="en-US"/>
              </w:rPr>
            </w:pPr>
            <w:r w:rsidRPr="009B783C">
              <w:rPr>
                <w:b w:val="0"/>
                <w:szCs w:val="21"/>
              </w:rPr>
              <w:t xml:space="preserve">For more accurate monitoring and reporting of waiting times, triage time should be split out from clinical commencement time in the Medicare UCC </w:t>
            </w:r>
            <w:r w:rsidR="004E7366" w:rsidRPr="009B783C">
              <w:rPr>
                <w:b w:val="0"/>
                <w:szCs w:val="21"/>
              </w:rPr>
              <w:t>Module</w:t>
            </w:r>
            <w:r w:rsidR="00473118" w:rsidRPr="009B783C">
              <w:rPr>
                <w:b w:val="0"/>
                <w:szCs w:val="21"/>
              </w:rPr>
              <w:t xml:space="preserve"> data</w:t>
            </w:r>
            <w:r w:rsidRPr="009B783C">
              <w:rPr>
                <w:b w:val="0"/>
                <w:szCs w:val="21"/>
              </w:rPr>
              <w:t xml:space="preserve">. This will also allow a more </w:t>
            </w:r>
            <w:r w:rsidR="00DE1EFD" w:rsidRPr="009B783C">
              <w:rPr>
                <w:b w:val="0"/>
                <w:szCs w:val="21"/>
              </w:rPr>
              <w:t xml:space="preserve">accurate </w:t>
            </w:r>
            <w:r w:rsidRPr="009B783C">
              <w:rPr>
                <w:b w:val="0"/>
                <w:szCs w:val="21"/>
              </w:rPr>
              <w:t>comparison with ED waiting times.</w:t>
            </w:r>
          </w:p>
        </w:tc>
      </w:tr>
    </w:tbl>
    <w:p w14:paraId="2F177A53" w14:textId="77777777" w:rsidR="00B07E10" w:rsidRPr="009B783C" w:rsidRDefault="00B07E10" w:rsidP="000D706D">
      <w:pPr>
        <w:pStyle w:val="Heading3"/>
      </w:pPr>
      <w:r w:rsidRPr="009B783C">
        <w:t>Next steps</w:t>
      </w:r>
    </w:p>
    <w:p w14:paraId="32BC7D59" w14:textId="061341BA" w:rsidR="00B07E10" w:rsidRPr="009B783C" w:rsidRDefault="00B07E10" w:rsidP="003F44EA">
      <w:pPr>
        <w:spacing w:after="240"/>
        <w:rPr>
          <w:szCs w:val="21"/>
          <w:lang w:eastAsia="en-AU"/>
        </w:rPr>
      </w:pPr>
      <w:r w:rsidRPr="009B783C">
        <w:rPr>
          <w:szCs w:val="21"/>
          <w:lang w:eastAsia="en-AU"/>
        </w:rPr>
        <w:t xml:space="preserve">Future reports will identify any trends or changes in treatment waiting times at Medicare UCCs (building on previous data sources). Waiting time comparisons with EDs will be refined using data from partner hospital </w:t>
      </w:r>
      <w:proofErr w:type="spellStart"/>
      <w:r w:rsidRPr="009B783C">
        <w:rPr>
          <w:szCs w:val="21"/>
          <w:lang w:eastAsia="en-AU"/>
        </w:rPr>
        <w:t>EDs.</w:t>
      </w:r>
      <w:proofErr w:type="spellEnd"/>
      <w:r w:rsidRPr="009B783C">
        <w:rPr>
          <w:szCs w:val="21"/>
          <w:lang w:eastAsia="en-AU"/>
        </w:rPr>
        <w:t xml:space="preserve"> Patient, provider and stakeholder reflections of timeliness of access to treatment will also be explored further in future reports</w:t>
      </w:r>
      <w:r w:rsidR="0029338B" w:rsidRPr="009B783C">
        <w:rPr>
          <w:szCs w:val="21"/>
          <w:lang w:eastAsia="en-AU"/>
        </w:rPr>
        <w:t>.</w:t>
      </w:r>
    </w:p>
    <w:tbl>
      <w:tblPr>
        <w:tblStyle w:val="TableGrid"/>
        <w:tblW w:w="0" w:type="auto"/>
        <w:tblLook w:val="04A0" w:firstRow="1" w:lastRow="0" w:firstColumn="1" w:lastColumn="0" w:noHBand="0" w:noVBand="1"/>
      </w:tblPr>
      <w:tblGrid>
        <w:gridCol w:w="8920"/>
      </w:tblGrid>
      <w:tr w:rsidR="003E6AFC" w:rsidRPr="009B783C" w14:paraId="351B1568" w14:textId="77777777" w:rsidTr="00521967">
        <w:trPr>
          <w:trHeight w:val="215"/>
        </w:trPr>
        <w:tc>
          <w:tcPr>
            <w:tcW w:w="8920" w:type="dxa"/>
            <w:tcBorders>
              <w:top w:val="nil"/>
              <w:left w:val="nil"/>
              <w:bottom w:val="nil"/>
              <w:right w:val="nil"/>
            </w:tcBorders>
            <w:shd w:val="clear" w:color="auto" w:fill="25B3E0" w:themeFill="accent6"/>
            <w:vAlign w:val="center"/>
          </w:tcPr>
          <w:p w14:paraId="6ABB78ED" w14:textId="173E6A2F" w:rsidR="003E6AFC" w:rsidRPr="00D37C77" w:rsidRDefault="00457C52" w:rsidP="00521967">
            <w:pPr>
              <w:pStyle w:val="TableNheader"/>
              <w:rPr>
                <w:color w:val="00264D" w:themeColor="background2"/>
              </w:rPr>
            </w:pPr>
            <w:bookmarkStart w:id="97" w:name="_Hlk185254972"/>
            <w:r w:rsidRPr="00D37C77">
              <w:rPr>
                <w:color w:val="00264D" w:themeColor="background2"/>
              </w:rPr>
              <w:t>Measure Of Success 2</w:t>
            </w:r>
          </w:p>
        </w:tc>
      </w:tr>
    </w:tbl>
    <w:p w14:paraId="5785DA75" w14:textId="066BB4D8" w:rsidR="00643382" w:rsidRPr="009B783C" w:rsidRDefault="00CA7860" w:rsidP="00AF3D27">
      <w:pPr>
        <w:pStyle w:val="Heading2"/>
        <w:spacing w:before="120"/>
        <w:ind w:left="578" w:hanging="578"/>
      </w:pPr>
      <w:bookmarkStart w:id="98" w:name="_Ref185240779"/>
      <w:bookmarkStart w:id="99" w:name="_Toc189639228"/>
      <w:bookmarkStart w:id="100" w:name="_Toc189772028"/>
      <w:bookmarkStart w:id="101" w:name="_Ref185251579"/>
      <w:bookmarkEnd w:id="97"/>
      <w:r w:rsidRPr="009B783C">
        <w:t>S</w:t>
      </w:r>
      <w:r w:rsidR="00DF63FA" w:rsidRPr="009B783C">
        <w:t>afe and quality treatment</w:t>
      </w:r>
      <w:bookmarkEnd w:id="98"/>
      <w:bookmarkEnd w:id="99"/>
      <w:bookmarkEnd w:id="100"/>
    </w:p>
    <w:p w14:paraId="4C7C83B3" w14:textId="77777777" w:rsidR="001C6361" w:rsidRPr="009B783C" w:rsidRDefault="00CA7860" w:rsidP="000D706D">
      <w:pPr>
        <w:rPr>
          <w:lang w:eastAsia="en-AU"/>
        </w:rPr>
      </w:pPr>
      <w:r w:rsidRPr="009B783C">
        <w:rPr>
          <w:lang w:eastAsia="en-AU"/>
        </w:rPr>
        <w:t>Measure of Success 2 agreed by the Australian, state and territory governments is</w:t>
      </w:r>
      <w:r w:rsidR="001C6361" w:rsidRPr="009B783C">
        <w:rPr>
          <w:lang w:eastAsia="en-AU"/>
        </w:rPr>
        <w:t xml:space="preserve">: </w:t>
      </w:r>
    </w:p>
    <w:p w14:paraId="434788C8" w14:textId="4438A771" w:rsidR="00CA7860" w:rsidRPr="009B783C" w:rsidRDefault="00CA7860" w:rsidP="0031172E">
      <w:pPr>
        <w:pStyle w:val="Caption"/>
        <w:rPr>
          <w:szCs w:val="21"/>
        </w:rPr>
      </w:pPr>
      <w:r w:rsidRPr="009B783C">
        <w:rPr>
          <w:szCs w:val="21"/>
          <w:lang w:eastAsia="en-AU"/>
        </w:rPr>
        <w:t>“Medicare UCCs provide safe and quality treatment to patients.”</w:t>
      </w:r>
    </w:p>
    <w:p w14:paraId="3CAC146D" w14:textId="77777777" w:rsidR="00E93F94" w:rsidRPr="009B783C" w:rsidRDefault="00E93F94" w:rsidP="000D706D">
      <w:pPr>
        <w:pStyle w:val="Heading3"/>
      </w:pPr>
      <w:bookmarkStart w:id="102" w:name="_Toc179962822"/>
      <w:bookmarkStart w:id="103" w:name="_Ref178768249"/>
      <w:bookmarkEnd w:id="101"/>
      <w:r w:rsidRPr="009B783C">
        <w:t xml:space="preserve">There are </w:t>
      </w:r>
      <w:r w:rsidRPr="000D706D">
        <w:t>multiple</w:t>
      </w:r>
      <w:r w:rsidRPr="009B783C">
        <w:t xml:space="preserve"> dimensions to safety and quality </w:t>
      </w:r>
    </w:p>
    <w:p w14:paraId="30987E01" w14:textId="77777777" w:rsidR="00E93F94" w:rsidRPr="009B783C" w:rsidRDefault="00E93F94" w:rsidP="003F44EA">
      <w:pPr>
        <w:rPr>
          <w:szCs w:val="21"/>
          <w:lang w:val="en-US" w:eastAsia="en-AU"/>
        </w:rPr>
      </w:pPr>
      <w:r w:rsidRPr="009B783C">
        <w:rPr>
          <w:szCs w:val="21"/>
          <w:lang w:eastAsia="en-AU"/>
        </w:rPr>
        <w:t>The evaluation of the Medicare UCCs will encompass the six commonly accepted dimensions of healthcare quality:</w:t>
      </w:r>
      <w:r w:rsidRPr="35C5891D">
        <w:rPr>
          <w:rStyle w:val="FootnoteReference"/>
          <w:szCs w:val="21"/>
          <w:lang w:val="en-US" w:eastAsia="en-AU"/>
        </w:rPr>
        <w:footnoteReference w:id="49"/>
      </w:r>
      <w:r w:rsidRPr="009B783C">
        <w:rPr>
          <w:szCs w:val="21"/>
          <w:vertAlign w:val="superscript"/>
          <w:lang w:eastAsia="en-AU"/>
        </w:rPr>
        <w:t>,</w:t>
      </w:r>
      <w:r w:rsidRPr="35C5891D">
        <w:rPr>
          <w:rStyle w:val="FootnoteReference"/>
          <w:szCs w:val="21"/>
          <w:lang w:val="en-US" w:eastAsia="en-AU"/>
        </w:rPr>
        <w:footnoteReference w:id="50"/>
      </w:r>
      <w:r w:rsidRPr="009B783C">
        <w:rPr>
          <w:szCs w:val="21"/>
          <w:vertAlign w:val="superscript"/>
          <w:lang w:eastAsia="en-AU"/>
        </w:rPr>
        <w:t>,</w:t>
      </w:r>
      <w:r w:rsidRPr="35C5891D">
        <w:rPr>
          <w:rStyle w:val="FootnoteReference"/>
          <w:szCs w:val="21"/>
          <w:lang w:val="en-US" w:eastAsia="en-AU"/>
        </w:rPr>
        <w:footnoteReference w:id="51"/>
      </w:r>
    </w:p>
    <w:p w14:paraId="6526AF1F" w14:textId="77777777" w:rsidR="00E93F94" w:rsidRPr="009B783C" w:rsidRDefault="00E93F94" w:rsidP="003F44EA">
      <w:pPr>
        <w:pStyle w:val="Listnumbered"/>
        <w:rPr>
          <w:szCs w:val="21"/>
        </w:rPr>
      </w:pPr>
      <w:r w:rsidRPr="009B783C">
        <w:rPr>
          <w:szCs w:val="21"/>
        </w:rPr>
        <w:t>Safety: avoiding harm to people for whom care is intended.</w:t>
      </w:r>
    </w:p>
    <w:p w14:paraId="6FEB606D" w14:textId="452C0C30" w:rsidR="0095419A" w:rsidRPr="009B783C" w:rsidRDefault="0095419A" w:rsidP="003F44EA">
      <w:pPr>
        <w:pStyle w:val="Listnumbered"/>
        <w:rPr>
          <w:szCs w:val="21"/>
        </w:rPr>
      </w:pPr>
      <w:r w:rsidRPr="009B783C">
        <w:rPr>
          <w:szCs w:val="21"/>
        </w:rPr>
        <w:t xml:space="preserve">Effectiveness and appropriateness: providing evidence-based healthcare services aligned to the needs of patients and within scope of </w:t>
      </w:r>
      <w:r w:rsidR="00B84636" w:rsidRPr="009B783C">
        <w:rPr>
          <w:szCs w:val="21"/>
        </w:rPr>
        <w:t xml:space="preserve">the </w:t>
      </w:r>
      <w:r w:rsidRPr="009B783C">
        <w:rPr>
          <w:szCs w:val="21"/>
        </w:rPr>
        <w:t>Medicare UCCs.</w:t>
      </w:r>
    </w:p>
    <w:p w14:paraId="19AF2961" w14:textId="44644394" w:rsidR="00E93F94" w:rsidRPr="009B783C" w:rsidRDefault="00E93F94" w:rsidP="003F44EA">
      <w:pPr>
        <w:pStyle w:val="Listnumbered"/>
        <w:rPr>
          <w:szCs w:val="21"/>
        </w:rPr>
      </w:pPr>
      <w:r w:rsidRPr="009B783C">
        <w:rPr>
          <w:szCs w:val="21"/>
        </w:rPr>
        <w:lastRenderedPageBreak/>
        <w:t>Timeliness: reducing waiting time and sometimes harmful delays in care (see Measure of Success 1</w:t>
      </w:r>
      <w:r w:rsidR="00575FF9" w:rsidRPr="009B783C">
        <w:rPr>
          <w:szCs w:val="21"/>
        </w:rPr>
        <w:t xml:space="preserve"> (section </w:t>
      </w:r>
      <w:r w:rsidR="00C153BC" w:rsidRPr="009B783C">
        <w:rPr>
          <w:szCs w:val="21"/>
        </w:rPr>
        <w:fldChar w:fldCharType="begin"/>
      </w:r>
      <w:r w:rsidR="00C153BC" w:rsidRPr="009B783C">
        <w:rPr>
          <w:szCs w:val="21"/>
        </w:rPr>
        <w:instrText xml:space="preserve"> REF _Ref185248357 \n \h </w:instrText>
      </w:r>
      <w:r w:rsidR="003F44EA" w:rsidRPr="009B783C">
        <w:rPr>
          <w:szCs w:val="21"/>
        </w:rPr>
        <w:instrText xml:space="preserve"> \* MERGEFORMAT </w:instrText>
      </w:r>
      <w:r w:rsidR="00C153BC" w:rsidRPr="009B783C">
        <w:rPr>
          <w:szCs w:val="21"/>
        </w:rPr>
      </w:r>
      <w:r w:rsidR="00C153BC" w:rsidRPr="009B783C">
        <w:rPr>
          <w:szCs w:val="21"/>
        </w:rPr>
        <w:fldChar w:fldCharType="separate"/>
      </w:r>
      <w:r w:rsidR="0031172E" w:rsidRPr="009B783C">
        <w:rPr>
          <w:szCs w:val="21"/>
        </w:rPr>
        <w:t>5.1</w:t>
      </w:r>
      <w:r w:rsidR="00C153BC" w:rsidRPr="009B783C">
        <w:rPr>
          <w:szCs w:val="21"/>
        </w:rPr>
        <w:fldChar w:fldCharType="end"/>
      </w:r>
      <w:r w:rsidR="00C153BC" w:rsidRPr="009B783C">
        <w:rPr>
          <w:szCs w:val="21"/>
        </w:rPr>
        <w:t>)</w:t>
      </w:r>
      <w:r w:rsidR="0095419A" w:rsidRPr="009B783C">
        <w:rPr>
          <w:szCs w:val="21"/>
        </w:rPr>
        <w:t>).</w:t>
      </w:r>
    </w:p>
    <w:p w14:paraId="6FD33C29" w14:textId="5E56B1A6" w:rsidR="00E93F94" w:rsidRPr="009B783C" w:rsidRDefault="00E93F94" w:rsidP="003F44EA">
      <w:pPr>
        <w:pStyle w:val="Listnumbered"/>
        <w:rPr>
          <w:szCs w:val="21"/>
        </w:rPr>
      </w:pPr>
      <w:r w:rsidRPr="009B783C">
        <w:rPr>
          <w:szCs w:val="21"/>
        </w:rPr>
        <w:t>Patient-</w:t>
      </w:r>
      <w:r w:rsidR="00BD5286" w:rsidRPr="009B783C">
        <w:rPr>
          <w:szCs w:val="21"/>
        </w:rPr>
        <w:t>centred</w:t>
      </w:r>
      <w:r w:rsidRPr="009B783C">
        <w:rPr>
          <w:szCs w:val="21"/>
        </w:rPr>
        <w:t>: providing care that is respectful of, and responsive to, the preferences, needs and values of patients and consumers (see also Measure of Success 4</w:t>
      </w:r>
      <w:r w:rsidR="00C153BC" w:rsidRPr="009B783C">
        <w:rPr>
          <w:szCs w:val="21"/>
        </w:rPr>
        <w:t xml:space="preserve"> (section </w:t>
      </w:r>
      <w:r w:rsidR="0031172E" w:rsidRPr="009B783C">
        <w:rPr>
          <w:szCs w:val="21"/>
        </w:rPr>
        <w:fldChar w:fldCharType="begin"/>
      </w:r>
      <w:r w:rsidR="0031172E" w:rsidRPr="009B783C">
        <w:rPr>
          <w:szCs w:val="21"/>
        </w:rPr>
        <w:instrText xml:space="preserve"> REF _Ref188979325 \n \h </w:instrText>
      </w:r>
      <w:r w:rsidR="003F44EA" w:rsidRPr="009B783C">
        <w:rPr>
          <w:szCs w:val="21"/>
        </w:rPr>
        <w:instrText xml:space="preserve"> \* MERGEFORMAT </w:instrText>
      </w:r>
      <w:r w:rsidR="0031172E" w:rsidRPr="009B783C">
        <w:rPr>
          <w:szCs w:val="21"/>
        </w:rPr>
      </w:r>
      <w:r w:rsidR="0031172E" w:rsidRPr="009B783C">
        <w:rPr>
          <w:szCs w:val="21"/>
        </w:rPr>
        <w:fldChar w:fldCharType="separate"/>
      </w:r>
      <w:r w:rsidR="0031172E" w:rsidRPr="009B783C">
        <w:rPr>
          <w:szCs w:val="21"/>
        </w:rPr>
        <w:t>5.4</w:t>
      </w:r>
      <w:r w:rsidR="0031172E" w:rsidRPr="009B783C">
        <w:rPr>
          <w:szCs w:val="21"/>
        </w:rPr>
        <w:fldChar w:fldCharType="end"/>
      </w:r>
      <w:r w:rsidR="00BD5286" w:rsidRPr="009B783C">
        <w:rPr>
          <w:szCs w:val="21"/>
        </w:rPr>
        <w:fldChar w:fldCharType="begin"/>
      </w:r>
      <w:r w:rsidR="00BD5286" w:rsidRPr="009B783C">
        <w:rPr>
          <w:szCs w:val="21"/>
        </w:rPr>
        <w:instrText xml:space="preserve"> REF _Ref185504799 \n \h </w:instrText>
      </w:r>
      <w:r w:rsidR="003F44EA" w:rsidRPr="009B783C">
        <w:rPr>
          <w:szCs w:val="21"/>
        </w:rPr>
        <w:instrText xml:space="preserve"> \* MERGEFORMAT </w:instrText>
      </w:r>
      <w:r w:rsidR="00BD5286" w:rsidRPr="009B783C">
        <w:rPr>
          <w:szCs w:val="21"/>
        </w:rPr>
      </w:r>
      <w:r w:rsidR="00BD5286" w:rsidRPr="009B783C">
        <w:rPr>
          <w:szCs w:val="21"/>
        </w:rPr>
        <w:fldChar w:fldCharType="separate"/>
      </w:r>
      <w:r w:rsidR="00BD5286" w:rsidRPr="009B783C">
        <w:rPr>
          <w:szCs w:val="21"/>
        </w:rPr>
        <w:fldChar w:fldCharType="end"/>
      </w:r>
      <w:r w:rsidR="00C153BC" w:rsidRPr="009B783C">
        <w:rPr>
          <w:szCs w:val="21"/>
        </w:rPr>
        <w:t>)</w:t>
      </w:r>
      <w:r w:rsidR="0095419A" w:rsidRPr="009B783C">
        <w:rPr>
          <w:szCs w:val="21"/>
        </w:rPr>
        <w:t>).</w:t>
      </w:r>
    </w:p>
    <w:p w14:paraId="15B7ED81" w14:textId="39C370BB" w:rsidR="00E93F94" w:rsidRPr="009B783C" w:rsidRDefault="00E93F94" w:rsidP="003F44EA">
      <w:pPr>
        <w:pStyle w:val="Listnumbered"/>
        <w:rPr>
          <w:szCs w:val="21"/>
          <w:lang w:val="en-US"/>
        </w:rPr>
      </w:pPr>
      <w:r w:rsidRPr="009B783C">
        <w:rPr>
          <w:szCs w:val="21"/>
        </w:rPr>
        <w:t>Equity: providing care that does not vary in quality on account of gender, ethnicity, geographic location and socioeconomic status.</w:t>
      </w:r>
    </w:p>
    <w:p w14:paraId="4C1F2409" w14:textId="3EEA0532" w:rsidR="00E93F94" w:rsidRPr="009B783C" w:rsidRDefault="00E93F94" w:rsidP="003F44EA">
      <w:pPr>
        <w:pStyle w:val="Listnumbered"/>
        <w:rPr>
          <w:szCs w:val="21"/>
        </w:rPr>
      </w:pPr>
      <w:r w:rsidRPr="009B783C">
        <w:rPr>
          <w:szCs w:val="21"/>
        </w:rPr>
        <w:t>Efficiency: maximising the benefit of available resources and avoiding waste (see Measure of Success 9</w:t>
      </w:r>
      <w:r w:rsidR="00C153BC" w:rsidRPr="009B783C">
        <w:rPr>
          <w:szCs w:val="21"/>
        </w:rPr>
        <w:t xml:space="preserve"> (section </w:t>
      </w:r>
      <w:r w:rsidR="00C153BC" w:rsidRPr="009B783C">
        <w:rPr>
          <w:szCs w:val="21"/>
        </w:rPr>
        <w:fldChar w:fldCharType="begin"/>
      </w:r>
      <w:r w:rsidR="00C153BC" w:rsidRPr="009B783C">
        <w:rPr>
          <w:szCs w:val="21"/>
        </w:rPr>
        <w:instrText xml:space="preserve"> REF _Ref185248397 \n \h </w:instrText>
      </w:r>
      <w:r w:rsidR="003F44EA" w:rsidRPr="009B783C">
        <w:rPr>
          <w:szCs w:val="21"/>
        </w:rPr>
        <w:instrText xml:space="preserve"> \* MERGEFORMAT </w:instrText>
      </w:r>
      <w:r w:rsidR="00C153BC" w:rsidRPr="009B783C">
        <w:rPr>
          <w:szCs w:val="21"/>
        </w:rPr>
      </w:r>
      <w:r w:rsidR="00C153BC" w:rsidRPr="009B783C">
        <w:rPr>
          <w:szCs w:val="21"/>
        </w:rPr>
        <w:fldChar w:fldCharType="separate"/>
      </w:r>
      <w:r w:rsidR="0031172E" w:rsidRPr="009B783C">
        <w:rPr>
          <w:szCs w:val="21"/>
        </w:rPr>
        <w:t>5.9</w:t>
      </w:r>
      <w:r w:rsidR="00C153BC" w:rsidRPr="009B783C">
        <w:rPr>
          <w:szCs w:val="21"/>
        </w:rPr>
        <w:fldChar w:fldCharType="end"/>
      </w:r>
      <w:r w:rsidR="00C153BC" w:rsidRPr="009B783C">
        <w:rPr>
          <w:szCs w:val="21"/>
        </w:rPr>
        <w:t>)</w:t>
      </w:r>
      <w:r w:rsidR="0095419A" w:rsidRPr="009B783C">
        <w:rPr>
          <w:szCs w:val="21"/>
        </w:rPr>
        <w:t>).</w:t>
      </w:r>
    </w:p>
    <w:bookmarkEnd w:id="102"/>
    <w:bookmarkEnd w:id="103"/>
    <w:p w14:paraId="0258DC67" w14:textId="37B7B947" w:rsidR="0095419A" w:rsidRPr="009B783C" w:rsidRDefault="0095419A" w:rsidP="003F44EA">
      <w:pPr>
        <w:rPr>
          <w:szCs w:val="21"/>
          <w:lang w:eastAsia="en-AU"/>
        </w:rPr>
      </w:pPr>
      <w:r w:rsidRPr="009B783C">
        <w:rPr>
          <w:szCs w:val="21"/>
          <w:lang w:eastAsia="en-AU"/>
        </w:rPr>
        <w:t>As</w:t>
      </w:r>
      <w:r w:rsidRPr="009B783C" w:rsidDel="00DE5AE1">
        <w:rPr>
          <w:szCs w:val="21"/>
          <w:lang w:eastAsia="en-AU"/>
        </w:rPr>
        <w:t xml:space="preserve"> </w:t>
      </w:r>
      <w:r w:rsidRPr="009B783C">
        <w:rPr>
          <w:szCs w:val="21"/>
          <w:lang w:eastAsia="en-AU"/>
        </w:rPr>
        <w:t xml:space="preserve">timeliness, patient-centred care and efficiency are addressed in other Measures of Success </w:t>
      </w:r>
      <w:r w:rsidR="00DE5AE1" w:rsidRPr="009B783C">
        <w:rPr>
          <w:szCs w:val="21"/>
          <w:lang w:eastAsia="en-AU"/>
        </w:rPr>
        <w:t>(</w:t>
      </w:r>
      <w:r w:rsidRPr="009B783C">
        <w:rPr>
          <w:szCs w:val="21"/>
          <w:lang w:eastAsia="en-AU"/>
        </w:rPr>
        <w:t>as noted above</w:t>
      </w:r>
      <w:r w:rsidR="00DE5AE1" w:rsidRPr="009B783C">
        <w:rPr>
          <w:szCs w:val="21"/>
          <w:lang w:eastAsia="en-AU"/>
        </w:rPr>
        <w:t>)</w:t>
      </w:r>
      <w:r w:rsidRPr="009B783C">
        <w:rPr>
          <w:szCs w:val="21"/>
          <w:lang w:eastAsia="en-AU"/>
        </w:rPr>
        <w:t>, this section will focus on the evaluation of the remaining three dimensions, including the Department’s approach to assessing Medicare UCC safety and readiness to operate, appropriateness of care and equitable access for priority populations</w:t>
      </w:r>
      <w:r w:rsidR="002E57CD" w:rsidRPr="009B783C">
        <w:rPr>
          <w:szCs w:val="21"/>
          <w:lang w:eastAsia="en-AU"/>
        </w:rPr>
        <w:t>.</w:t>
      </w:r>
    </w:p>
    <w:p w14:paraId="260C168A" w14:textId="2F1CD1FA" w:rsidR="0095419A" w:rsidRPr="009B783C" w:rsidRDefault="0095419A" w:rsidP="000D706D">
      <w:pPr>
        <w:pStyle w:val="Heading3"/>
        <w:rPr>
          <w:b/>
          <w:bCs/>
        </w:rPr>
      </w:pPr>
      <w:bookmarkStart w:id="104" w:name="_Toc179962823"/>
      <w:r w:rsidRPr="009B783C">
        <w:t xml:space="preserve">Clinical assessments have been completed for all Medicare UCCs, either by an independent assessor or commissioner-led assessment processes </w:t>
      </w:r>
      <w:bookmarkEnd w:id="104"/>
    </w:p>
    <w:p w14:paraId="2A45219A" w14:textId="73F0A303" w:rsidR="00E93F94" w:rsidRPr="009B783C" w:rsidRDefault="00E93F94" w:rsidP="003F44EA">
      <w:pPr>
        <w:rPr>
          <w:rFonts w:asciiTheme="minorHAnsi" w:hAnsiTheme="minorHAnsi"/>
          <w:szCs w:val="21"/>
          <w:lang w:val="en-GB"/>
        </w:rPr>
      </w:pPr>
      <w:r w:rsidRPr="009B783C">
        <w:rPr>
          <w:rFonts w:asciiTheme="minorHAnsi" w:hAnsiTheme="minorHAnsi"/>
          <w:szCs w:val="21"/>
        </w:rPr>
        <w:t>Clinical assessments of the Medicare UCCs were conducted prior to their opening to confirm</w:t>
      </w:r>
      <w:r w:rsidR="00086BAE" w:rsidRPr="009B783C">
        <w:rPr>
          <w:rFonts w:asciiTheme="minorHAnsi" w:hAnsiTheme="minorHAnsi"/>
          <w:szCs w:val="21"/>
        </w:rPr>
        <w:t xml:space="preserve"> the</w:t>
      </w:r>
      <w:r w:rsidRPr="009B783C">
        <w:rPr>
          <w:rFonts w:asciiTheme="minorHAnsi" w:hAnsiTheme="minorHAnsi"/>
          <w:szCs w:val="21"/>
        </w:rPr>
        <w:t xml:space="preserve"> clinic</w:t>
      </w:r>
      <w:r w:rsidR="00086BAE" w:rsidRPr="009B783C">
        <w:rPr>
          <w:rFonts w:asciiTheme="minorHAnsi" w:hAnsiTheme="minorHAnsi"/>
          <w:szCs w:val="21"/>
        </w:rPr>
        <w:t>s’</w:t>
      </w:r>
      <w:r w:rsidRPr="009B783C">
        <w:rPr>
          <w:rFonts w:asciiTheme="minorHAnsi" w:hAnsiTheme="minorHAnsi"/>
          <w:szCs w:val="21"/>
        </w:rPr>
        <w:t xml:space="preserve"> safety and readiness to operate. </w:t>
      </w:r>
      <w:r w:rsidRPr="009B783C">
        <w:rPr>
          <w:szCs w:val="21"/>
        </w:rPr>
        <w:t>The assessments were based on the Medicare UCC Operational Guidance</w:t>
      </w:r>
      <w:r w:rsidRPr="35C5891D">
        <w:rPr>
          <w:rStyle w:val="FootnoteReference"/>
          <w:szCs w:val="21"/>
          <w:lang w:val="en-GB"/>
        </w:rPr>
        <w:footnoteReference w:id="52"/>
      </w:r>
      <w:r w:rsidRPr="009B783C">
        <w:rPr>
          <w:szCs w:val="21"/>
        </w:rPr>
        <w:t xml:space="preserve"> and outlined the protocols and standards for the Medicare UCCs to deliver safe and high-quality care across various clinical components, including:</w:t>
      </w:r>
    </w:p>
    <w:p w14:paraId="3926D102" w14:textId="77777777" w:rsidR="00E93F94" w:rsidRPr="009B783C" w:rsidRDefault="00E93F94" w:rsidP="003F44EA">
      <w:pPr>
        <w:pStyle w:val="Bullet"/>
        <w:rPr>
          <w:szCs w:val="21"/>
        </w:rPr>
      </w:pPr>
      <w:r w:rsidRPr="009B783C">
        <w:rPr>
          <w:szCs w:val="21"/>
        </w:rPr>
        <w:t>scope of conditions</w:t>
      </w:r>
    </w:p>
    <w:p w14:paraId="212D1F2F" w14:textId="77777777" w:rsidR="00E93F94" w:rsidRPr="009B783C" w:rsidRDefault="00E93F94" w:rsidP="003F44EA">
      <w:pPr>
        <w:pStyle w:val="Bullet"/>
        <w:rPr>
          <w:szCs w:val="21"/>
        </w:rPr>
      </w:pPr>
      <w:r w:rsidRPr="009B783C">
        <w:rPr>
          <w:szCs w:val="21"/>
        </w:rPr>
        <w:t>triage and patient direction</w:t>
      </w:r>
    </w:p>
    <w:p w14:paraId="5B11FF4D" w14:textId="77777777" w:rsidR="00E93F94" w:rsidRPr="009B783C" w:rsidRDefault="00E93F94" w:rsidP="003F44EA">
      <w:pPr>
        <w:pStyle w:val="Bullet"/>
        <w:rPr>
          <w:szCs w:val="21"/>
        </w:rPr>
      </w:pPr>
      <w:r w:rsidRPr="009B783C">
        <w:rPr>
          <w:szCs w:val="21"/>
        </w:rPr>
        <w:t>accessibility</w:t>
      </w:r>
    </w:p>
    <w:p w14:paraId="5C7C13C6" w14:textId="77777777" w:rsidR="00E93F94" w:rsidRPr="009B783C" w:rsidRDefault="00E93F94" w:rsidP="003F44EA">
      <w:pPr>
        <w:pStyle w:val="Bullet"/>
        <w:rPr>
          <w:szCs w:val="21"/>
        </w:rPr>
      </w:pPr>
      <w:r w:rsidRPr="009B783C">
        <w:rPr>
          <w:szCs w:val="21"/>
        </w:rPr>
        <w:t>follow up and communication with a patient’s usual GP</w:t>
      </w:r>
    </w:p>
    <w:p w14:paraId="1F0F74DD" w14:textId="77777777" w:rsidR="00E93F94" w:rsidRPr="009B783C" w:rsidRDefault="00E93F94" w:rsidP="003F44EA">
      <w:pPr>
        <w:pStyle w:val="Bullet"/>
        <w:rPr>
          <w:szCs w:val="21"/>
        </w:rPr>
      </w:pPr>
      <w:r w:rsidRPr="009B783C">
        <w:rPr>
          <w:szCs w:val="21"/>
        </w:rPr>
        <w:t>follow up of diagnostic tests and referrals</w:t>
      </w:r>
    </w:p>
    <w:p w14:paraId="2F030546" w14:textId="77777777" w:rsidR="00E93F94" w:rsidRPr="009B783C" w:rsidRDefault="00E93F94" w:rsidP="003F44EA">
      <w:pPr>
        <w:pStyle w:val="Bullet"/>
        <w:rPr>
          <w:szCs w:val="21"/>
        </w:rPr>
      </w:pPr>
      <w:r w:rsidRPr="009B783C">
        <w:rPr>
          <w:szCs w:val="21"/>
        </w:rPr>
        <w:t>referral pathways and integration with health services</w:t>
      </w:r>
    </w:p>
    <w:p w14:paraId="21EE10BE" w14:textId="77777777" w:rsidR="00E93F94" w:rsidRPr="009B783C" w:rsidRDefault="00E93F94" w:rsidP="003F44EA">
      <w:pPr>
        <w:pStyle w:val="Bullet"/>
        <w:rPr>
          <w:szCs w:val="21"/>
        </w:rPr>
      </w:pPr>
      <w:r w:rsidRPr="009B783C">
        <w:rPr>
          <w:szCs w:val="21"/>
        </w:rPr>
        <w:t>staffing</w:t>
      </w:r>
    </w:p>
    <w:p w14:paraId="45051959" w14:textId="77777777" w:rsidR="00E93F94" w:rsidRPr="009B783C" w:rsidRDefault="00E93F94" w:rsidP="003F44EA">
      <w:pPr>
        <w:pStyle w:val="Bullet"/>
        <w:rPr>
          <w:szCs w:val="21"/>
        </w:rPr>
      </w:pPr>
      <w:r w:rsidRPr="009B783C">
        <w:rPr>
          <w:szCs w:val="21"/>
        </w:rPr>
        <w:t xml:space="preserve">monitoring activity and clinical safety </w:t>
      </w:r>
    </w:p>
    <w:p w14:paraId="6FAA3A61" w14:textId="77777777" w:rsidR="00E93F94" w:rsidRPr="009B783C" w:rsidRDefault="00E93F94" w:rsidP="003F44EA">
      <w:pPr>
        <w:pStyle w:val="Bullet"/>
        <w:rPr>
          <w:szCs w:val="21"/>
        </w:rPr>
      </w:pPr>
      <w:r w:rsidRPr="009B783C">
        <w:rPr>
          <w:szCs w:val="21"/>
        </w:rPr>
        <w:t xml:space="preserve">facilities infrastructure and equipment </w:t>
      </w:r>
    </w:p>
    <w:p w14:paraId="708E8D47" w14:textId="77777777" w:rsidR="00E93F94" w:rsidRPr="009B783C" w:rsidRDefault="00E93F94" w:rsidP="003F44EA">
      <w:pPr>
        <w:pStyle w:val="Bullet"/>
        <w:rPr>
          <w:szCs w:val="21"/>
        </w:rPr>
      </w:pPr>
      <w:r w:rsidRPr="009B783C">
        <w:rPr>
          <w:szCs w:val="21"/>
        </w:rPr>
        <w:t>infection prevention and control.</w:t>
      </w:r>
    </w:p>
    <w:p w14:paraId="27CEC851" w14:textId="7FA54DC9" w:rsidR="00E93F94" w:rsidRPr="009B783C" w:rsidRDefault="00E93F94" w:rsidP="003F44EA">
      <w:pPr>
        <w:rPr>
          <w:rFonts w:asciiTheme="minorHAnsi" w:hAnsiTheme="minorHAnsi"/>
          <w:szCs w:val="21"/>
          <w:lang w:val="en-GB"/>
        </w:rPr>
      </w:pPr>
      <w:r w:rsidRPr="009B783C">
        <w:rPr>
          <w:szCs w:val="21"/>
        </w:rPr>
        <w:t>Methods</w:t>
      </w:r>
      <w:r w:rsidRPr="009B783C">
        <w:rPr>
          <w:rFonts w:asciiTheme="minorHAnsi" w:hAnsiTheme="minorHAnsi"/>
          <w:szCs w:val="21"/>
        </w:rPr>
        <w:t xml:space="preserve"> used to conduct the assessments included document reviews, interviews with staff, medical records reviews, direct observation and equipment reviews</w:t>
      </w:r>
      <w:r w:rsidR="0095419A" w:rsidRPr="009B783C">
        <w:rPr>
          <w:rFonts w:asciiTheme="minorHAnsi" w:hAnsiTheme="minorHAnsi"/>
          <w:szCs w:val="21"/>
        </w:rPr>
        <w:t>.</w:t>
      </w:r>
      <w:r w:rsidRPr="009B783C">
        <w:rPr>
          <w:rFonts w:asciiTheme="minorHAnsi" w:hAnsiTheme="minorHAnsi"/>
          <w:szCs w:val="21"/>
        </w:rPr>
        <w:t xml:space="preserve"> Medicare </w:t>
      </w:r>
      <w:r w:rsidR="0095419A" w:rsidRPr="009B783C">
        <w:rPr>
          <w:rFonts w:asciiTheme="minorHAnsi" w:hAnsiTheme="minorHAnsi"/>
          <w:szCs w:val="21"/>
        </w:rPr>
        <w:t>UCC</w:t>
      </w:r>
      <w:r w:rsidR="00935A88" w:rsidRPr="009B783C">
        <w:rPr>
          <w:rFonts w:asciiTheme="minorHAnsi" w:hAnsiTheme="minorHAnsi"/>
          <w:szCs w:val="21"/>
        </w:rPr>
        <w:t>s</w:t>
      </w:r>
      <w:r w:rsidR="0095419A" w:rsidRPr="009B783C">
        <w:rPr>
          <w:rFonts w:asciiTheme="minorHAnsi" w:hAnsiTheme="minorHAnsi"/>
          <w:szCs w:val="21"/>
        </w:rPr>
        <w:t xml:space="preserve"> w</w:t>
      </w:r>
      <w:r w:rsidR="00935A88" w:rsidRPr="009B783C">
        <w:rPr>
          <w:rFonts w:asciiTheme="minorHAnsi" w:hAnsiTheme="minorHAnsi"/>
          <w:szCs w:val="21"/>
        </w:rPr>
        <w:t>ere</w:t>
      </w:r>
      <w:r w:rsidR="0095419A" w:rsidRPr="009B783C">
        <w:rPr>
          <w:rFonts w:asciiTheme="minorHAnsi" w:hAnsiTheme="minorHAnsi"/>
          <w:szCs w:val="21"/>
        </w:rPr>
        <w:t xml:space="preserve"> </w:t>
      </w:r>
      <w:r w:rsidR="000D198D" w:rsidRPr="009B783C">
        <w:rPr>
          <w:rFonts w:asciiTheme="minorHAnsi" w:hAnsiTheme="minorHAnsi"/>
          <w:szCs w:val="21"/>
        </w:rPr>
        <w:t xml:space="preserve">then </w:t>
      </w:r>
      <w:r w:rsidR="0095419A" w:rsidRPr="009B783C">
        <w:rPr>
          <w:rFonts w:asciiTheme="minorHAnsi" w:hAnsiTheme="minorHAnsi"/>
          <w:szCs w:val="21"/>
        </w:rPr>
        <w:t>either:</w:t>
      </w:r>
    </w:p>
    <w:p w14:paraId="42E79814" w14:textId="77777777" w:rsidR="00E93F94" w:rsidRPr="009B783C" w:rsidRDefault="00E93F94" w:rsidP="003F44EA">
      <w:pPr>
        <w:pStyle w:val="Bullet"/>
        <w:rPr>
          <w:szCs w:val="21"/>
        </w:rPr>
      </w:pPr>
      <w:r w:rsidRPr="009B783C">
        <w:rPr>
          <w:szCs w:val="21"/>
        </w:rPr>
        <w:t>advised of critical recommendations that required resolution before opening, or</w:t>
      </w:r>
    </w:p>
    <w:p w14:paraId="49C20A23" w14:textId="77777777" w:rsidR="00E93F94" w:rsidRPr="009B783C" w:rsidRDefault="00E93F94" w:rsidP="003F44EA">
      <w:pPr>
        <w:pStyle w:val="Bullet"/>
        <w:rPr>
          <w:szCs w:val="21"/>
        </w:rPr>
      </w:pPr>
      <w:r w:rsidRPr="009B783C">
        <w:rPr>
          <w:szCs w:val="21"/>
        </w:rPr>
        <w:t xml:space="preserve">deemed safe and ready to open, sometimes with non-critical recommendations to be implemented after opening. </w:t>
      </w:r>
    </w:p>
    <w:p w14:paraId="340BB682" w14:textId="56E59F3F" w:rsidR="00E93F94" w:rsidRPr="009B783C" w:rsidRDefault="00E93F94" w:rsidP="003F44EA">
      <w:pPr>
        <w:pStyle w:val="Bullet"/>
        <w:numPr>
          <w:ilvl w:val="0"/>
          <w:numId w:val="0"/>
        </w:numPr>
        <w:rPr>
          <w:szCs w:val="21"/>
        </w:rPr>
      </w:pPr>
      <w:r w:rsidRPr="009B783C">
        <w:rPr>
          <w:szCs w:val="21"/>
        </w:rPr>
        <w:lastRenderedPageBreak/>
        <w:t xml:space="preserve">The Medicare UCC Operational Guidance focuses on the delivery of urgent care rather than broader aspects of clinical governance or the overall quality and safety of patient care. Consequently, Medicare UCCs are also required to be accredited to another recognised and relevant </w:t>
      </w:r>
      <w:r w:rsidR="00605D44" w:rsidRPr="009B783C">
        <w:rPr>
          <w:szCs w:val="21"/>
        </w:rPr>
        <w:t>s</w:t>
      </w:r>
      <w:r w:rsidR="0095419A" w:rsidRPr="009B783C">
        <w:rPr>
          <w:szCs w:val="21"/>
        </w:rPr>
        <w:t>tandard</w:t>
      </w:r>
      <w:r w:rsidRPr="009B783C">
        <w:rPr>
          <w:szCs w:val="21"/>
        </w:rPr>
        <w:t xml:space="preserve">, such </w:t>
      </w:r>
      <w:r w:rsidR="0095419A" w:rsidRPr="009B783C">
        <w:rPr>
          <w:szCs w:val="21"/>
        </w:rPr>
        <w:t>as</w:t>
      </w:r>
      <w:r w:rsidR="0095419A" w:rsidRPr="009B783C" w:rsidDel="00FC5C45">
        <w:rPr>
          <w:szCs w:val="21"/>
        </w:rPr>
        <w:t xml:space="preserve"> </w:t>
      </w:r>
      <w:r w:rsidR="0095419A" w:rsidRPr="009B783C">
        <w:rPr>
          <w:szCs w:val="21"/>
        </w:rPr>
        <w:t>the</w:t>
      </w:r>
      <w:r w:rsidRPr="009B783C">
        <w:rPr>
          <w:szCs w:val="21"/>
        </w:rPr>
        <w:t xml:space="preserve"> </w:t>
      </w:r>
      <w:r w:rsidR="00E87F83" w:rsidRPr="009B783C">
        <w:rPr>
          <w:szCs w:val="21"/>
        </w:rPr>
        <w:t>RACGP’s</w:t>
      </w:r>
      <w:r w:rsidRPr="009B783C">
        <w:rPr>
          <w:szCs w:val="21"/>
        </w:rPr>
        <w:t xml:space="preserve"> </w:t>
      </w:r>
      <w:r w:rsidRPr="009B783C">
        <w:rPr>
          <w:i/>
          <w:iCs/>
          <w:szCs w:val="21"/>
        </w:rPr>
        <w:t>Standards for general practice</w:t>
      </w:r>
      <w:r w:rsidRPr="009B783C">
        <w:rPr>
          <w:szCs w:val="21"/>
        </w:rPr>
        <w:t>.</w:t>
      </w:r>
    </w:p>
    <w:p w14:paraId="4065723E" w14:textId="61A34FB4" w:rsidR="00E93F94" w:rsidRPr="009B783C" w:rsidRDefault="00E93F94" w:rsidP="003F44EA">
      <w:pPr>
        <w:rPr>
          <w:szCs w:val="21"/>
          <w:lang w:eastAsia="en-AU"/>
        </w:rPr>
      </w:pPr>
      <w:r w:rsidRPr="009B783C">
        <w:rPr>
          <w:rFonts w:asciiTheme="minorHAnsi" w:hAnsiTheme="minorHAnsi" w:cstheme="minorHAnsi"/>
          <w:szCs w:val="21"/>
        </w:rPr>
        <w:t xml:space="preserve">The Department commissioned Quality Practice Accreditation (QPA), an organisation that specialises in the accreditation of general practices, to undertake independent assessments of Medicare UCCs not being assessed under state or territory commissioner-led assessment processes. As of 30 September 2024, QPA </w:t>
      </w:r>
      <w:r w:rsidR="0088275F" w:rsidRPr="009B783C">
        <w:rPr>
          <w:rFonts w:asciiTheme="minorHAnsi" w:hAnsiTheme="minorHAnsi" w:cstheme="minorHAnsi"/>
          <w:szCs w:val="21"/>
        </w:rPr>
        <w:t xml:space="preserve">had </w:t>
      </w:r>
      <w:r w:rsidRPr="009B783C">
        <w:rPr>
          <w:rFonts w:asciiTheme="minorHAnsi" w:hAnsiTheme="minorHAnsi" w:cstheme="minorHAnsi"/>
          <w:szCs w:val="21"/>
        </w:rPr>
        <w:t>conducted independent clinical assessments for 57 (76 per cent) of the Medicare UCCs. For the remaining 18 clinics, local independent assessors or pre-existing clinical assessment processes were used, with agreement from the Department</w:t>
      </w:r>
      <w:r w:rsidR="00BE6E7A" w:rsidRPr="009B783C">
        <w:rPr>
          <w:rFonts w:asciiTheme="minorHAnsi" w:hAnsiTheme="minorHAnsi" w:cstheme="minorHAnsi"/>
          <w:szCs w:val="21"/>
        </w:rPr>
        <w:t xml:space="preserve">, </w:t>
      </w:r>
      <w:r w:rsidR="009A4E65" w:rsidRPr="009B783C">
        <w:rPr>
          <w:rFonts w:asciiTheme="minorHAnsi" w:hAnsiTheme="minorHAnsi" w:cstheme="minorHAnsi"/>
          <w:szCs w:val="21"/>
        </w:rPr>
        <w:t xml:space="preserve">due to unique local contexts or commissioners’ knowledge of </w:t>
      </w:r>
      <w:r w:rsidR="00B123C3" w:rsidRPr="009B783C">
        <w:rPr>
          <w:rFonts w:asciiTheme="minorHAnsi" w:hAnsiTheme="minorHAnsi" w:cstheme="minorHAnsi"/>
          <w:szCs w:val="21"/>
        </w:rPr>
        <w:t>the</w:t>
      </w:r>
      <w:r w:rsidR="00C007C1" w:rsidRPr="009B783C">
        <w:rPr>
          <w:rFonts w:asciiTheme="minorHAnsi" w:hAnsiTheme="minorHAnsi" w:cstheme="minorHAnsi"/>
          <w:szCs w:val="21"/>
        </w:rPr>
        <w:t xml:space="preserve"> communities</w:t>
      </w:r>
      <w:r w:rsidR="0095419A" w:rsidRPr="009B783C">
        <w:rPr>
          <w:rFonts w:asciiTheme="minorHAnsi" w:hAnsiTheme="minorHAnsi" w:cstheme="minorHAnsi"/>
          <w:szCs w:val="21"/>
        </w:rPr>
        <w:t xml:space="preserve">. </w:t>
      </w:r>
      <w:r w:rsidRPr="009B783C">
        <w:rPr>
          <w:rFonts w:asciiTheme="minorHAnsi" w:hAnsiTheme="minorHAnsi" w:cstheme="minorHAnsi"/>
          <w:szCs w:val="21"/>
        </w:rPr>
        <w:fldChar w:fldCharType="begin"/>
      </w:r>
      <w:r w:rsidRPr="009B783C">
        <w:rPr>
          <w:rFonts w:asciiTheme="minorHAnsi" w:hAnsiTheme="minorHAnsi" w:cstheme="minorHAnsi"/>
          <w:szCs w:val="21"/>
        </w:rPr>
        <w:instrText xml:space="preserve"> REF _Ref181184224 \h </w:instrText>
      </w:r>
      <w:r w:rsidR="003F44EA" w:rsidRPr="009B783C">
        <w:rPr>
          <w:rFonts w:asciiTheme="minorHAnsi" w:hAnsiTheme="minorHAnsi" w:cstheme="minorHAnsi"/>
          <w:szCs w:val="21"/>
        </w:rPr>
        <w:instrText xml:space="preserve"> \* MERGEFORMAT </w:instrText>
      </w:r>
      <w:r w:rsidRPr="009B783C">
        <w:rPr>
          <w:rFonts w:asciiTheme="minorHAnsi" w:hAnsiTheme="minorHAnsi" w:cstheme="minorHAnsi"/>
          <w:szCs w:val="21"/>
        </w:rPr>
      </w:r>
      <w:r w:rsidRPr="009B783C">
        <w:rPr>
          <w:rFonts w:asciiTheme="minorHAnsi" w:hAnsiTheme="minorHAnsi" w:cstheme="minorHAnsi"/>
          <w:szCs w:val="21"/>
        </w:rPr>
        <w:fldChar w:fldCharType="separate"/>
      </w:r>
      <w:r w:rsidR="006E7782" w:rsidRPr="009B783C">
        <w:rPr>
          <w:szCs w:val="21"/>
        </w:rPr>
        <w:t xml:space="preserve">Table </w:t>
      </w:r>
      <w:r w:rsidR="006E7782">
        <w:rPr>
          <w:szCs w:val="21"/>
        </w:rPr>
        <w:t>9</w:t>
      </w:r>
      <w:r w:rsidRPr="009B783C">
        <w:rPr>
          <w:rFonts w:asciiTheme="minorHAnsi" w:hAnsiTheme="minorHAnsi" w:cstheme="minorHAnsi"/>
          <w:szCs w:val="21"/>
        </w:rPr>
        <w:fldChar w:fldCharType="end"/>
      </w:r>
      <w:r w:rsidRPr="009B783C">
        <w:rPr>
          <w:szCs w:val="21"/>
          <w:lang w:eastAsia="en-AU"/>
        </w:rPr>
        <w:t xml:space="preserve"> describes the processes and rationale for these variations by state and territory.</w:t>
      </w:r>
    </w:p>
    <w:p w14:paraId="0EDC8646" w14:textId="096D4AFA" w:rsidR="00E93F94" w:rsidRPr="009B783C" w:rsidRDefault="00E93F94" w:rsidP="00E93F94">
      <w:pPr>
        <w:pStyle w:val="Caption"/>
        <w:rPr>
          <w:szCs w:val="21"/>
          <w:lang w:eastAsia="en-AU"/>
        </w:rPr>
      </w:pPr>
      <w:bookmarkStart w:id="105" w:name="_Ref181184224"/>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E7782">
        <w:rPr>
          <w:noProof/>
          <w:szCs w:val="21"/>
        </w:rPr>
        <w:t>9</w:t>
      </w:r>
      <w:r w:rsidRPr="009B783C">
        <w:rPr>
          <w:szCs w:val="21"/>
        </w:rPr>
        <w:fldChar w:fldCharType="end"/>
      </w:r>
      <w:bookmarkEnd w:id="105"/>
      <w:r w:rsidRPr="009B783C">
        <w:rPr>
          <w:szCs w:val="21"/>
        </w:rPr>
        <w:t xml:space="preserve"> | Variations to the national independent clinical assessment process by state and territory</w:t>
      </w:r>
    </w:p>
    <w:tbl>
      <w:tblPr>
        <w:tblStyle w:val="NOUSSideHeader1"/>
        <w:tblW w:w="0" w:type="auto"/>
        <w:tblLook w:val="04A0" w:firstRow="1" w:lastRow="0" w:firstColumn="1" w:lastColumn="0" w:noHBand="0" w:noVBand="1"/>
      </w:tblPr>
      <w:tblGrid>
        <w:gridCol w:w="1075"/>
        <w:gridCol w:w="1139"/>
        <w:gridCol w:w="6716"/>
      </w:tblGrid>
      <w:tr w:rsidR="00AE6FF8" w:rsidRPr="009B783C" w14:paraId="7C3C3143" w14:textId="77777777" w:rsidTr="000D706D">
        <w:trPr>
          <w:cnfStyle w:val="100000000000" w:firstRow="1" w:lastRow="0" w:firstColumn="0" w:lastColumn="0" w:oddVBand="0" w:evenVBand="0" w:oddHBand="0" w:evenHBand="0" w:firstRowFirstColumn="0" w:firstRowLastColumn="0" w:lastRowFirstColumn="0" w:lastRowLastColumn="0"/>
        </w:trPr>
        <w:tc>
          <w:tcPr>
            <w:tcW w:w="1075" w:type="dxa"/>
            <w:tcBorders>
              <w:top w:val="single" w:sz="2" w:space="0" w:color="00264D" w:themeColor="background2"/>
              <w:bottom w:val="single" w:sz="4" w:space="0" w:color="00264D" w:themeColor="background2"/>
            </w:tcBorders>
            <w:shd w:val="clear" w:color="auto" w:fill="00264D" w:themeFill="background2"/>
          </w:tcPr>
          <w:p w14:paraId="2C4679E5" w14:textId="77777777" w:rsidR="0095419A" w:rsidRPr="009B783C" w:rsidRDefault="0095419A" w:rsidP="00D37C77">
            <w:pPr>
              <w:pStyle w:val="TableNheader"/>
            </w:pPr>
            <w:r w:rsidRPr="009B783C">
              <w:t>State or territory</w:t>
            </w:r>
          </w:p>
        </w:tc>
        <w:tc>
          <w:tcPr>
            <w:tcW w:w="1139" w:type="dxa"/>
            <w:tcBorders>
              <w:top w:val="single" w:sz="2" w:space="0" w:color="00264D" w:themeColor="background2"/>
              <w:bottom w:val="single" w:sz="4" w:space="0" w:color="00264D" w:themeColor="background2"/>
            </w:tcBorders>
            <w:shd w:val="clear" w:color="auto" w:fill="00264D" w:themeFill="background2"/>
          </w:tcPr>
          <w:p w14:paraId="26BF1FF5" w14:textId="77777777" w:rsidR="0095419A" w:rsidRPr="009B783C" w:rsidRDefault="0095419A" w:rsidP="00D37C77">
            <w:pPr>
              <w:pStyle w:val="TableNheader"/>
            </w:pPr>
            <w:r w:rsidRPr="009B783C">
              <w:t>Medicare UCCs</w:t>
            </w:r>
          </w:p>
        </w:tc>
        <w:tc>
          <w:tcPr>
            <w:tcW w:w="6716" w:type="dxa"/>
            <w:tcBorders>
              <w:top w:val="single" w:sz="2" w:space="0" w:color="00264D" w:themeColor="background2"/>
              <w:bottom w:val="single" w:sz="4" w:space="0" w:color="00264D" w:themeColor="background2"/>
            </w:tcBorders>
            <w:shd w:val="clear" w:color="auto" w:fill="00264D" w:themeFill="background2"/>
          </w:tcPr>
          <w:p w14:paraId="0D39C4B6" w14:textId="77777777" w:rsidR="0095419A" w:rsidRPr="009B783C" w:rsidRDefault="0095419A" w:rsidP="00D37C77">
            <w:pPr>
              <w:pStyle w:val="TableNheader"/>
            </w:pPr>
            <w:r w:rsidRPr="009B783C">
              <w:t>Protocol and rationale</w:t>
            </w:r>
          </w:p>
        </w:tc>
      </w:tr>
      <w:tr w:rsidR="0095419A" w:rsidRPr="009B783C" w14:paraId="35DD52C4" w14:textId="77777777" w:rsidTr="000D706D">
        <w:trPr>
          <w:cnfStyle w:val="000000100000" w:firstRow="0" w:lastRow="0" w:firstColumn="0" w:lastColumn="0" w:oddVBand="0" w:evenVBand="0" w:oddHBand="1" w:evenHBand="0" w:firstRowFirstColumn="0" w:firstRowLastColumn="0" w:lastRowFirstColumn="0" w:lastRowLastColumn="0"/>
        </w:trPr>
        <w:tc>
          <w:tcPr>
            <w:tcW w:w="1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C3ACB8E" w14:textId="77777777" w:rsidR="0095419A" w:rsidRPr="009B783C" w:rsidRDefault="0095419A" w:rsidP="00F44F6E">
            <w:pPr>
              <w:pStyle w:val="TableNText"/>
              <w:keepLines/>
              <w:rPr>
                <w:sz w:val="21"/>
                <w:szCs w:val="21"/>
              </w:rPr>
            </w:pPr>
            <w:r w:rsidRPr="009B783C">
              <w:rPr>
                <w:sz w:val="21"/>
                <w:szCs w:val="21"/>
              </w:rPr>
              <w:t>ACT</w:t>
            </w:r>
          </w:p>
        </w:tc>
        <w:tc>
          <w:tcPr>
            <w:tcW w:w="113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69FD5EF" w14:textId="77777777" w:rsidR="0095419A" w:rsidRPr="009B783C" w:rsidRDefault="0095419A" w:rsidP="00AB7572">
            <w:pPr>
              <w:pStyle w:val="TableNText"/>
              <w:keepLines/>
              <w:rPr>
                <w:sz w:val="21"/>
                <w:szCs w:val="21"/>
              </w:rPr>
            </w:pPr>
            <w:r w:rsidRPr="009B783C">
              <w:rPr>
                <w:sz w:val="21"/>
                <w:szCs w:val="21"/>
              </w:rPr>
              <w:t>5</w:t>
            </w:r>
          </w:p>
        </w:tc>
        <w:tc>
          <w:tcPr>
            <w:tcW w:w="671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CDF1961" w14:textId="58FF1DB3" w:rsidR="0095419A" w:rsidRPr="009B783C" w:rsidRDefault="0095419A" w:rsidP="00F44F6E">
            <w:pPr>
              <w:pStyle w:val="TableNText"/>
              <w:keepLines/>
              <w:rPr>
                <w:sz w:val="21"/>
                <w:szCs w:val="21"/>
                <w:highlight w:val="cyan"/>
              </w:rPr>
            </w:pPr>
            <w:r w:rsidRPr="009B783C">
              <w:rPr>
                <w:sz w:val="21"/>
                <w:szCs w:val="21"/>
              </w:rPr>
              <w:t xml:space="preserve">These clinics are existing </w:t>
            </w:r>
            <w:r w:rsidR="00CF4232" w:rsidRPr="009B783C">
              <w:rPr>
                <w:sz w:val="21"/>
                <w:szCs w:val="21"/>
              </w:rPr>
              <w:t>walk</w:t>
            </w:r>
            <w:r w:rsidRPr="009B783C">
              <w:rPr>
                <w:sz w:val="21"/>
                <w:szCs w:val="21"/>
              </w:rPr>
              <w:t xml:space="preserve">-in </w:t>
            </w:r>
            <w:r w:rsidR="00CF4232" w:rsidRPr="009B783C">
              <w:rPr>
                <w:sz w:val="21"/>
                <w:szCs w:val="21"/>
              </w:rPr>
              <w:t>cen</w:t>
            </w:r>
            <w:r w:rsidRPr="009B783C">
              <w:rPr>
                <w:sz w:val="21"/>
                <w:szCs w:val="21"/>
              </w:rPr>
              <w:t xml:space="preserve">tres operated by </w:t>
            </w:r>
            <w:r w:rsidR="00F44F6E" w:rsidRPr="009B783C">
              <w:rPr>
                <w:sz w:val="21"/>
                <w:szCs w:val="21"/>
              </w:rPr>
              <w:t>CHS</w:t>
            </w:r>
            <w:r w:rsidRPr="009B783C">
              <w:rPr>
                <w:sz w:val="21"/>
                <w:szCs w:val="21"/>
              </w:rPr>
              <w:t xml:space="preserve"> since 2010. It was agreed that the clinical readiness assessments for ACT </w:t>
            </w:r>
            <w:r w:rsidR="00927596" w:rsidRPr="009B783C">
              <w:rPr>
                <w:sz w:val="21"/>
                <w:szCs w:val="21"/>
              </w:rPr>
              <w:t xml:space="preserve">Medicare </w:t>
            </w:r>
            <w:r w:rsidRPr="009B783C">
              <w:rPr>
                <w:sz w:val="21"/>
                <w:szCs w:val="21"/>
              </w:rPr>
              <w:t>UCCs will be conducted post-opening if required as the Walk-in Centre framework for operations aligns closely with the Medicare UCC Operational Guidance.</w:t>
            </w:r>
            <w:r w:rsidR="008A611A" w:rsidRPr="009B783C">
              <w:rPr>
                <w:sz w:val="21"/>
                <w:szCs w:val="21"/>
              </w:rPr>
              <w:t xml:space="preserve"> </w:t>
            </w:r>
          </w:p>
        </w:tc>
      </w:tr>
      <w:tr w:rsidR="0095419A" w:rsidRPr="009B783C" w14:paraId="3D106D44" w14:textId="77777777" w:rsidTr="000D706D">
        <w:trPr>
          <w:cnfStyle w:val="000000010000" w:firstRow="0" w:lastRow="0" w:firstColumn="0" w:lastColumn="0" w:oddVBand="0" w:evenVBand="0" w:oddHBand="0" w:evenHBand="1" w:firstRowFirstColumn="0" w:firstRowLastColumn="0" w:lastRowFirstColumn="0" w:lastRowLastColumn="0"/>
        </w:trPr>
        <w:tc>
          <w:tcPr>
            <w:tcW w:w="1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6BCE958" w14:textId="77777777" w:rsidR="0095419A" w:rsidRPr="009B783C" w:rsidRDefault="0095419A" w:rsidP="00F44F6E">
            <w:pPr>
              <w:pStyle w:val="TableNText"/>
              <w:keepLines/>
              <w:rPr>
                <w:sz w:val="21"/>
                <w:szCs w:val="21"/>
              </w:rPr>
            </w:pPr>
            <w:r w:rsidRPr="009B783C">
              <w:rPr>
                <w:sz w:val="21"/>
                <w:szCs w:val="21"/>
              </w:rPr>
              <w:t>NT</w:t>
            </w:r>
          </w:p>
        </w:tc>
        <w:tc>
          <w:tcPr>
            <w:tcW w:w="113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8509B08" w14:textId="77777777" w:rsidR="0095419A" w:rsidRPr="009B783C" w:rsidRDefault="0095419A" w:rsidP="00AB7572">
            <w:pPr>
              <w:pStyle w:val="TableNText"/>
              <w:keepLines/>
              <w:rPr>
                <w:sz w:val="21"/>
                <w:szCs w:val="21"/>
              </w:rPr>
            </w:pPr>
            <w:r w:rsidRPr="009B783C">
              <w:rPr>
                <w:sz w:val="21"/>
                <w:szCs w:val="21"/>
              </w:rPr>
              <w:t>3</w:t>
            </w:r>
          </w:p>
        </w:tc>
        <w:tc>
          <w:tcPr>
            <w:tcW w:w="671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7582F03" w14:textId="77777777" w:rsidR="0095419A" w:rsidRPr="009B783C" w:rsidRDefault="0095419A" w:rsidP="00F44F6E">
            <w:pPr>
              <w:pStyle w:val="TableNText"/>
              <w:keepLines/>
              <w:rPr>
                <w:sz w:val="21"/>
                <w:szCs w:val="21"/>
              </w:rPr>
            </w:pPr>
            <w:r w:rsidRPr="009B783C">
              <w:rPr>
                <w:sz w:val="21"/>
                <w:szCs w:val="21"/>
              </w:rPr>
              <w:t xml:space="preserve">These clinics are in remote communities in the NT. NT Health conducted the clinical readiness assessment rather than QPA, based on their strong understanding of the remote clinics and the environments in which they operate. </w:t>
            </w:r>
          </w:p>
        </w:tc>
      </w:tr>
      <w:tr w:rsidR="0095419A" w:rsidRPr="009B783C" w14:paraId="71E121AE" w14:textId="77777777" w:rsidTr="000D706D">
        <w:trPr>
          <w:cnfStyle w:val="000000100000" w:firstRow="0" w:lastRow="0" w:firstColumn="0" w:lastColumn="0" w:oddVBand="0" w:evenVBand="0" w:oddHBand="1" w:evenHBand="0" w:firstRowFirstColumn="0" w:firstRowLastColumn="0" w:lastRowFirstColumn="0" w:lastRowLastColumn="0"/>
        </w:trPr>
        <w:tc>
          <w:tcPr>
            <w:tcW w:w="1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A3CA81D" w14:textId="6A9D0A0D" w:rsidR="0095419A" w:rsidRPr="009B783C" w:rsidRDefault="00120D01" w:rsidP="00F44F6E">
            <w:pPr>
              <w:pStyle w:val="TableNText"/>
              <w:keepLines/>
              <w:rPr>
                <w:sz w:val="21"/>
                <w:szCs w:val="21"/>
              </w:rPr>
            </w:pPr>
            <w:r w:rsidRPr="009B783C">
              <w:rPr>
                <w:sz w:val="21"/>
                <w:szCs w:val="21"/>
              </w:rPr>
              <w:t>TAS</w:t>
            </w:r>
          </w:p>
        </w:tc>
        <w:tc>
          <w:tcPr>
            <w:tcW w:w="113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40A3547" w14:textId="77777777" w:rsidR="0095419A" w:rsidRPr="009B783C" w:rsidRDefault="0095419A" w:rsidP="00AB7572">
            <w:pPr>
              <w:pStyle w:val="TableNText"/>
              <w:keepLines/>
              <w:rPr>
                <w:sz w:val="21"/>
                <w:szCs w:val="21"/>
              </w:rPr>
            </w:pPr>
            <w:r w:rsidRPr="009B783C">
              <w:rPr>
                <w:sz w:val="21"/>
                <w:szCs w:val="21"/>
              </w:rPr>
              <w:t>3</w:t>
            </w:r>
          </w:p>
        </w:tc>
        <w:tc>
          <w:tcPr>
            <w:tcW w:w="671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6AACF57" w14:textId="77777777" w:rsidR="0095419A" w:rsidRPr="009B783C" w:rsidRDefault="0095419A" w:rsidP="00F44F6E">
            <w:pPr>
              <w:pStyle w:val="TableNText"/>
              <w:keepLines/>
              <w:rPr>
                <w:sz w:val="21"/>
                <w:szCs w:val="21"/>
              </w:rPr>
            </w:pPr>
            <w:r w:rsidRPr="009B783C">
              <w:rPr>
                <w:sz w:val="21"/>
                <w:szCs w:val="21"/>
              </w:rPr>
              <w:t xml:space="preserve">The Tasmanian Department of Health arranged for an experienced independent GP to inspect each site prior to opening and assess it against the Medicare UCC Operational Guidance. The independent assessor has conducted follow up visits at sites where necessary and will perform follow up inspections to coincide with the 12- and 24-month contract reviews. </w:t>
            </w:r>
          </w:p>
        </w:tc>
      </w:tr>
      <w:tr w:rsidR="0095419A" w:rsidRPr="009B783C" w14:paraId="429DB11E" w14:textId="77777777" w:rsidTr="000D706D">
        <w:trPr>
          <w:cnfStyle w:val="000000010000" w:firstRow="0" w:lastRow="0" w:firstColumn="0" w:lastColumn="0" w:oddVBand="0" w:evenVBand="0" w:oddHBand="0" w:evenHBand="1" w:firstRowFirstColumn="0" w:firstRowLastColumn="0" w:lastRowFirstColumn="0" w:lastRowLastColumn="0"/>
        </w:trPr>
        <w:tc>
          <w:tcPr>
            <w:tcW w:w="1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4D611AF" w14:textId="53A352C0" w:rsidR="0095419A" w:rsidRPr="009B783C" w:rsidRDefault="00B61B2A" w:rsidP="00F44F6E">
            <w:pPr>
              <w:pStyle w:val="TableNText"/>
              <w:keepLines/>
              <w:rPr>
                <w:sz w:val="21"/>
                <w:szCs w:val="21"/>
              </w:rPr>
            </w:pPr>
            <w:r w:rsidRPr="009B783C">
              <w:rPr>
                <w:sz w:val="21"/>
                <w:szCs w:val="21"/>
              </w:rPr>
              <w:t>VIC</w:t>
            </w:r>
          </w:p>
        </w:tc>
        <w:tc>
          <w:tcPr>
            <w:tcW w:w="1139"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37161FC" w14:textId="77777777" w:rsidR="0095419A" w:rsidRPr="009B783C" w:rsidRDefault="0095419A" w:rsidP="00AB7572">
            <w:pPr>
              <w:pStyle w:val="TableNText"/>
              <w:keepLines/>
              <w:rPr>
                <w:sz w:val="21"/>
                <w:szCs w:val="21"/>
              </w:rPr>
            </w:pPr>
            <w:r w:rsidRPr="009B783C">
              <w:rPr>
                <w:sz w:val="21"/>
                <w:szCs w:val="21"/>
              </w:rPr>
              <w:t>7</w:t>
            </w:r>
          </w:p>
        </w:tc>
        <w:tc>
          <w:tcPr>
            <w:tcW w:w="6716"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FC8BA3E" w14:textId="7CC06CF0" w:rsidR="0095419A" w:rsidRPr="009B783C" w:rsidRDefault="0095419A" w:rsidP="00F44F6E">
            <w:pPr>
              <w:pStyle w:val="TableNText"/>
              <w:keepLines/>
              <w:rPr>
                <w:sz w:val="21"/>
                <w:szCs w:val="21"/>
              </w:rPr>
            </w:pPr>
            <w:r w:rsidRPr="009B783C">
              <w:rPr>
                <w:sz w:val="21"/>
                <w:szCs w:val="21"/>
              </w:rPr>
              <w:t>These clinics previously operated under the Victorian Priority Primary Care Centre</w:t>
            </w:r>
            <w:r w:rsidR="008A611A" w:rsidRPr="009B783C">
              <w:rPr>
                <w:sz w:val="21"/>
                <w:szCs w:val="21"/>
              </w:rPr>
              <w:t xml:space="preserve"> </w:t>
            </w:r>
            <w:r w:rsidRPr="009B783C">
              <w:rPr>
                <w:sz w:val="21"/>
                <w:szCs w:val="21"/>
              </w:rPr>
              <w:t xml:space="preserve">framework for operations, which closely aligns to the Medicare UCC Operational Guidance. It was agreed that the clinical readiness assessments for </w:t>
            </w:r>
            <w:r w:rsidR="00266363" w:rsidRPr="009B783C">
              <w:rPr>
                <w:sz w:val="21"/>
                <w:szCs w:val="21"/>
              </w:rPr>
              <w:t>Victorian</w:t>
            </w:r>
            <w:r w:rsidRPr="009B783C">
              <w:rPr>
                <w:sz w:val="21"/>
                <w:szCs w:val="21"/>
              </w:rPr>
              <w:t xml:space="preserve"> UCCs will be conducted post-opening if required. </w:t>
            </w:r>
          </w:p>
        </w:tc>
      </w:tr>
    </w:tbl>
    <w:p w14:paraId="2B470908" w14:textId="75407F8E" w:rsidR="00E93F94" w:rsidRDefault="00E93F94" w:rsidP="000D706D">
      <w:pPr>
        <w:pStyle w:val="Heading3"/>
      </w:pPr>
      <w:r w:rsidRPr="009B783C">
        <w:lastRenderedPageBreak/>
        <w:t xml:space="preserve">Most Medicare UCCs </w:t>
      </w:r>
      <w:r w:rsidR="0020731D" w:rsidRPr="009B783C">
        <w:t xml:space="preserve">patients </w:t>
      </w:r>
      <w:r w:rsidRPr="009B783C">
        <w:t>presented with conditions that are appropriate to be managed by these services</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0D706D" w:rsidRPr="009B783C" w14:paraId="2E963C61" w14:textId="77777777" w:rsidTr="000D706D">
        <w:tc>
          <w:tcPr>
            <w:tcW w:w="9146" w:type="dxa"/>
          </w:tcPr>
          <w:p w14:paraId="00E3776D" w14:textId="77777777" w:rsidR="000D706D" w:rsidRPr="00646FE9" w:rsidRDefault="000D706D" w:rsidP="000D706D">
            <w:pPr>
              <w:pStyle w:val="Longformcallout"/>
              <w:rPr>
                <w:rFonts w:asciiTheme="majorHAnsi" w:hAnsiTheme="majorHAnsi" w:cstheme="majorHAnsi"/>
                <w:sz w:val="28"/>
                <w:szCs w:val="28"/>
              </w:rPr>
            </w:pPr>
            <w:r w:rsidRPr="00646FE9">
              <w:rPr>
                <w:rFonts w:asciiTheme="majorHAnsi" w:hAnsiTheme="majorHAnsi" w:cstheme="majorHAnsi"/>
                <w:sz w:val="28"/>
                <w:szCs w:val="28"/>
              </w:rPr>
              <w:t>Interim finding</w:t>
            </w:r>
          </w:p>
          <w:p w14:paraId="31694559" w14:textId="77777777" w:rsidR="000D706D" w:rsidRPr="009B783C" w:rsidRDefault="000D706D" w:rsidP="000D706D">
            <w:pPr>
              <w:pStyle w:val="Longformcallout"/>
            </w:pPr>
            <w:r w:rsidRPr="009B783C">
              <w:rPr>
                <w:szCs w:val="21"/>
              </w:rPr>
              <w:t>The Medicare UCC Program implements a robust clinical assessment process prior to opening to ensure clinics meet safety standards and are ready to operate in accordance with the Medicare UCC Operational Guidance.</w:t>
            </w:r>
            <w:r w:rsidRPr="009B783C">
              <w:t xml:space="preserve"> </w:t>
            </w:r>
          </w:p>
        </w:tc>
      </w:tr>
    </w:tbl>
    <w:p w14:paraId="5F323D97" w14:textId="77777777" w:rsidR="00E93F94" w:rsidRPr="009B783C" w:rsidRDefault="00E93F94" w:rsidP="003F44EA">
      <w:pPr>
        <w:rPr>
          <w:rFonts w:asciiTheme="minorHAnsi" w:hAnsiTheme="minorHAnsi"/>
          <w:szCs w:val="21"/>
          <w:lang w:val="en-GB"/>
        </w:rPr>
      </w:pPr>
      <w:r w:rsidRPr="009B783C">
        <w:rPr>
          <w:rFonts w:asciiTheme="minorHAnsi" w:hAnsiTheme="minorHAnsi"/>
          <w:szCs w:val="21"/>
        </w:rPr>
        <w:t>The evaluation is assessing the appropriateness of services provided by examining the type of conditions treated by the Medicare UCCs. These clinics are intended to provide short term, episodic care for urgent conditions that are not immediately life threatening, including minor illnesses, minor injuries and acute exacerbations of chronic disease. They are not intended to provide ongoing care for chronic conditions. Medicare UCCs are expected to have systems in place to inform users when their condition falls outside of the clinic’s scope and to refer them to their usual primary care provider or ED as needed.</w:t>
      </w:r>
      <w:r w:rsidRPr="009B783C">
        <w:rPr>
          <w:rStyle w:val="FootnoteReference"/>
          <w:rFonts w:asciiTheme="minorHAnsi" w:hAnsiTheme="minorHAnsi"/>
          <w:szCs w:val="21"/>
        </w:rPr>
        <w:footnoteReference w:id="53"/>
      </w:r>
    </w:p>
    <w:p w14:paraId="2571A0D9" w14:textId="1A1CB38E" w:rsidR="00E93F94" w:rsidRPr="009B783C" w:rsidRDefault="00E93F94" w:rsidP="003F44EA">
      <w:pPr>
        <w:rPr>
          <w:szCs w:val="21"/>
        </w:rPr>
      </w:pPr>
      <w:r w:rsidRPr="009B783C">
        <w:rPr>
          <w:rFonts w:asciiTheme="minorHAnsi" w:hAnsiTheme="minorHAnsi" w:cstheme="minorHAnsi"/>
          <w:szCs w:val="21"/>
        </w:rPr>
        <w:t xml:space="preserve">Most presentations to Medicare UCCs align with the scope of conditions defined in the Medicare UCC Operational Guidance. </w:t>
      </w:r>
      <w:r w:rsidRPr="009B783C">
        <w:rPr>
          <w:szCs w:val="21"/>
        </w:rPr>
        <w:fldChar w:fldCharType="begin"/>
      </w:r>
      <w:r w:rsidRPr="009B783C">
        <w:rPr>
          <w:szCs w:val="21"/>
        </w:rPr>
        <w:instrText xml:space="preserve"> REF _Ref179619804 \h </w:instrText>
      </w:r>
      <w:r w:rsidR="003F44EA" w:rsidRPr="009B783C">
        <w:rPr>
          <w:szCs w:val="21"/>
        </w:rPr>
        <w:instrText xml:space="preserve"> \* MERGEFORMAT </w:instrText>
      </w:r>
      <w:r w:rsidRPr="009B783C">
        <w:rPr>
          <w:szCs w:val="21"/>
        </w:rPr>
      </w:r>
      <w:r w:rsidRPr="009B783C">
        <w:rPr>
          <w:szCs w:val="21"/>
        </w:rPr>
        <w:fldChar w:fldCharType="separate"/>
      </w:r>
      <w:r w:rsidR="006E7782" w:rsidRPr="009B783C">
        <w:rPr>
          <w:szCs w:val="21"/>
        </w:rPr>
        <w:t xml:space="preserve">Table </w:t>
      </w:r>
      <w:r w:rsidR="006E7782">
        <w:rPr>
          <w:szCs w:val="21"/>
        </w:rPr>
        <w:t>10</w:t>
      </w:r>
      <w:r w:rsidRPr="009B783C">
        <w:rPr>
          <w:szCs w:val="21"/>
        </w:rPr>
        <w:fldChar w:fldCharType="end"/>
      </w:r>
      <w:r w:rsidRPr="009B783C">
        <w:rPr>
          <w:szCs w:val="21"/>
        </w:rPr>
        <w:t xml:space="preserve"> shows the types of conditions patients presented with at Medicare UCCs. Among those with recorded condition types, the majority (63 per cent) sought care for an acute illness only, followed by an acute injury (26 per cent).</w:t>
      </w:r>
    </w:p>
    <w:p w14:paraId="13347A41" w14:textId="336A1332" w:rsidR="00E93F94" w:rsidRPr="009B783C" w:rsidRDefault="00E93F94" w:rsidP="00E93F94">
      <w:pPr>
        <w:pStyle w:val="Caption"/>
        <w:rPr>
          <w:szCs w:val="21"/>
        </w:rPr>
      </w:pPr>
      <w:bookmarkStart w:id="106" w:name="_Ref179619804"/>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E7782">
        <w:rPr>
          <w:noProof/>
          <w:szCs w:val="21"/>
        </w:rPr>
        <w:t>10</w:t>
      </w:r>
      <w:r w:rsidRPr="009B783C">
        <w:rPr>
          <w:szCs w:val="21"/>
        </w:rPr>
        <w:fldChar w:fldCharType="end"/>
      </w:r>
      <w:bookmarkEnd w:id="106"/>
      <w:r w:rsidRPr="009B783C">
        <w:rPr>
          <w:szCs w:val="21"/>
        </w:rPr>
        <w:t xml:space="preserve"> | Condition type (mutually exclusive categories) of patients attending Medicare UCCs</w:t>
      </w:r>
    </w:p>
    <w:tbl>
      <w:tblPr>
        <w:tblW w:w="5000" w:type="pct"/>
        <w:jc w:val="center"/>
        <w:tblLook w:val="0420" w:firstRow="1" w:lastRow="0" w:firstColumn="0" w:lastColumn="0" w:noHBand="0" w:noVBand="1"/>
      </w:tblPr>
      <w:tblGrid>
        <w:gridCol w:w="5214"/>
        <w:gridCol w:w="1854"/>
        <w:gridCol w:w="1852"/>
      </w:tblGrid>
      <w:tr w:rsidR="0095419A" w:rsidRPr="009B783C" w14:paraId="3E13FF8E" w14:textId="77777777" w:rsidTr="002376F8">
        <w:trPr>
          <w:trHeight w:val="453"/>
          <w:tblHeader/>
          <w:jc w:val="center"/>
        </w:trPr>
        <w:tc>
          <w:tcPr>
            <w:tcW w:w="292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5C0CAECE" w14:textId="77777777" w:rsidR="0095419A" w:rsidRPr="009B783C" w:rsidRDefault="0095419A" w:rsidP="00A758C8">
            <w:pPr>
              <w:pStyle w:val="TableNheader"/>
            </w:pPr>
            <w:r w:rsidRPr="009B783C">
              <w:rPr>
                <w:rFonts w:eastAsia="Segoe UI Semibold"/>
              </w:rPr>
              <w:t>Condition type</w:t>
            </w:r>
          </w:p>
        </w:tc>
        <w:tc>
          <w:tcPr>
            <w:tcW w:w="1039"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6D9B078C" w14:textId="77777777" w:rsidR="0095419A" w:rsidRPr="009B783C" w:rsidRDefault="0095419A" w:rsidP="00786482">
            <w:pPr>
              <w:pStyle w:val="TableNheader"/>
            </w:pPr>
            <w:r w:rsidRPr="009B783C">
              <w:rPr>
                <w:rFonts w:eastAsia="Segoe UI Semibold"/>
              </w:rPr>
              <w:t>Presentations</w:t>
            </w:r>
          </w:p>
        </w:tc>
        <w:tc>
          <w:tcPr>
            <w:tcW w:w="1038"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6F7D8995" w14:textId="7D40B0BE" w:rsidR="0095419A" w:rsidRPr="009B783C" w:rsidRDefault="0043766F" w:rsidP="00786482">
            <w:pPr>
              <w:pStyle w:val="TableNheader"/>
            </w:pPr>
            <w:r w:rsidRPr="009B783C">
              <w:rPr>
                <w:rFonts w:eastAsia="Segoe UI Semibold"/>
              </w:rPr>
              <w:t>Percentage of p</w:t>
            </w:r>
            <w:r w:rsidR="00CE792F" w:rsidRPr="009B783C">
              <w:rPr>
                <w:rFonts w:eastAsia="Segoe UI Semibold"/>
              </w:rPr>
              <w:t>resentations that recorded a response</w:t>
            </w:r>
          </w:p>
        </w:tc>
      </w:tr>
      <w:tr w:rsidR="0095419A" w:rsidRPr="009B783C" w14:paraId="4D39195C" w14:textId="77777777" w:rsidTr="002376F8">
        <w:trPr>
          <w:jc w:val="center"/>
        </w:trPr>
        <w:tc>
          <w:tcPr>
            <w:tcW w:w="2923"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03FD01E" w14:textId="77777777" w:rsidR="0095419A" w:rsidRPr="009B783C" w:rsidRDefault="0095419A" w:rsidP="00A758C8">
            <w:pPr>
              <w:pStyle w:val="TableNText"/>
              <w:rPr>
                <w:sz w:val="21"/>
                <w:szCs w:val="21"/>
              </w:rPr>
            </w:pPr>
            <w:r w:rsidRPr="009B783C">
              <w:rPr>
                <w:rFonts w:eastAsia="Segoe UI"/>
                <w:sz w:val="21"/>
                <w:szCs w:val="21"/>
              </w:rPr>
              <w:t>Acute injury</w:t>
            </w:r>
          </w:p>
        </w:tc>
        <w:tc>
          <w:tcPr>
            <w:tcW w:w="1039"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B1FC718" w14:textId="77777777" w:rsidR="0095419A" w:rsidRPr="009B783C" w:rsidRDefault="0095419A" w:rsidP="00AB7572">
            <w:pPr>
              <w:pStyle w:val="TableNText"/>
              <w:jc w:val="center"/>
              <w:rPr>
                <w:sz w:val="21"/>
                <w:szCs w:val="21"/>
              </w:rPr>
            </w:pPr>
            <w:r w:rsidRPr="009B783C">
              <w:rPr>
                <w:rFonts w:eastAsia="Segoe UI"/>
                <w:sz w:val="21"/>
                <w:szCs w:val="21"/>
              </w:rPr>
              <w:t>103,127</w:t>
            </w:r>
          </w:p>
        </w:tc>
        <w:tc>
          <w:tcPr>
            <w:tcW w:w="1038"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D25C667" w14:textId="77777777" w:rsidR="0095419A" w:rsidRPr="009B783C" w:rsidRDefault="0095419A" w:rsidP="00AB7572">
            <w:pPr>
              <w:pStyle w:val="TableNText"/>
              <w:jc w:val="center"/>
              <w:rPr>
                <w:sz w:val="21"/>
                <w:szCs w:val="21"/>
              </w:rPr>
            </w:pPr>
            <w:r w:rsidRPr="009B783C">
              <w:rPr>
                <w:rFonts w:eastAsia="Segoe UI"/>
                <w:sz w:val="21"/>
                <w:szCs w:val="21"/>
              </w:rPr>
              <w:t>26.3%</w:t>
            </w:r>
          </w:p>
        </w:tc>
      </w:tr>
      <w:tr w:rsidR="0095419A" w:rsidRPr="009B783C" w14:paraId="15D64D5B"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28EC440" w14:textId="77777777" w:rsidR="0095419A" w:rsidRPr="009B783C" w:rsidRDefault="0095419A" w:rsidP="00A758C8">
            <w:pPr>
              <w:pStyle w:val="TableNText"/>
              <w:rPr>
                <w:sz w:val="21"/>
                <w:szCs w:val="21"/>
              </w:rPr>
            </w:pPr>
            <w:r w:rsidRPr="009B783C">
              <w:rPr>
                <w:rFonts w:eastAsia="Segoe UI"/>
                <w:sz w:val="21"/>
                <w:szCs w:val="21"/>
              </w:rPr>
              <w:t>Acute injury + other condition (a)</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A0B9F51" w14:textId="77777777" w:rsidR="0095419A" w:rsidRPr="009B783C" w:rsidRDefault="0095419A" w:rsidP="00AB7572">
            <w:pPr>
              <w:pStyle w:val="TableNText"/>
              <w:jc w:val="center"/>
              <w:rPr>
                <w:sz w:val="21"/>
                <w:szCs w:val="21"/>
              </w:rPr>
            </w:pPr>
            <w:r w:rsidRPr="009B783C">
              <w:rPr>
                <w:rFonts w:eastAsia="Segoe UI"/>
                <w:sz w:val="21"/>
                <w:szCs w:val="21"/>
              </w:rPr>
              <w:t>2,127</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AEBDEFD" w14:textId="77777777" w:rsidR="0095419A" w:rsidRPr="009B783C" w:rsidRDefault="0095419A" w:rsidP="00AB7572">
            <w:pPr>
              <w:pStyle w:val="TableNText"/>
              <w:jc w:val="center"/>
              <w:rPr>
                <w:sz w:val="21"/>
                <w:szCs w:val="21"/>
              </w:rPr>
            </w:pPr>
            <w:r w:rsidRPr="009B783C">
              <w:rPr>
                <w:rFonts w:eastAsia="Segoe UI"/>
                <w:sz w:val="21"/>
                <w:szCs w:val="21"/>
              </w:rPr>
              <w:t>0.5%</w:t>
            </w:r>
          </w:p>
        </w:tc>
      </w:tr>
      <w:tr w:rsidR="0095419A" w:rsidRPr="009B783C" w14:paraId="00CE0B9A"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9624D6F" w14:textId="77777777" w:rsidR="0095419A" w:rsidRPr="009B783C" w:rsidRDefault="0095419A" w:rsidP="00A758C8">
            <w:pPr>
              <w:pStyle w:val="TableNText"/>
              <w:rPr>
                <w:sz w:val="21"/>
                <w:szCs w:val="21"/>
              </w:rPr>
            </w:pPr>
            <w:r w:rsidRPr="009B783C">
              <w:rPr>
                <w:rFonts w:eastAsia="Segoe UI"/>
                <w:sz w:val="21"/>
                <w:szCs w:val="21"/>
              </w:rPr>
              <w:t>Acute illness</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B419010" w14:textId="77777777" w:rsidR="0095419A" w:rsidRPr="009B783C" w:rsidRDefault="0095419A" w:rsidP="00AB7572">
            <w:pPr>
              <w:pStyle w:val="TableNText"/>
              <w:jc w:val="center"/>
              <w:rPr>
                <w:sz w:val="21"/>
                <w:szCs w:val="21"/>
              </w:rPr>
            </w:pPr>
            <w:r w:rsidRPr="009B783C">
              <w:rPr>
                <w:rFonts w:eastAsia="Segoe UI"/>
                <w:color w:val="000000" w:themeColor="text1"/>
                <w:sz w:val="21"/>
                <w:szCs w:val="21"/>
              </w:rPr>
              <w:t>247,501</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D408F81" w14:textId="77777777" w:rsidR="0095419A" w:rsidRPr="009B783C" w:rsidRDefault="0095419A" w:rsidP="00AB7572">
            <w:pPr>
              <w:pStyle w:val="TableNText"/>
              <w:jc w:val="center"/>
              <w:rPr>
                <w:sz w:val="21"/>
                <w:szCs w:val="21"/>
              </w:rPr>
            </w:pPr>
            <w:r w:rsidRPr="009B783C">
              <w:rPr>
                <w:rFonts w:eastAsia="Segoe UI"/>
                <w:sz w:val="21"/>
                <w:szCs w:val="21"/>
              </w:rPr>
              <w:t>63.1%</w:t>
            </w:r>
          </w:p>
        </w:tc>
      </w:tr>
      <w:tr w:rsidR="0095419A" w:rsidRPr="009B783C" w14:paraId="070FBCE3"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B9FCE36" w14:textId="77777777" w:rsidR="0095419A" w:rsidRPr="009B783C" w:rsidRDefault="0095419A" w:rsidP="00A758C8">
            <w:pPr>
              <w:pStyle w:val="TableNText"/>
              <w:rPr>
                <w:sz w:val="21"/>
                <w:szCs w:val="21"/>
              </w:rPr>
            </w:pPr>
            <w:r w:rsidRPr="009B783C">
              <w:rPr>
                <w:rFonts w:eastAsia="Segoe UI"/>
                <w:sz w:val="21"/>
                <w:szCs w:val="21"/>
              </w:rPr>
              <w:t>Acute illness + other condition (b)</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CB6E175" w14:textId="77777777" w:rsidR="0095419A" w:rsidRPr="009B783C" w:rsidRDefault="0095419A" w:rsidP="00AB7572">
            <w:pPr>
              <w:pStyle w:val="TableNText"/>
              <w:jc w:val="center"/>
              <w:rPr>
                <w:sz w:val="21"/>
                <w:szCs w:val="21"/>
              </w:rPr>
            </w:pPr>
            <w:r w:rsidRPr="009B783C">
              <w:rPr>
                <w:rFonts w:eastAsia="Segoe UI"/>
                <w:sz w:val="21"/>
                <w:szCs w:val="21"/>
              </w:rPr>
              <w:t>1,986</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EF423D7" w14:textId="77777777" w:rsidR="0095419A" w:rsidRPr="009B783C" w:rsidRDefault="0095419A" w:rsidP="00AB7572">
            <w:pPr>
              <w:pStyle w:val="TableNText"/>
              <w:jc w:val="center"/>
              <w:rPr>
                <w:sz w:val="21"/>
                <w:szCs w:val="21"/>
              </w:rPr>
            </w:pPr>
            <w:r w:rsidRPr="009B783C">
              <w:rPr>
                <w:rFonts w:eastAsia="Segoe UI"/>
                <w:sz w:val="21"/>
                <w:szCs w:val="21"/>
              </w:rPr>
              <w:t>0.5%</w:t>
            </w:r>
          </w:p>
        </w:tc>
      </w:tr>
      <w:tr w:rsidR="0095419A" w:rsidRPr="009B783C" w14:paraId="5A295EDD"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1CDF269" w14:textId="77777777" w:rsidR="0095419A" w:rsidRPr="009B783C" w:rsidRDefault="0095419A" w:rsidP="00A758C8">
            <w:pPr>
              <w:pStyle w:val="TableNText"/>
              <w:rPr>
                <w:sz w:val="21"/>
                <w:szCs w:val="21"/>
              </w:rPr>
            </w:pPr>
            <w:r w:rsidRPr="009B783C">
              <w:rPr>
                <w:rFonts w:eastAsia="Segoe UI"/>
                <w:sz w:val="21"/>
                <w:szCs w:val="21"/>
              </w:rPr>
              <w:t>Acute exacerbation</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4D9647C" w14:textId="77777777" w:rsidR="0095419A" w:rsidRPr="009B783C" w:rsidRDefault="0095419A" w:rsidP="00AB7572">
            <w:pPr>
              <w:pStyle w:val="TableNText"/>
              <w:jc w:val="center"/>
              <w:rPr>
                <w:sz w:val="21"/>
                <w:szCs w:val="21"/>
              </w:rPr>
            </w:pPr>
            <w:r w:rsidRPr="009B783C">
              <w:rPr>
                <w:rFonts w:eastAsia="Segoe UI"/>
                <w:sz w:val="21"/>
                <w:szCs w:val="21"/>
              </w:rPr>
              <w:t>11,197</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2F0C7AF" w14:textId="77777777" w:rsidR="0095419A" w:rsidRPr="009B783C" w:rsidRDefault="0095419A" w:rsidP="00AB7572">
            <w:pPr>
              <w:pStyle w:val="TableNText"/>
              <w:jc w:val="center"/>
              <w:rPr>
                <w:sz w:val="21"/>
                <w:szCs w:val="21"/>
              </w:rPr>
            </w:pPr>
            <w:r w:rsidRPr="009B783C">
              <w:rPr>
                <w:rFonts w:eastAsia="Segoe UI"/>
                <w:sz w:val="21"/>
                <w:szCs w:val="21"/>
              </w:rPr>
              <w:t>2.9%</w:t>
            </w:r>
          </w:p>
        </w:tc>
      </w:tr>
      <w:tr w:rsidR="0095419A" w:rsidRPr="009B783C" w14:paraId="7B1C23D5"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0291968" w14:textId="77777777" w:rsidR="0095419A" w:rsidRPr="009B783C" w:rsidRDefault="0095419A" w:rsidP="00A758C8">
            <w:pPr>
              <w:pStyle w:val="TableNText"/>
              <w:rPr>
                <w:sz w:val="21"/>
                <w:szCs w:val="21"/>
              </w:rPr>
            </w:pPr>
            <w:r w:rsidRPr="009B783C">
              <w:rPr>
                <w:rFonts w:eastAsia="Segoe UI"/>
                <w:sz w:val="21"/>
                <w:szCs w:val="21"/>
              </w:rPr>
              <w:t>Acute exacerbation + other condition</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3C06B72" w14:textId="77777777" w:rsidR="0095419A" w:rsidRPr="009B783C" w:rsidRDefault="0095419A" w:rsidP="00AB7572">
            <w:pPr>
              <w:pStyle w:val="TableNText"/>
              <w:jc w:val="center"/>
              <w:rPr>
                <w:sz w:val="21"/>
                <w:szCs w:val="21"/>
              </w:rPr>
            </w:pPr>
            <w:r w:rsidRPr="009B783C">
              <w:rPr>
                <w:rFonts w:eastAsia="Segoe UI"/>
                <w:sz w:val="21"/>
                <w:szCs w:val="21"/>
              </w:rPr>
              <w:t>26</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7E6C4E3" w14:textId="77777777" w:rsidR="0095419A" w:rsidRPr="009B783C" w:rsidRDefault="0095419A" w:rsidP="00AB7572">
            <w:pPr>
              <w:pStyle w:val="TableNText"/>
              <w:jc w:val="center"/>
              <w:rPr>
                <w:sz w:val="21"/>
                <w:szCs w:val="21"/>
              </w:rPr>
            </w:pPr>
            <w:r w:rsidRPr="009B783C">
              <w:rPr>
                <w:rFonts w:eastAsia="Segoe UI"/>
                <w:sz w:val="21"/>
                <w:szCs w:val="21"/>
              </w:rPr>
              <w:t>0.0%</w:t>
            </w:r>
          </w:p>
        </w:tc>
      </w:tr>
      <w:tr w:rsidR="0095419A" w:rsidRPr="009B783C" w14:paraId="3D618A39"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197ADC0" w14:textId="77777777" w:rsidR="0095419A" w:rsidRPr="009B783C" w:rsidRDefault="0095419A" w:rsidP="00A758C8">
            <w:pPr>
              <w:pStyle w:val="TableNText"/>
              <w:rPr>
                <w:sz w:val="21"/>
                <w:szCs w:val="21"/>
              </w:rPr>
            </w:pPr>
            <w:r w:rsidRPr="009B783C">
              <w:rPr>
                <w:rFonts w:eastAsia="Segoe UI"/>
                <w:sz w:val="21"/>
                <w:szCs w:val="21"/>
              </w:rPr>
              <w:t>Medicare UCC follow up appointment</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2F14C88" w14:textId="77777777" w:rsidR="0095419A" w:rsidRPr="009B783C" w:rsidRDefault="0095419A" w:rsidP="00AB7572">
            <w:pPr>
              <w:pStyle w:val="TableNText"/>
              <w:jc w:val="center"/>
              <w:rPr>
                <w:sz w:val="21"/>
                <w:szCs w:val="21"/>
              </w:rPr>
            </w:pPr>
            <w:r w:rsidRPr="009B783C">
              <w:rPr>
                <w:rFonts w:eastAsia="Segoe UI"/>
                <w:sz w:val="21"/>
                <w:szCs w:val="21"/>
              </w:rPr>
              <w:t>4,164</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E11D692" w14:textId="77777777" w:rsidR="0095419A" w:rsidRPr="009B783C" w:rsidRDefault="0095419A" w:rsidP="00AB7572">
            <w:pPr>
              <w:pStyle w:val="TableNText"/>
              <w:jc w:val="center"/>
              <w:rPr>
                <w:sz w:val="21"/>
                <w:szCs w:val="21"/>
              </w:rPr>
            </w:pPr>
            <w:r w:rsidRPr="009B783C">
              <w:rPr>
                <w:rFonts w:eastAsia="Segoe UI"/>
                <w:sz w:val="21"/>
                <w:szCs w:val="21"/>
              </w:rPr>
              <w:t>1.1%</w:t>
            </w:r>
          </w:p>
        </w:tc>
      </w:tr>
      <w:tr w:rsidR="0095419A" w:rsidRPr="009B783C" w14:paraId="5C8FBF9D"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2009395" w14:textId="77777777" w:rsidR="0095419A" w:rsidRPr="009B783C" w:rsidRDefault="0095419A" w:rsidP="00A758C8">
            <w:pPr>
              <w:pStyle w:val="TableNText"/>
              <w:rPr>
                <w:sz w:val="21"/>
                <w:szCs w:val="21"/>
              </w:rPr>
            </w:pPr>
            <w:r w:rsidRPr="009B783C">
              <w:rPr>
                <w:rFonts w:eastAsia="Segoe UI"/>
                <w:sz w:val="21"/>
                <w:szCs w:val="21"/>
              </w:rPr>
              <w:t>Other</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B2AA407" w14:textId="77777777" w:rsidR="0095419A" w:rsidRPr="009B783C" w:rsidRDefault="0095419A" w:rsidP="00AB7572">
            <w:pPr>
              <w:pStyle w:val="TableNText"/>
              <w:jc w:val="center"/>
              <w:rPr>
                <w:sz w:val="21"/>
                <w:szCs w:val="21"/>
              </w:rPr>
            </w:pPr>
            <w:r w:rsidRPr="009B783C">
              <w:rPr>
                <w:rFonts w:eastAsia="Segoe UI"/>
                <w:sz w:val="21"/>
                <w:szCs w:val="21"/>
              </w:rPr>
              <w:t>21,818</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DE385C6" w14:textId="77777777" w:rsidR="0095419A" w:rsidRPr="009B783C" w:rsidRDefault="0095419A" w:rsidP="00AB7572">
            <w:pPr>
              <w:pStyle w:val="TableNText"/>
              <w:jc w:val="center"/>
              <w:rPr>
                <w:sz w:val="21"/>
                <w:szCs w:val="21"/>
              </w:rPr>
            </w:pPr>
            <w:r w:rsidRPr="009B783C">
              <w:rPr>
                <w:rFonts w:eastAsia="Segoe UI"/>
                <w:sz w:val="21"/>
                <w:szCs w:val="21"/>
              </w:rPr>
              <w:t>5.6%</w:t>
            </w:r>
          </w:p>
        </w:tc>
      </w:tr>
      <w:tr w:rsidR="00362ED1" w:rsidRPr="009B783C" w14:paraId="0F62E038"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59AC52F" w14:textId="706A31AF" w:rsidR="00362ED1" w:rsidRPr="009B783C" w:rsidRDefault="00362ED1" w:rsidP="00362ED1">
            <w:pPr>
              <w:pStyle w:val="TableNText"/>
              <w:rPr>
                <w:rFonts w:eastAsia="Segoe UI"/>
                <w:sz w:val="21"/>
                <w:szCs w:val="21"/>
              </w:rPr>
            </w:pPr>
            <w:r w:rsidRPr="009B783C">
              <w:rPr>
                <w:rFonts w:eastAsia="Segoe UI"/>
                <w:sz w:val="21"/>
                <w:szCs w:val="21"/>
              </w:rPr>
              <w:lastRenderedPageBreak/>
              <w:t>Total excluding “Not recorded” (from 63 Medicare UCCs)</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D8B6BF2" w14:textId="3500FED6" w:rsidR="00362ED1" w:rsidRPr="009B783C" w:rsidRDefault="00362ED1" w:rsidP="00AB7572">
            <w:pPr>
              <w:pStyle w:val="TableNText"/>
              <w:jc w:val="center"/>
              <w:rPr>
                <w:rFonts w:eastAsia="Segoe UI"/>
                <w:sz w:val="21"/>
                <w:szCs w:val="21"/>
              </w:rPr>
            </w:pPr>
            <w:r w:rsidRPr="009B783C">
              <w:rPr>
                <w:rFonts w:eastAsia="Segoe UI"/>
                <w:sz w:val="21"/>
                <w:szCs w:val="21"/>
              </w:rPr>
              <w:t>391,946</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8B914E2" w14:textId="023D1FC1" w:rsidR="00362ED1" w:rsidRPr="009B783C" w:rsidRDefault="00362ED1" w:rsidP="00AB7572">
            <w:pPr>
              <w:pStyle w:val="TableNText"/>
              <w:jc w:val="center"/>
              <w:rPr>
                <w:sz w:val="21"/>
                <w:szCs w:val="21"/>
              </w:rPr>
            </w:pPr>
            <w:r w:rsidRPr="009B783C">
              <w:rPr>
                <w:rFonts w:eastAsia="Segoe UI"/>
                <w:sz w:val="21"/>
                <w:szCs w:val="21"/>
              </w:rPr>
              <w:t>100.0%</w:t>
            </w:r>
          </w:p>
        </w:tc>
      </w:tr>
      <w:tr w:rsidR="0095419A" w:rsidRPr="009B783C" w14:paraId="4427F383"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1B6DD34" w14:textId="77777777" w:rsidR="0095419A" w:rsidRPr="009B783C" w:rsidRDefault="0095419A" w:rsidP="00A758C8">
            <w:pPr>
              <w:pStyle w:val="TableNText"/>
              <w:rPr>
                <w:sz w:val="21"/>
                <w:szCs w:val="21"/>
              </w:rPr>
            </w:pPr>
            <w:r w:rsidRPr="009B783C">
              <w:rPr>
                <w:rFonts w:eastAsia="Segoe UI"/>
                <w:sz w:val="21"/>
                <w:szCs w:val="21"/>
              </w:rPr>
              <w:t>Not recorded</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F50CE56" w14:textId="77777777" w:rsidR="0095419A" w:rsidRPr="009B783C" w:rsidRDefault="0095419A" w:rsidP="00AB7572">
            <w:pPr>
              <w:pStyle w:val="TableNText"/>
              <w:jc w:val="center"/>
              <w:rPr>
                <w:sz w:val="21"/>
                <w:szCs w:val="21"/>
              </w:rPr>
            </w:pPr>
            <w:r w:rsidRPr="009B783C">
              <w:rPr>
                <w:rFonts w:eastAsia="Segoe UI"/>
                <w:sz w:val="21"/>
                <w:szCs w:val="21"/>
              </w:rPr>
              <w:t>34,533</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A0886CB" w14:textId="77777777" w:rsidR="0095419A" w:rsidRPr="009B783C" w:rsidRDefault="0095419A" w:rsidP="00AB7572">
            <w:pPr>
              <w:pStyle w:val="TableNText"/>
              <w:jc w:val="center"/>
              <w:rPr>
                <w:sz w:val="21"/>
                <w:szCs w:val="21"/>
              </w:rPr>
            </w:pPr>
          </w:p>
        </w:tc>
      </w:tr>
      <w:tr w:rsidR="0095419A" w:rsidRPr="009B783C" w14:paraId="417A9FF6"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AC85BF8" w14:textId="3F207FAA" w:rsidR="0095419A" w:rsidRPr="009B783C" w:rsidRDefault="0095419A" w:rsidP="00A758C8">
            <w:pPr>
              <w:pStyle w:val="TableNText"/>
              <w:rPr>
                <w:sz w:val="21"/>
                <w:szCs w:val="21"/>
              </w:rPr>
            </w:pPr>
            <w:r w:rsidRPr="009B783C">
              <w:rPr>
                <w:rFonts w:eastAsia="Segoe UI"/>
                <w:sz w:val="21"/>
                <w:szCs w:val="21"/>
              </w:rPr>
              <w:t xml:space="preserve">Total including </w:t>
            </w:r>
            <w:r w:rsidR="00A758C8" w:rsidRPr="009B783C">
              <w:rPr>
                <w:rFonts w:eastAsia="Segoe UI"/>
                <w:sz w:val="21"/>
                <w:szCs w:val="21"/>
              </w:rPr>
              <w:t>“</w:t>
            </w:r>
            <w:r w:rsidRPr="009B783C">
              <w:rPr>
                <w:rFonts w:eastAsia="Segoe UI"/>
                <w:sz w:val="21"/>
                <w:szCs w:val="21"/>
              </w:rPr>
              <w:t>Not recorded</w:t>
            </w:r>
            <w:r w:rsidR="00A758C8" w:rsidRPr="009B783C">
              <w:rPr>
                <w:rFonts w:eastAsia="Segoe UI"/>
                <w:sz w:val="21"/>
                <w:szCs w:val="21"/>
              </w:rPr>
              <w:t>”</w:t>
            </w:r>
            <w:r w:rsidRPr="009B783C">
              <w:rPr>
                <w:rFonts w:eastAsia="Segoe UI"/>
                <w:sz w:val="21"/>
                <w:szCs w:val="21"/>
              </w:rPr>
              <w:t xml:space="preserve"> (from 63 Medicare UCCs)</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37CF1BD" w14:textId="77777777" w:rsidR="0095419A" w:rsidRPr="009B783C" w:rsidRDefault="0095419A" w:rsidP="00AB7572">
            <w:pPr>
              <w:pStyle w:val="TableNText"/>
              <w:jc w:val="center"/>
              <w:rPr>
                <w:sz w:val="21"/>
                <w:szCs w:val="21"/>
              </w:rPr>
            </w:pPr>
            <w:r w:rsidRPr="009B783C">
              <w:rPr>
                <w:rFonts w:eastAsia="Segoe UI"/>
                <w:sz w:val="21"/>
                <w:szCs w:val="21"/>
              </w:rPr>
              <w:t>426,479</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B52C5C9" w14:textId="77777777" w:rsidR="0095419A" w:rsidRPr="009B783C" w:rsidRDefault="0095419A" w:rsidP="00AB7572">
            <w:pPr>
              <w:pStyle w:val="TableNText"/>
              <w:jc w:val="center"/>
              <w:rPr>
                <w:sz w:val="21"/>
                <w:szCs w:val="21"/>
              </w:rPr>
            </w:pPr>
          </w:p>
        </w:tc>
      </w:tr>
      <w:tr w:rsidR="0095419A" w:rsidRPr="009B783C" w14:paraId="4FAE8D3C"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8578872" w14:textId="77777777" w:rsidR="0095419A" w:rsidRPr="009B783C" w:rsidRDefault="0095419A" w:rsidP="00A758C8">
            <w:pPr>
              <w:pStyle w:val="TableNText"/>
              <w:rPr>
                <w:rFonts w:eastAsia="Segoe UI"/>
                <w:color w:val="000000" w:themeColor="text1"/>
                <w:sz w:val="21"/>
                <w:szCs w:val="21"/>
              </w:rPr>
            </w:pPr>
            <w:r w:rsidRPr="009B783C">
              <w:rPr>
                <w:rFonts w:eastAsia="Segoe UI"/>
                <w:color w:val="000000" w:themeColor="text1"/>
                <w:sz w:val="21"/>
                <w:szCs w:val="21"/>
              </w:rPr>
              <w:t>Aggregate and other unit records counts</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11A3C5A" w14:textId="417A3220" w:rsidR="0095419A" w:rsidRPr="009B783C" w:rsidRDefault="0095419A" w:rsidP="00AB7572">
            <w:pPr>
              <w:pStyle w:val="TableNText"/>
              <w:jc w:val="center"/>
              <w:rPr>
                <w:sz w:val="21"/>
                <w:szCs w:val="21"/>
              </w:rPr>
            </w:pPr>
            <w:r w:rsidRPr="009B783C">
              <w:rPr>
                <w:rFonts w:eastAsia="Segoe UI"/>
                <w:sz w:val="21"/>
                <w:szCs w:val="21"/>
              </w:rPr>
              <w:t>357,5</w:t>
            </w:r>
            <w:r w:rsidR="0027323F" w:rsidRPr="009B783C">
              <w:rPr>
                <w:rFonts w:eastAsia="Segoe UI"/>
                <w:sz w:val="21"/>
                <w:szCs w:val="21"/>
              </w:rPr>
              <w:t>92</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68A38B7" w14:textId="77777777" w:rsidR="0095419A" w:rsidRPr="009B783C" w:rsidRDefault="0095419A" w:rsidP="00AB7572">
            <w:pPr>
              <w:pStyle w:val="TableNText"/>
              <w:jc w:val="center"/>
              <w:rPr>
                <w:sz w:val="21"/>
                <w:szCs w:val="21"/>
              </w:rPr>
            </w:pPr>
          </w:p>
        </w:tc>
      </w:tr>
      <w:tr w:rsidR="0095419A" w:rsidRPr="009B783C" w14:paraId="2B999D62" w14:textId="77777777" w:rsidTr="005A78EE">
        <w:trPr>
          <w:jc w:val="center"/>
        </w:trPr>
        <w:tc>
          <w:tcPr>
            <w:tcW w:w="292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66D1EF2" w14:textId="77777777" w:rsidR="0095419A" w:rsidRPr="009B783C" w:rsidRDefault="0095419A" w:rsidP="00A758C8">
            <w:pPr>
              <w:pStyle w:val="TableNText"/>
              <w:rPr>
                <w:rFonts w:asciiTheme="majorHAnsi" w:hAnsiTheme="majorHAnsi" w:cstheme="majorHAnsi"/>
                <w:sz w:val="21"/>
                <w:szCs w:val="21"/>
              </w:rPr>
            </w:pPr>
            <w:r w:rsidRPr="009B783C">
              <w:rPr>
                <w:rFonts w:asciiTheme="majorHAnsi" w:eastAsia="Segoe UI" w:hAnsiTheme="majorHAnsi" w:cstheme="majorHAnsi"/>
                <w:sz w:val="21"/>
                <w:szCs w:val="21"/>
              </w:rPr>
              <w:t>Total presentations (from 75 Medicare UCCs)</w:t>
            </w:r>
          </w:p>
        </w:tc>
        <w:tc>
          <w:tcPr>
            <w:tcW w:w="103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349162F" w14:textId="7B9D6B61" w:rsidR="0095419A" w:rsidRPr="009B783C" w:rsidRDefault="0095419A" w:rsidP="00AB7572">
            <w:pPr>
              <w:pStyle w:val="TableNText"/>
              <w:jc w:val="center"/>
              <w:rPr>
                <w:rFonts w:asciiTheme="majorHAnsi" w:hAnsiTheme="majorHAnsi" w:cstheme="majorHAnsi"/>
                <w:sz w:val="21"/>
                <w:szCs w:val="21"/>
              </w:rPr>
            </w:pPr>
            <w:r w:rsidRPr="009B783C">
              <w:rPr>
                <w:rFonts w:asciiTheme="majorHAnsi" w:eastAsia="Segoe UI" w:hAnsiTheme="majorHAnsi" w:cstheme="majorHAnsi"/>
                <w:sz w:val="21"/>
                <w:szCs w:val="21"/>
              </w:rPr>
              <w:t>784,0</w:t>
            </w:r>
            <w:r w:rsidR="0027323F" w:rsidRPr="009B783C">
              <w:rPr>
                <w:rFonts w:asciiTheme="majorHAnsi" w:eastAsia="Segoe UI" w:hAnsiTheme="majorHAnsi" w:cstheme="majorHAnsi"/>
                <w:sz w:val="21"/>
                <w:szCs w:val="21"/>
              </w:rPr>
              <w:t>71</w:t>
            </w:r>
          </w:p>
        </w:tc>
        <w:tc>
          <w:tcPr>
            <w:tcW w:w="103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5E4F50C" w14:textId="77777777" w:rsidR="0095419A" w:rsidRPr="009B783C" w:rsidRDefault="0095419A" w:rsidP="00AB7572">
            <w:pPr>
              <w:pStyle w:val="TableNText"/>
              <w:jc w:val="center"/>
              <w:rPr>
                <w:rFonts w:asciiTheme="majorHAnsi" w:hAnsiTheme="majorHAnsi" w:cstheme="majorHAnsi"/>
                <w:sz w:val="21"/>
                <w:szCs w:val="21"/>
              </w:rPr>
            </w:pPr>
          </w:p>
        </w:tc>
      </w:tr>
    </w:tbl>
    <w:p w14:paraId="20897627" w14:textId="28040900" w:rsidR="003F44EA" w:rsidRPr="00ED1544" w:rsidRDefault="003F44EA" w:rsidP="00ED1544">
      <w:r w:rsidRPr="00ED1544">
        <w:t xml:space="preserve">Notes: Table reflects data from 30 June 2024 to 30 September 2024 and extracted on 6 November 2024. More than one condition/type of condition can be reported for a single presentation. Mutually exclusive categories have been reported to provide insights into where multiple types of conditions are reported. (a) “Acute injury + other condition” includes the following: “Acute injury + Acute illness”: 1,611 episodes (0.4 per cent), “Acute injury + Acute illness + Acute exacerbation”: 179 episodes (0 per cent), “Acute injury + Acute exacerbation”: 17 episodes (0 per cent), and other combinations that include an acute injury: 320 episodes (0.1 per cent). (b) “Acute illness + other condition” includes the following: “Acute illness + Acute exacerbation”: 1,685 episodes (0.4 per cent) and other combinations that include an acute illness: 301 episodes (0.1 per cent). See section </w:t>
      </w:r>
      <w:r w:rsidRPr="00ED1544">
        <w:fldChar w:fldCharType="begin"/>
      </w:r>
      <w:r w:rsidRPr="00ED1544">
        <w:instrText xml:space="preserve"> REF _Ref185478021 \n \h  \* MERGEFORMAT </w:instrText>
      </w:r>
      <w:r w:rsidRPr="00ED1544">
        <w:fldChar w:fldCharType="separate"/>
      </w:r>
      <w:r w:rsidRPr="00ED1544">
        <w:t>3.4</w:t>
      </w:r>
      <w:r w:rsidRPr="00ED1544">
        <w:fldChar w:fldCharType="end"/>
      </w:r>
      <w:r w:rsidRPr="00ED1544">
        <w:t xml:space="preserve"> for an overview of limitations related to the Medicare UCC data.</w:t>
      </w:r>
    </w:p>
    <w:p w14:paraId="2D282D2F" w14:textId="5206F7C0" w:rsidR="00E93F94" w:rsidRPr="009B783C" w:rsidRDefault="0095419A" w:rsidP="003F44EA">
      <w:pPr>
        <w:spacing w:before="240"/>
        <w:rPr>
          <w:rFonts w:asciiTheme="minorHAnsi" w:hAnsiTheme="minorHAnsi" w:cstheme="minorHAnsi"/>
          <w:szCs w:val="21"/>
        </w:rPr>
      </w:pPr>
      <w:r w:rsidRPr="009B783C">
        <w:rPr>
          <w:rFonts w:asciiTheme="minorHAnsi" w:hAnsiTheme="minorHAnsi" w:cstheme="minorHAnsi"/>
          <w:szCs w:val="21"/>
        </w:rPr>
        <w:fldChar w:fldCharType="begin"/>
      </w:r>
      <w:r w:rsidRPr="009B783C">
        <w:rPr>
          <w:rFonts w:asciiTheme="minorHAnsi" w:hAnsiTheme="minorHAnsi" w:cstheme="minorHAnsi"/>
          <w:szCs w:val="21"/>
        </w:rPr>
        <w:instrText xml:space="preserve"> REF _Ref184125905 \h </w:instrText>
      </w:r>
      <w:r w:rsidR="003F44EA" w:rsidRPr="009B783C">
        <w:rPr>
          <w:rFonts w:asciiTheme="minorHAnsi" w:hAnsiTheme="minorHAnsi" w:cstheme="minorHAnsi"/>
          <w:szCs w:val="21"/>
        </w:rPr>
        <w:instrText xml:space="preserve"> \* MERGEFORMAT </w:instrText>
      </w:r>
      <w:r w:rsidRPr="009B783C">
        <w:rPr>
          <w:rFonts w:asciiTheme="minorHAnsi" w:hAnsiTheme="minorHAnsi" w:cstheme="minorHAnsi"/>
          <w:szCs w:val="21"/>
        </w:rPr>
      </w:r>
      <w:r w:rsidRPr="009B783C">
        <w:rPr>
          <w:rFonts w:asciiTheme="minorHAnsi" w:hAnsiTheme="minorHAnsi" w:cstheme="minorHAnsi"/>
          <w:szCs w:val="21"/>
        </w:rPr>
        <w:fldChar w:fldCharType="separate"/>
      </w:r>
      <w:r w:rsidR="006E7782" w:rsidRPr="009B783C">
        <w:rPr>
          <w:szCs w:val="21"/>
        </w:rPr>
        <w:t xml:space="preserve">Table </w:t>
      </w:r>
      <w:r w:rsidR="006E7782">
        <w:rPr>
          <w:szCs w:val="21"/>
        </w:rPr>
        <w:t>11</w:t>
      </w:r>
      <w:r w:rsidRPr="009B783C">
        <w:rPr>
          <w:rFonts w:asciiTheme="minorHAnsi" w:hAnsiTheme="minorHAnsi" w:cstheme="minorHAnsi"/>
          <w:szCs w:val="21"/>
        </w:rPr>
        <w:fldChar w:fldCharType="end"/>
      </w:r>
      <w:r w:rsidR="00E93F94" w:rsidRPr="009B783C">
        <w:rPr>
          <w:rFonts w:asciiTheme="minorHAnsi" w:hAnsiTheme="minorHAnsi" w:cstheme="minorHAnsi"/>
          <w:szCs w:val="21"/>
        </w:rPr>
        <w:t xml:space="preserve"> shows the episode end status of Medicare UCC presentations. Most presentations (84 per cent) </w:t>
      </w:r>
      <w:r w:rsidR="00086BAE" w:rsidRPr="009B783C">
        <w:rPr>
          <w:rFonts w:asciiTheme="minorHAnsi" w:hAnsiTheme="minorHAnsi" w:cstheme="minorHAnsi"/>
          <w:szCs w:val="21"/>
        </w:rPr>
        <w:t>return</w:t>
      </w:r>
      <w:r w:rsidR="00E93F94" w:rsidRPr="009B783C">
        <w:rPr>
          <w:rFonts w:asciiTheme="minorHAnsi" w:hAnsiTheme="minorHAnsi" w:cstheme="minorHAnsi"/>
          <w:szCs w:val="21"/>
        </w:rPr>
        <w:t xml:space="preserve"> home at the end of their visit, suggesting that patients are presenting with conditions that are in scope for the Medicare UCCs to manage. Ten per cent of presentations were referred to a GP and </w:t>
      </w:r>
      <w:r w:rsidR="003643AE" w:rsidRPr="009B783C">
        <w:rPr>
          <w:rFonts w:asciiTheme="minorHAnsi" w:hAnsiTheme="minorHAnsi" w:cstheme="minorHAnsi"/>
          <w:szCs w:val="21"/>
        </w:rPr>
        <w:t>5</w:t>
      </w:r>
      <w:r w:rsidR="00E93F94" w:rsidRPr="009B783C">
        <w:rPr>
          <w:rFonts w:asciiTheme="minorHAnsi" w:hAnsiTheme="minorHAnsi" w:cstheme="minorHAnsi"/>
          <w:szCs w:val="21"/>
        </w:rPr>
        <w:t xml:space="preserve"> per cent were referred to </w:t>
      </w:r>
      <w:r w:rsidR="00DB085A" w:rsidRPr="009B783C">
        <w:rPr>
          <w:rFonts w:asciiTheme="minorHAnsi" w:hAnsiTheme="minorHAnsi" w:cstheme="minorHAnsi"/>
          <w:szCs w:val="21"/>
        </w:rPr>
        <w:t xml:space="preserve">an </w:t>
      </w:r>
      <w:r w:rsidR="00E93F94" w:rsidRPr="009B783C">
        <w:rPr>
          <w:rFonts w:asciiTheme="minorHAnsi" w:hAnsiTheme="minorHAnsi" w:cstheme="minorHAnsi"/>
          <w:szCs w:val="21"/>
        </w:rPr>
        <w:t xml:space="preserve">ED, suggesting that Medicare UCCs are utilising diversion and escalation protocols to redirect patients to other settings where </w:t>
      </w:r>
      <w:r w:rsidR="008017D3" w:rsidRPr="009B783C">
        <w:rPr>
          <w:rFonts w:asciiTheme="minorHAnsi" w:hAnsiTheme="minorHAnsi" w:cstheme="minorHAnsi"/>
          <w:szCs w:val="21"/>
        </w:rPr>
        <w:t>appropriate</w:t>
      </w:r>
      <w:r w:rsidR="00E93F94" w:rsidRPr="009B783C">
        <w:rPr>
          <w:rFonts w:asciiTheme="minorHAnsi" w:hAnsiTheme="minorHAnsi" w:cstheme="minorHAnsi"/>
          <w:szCs w:val="21"/>
        </w:rPr>
        <w:t xml:space="preserve">. </w:t>
      </w:r>
    </w:p>
    <w:p w14:paraId="795A2FD3" w14:textId="77777777" w:rsidR="00E93F94" w:rsidRPr="009B783C" w:rsidRDefault="00E93F94" w:rsidP="003F44EA">
      <w:pPr>
        <w:rPr>
          <w:rFonts w:asciiTheme="minorHAnsi" w:hAnsiTheme="minorHAnsi" w:cstheme="minorHAnsi"/>
        </w:rPr>
      </w:pPr>
      <w:r w:rsidRPr="009B783C">
        <w:rPr>
          <w:rFonts w:asciiTheme="minorHAnsi" w:hAnsiTheme="minorHAnsi" w:cstheme="minorHAnsi"/>
          <w:szCs w:val="21"/>
        </w:rPr>
        <w:t>Stakeholder perspectives on appropriateness of care and redirections from Medicare UCCs will be explored in future phases of the evaluation</w:t>
      </w:r>
      <w:r w:rsidRPr="009B783C">
        <w:rPr>
          <w:rFonts w:asciiTheme="minorHAnsi" w:hAnsiTheme="minorHAnsi" w:cstheme="minorHAnsi"/>
        </w:rPr>
        <w:t xml:space="preserve">. </w:t>
      </w:r>
    </w:p>
    <w:p w14:paraId="13E9A3FF" w14:textId="141D811B" w:rsidR="00E93F94" w:rsidRPr="009B783C" w:rsidRDefault="00E93F94" w:rsidP="00E93F94">
      <w:pPr>
        <w:pStyle w:val="Caption"/>
        <w:rPr>
          <w:szCs w:val="21"/>
        </w:rPr>
      </w:pPr>
      <w:bookmarkStart w:id="107" w:name="_Ref184125905"/>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E7782">
        <w:rPr>
          <w:noProof/>
          <w:szCs w:val="21"/>
        </w:rPr>
        <w:t>11</w:t>
      </w:r>
      <w:r w:rsidRPr="009B783C">
        <w:rPr>
          <w:szCs w:val="21"/>
        </w:rPr>
        <w:fldChar w:fldCharType="end"/>
      </w:r>
      <w:bookmarkEnd w:id="107"/>
      <w:r w:rsidRPr="009B783C">
        <w:rPr>
          <w:szCs w:val="21"/>
        </w:rPr>
        <w:t xml:space="preserve"> | Episode end status of Medicare UCC presentations</w:t>
      </w:r>
    </w:p>
    <w:tbl>
      <w:tblPr>
        <w:tblW w:w="5000" w:type="pct"/>
        <w:jc w:val="center"/>
        <w:tblLook w:val="0420" w:firstRow="1" w:lastRow="0" w:firstColumn="0" w:lastColumn="0" w:noHBand="0" w:noVBand="1"/>
      </w:tblPr>
      <w:tblGrid>
        <w:gridCol w:w="5164"/>
        <w:gridCol w:w="1877"/>
        <w:gridCol w:w="1879"/>
      </w:tblGrid>
      <w:tr w:rsidR="00E93F94" w:rsidRPr="009B783C" w14:paraId="55EA9CA2" w14:textId="77777777" w:rsidTr="00544791">
        <w:trPr>
          <w:tblHeader/>
          <w:jc w:val="center"/>
        </w:trPr>
        <w:tc>
          <w:tcPr>
            <w:tcW w:w="2895"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0545284F" w14:textId="77777777" w:rsidR="00E93F94" w:rsidRPr="009B783C" w:rsidRDefault="00E93F94" w:rsidP="007A498C">
            <w:pPr>
              <w:pStyle w:val="TableNheader"/>
            </w:pPr>
            <w:r w:rsidRPr="009B783C">
              <w:rPr>
                <w:rFonts w:eastAsia="Segoe UI Semibold"/>
              </w:rPr>
              <w:t>Episode end status</w:t>
            </w:r>
          </w:p>
        </w:tc>
        <w:tc>
          <w:tcPr>
            <w:tcW w:w="105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49281ACB" w14:textId="77777777" w:rsidR="00E93F94" w:rsidRPr="009B783C" w:rsidRDefault="00E93F94" w:rsidP="00786482">
            <w:pPr>
              <w:pStyle w:val="TableNheader"/>
            </w:pPr>
            <w:r w:rsidRPr="009B783C">
              <w:rPr>
                <w:rFonts w:eastAsia="Segoe UI Semibold"/>
              </w:rPr>
              <w:t>Presentations</w:t>
            </w:r>
          </w:p>
        </w:tc>
        <w:tc>
          <w:tcPr>
            <w:tcW w:w="105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80" w:type="dxa"/>
              <w:left w:w="140" w:type="dxa"/>
              <w:bottom w:w="80" w:type="dxa"/>
              <w:right w:w="140" w:type="dxa"/>
            </w:tcMar>
            <w:vAlign w:val="center"/>
          </w:tcPr>
          <w:p w14:paraId="2298AB26" w14:textId="5114D1D2" w:rsidR="00E93F94" w:rsidRPr="009B783C" w:rsidRDefault="0043766F" w:rsidP="00786482">
            <w:pPr>
              <w:pStyle w:val="TableNheader"/>
            </w:pPr>
            <w:r w:rsidRPr="009B783C">
              <w:rPr>
                <w:rFonts w:eastAsia="Segoe UI Semibold"/>
              </w:rPr>
              <w:t>Percentage of p</w:t>
            </w:r>
            <w:r w:rsidR="00C46EFD" w:rsidRPr="009B783C">
              <w:rPr>
                <w:rFonts w:eastAsia="Segoe UI Semibold"/>
              </w:rPr>
              <w:t>resentations that recorded a response</w:t>
            </w:r>
          </w:p>
        </w:tc>
      </w:tr>
      <w:tr w:rsidR="00E93F94" w:rsidRPr="009B783C" w14:paraId="7734B066" w14:textId="77777777" w:rsidTr="00544791">
        <w:trPr>
          <w:jc w:val="center"/>
        </w:trPr>
        <w:tc>
          <w:tcPr>
            <w:tcW w:w="2895"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487C5CD" w14:textId="77777777" w:rsidR="00E93F94" w:rsidRPr="009B783C" w:rsidRDefault="00E93F94" w:rsidP="007A498C">
            <w:pPr>
              <w:pStyle w:val="TableNText"/>
              <w:rPr>
                <w:sz w:val="21"/>
                <w:szCs w:val="21"/>
              </w:rPr>
            </w:pPr>
            <w:r w:rsidRPr="009B783C">
              <w:rPr>
                <w:rFonts w:eastAsia="Segoe UI"/>
                <w:sz w:val="21"/>
                <w:szCs w:val="21"/>
              </w:rPr>
              <w:t>Did not wait</w:t>
            </w:r>
          </w:p>
        </w:tc>
        <w:tc>
          <w:tcPr>
            <w:tcW w:w="1052"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7BBFFE0" w14:textId="77777777" w:rsidR="00E93F94" w:rsidRPr="009B783C" w:rsidRDefault="00E93F94" w:rsidP="00AB7572">
            <w:pPr>
              <w:pStyle w:val="TableNText"/>
              <w:jc w:val="center"/>
              <w:rPr>
                <w:sz w:val="21"/>
                <w:szCs w:val="21"/>
              </w:rPr>
            </w:pPr>
            <w:r w:rsidRPr="009B783C">
              <w:rPr>
                <w:rFonts w:eastAsia="Segoe UI"/>
                <w:sz w:val="21"/>
                <w:szCs w:val="21"/>
              </w:rPr>
              <w:t>4,288</w:t>
            </w:r>
          </w:p>
        </w:tc>
        <w:tc>
          <w:tcPr>
            <w:tcW w:w="1053"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253E2E8" w14:textId="77777777" w:rsidR="00E93F94" w:rsidRPr="009B783C" w:rsidRDefault="00E93F94" w:rsidP="00AB7572">
            <w:pPr>
              <w:pStyle w:val="TableNText"/>
              <w:jc w:val="center"/>
              <w:rPr>
                <w:sz w:val="21"/>
                <w:szCs w:val="21"/>
              </w:rPr>
            </w:pPr>
            <w:r w:rsidRPr="009B783C">
              <w:rPr>
                <w:rFonts w:eastAsia="Segoe UI"/>
                <w:sz w:val="21"/>
                <w:szCs w:val="21"/>
              </w:rPr>
              <w:t>1.1%</w:t>
            </w:r>
          </w:p>
        </w:tc>
      </w:tr>
      <w:tr w:rsidR="00E93F94" w:rsidRPr="009B783C" w14:paraId="6762DC0A"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603C41" w14:textId="77777777" w:rsidR="00E93F94" w:rsidRPr="009B783C" w:rsidRDefault="00E93F94" w:rsidP="007A498C">
            <w:pPr>
              <w:pStyle w:val="TableNText"/>
              <w:rPr>
                <w:sz w:val="21"/>
                <w:szCs w:val="21"/>
              </w:rPr>
            </w:pPr>
            <w:r w:rsidRPr="009B783C">
              <w:rPr>
                <w:rFonts w:eastAsia="Segoe UI"/>
                <w:sz w:val="21"/>
                <w:szCs w:val="21"/>
              </w:rPr>
              <w:t>Referred home</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5F4658C" w14:textId="77777777" w:rsidR="00E93F94" w:rsidRPr="009B783C" w:rsidRDefault="00E93F94" w:rsidP="00AB7572">
            <w:pPr>
              <w:pStyle w:val="TableNText"/>
              <w:jc w:val="center"/>
              <w:rPr>
                <w:sz w:val="21"/>
                <w:szCs w:val="21"/>
              </w:rPr>
            </w:pPr>
            <w:r w:rsidRPr="009B783C">
              <w:rPr>
                <w:rFonts w:eastAsia="Segoe UI"/>
                <w:sz w:val="21"/>
                <w:szCs w:val="21"/>
              </w:rPr>
              <w:t>318,920</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E8A731" w14:textId="77777777" w:rsidR="00E93F94" w:rsidRPr="009B783C" w:rsidRDefault="00E93F94" w:rsidP="00AB7572">
            <w:pPr>
              <w:pStyle w:val="TableNText"/>
              <w:jc w:val="center"/>
              <w:rPr>
                <w:sz w:val="21"/>
                <w:szCs w:val="21"/>
              </w:rPr>
            </w:pPr>
            <w:r w:rsidRPr="009B783C">
              <w:rPr>
                <w:rFonts w:eastAsia="Segoe UI"/>
                <w:sz w:val="21"/>
                <w:szCs w:val="21"/>
              </w:rPr>
              <w:t>83.5%</w:t>
            </w:r>
          </w:p>
        </w:tc>
      </w:tr>
      <w:tr w:rsidR="00E93F94" w:rsidRPr="009B783C" w14:paraId="6049B1A3"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6A05249" w14:textId="77777777" w:rsidR="00E93F94" w:rsidRPr="009B783C" w:rsidRDefault="00E93F94" w:rsidP="007A498C">
            <w:pPr>
              <w:pStyle w:val="TableNText"/>
              <w:rPr>
                <w:sz w:val="21"/>
                <w:szCs w:val="21"/>
              </w:rPr>
            </w:pPr>
            <w:r w:rsidRPr="009B783C">
              <w:rPr>
                <w:rFonts w:eastAsia="Segoe UI"/>
                <w:sz w:val="21"/>
                <w:szCs w:val="21"/>
              </w:rPr>
              <w:t>GP referral</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F818E83" w14:textId="77777777" w:rsidR="00E93F94" w:rsidRPr="009B783C" w:rsidRDefault="00E93F94" w:rsidP="00AB7572">
            <w:pPr>
              <w:pStyle w:val="TableNText"/>
              <w:jc w:val="center"/>
              <w:rPr>
                <w:sz w:val="21"/>
                <w:szCs w:val="21"/>
              </w:rPr>
            </w:pPr>
            <w:r w:rsidRPr="009B783C">
              <w:rPr>
                <w:rFonts w:eastAsia="Segoe UI"/>
                <w:sz w:val="21"/>
                <w:szCs w:val="21"/>
              </w:rPr>
              <w:t>37,313</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845292F" w14:textId="77777777" w:rsidR="00E93F94" w:rsidRPr="009B783C" w:rsidRDefault="00E93F94" w:rsidP="00AB7572">
            <w:pPr>
              <w:pStyle w:val="TableNText"/>
              <w:jc w:val="center"/>
              <w:rPr>
                <w:sz w:val="21"/>
                <w:szCs w:val="21"/>
              </w:rPr>
            </w:pPr>
            <w:r w:rsidRPr="009B783C">
              <w:rPr>
                <w:rFonts w:eastAsia="Segoe UI"/>
                <w:sz w:val="21"/>
                <w:szCs w:val="21"/>
              </w:rPr>
              <w:t>9.8%</w:t>
            </w:r>
          </w:p>
        </w:tc>
      </w:tr>
      <w:tr w:rsidR="00E93F94" w:rsidRPr="009B783C" w14:paraId="2B7EB92F"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6309196" w14:textId="77777777" w:rsidR="00E93F94" w:rsidRPr="009B783C" w:rsidRDefault="00E93F94" w:rsidP="007A498C">
            <w:pPr>
              <w:pStyle w:val="TableNText"/>
              <w:rPr>
                <w:sz w:val="21"/>
                <w:szCs w:val="21"/>
              </w:rPr>
            </w:pPr>
            <w:r w:rsidRPr="009B783C">
              <w:rPr>
                <w:rFonts w:eastAsia="Segoe UI"/>
                <w:sz w:val="21"/>
                <w:szCs w:val="21"/>
              </w:rPr>
              <w:t>Referred to ED</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04DD307" w14:textId="77777777" w:rsidR="00E93F94" w:rsidRPr="009B783C" w:rsidRDefault="00E93F94" w:rsidP="00AB7572">
            <w:pPr>
              <w:pStyle w:val="TableNText"/>
              <w:jc w:val="center"/>
              <w:rPr>
                <w:sz w:val="21"/>
                <w:szCs w:val="21"/>
              </w:rPr>
            </w:pPr>
            <w:r w:rsidRPr="009B783C">
              <w:rPr>
                <w:rFonts w:eastAsia="Segoe UI"/>
                <w:sz w:val="21"/>
                <w:szCs w:val="21"/>
              </w:rPr>
              <w:t>19,909</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4A57B7A" w14:textId="77777777" w:rsidR="00E93F94" w:rsidRPr="009B783C" w:rsidRDefault="00E93F94" w:rsidP="00AB7572">
            <w:pPr>
              <w:pStyle w:val="TableNText"/>
              <w:jc w:val="center"/>
              <w:rPr>
                <w:sz w:val="21"/>
                <w:szCs w:val="21"/>
              </w:rPr>
            </w:pPr>
            <w:r w:rsidRPr="009B783C">
              <w:rPr>
                <w:rFonts w:eastAsia="Segoe UI"/>
                <w:sz w:val="21"/>
                <w:szCs w:val="21"/>
              </w:rPr>
              <w:t>5.2%</w:t>
            </w:r>
          </w:p>
        </w:tc>
      </w:tr>
      <w:tr w:rsidR="00E93F94" w:rsidRPr="009B783C" w14:paraId="71975A17"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7930CF4" w14:textId="77777777" w:rsidR="00E93F94" w:rsidRPr="009B783C" w:rsidRDefault="00E93F94" w:rsidP="007A498C">
            <w:pPr>
              <w:pStyle w:val="TableNText"/>
              <w:rPr>
                <w:sz w:val="21"/>
                <w:szCs w:val="21"/>
              </w:rPr>
            </w:pPr>
            <w:r w:rsidRPr="009B783C">
              <w:rPr>
                <w:rFonts w:eastAsia="Segoe UI"/>
                <w:sz w:val="21"/>
                <w:szCs w:val="21"/>
              </w:rPr>
              <w:t>Referred to hospital ward</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F64AE0E" w14:textId="77777777" w:rsidR="00E93F94" w:rsidRPr="009B783C" w:rsidRDefault="00E93F94" w:rsidP="00AB7572">
            <w:pPr>
              <w:pStyle w:val="TableNText"/>
              <w:jc w:val="center"/>
              <w:rPr>
                <w:sz w:val="21"/>
                <w:szCs w:val="21"/>
              </w:rPr>
            </w:pPr>
            <w:r w:rsidRPr="009B783C">
              <w:rPr>
                <w:rFonts w:eastAsia="Segoe UI"/>
                <w:sz w:val="21"/>
                <w:szCs w:val="21"/>
              </w:rPr>
              <w:t>397</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4761883" w14:textId="77777777" w:rsidR="00E93F94" w:rsidRPr="009B783C" w:rsidRDefault="00E93F94" w:rsidP="00AB7572">
            <w:pPr>
              <w:pStyle w:val="TableNText"/>
              <w:jc w:val="center"/>
              <w:rPr>
                <w:sz w:val="21"/>
                <w:szCs w:val="21"/>
              </w:rPr>
            </w:pPr>
            <w:r w:rsidRPr="009B783C">
              <w:rPr>
                <w:rFonts w:eastAsia="Segoe UI"/>
                <w:sz w:val="21"/>
                <w:szCs w:val="21"/>
              </w:rPr>
              <w:t>0.1%</w:t>
            </w:r>
          </w:p>
        </w:tc>
      </w:tr>
      <w:tr w:rsidR="00E93F94" w:rsidRPr="009B783C" w14:paraId="74FB6225"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66811F9" w14:textId="77777777" w:rsidR="00E93F94" w:rsidRPr="009B783C" w:rsidRDefault="00E93F94" w:rsidP="007A498C">
            <w:pPr>
              <w:pStyle w:val="TableNText"/>
              <w:rPr>
                <w:sz w:val="21"/>
                <w:szCs w:val="21"/>
              </w:rPr>
            </w:pPr>
            <w:r w:rsidRPr="009B783C">
              <w:rPr>
                <w:rFonts w:eastAsia="Segoe UI"/>
                <w:sz w:val="21"/>
                <w:szCs w:val="21"/>
              </w:rPr>
              <w:t>Left at own risk</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18673C4" w14:textId="77777777" w:rsidR="00E93F94" w:rsidRPr="009B783C" w:rsidRDefault="00E93F94" w:rsidP="00AB7572">
            <w:pPr>
              <w:pStyle w:val="TableNText"/>
              <w:jc w:val="center"/>
              <w:rPr>
                <w:sz w:val="21"/>
                <w:szCs w:val="21"/>
              </w:rPr>
            </w:pPr>
            <w:r w:rsidRPr="009B783C">
              <w:rPr>
                <w:rFonts w:eastAsia="Segoe UI"/>
                <w:sz w:val="21"/>
                <w:szCs w:val="21"/>
              </w:rPr>
              <w:t>372</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E141F23" w14:textId="77777777" w:rsidR="00E93F94" w:rsidRPr="009B783C" w:rsidRDefault="00E93F94" w:rsidP="00AB7572">
            <w:pPr>
              <w:pStyle w:val="TableNText"/>
              <w:jc w:val="center"/>
              <w:rPr>
                <w:sz w:val="21"/>
                <w:szCs w:val="21"/>
              </w:rPr>
            </w:pPr>
            <w:r w:rsidRPr="009B783C">
              <w:rPr>
                <w:rFonts w:eastAsia="Segoe UI"/>
                <w:sz w:val="21"/>
                <w:szCs w:val="21"/>
              </w:rPr>
              <w:t>0.1%</w:t>
            </w:r>
          </w:p>
        </w:tc>
      </w:tr>
      <w:tr w:rsidR="00E93F94" w:rsidRPr="009B783C" w14:paraId="6FF9EBC0"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AF11CE0" w14:textId="77777777" w:rsidR="00E93F94" w:rsidRPr="009B783C" w:rsidRDefault="00E93F94" w:rsidP="007A498C">
            <w:pPr>
              <w:pStyle w:val="TableNText"/>
              <w:rPr>
                <w:sz w:val="21"/>
                <w:szCs w:val="21"/>
              </w:rPr>
            </w:pPr>
            <w:r w:rsidRPr="009B783C">
              <w:rPr>
                <w:rFonts w:eastAsia="Segoe UI"/>
                <w:sz w:val="21"/>
                <w:szCs w:val="21"/>
              </w:rPr>
              <w:t>Other</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EEDABE5" w14:textId="77777777" w:rsidR="00E93F94" w:rsidRPr="009B783C" w:rsidRDefault="00E93F94" w:rsidP="00AB7572">
            <w:pPr>
              <w:pStyle w:val="TableNText"/>
              <w:jc w:val="center"/>
              <w:rPr>
                <w:sz w:val="21"/>
                <w:szCs w:val="21"/>
              </w:rPr>
            </w:pPr>
            <w:r w:rsidRPr="009B783C">
              <w:rPr>
                <w:rFonts w:eastAsia="Segoe UI"/>
                <w:sz w:val="21"/>
                <w:szCs w:val="21"/>
              </w:rPr>
              <w:t>943</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EE84709" w14:textId="77777777" w:rsidR="00E93F94" w:rsidRPr="009B783C" w:rsidRDefault="00E93F94" w:rsidP="00AB7572">
            <w:pPr>
              <w:pStyle w:val="TableNText"/>
              <w:jc w:val="center"/>
              <w:rPr>
                <w:sz w:val="21"/>
                <w:szCs w:val="21"/>
              </w:rPr>
            </w:pPr>
            <w:r w:rsidRPr="009B783C">
              <w:rPr>
                <w:rFonts w:eastAsia="Segoe UI"/>
                <w:sz w:val="21"/>
                <w:szCs w:val="21"/>
              </w:rPr>
              <w:t>0.2%</w:t>
            </w:r>
          </w:p>
        </w:tc>
      </w:tr>
      <w:tr w:rsidR="00C46EFD" w:rsidRPr="009B783C" w14:paraId="4A11F70C"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6657B32" w14:textId="6F80B642" w:rsidR="00C46EFD" w:rsidRPr="009B783C" w:rsidRDefault="00C46EFD" w:rsidP="00C46EFD">
            <w:pPr>
              <w:pStyle w:val="TableNText"/>
              <w:rPr>
                <w:rFonts w:eastAsia="Segoe UI"/>
                <w:sz w:val="21"/>
                <w:szCs w:val="21"/>
              </w:rPr>
            </w:pPr>
            <w:r w:rsidRPr="009B783C">
              <w:rPr>
                <w:rFonts w:eastAsia="Segoe UI"/>
                <w:sz w:val="21"/>
                <w:szCs w:val="21"/>
              </w:rPr>
              <w:t>Total excluding “Not recorded” (from 63 Medicare UCCs)</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E3404AF" w14:textId="37DCE5DB" w:rsidR="00C46EFD" w:rsidRPr="009B783C" w:rsidRDefault="00C46EFD" w:rsidP="00AB7572">
            <w:pPr>
              <w:pStyle w:val="TableNText"/>
              <w:jc w:val="center"/>
              <w:rPr>
                <w:rFonts w:eastAsia="Segoe UI"/>
                <w:sz w:val="21"/>
                <w:szCs w:val="21"/>
              </w:rPr>
            </w:pPr>
            <w:r w:rsidRPr="009B783C">
              <w:rPr>
                <w:rFonts w:eastAsia="Segoe UI"/>
                <w:sz w:val="21"/>
                <w:szCs w:val="21"/>
              </w:rPr>
              <w:t>382,142</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CA4670A" w14:textId="306AE158" w:rsidR="00C46EFD" w:rsidRPr="009B783C" w:rsidRDefault="00C46EFD" w:rsidP="00AB7572">
            <w:pPr>
              <w:pStyle w:val="TableNText"/>
              <w:jc w:val="center"/>
              <w:rPr>
                <w:sz w:val="21"/>
                <w:szCs w:val="21"/>
              </w:rPr>
            </w:pPr>
            <w:r w:rsidRPr="009B783C">
              <w:rPr>
                <w:rFonts w:eastAsia="Segoe UI"/>
                <w:sz w:val="21"/>
                <w:szCs w:val="21"/>
              </w:rPr>
              <w:t>100.0%</w:t>
            </w:r>
          </w:p>
        </w:tc>
      </w:tr>
      <w:tr w:rsidR="00E93F94" w:rsidRPr="009B783C" w14:paraId="2882540C"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1D60987" w14:textId="77777777" w:rsidR="00E93F94" w:rsidRPr="009B783C" w:rsidRDefault="00E93F94" w:rsidP="007A498C">
            <w:pPr>
              <w:pStyle w:val="TableNText"/>
              <w:rPr>
                <w:sz w:val="21"/>
                <w:szCs w:val="21"/>
              </w:rPr>
            </w:pPr>
            <w:r w:rsidRPr="009B783C">
              <w:rPr>
                <w:rFonts w:eastAsia="Segoe UI"/>
                <w:sz w:val="21"/>
                <w:szCs w:val="21"/>
              </w:rPr>
              <w:t>Not recorded</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B3865B8" w14:textId="77777777" w:rsidR="00E93F94" w:rsidRPr="009B783C" w:rsidRDefault="00E93F94" w:rsidP="00AB7572">
            <w:pPr>
              <w:pStyle w:val="TableNText"/>
              <w:jc w:val="center"/>
              <w:rPr>
                <w:sz w:val="21"/>
                <w:szCs w:val="21"/>
              </w:rPr>
            </w:pPr>
            <w:r w:rsidRPr="009B783C">
              <w:rPr>
                <w:rFonts w:eastAsia="Segoe UI"/>
                <w:sz w:val="21"/>
                <w:szCs w:val="21"/>
              </w:rPr>
              <w:t>44,337</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DA33056" w14:textId="77777777" w:rsidR="00E93F94" w:rsidRPr="009B783C" w:rsidRDefault="00E93F94" w:rsidP="00AB7572">
            <w:pPr>
              <w:pStyle w:val="TableNText"/>
              <w:jc w:val="center"/>
              <w:rPr>
                <w:sz w:val="21"/>
                <w:szCs w:val="21"/>
              </w:rPr>
            </w:pPr>
          </w:p>
        </w:tc>
      </w:tr>
      <w:tr w:rsidR="00E93F94" w:rsidRPr="009B783C" w14:paraId="3D024A6D"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699DC2B" w14:textId="3D563003" w:rsidR="00E93F94" w:rsidRPr="009B783C" w:rsidRDefault="00E93F94" w:rsidP="007A498C">
            <w:pPr>
              <w:pStyle w:val="TableNText"/>
              <w:rPr>
                <w:sz w:val="21"/>
                <w:szCs w:val="21"/>
              </w:rPr>
            </w:pPr>
            <w:r w:rsidRPr="009B783C">
              <w:rPr>
                <w:rFonts w:eastAsia="Segoe UI"/>
                <w:sz w:val="21"/>
                <w:szCs w:val="21"/>
              </w:rPr>
              <w:t xml:space="preserve">Total including </w:t>
            </w:r>
            <w:r w:rsidR="00F131EC" w:rsidRPr="009B783C">
              <w:rPr>
                <w:rFonts w:eastAsia="Segoe UI"/>
                <w:sz w:val="21"/>
                <w:szCs w:val="21"/>
              </w:rPr>
              <w:t>“</w:t>
            </w:r>
            <w:r w:rsidRPr="009B783C">
              <w:rPr>
                <w:rFonts w:eastAsia="Segoe UI"/>
                <w:sz w:val="21"/>
                <w:szCs w:val="21"/>
              </w:rPr>
              <w:t>Not recorded</w:t>
            </w:r>
            <w:r w:rsidR="00F131EC" w:rsidRPr="009B783C">
              <w:rPr>
                <w:rFonts w:eastAsia="Segoe UI"/>
                <w:sz w:val="21"/>
                <w:szCs w:val="21"/>
              </w:rPr>
              <w:t>”</w:t>
            </w:r>
            <w:r w:rsidRPr="009B783C">
              <w:rPr>
                <w:rFonts w:eastAsia="Segoe UI"/>
                <w:sz w:val="21"/>
                <w:szCs w:val="21"/>
              </w:rPr>
              <w:t xml:space="preserve"> (from 63 Medicare UCCs)</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7A01285" w14:textId="77777777" w:rsidR="00E93F94" w:rsidRPr="009B783C" w:rsidRDefault="00E93F94" w:rsidP="00AB7572">
            <w:pPr>
              <w:pStyle w:val="TableNText"/>
              <w:jc w:val="center"/>
              <w:rPr>
                <w:sz w:val="21"/>
                <w:szCs w:val="21"/>
              </w:rPr>
            </w:pPr>
            <w:r w:rsidRPr="009B783C">
              <w:rPr>
                <w:rFonts w:eastAsia="Segoe UI"/>
                <w:sz w:val="21"/>
                <w:szCs w:val="21"/>
              </w:rPr>
              <w:t>426,479</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2F35B4C" w14:textId="77777777" w:rsidR="00E93F94" w:rsidRPr="009B783C" w:rsidRDefault="00E93F94" w:rsidP="00AB7572">
            <w:pPr>
              <w:pStyle w:val="TableNText"/>
              <w:jc w:val="center"/>
              <w:rPr>
                <w:sz w:val="21"/>
                <w:szCs w:val="21"/>
              </w:rPr>
            </w:pPr>
          </w:p>
        </w:tc>
      </w:tr>
      <w:tr w:rsidR="00E93F94" w:rsidRPr="009B783C" w14:paraId="38E0469F"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BEE0CF2" w14:textId="77777777" w:rsidR="00E93F94" w:rsidRPr="009B783C" w:rsidRDefault="00E93F94" w:rsidP="007A498C">
            <w:pPr>
              <w:pStyle w:val="TableNText"/>
              <w:rPr>
                <w:sz w:val="21"/>
                <w:szCs w:val="21"/>
              </w:rPr>
            </w:pPr>
            <w:r w:rsidRPr="009B783C">
              <w:rPr>
                <w:rFonts w:eastAsia="Segoe UI"/>
                <w:sz w:val="21"/>
                <w:szCs w:val="21"/>
              </w:rPr>
              <w:t>Aggregate and other unit records counts</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6734F1F" w14:textId="77777777" w:rsidR="00E93F94" w:rsidRPr="009B783C" w:rsidRDefault="00E93F94" w:rsidP="00AB7572">
            <w:pPr>
              <w:pStyle w:val="TableNText"/>
              <w:jc w:val="center"/>
              <w:rPr>
                <w:sz w:val="21"/>
                <w:szCs w:val="21"/>
              </w:rPr>
            </w:pPr>
            <w:r w:rsidRPr="009B783C">
              <w:rPr>
                <w:rFonts w:eastAsia="Segoe UI"/>
                <w:sz w:val="21"/>
                <w:szCs w:val="21"/>
              </w:rPr>
              <w:t>357,592</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0AF1C5F" w14:textId="77777777" w:rsidR="00E93F94" w:rsidRPr="009B783C" w:rsidRDefault="00E93F94" w:rsidP="00AB7572">
            <w:pPr>
              <w:pStyle w:val="TableNText"/>
              <w:jc w:val="center"/>
              <w:rPr>
                <w:sz w:val="21"/>
                <w:szCs w:val="21"/>
              </w:rPr>
            </w:pPr>
          </w:p>
        </w:tc>
      </w:tr>
      <w:tr w:rsidR="00E93F94" w:rsidRPr="009B783C" w14:paraId="2C2CA435" w14:textId="77777777" w:rsidTr="005A78EE">
        <w:trPr>
          <w:jc w:val="center"/>
        </w:trPr>
        <w:tc>
          <w:tcPr>
            <w:tcW w:w="28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F022100" w14:textId="77777777" w:rsidR="00E93F94" w:rsidRPr="009B783C" w:rsidRDefault="00E93F94" w:rsidP="007A498C">
            <w:pPr>
              <w:pStyle w:val="TableNText"/>
              <w:rPr>
                <w:rFonts w:asciiTheme="majorHAnsi" w:hAnsiTheme="majorHAnsi" w:cstheme="majorHAnsi"/>
                <w:sz w:val="21"/>
                <w:szCs w:val="21"/>
              </w:rPr>
            </w:pPr>
            <w:r w:rsidRPr="009B783C">
              <w:rPr>
                <w:rFonts w:asciiTheme="majorHAnsi" w:eastAsia="Segoe UI" w:hAnsiTheme="majorHAnsi" w:cstheme="majorHAnsi"/>
                <w:sz w:val="21"/>
                <w:szCs w:val="21"/>
              </w:rPr>
              <w:t>Total presentations (from 75 Medicare UCCs)</w:t>
            </w:r>
          </w:p>
        </w:tc>
        <w:tc>
          <w:tcPr>
            <w:tcW w:w="10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FB8AB4E" w14:textId="77777777" w:rsidR="00E93F94" w:rsidRPr="009B783C" w:rsidRDefault="00E93F94" w:rsidP="00AB7572">
            <w:pPr>
              <w:pStyle w:val="TableNText"/>
              <w:jc w:val="center"/>
              <w:rPr>
                <w:rFonts w:asciiTheme="majorHAnsi" w:hAnsiTheme="majorHAnsi" w:cstheme="majorHAnsi"/>
                <w:sz w:val="21"/>
                <w:szCs w:val="21"/>
              </w:rPr>
            </w:pPr>
            <w:r w:rsidRPr="009B783C">
              <w:rPr>
                <w:rFonts w:asciiTheme="majorHAnsi" w:eastAsia="Segoe UI" w:hAnsiTheme="majorHAnsi" w:cstheme="majorHAnsi"/>
                <w:sz w:val="21"/>
                <w:szCs w:val="21"/>
              </w:rPr>
              <w:t>784,071</w:t>
            </w:r>
          </w:p>
        </w:tc>
        <w:tc>
          <w:tcPr>
            <w:tcW w:w="10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A90B2EA" w14:textId="77777777" w:rsidR="00E93F94" w:rsidRPr="009B783C" w:rsidRDefault="00E93F94" w:rsidP="00AB7572">
            <w:pPr>
              <w:pStyle w:val="TableNText"/>
              <w:jc w:val="center"/>
              <w:rPr>
                <w:rFonts w:asciiTheme="majorHAnsi" w:hAnsiTheme="majorHAnsi" w:cstheme="majorHAnsi"/>
                <w:sz w:val="21"/>
                <w:szCs w:val="21"/>
              </w:rPr>
            </w:pPr>
          </w:p>
        </w:tc>
      </w:tr>
    </w:tbl>
    <w:p w14:paraId="4962E3F1" w14:textId="71CF677E" w:rsidR="00FD7D5E" w:rsidRPr="00ED1544" w:rsidRDefault="00FD7D5E" w:rsidP="00ED1544">
      <w:r w:rsidRPr="00ED1544">
        <w:t xml:space="preserve">Notes: Table reflects data from 30 June 2023 to 30 September 2024 and extracted on 6 November 2024. See section </w:t>
      </w:r>
      <w:r w:rsidRPr="00ED1544">
        <w:fldChar w:fldCharType="begin"/>
      </w:r>
      <w:r w:rsidRPr="00ED1544">
        <w:instrText xml:space="preserve"> REF _Ref185478021 \n \h  \* MERGEFORMAT </w:instrText>
      </w:r>
      <w:r w:rsidRPr="00ED1544">
        <w:fldChar w:fldCharType="separate"/>
      </w:r>
      <w:r w:rsidRPr="00ED1544">
        <w:t>3.4</w:t>
      </w:r>
      <w:r w:rsidRPr="00ED1544">
        <w:fldChar w:fldCharType="end"/>
      </w:r>
      <w:r w:rsidRPr="00ED1544">
        <w:t xml:space="preserve"> for an overview of limitations related to the Medicare UCC data.</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95419A" w:rsidRPr="009B783C" w14:paraId="723A4F7D" w14:textId="77777777" w:rsidTr="00FA7FE6">
        <w:tc>
          <w:tcPr>
            <w:tcW w:w="8907" w:type="dxa"/>
          </w:tcPr>
          <w:p w14:paraId="464730CB" w14:textId="761E85EE" w:rsidR="0095419A" w:rsidRPr="00646FE9" w:rsidRDefault="005D1D88" w:rsidP="00CC1F8D">
            <w:pPr>
              <w:pStyle w:val="Longformcallout"/>
              <w:rPr>
                <w:rFonts w:asciiTheme="majorHAnsi" w:hAnsiTheme="majorHAnsi" w:cstheme="majorHAnsi"/>
                <w:sz w:val="28"/>
                <w:szCs w:val="28"/>
              </w:rPr>
            </w:pPr>
            <w:r w:rsidRPr="00646FE9">
              <w:rPr>
                <w:rFonts w:asciiTheme="majorHAnsi" w:hAnsiTheme="majorHAnsi" w:cstheme="majorHAnsi"/>
                <w:sz w:val="28"/>
                <w:szCs w:val="28"/>
              </w:rPr>
              <w:t>Interim finding</w:t>
            </w:r>
          </w:p>
          <w:p w14:paraId="3427B43D" w14:textId="47975446" w:rsidR="0095419A" w:rsidRPr="009B783C" w:rsidRDefault="0095419A" w:rsidP="00CC1F8D">
            <w:pPr>
              <w:pStyle w:val="Longformcallout"/>
            </w:pPr>
            <w:r w:rsidRPr="009B783C">
              <w:rPr>
                <w:szCs w:val="21"/>
              </w:rPr>
              <w:t xml:space="preserve">Medicare UCCs are primarily treating patients with conditions that fall within the scope of the Medicare UCC Operational </w:t>
            </w:r>
            <w:r w:rsidR="000428C7" w:rsidRPr="009B783C">
              <w:rPr>
                <w:szCs w:val="21"/>
              </w:rPr>
              <w:t>Guid</w:t>
            </w:r>
            <w:r w:rsidR="008D714D" w:rsidRPr="009B783C">
              <w:rPr>
                <w:szCs w:val="21"/>
              </w:rPr>
              <w:t>ance</w:t>
            </w:r>
            <w:r w:rsidR="006C4B18" w:rsidRPr="009B783C">
              <w:rPr>
                <w:szCs w:val="21"/>
              </w:rPr>
              <w:t xml:space="preserve">, with most patients presenting with acute illnesses (63 per cent) and acute injuries (26 per cent). </w:t>
            </w:r>
            <w:proofErr w:type="gramStart"/>
            <w:r w:rsidR="00D20285" w:rsidRPr="009B783C">
              <w:rPr>
                <w:szCs w:val="21"/>
              </w:rPr>
              <w:t>The majority of</w:t>
            </w:r>
            <w:proofErr w:type="gramEnd"/>
            <w:r w:rsidRPr="009B783C">
              <w:rPr>
                <w:szCs w:val="21"/>
              </w:rPr>
              <w:t xml:space="preserve"> patients (84 per cent) return home after receiving care and a small proportion are referred to an ED (5 per cent) or redirected to their usual GP (10 per cent) when </w:t>
            </w:r>
            <w:r w:rsidR="008017D3" w:rsidRPr="009B783C">
              <w:rPr>
                <w:szCs w:val="21"/>
              </w:rPr>
              <w:t>appropriate</w:t>
            </w:r>
            <w:r w:rsidRPr="009B783C">
              <w:rPr>
                <w:szCs w:val="21"/>
              </w:rPr>
              <w:t>.</w:t>
            </w:r>
            <w:r w:rsidR="008A611A" w:rsidRPr="009B783C">
              <w:t xml:space="preserve"> </w:t>
            </w:r>
          </w:p>
        </w:tc>
      </w:tr>
    </w:tbl>
    <w:p w14:paraId="0494D372" w14:textId="77777777" w:rsidR="00E93F94" w:rsidRPr="009B783C" w:rsidRDefault="00E93F94" w:rsidP="000D706D">
      <w:pPr>
        <w:pStyle w:val="Heading3"/>
        <w:rPr>
          <w:rFonts w:asciiTheme="majorHAnsi" w:hAnsiTheme="majorHAnsi" w:cstheme="majorBidi"/>
          <w:b/>
          <w:bCs/>
        </w:rPr>
      </w:pPr>
      <w:r w:rsidRPr="009B783C">
        <w:lastRenderedPageBreak/>
        <w:t>Medicare UCCs have policies to promote equitable, quality care</w:t>
      </w:r>
      <w:r w:rsidRPr="009B783C">
        <w:rPr>
          <w:rFonts w:asciiTheme="majorHAnsi" w:hAnsiTheme="majorHAnsi" w:cstheme="majorBidi"/>
        </w:rPr>
        <w:t xml:space="preserve"> for priority populations</w:t>
      </w:r>
    </w:p>
    <w:p w14:paraId="5C807D73" w14:textId="77777777" w:rsidR="00E93F94" w:rsidRPr="009B783C" w:rsidRDefault="00E93F94" w:rsidP="00CC1F8D">
      <w:pPr>
        <w:pStyle w:val="Bullet"/>
        <w:numPr>
          <w:ilvl w:val="0"/>
          <w:numId w:val="0"/>
        </w:numPr>
        <w:rPr>
          <w:szCs w:val="21"/>
        </w:rPr>
      </w:pPr>
      <w:r w:rsidRPr="009B783C">
        <w:rPr>
          <w:szCs w:val="21"/>
        </w:rPr>
        <w:t>Medicare UCC Operational Guidance</w:t>
      </w:r>
      <w:r w:rsidRPr="009B783C">
        <w:rPr>
          <w:rStyle w:val="FootnoteReference"/>
          <w:szCs w:val="21"/>
        </w:rPr>
        <w:footnoteReference w:id="54"/>
      </w:r>
      <w:r w:rsidRPr="009B783C">
        <w:rPr>
          <w:szCs w:val="21"/>
        </w:rPr>
        <w:t xml:space="preserve"> states that Medicare UCCs should ensure they are welcoming, accessible and safe places for priority populations and maintain connections with relevant services to support quality and continuity of care. </w:t>
      </w:r>
    </w:p>
    <w:p w14:paraId="48599818" w14:textId="1388E384" w:rsidR="00E93F94" w:rsidRPr="009B783C" w:rsidRDefault="00E93F94" w:rsidP="00CC1F8D">
      <w:pPr>
        <w:rPr>
          <w:szCs w:val="21"/>
        </w:rPr>
      </w:pPr>
      <w:r w:rsidRPr="009B783C">
        <w:rPr>
          <w:szCs w:val="21"/>
          <w:lang w:eastAsia="en-AU"/>
        </w:rPr>
        <w:t>In addition, a range of policies and processes have been developed by the Department to ensure all Medicare UCCs are able to provide</w:t>
      </w:r>
      <w:r w:rsidR="001A65E5" w:rsidRPr="009B783C">
        <w:rPr>
          <w:szCs w:val="21"/>
          <w:lang w:eastAsia="en-AU"/>
        </w:rPr>
        <w:t xml:space="preserve"> appropriate</w:t>
      </w:r>
      <w:r w:rsidRPr="009B783C">
        <w:rPr>
          <w:szCs w:val="21"/>
          <w:lang w:eastAsia="en-AU"/>
        </w:rPr>
        <w:t xml:space="preserve"> care to </w:t>
      </w:r>
      <w:r w:rsidRPr="009B783C">
        <w:rPr>
          <w:szCs w:val="21"/>
        </w:rPr>
        <w:t>priority populations. Examples include:</w:t>
      </w:r>
    </w:p>
    <w:p w14:paraId="302C991A" w14:textId="5B0EA2F0" w:rsidR="00E93F94" w:rsidRPr="009B783C" w:rsidRDefault="00E93F94" w:rsidP="00CC1F8D">
      <w:pPr>
        <w:pStyle w:val="Bullet"/>
        <w:rPr>
          <w:szCs w:val="21"/>
        </w:rPr>
      </w:pPr>
      <w:r w:rsidRPr="009B783C">
        <w:rPr>
          <w:szCs w:val="21"/>
        </w:rPr>
        <w:t xml:space="preserve">Identifying and funding (in certain circumstances) training for Medicare UCC staff regarding First Nations cultural awareness, providing healthcare to people with a disability and for victim-survivors of family, domestic and sexual violence. </w:t>
      </w:r>
    </w:p>
    <w:p w14:paraId="39FA3FC1" w14:textId="058CE984" w:rsidR="00E93F94" w:rsidRPr="009B783C" w:rsidRDefault="00E93F94" w:rsidP="00CC1F8D">
      <w:pPr>
        <w:pStyle w:val="Bullet"/>
        <w:rPr>
          <w:szCs w:val="21"/>
        </w:rPr>
      </w:pPr>
      <w:r w:rsidRPr="009B783C">
        <w:rPr>
          <w:szCs w:val="21"/>
        </w:rPr>
        <w:t xml:space="preserve">Encouraging Medicare UCCs to work with local </w:t>
      </w:r>
      <w:r w:rsidR="0095419A" w:rsidRPr="009B783C">
        <w:rPr>
          <w:szCs w:val="21"/>
        </w:rPr>
        <w:t>ACCHS</w:t>
      </w:r>
      <w:r w:rsidR="00330A51" w:rsidRPr="009B783C">
        <w:rPr>
          <w:szCs w:val="21"/>
        </w:rPr>
        <w:t>s</w:t>
      </w:r>
      <w:r w:rsidR="0095419A" w:rsidRPr="009B783C" w:rsidDel="003F7868">
        <w:rPr>
          <w:szCs w:val="21"/>
        </w:rPr>
        <w:t xml:space="preserve"> </w:t>
      </w:r>
      <w:r w:rsidR="0095419A" w:rsidRPr="009B783C">
        <w:rPr>
          <w:szCs w:val="21"/>
        </w:rPr>
        <w:t>to</w:t>
      </w:r>
      <w:r w:rsidRPr="009B783C">
        <w:rPr>
          <w:szCs w:val="21"/>
        </w:rPr>
        <w:t xml:space="preserve"> establish clinical referral pathways for First Nations patients, understand regional needs and establish relationships with surrounding First Nations communities. </w:t>
      </w:r>
    </w:p>
    <w:p w14:paraId="506CA9A0" w14:textId="77777777" w:rsidR="00E93F94" w:rsidRPr="009B783C" w:rsidRDefault="00E93F94" w:rsidP="00CC1F8D">
      <w:pPr>
        <w:pStyle w:val="Bullet"/>
        <w:rPr>
          <w:szCs w:val="21"/>
        </w:rPr>
      </w:pPr>
      <w:r w:rsidRPr="009B783C">
        <w:rPr>
          <w:szCs w:val="21"/>
        </w:rPr>
        <w:t xml:space="preserve">Encouraging Medicare UCCs to include a Health Assessment reminder in discharge summaries for people with intellectual disability. </w:t>
      </w:r>
    </w:p>
    <w:p w14:paraId="73B44925" w14:textId="3EBD5309" w:rsidR="00E93F94" w:rsidRPr="009B783C" w:rsidRDefault="00E93F94" w:rsidP="00CC1F8D">
      <w:pPr>
        <w:pStyle w:val="Bullet"/>
        <w:rPr>
          <w:szCs w:val="21"/>
        </w:rPr>
      </w:pPr>
      <w:r w:rsidRPr="009B783C">
        <w:rPr>
          <w:szCs w:val="21"/>
        </w:rPr>
        <w:t xml:space="preserve">Outlining use of appropriate reporting, anonymity and establishing referral pathways for victim-survivors of family, domestic and sexual violence. </w:t>
      </w:r>
    </w:p>
    <w:p w14:paraId="66671177" w14:textId="77777777" w:rsidR="00E93F94" w:rsidRPr="009B783C" w:rsidRDefault="00E93F94" w:rsidP="00CC1F8D">
      <w:pPr>
        <w:rPr>
          <w:szCs w:val="21"/>
        </w:rPr>
      </w:pPr>
      <w:r w:rsidRPr="009B783C">
        <w:rPr>
          <w:szCs w:val="21"/>
        </w:rPr>
        <w:t xml:space="preserve">Implementation of these policies will be explored with Medicare UCC providers during the evaluation in 2025 and 2026. </w:t>
      </w:r>
    </w:p>
    <w:p w14:paraId="1B15FA58" w14:textId="709DA902" w:rsidR="00E93F94" w:rsidRPr="009B783C" w:rsidRDefault="00E93F94" w:rsidP="000D706D">
      <w:pPr>
        <w:pStyle w:val="Heading3"/>
        <w:rPr>
          <w:rFonts w:asciiTheme="majorHAnsi" w:hAnsiTheme="majorHAnsi" w:cstheme="majorHAnsi"/>
          <w:b/>
          <w:bCs/>
        </w:rPr>
      </w:pPr>
      <w:bookmarkStart w:id="108" w:name="_Toc179962850"/>
      <w:r w:rsidRPr="009B783C">
        <w:t xml:space="preserve">Use of the Medicare UCCs by </w:t>
      </w:r>
      <w:r w:rsidRPr="000D706D">
        <w:t>priority</w:t>
      </w:r>
      <w:r w:rsidRPr="009B783C">
        <w:t xml:space="preserve"> populations</w:t>
      </w:r>
      <w:bookmarkEnd w:id="108"/>
      <w:r w:rsidRPr="009B783C">
        <w:t xml:space="preserve"> </w:t>
      </w:r>
    </w:p>
    <w:p w14:paraId="627D0A0A" w14:textId="47DF4789" w:rsidR="005713C4" w:rsidRPr="009B783C" w:rsidRDefault="00866292" w:rsidP="00CC1F8D">
      <w:pPr>
        <w:rPr>
          <w:szCs w:val="21"/>
        </w:rPr>
      </w:pPr>
      <w:r w:rsidRPr="009B783C">
        <w:rPr>
          <w:szCs w:val="21"/>
        </w:rPr>
        <w:t xml:space="preserve">The quality of data </w:t>
      </w:r>
      <w:r w:rsidR="007975E0" w:rsidRPr="009B783C">
        <w:rPr>
          <w:szCs w:val="21"/>
        </w:rPr>
        <w:t>on</w:t>
      </w:r>
      <w:r w:rsidRPr="009B783C">
        <w:rPr>
          <w:szCs w:val="21"/>
        </w:rPr>
        <w:t xml:space="preserve"> utilisation of Medicare UCCs</w:t>
      </w:r>
      <w:r w:rsidR="007975E0" w:rsidRPr="009B783C">
        <w:rPr>
          <w:szCs w:val="21"/>
        </w:rPr>
        <w:t xml:space="preserve"> by priority populations</w:t>
      </w:r>
      <w:r w:rsidRPr="009B783C">
        <w:rPr>
          <w:szCs w:val="21"/>
        </w:rPr>
        <w:t xml:space="preserve"> is variable. </w:t>
      </w:r>
      <w:r w:rsidR="00874FAC" w:rsidRPr="009B783C">
        <w:rPr>
          <w:szCs w:val="21"/>
        </w:rPr>
        <w:t xml:space="preserve">There is reasonable reporting on </w:t>
      </w:r>
      <w:r w:rsidR="00CE083A" w:rsidRPr="009B783C">
        <w:rPr>
          <w:szCs w:val="21"/>
        </w:rPr>
        <w:t xml:space="preserve">Indigenous </w:t>
      </w:r>
      <w:r w:rsidR="00874FAC" w:rsidRPr="009B783C">
        <w:rPr>
          <w:szCs w:val="21"/>
        </w:rPr>
        <w:t xml:space="preserve">status, </w:t>
      </w:r>
      <w:r w:rsidR="00FD2B2A" w:rsidRPr="009B783C">
        <w:rPr>
          <w:szCs w:val="21"/>
        </w:rPr>
        <w:t xml:space="preserve">reflective of reporting by the broader primary care sector. </w:t>
      </w:r>
      <w:r w:rsidR="005713C4" w:rsidRPr="009B783C">
        <w:rPr>
          <w:szCs w:val="21"/>
        </w:rPr>
        <w:t xml:space="preserve">There is limited data available on utilisation of Medicare UCCs by other priority populations, due </w:t>
      </w:r>
      <w:r w:rsidR="00CE083A" w:rsidRPr="009B783C">
        <w:rPr>
          <w:szCs w:val="21"/>
        </w:rPr>
        <w:t xml:space="preserve">to </w:t>
      </w:r>
      <w:r w:rsidR="008A32FC" w:rsidRPr="009B783C">
        <w:rPr>
          <w:szCs w:val="21"/>
        </w:rPr>
        <w:t>poor</w:t>
      </w:r>
      <w:r w:rsidR="005713C4" w:rsidRPr="009B783C">
        <w:rPr>
          <w:szCs w:val="21"/>
        </w:rPr>
        <w:t xml:space="preserve"> data quality and consistency for variables relating to cultural and linguistic diverse communities and people with a disability</w:t>
      </w:r>
      <w:r w:rsidR="002A4BF4" w:rsidRPr="009B783C">
        <w:rPr>
          <w:szCs w:val="21"/>
        </w:rPr>
        <w:t xml:space="preserve"> (see section </w:t>
      </w:r>
      <w:r w:rsidR="00DF3C6E" w:rsidRPr="009B783C">
        <w:rPr>
          <w:szCs w:val="21"/>
        </w:rPr>
        <w:fldChar w:fldCharType="begin"/>
      </w:r>
      <w:r w:rsidR="00DF3C6E" w:rsidRPr="009B783C">
        <w:rPr>
          <w:szCs w:val="21"/>
        </w:rPr>
        <w:instrText xml:space="preserve"> REF _Ref185478021 \n \h </w:instrText>
      </w:r>
      <w:r w:rsidR="00CC1F8D" w:rsidRPr="009B783C">
        <w:rPr>
          <w:szCs w:val="21"/>
        </w:rPr>
        <w:instrText xml:space="preserve"> \* MERGEFORMAT </w:instrText>
      </w:r>
      <w:r w:rsidR="00DF3C6E" w:rsidRPr="009B783C">
        <w:rPr>
          <w:szCs w:val="21"/>
        </w:rPr>
      </w:r>
      <w:r w:rsidR="00DF3C6E" w:rsidRPr="009B783C">
        <w:rPr>
          <w:szCs w:val="21"/>
        </w:rPr>
        <w:fldChar w:fldCharType="separate"/>
      </w:r>
      <w:r w:rsidR="0031172E" w:rsidRPr="009B783C">
        <w:rPr>
          <w:szCs w:val="21"/>
        </w:rPr>
        <w:t>3.4</w:t>
      </w:r>
      <w:r w:rsidR="00DF3C6E" w:rsidRPr="009B783C">
        <w:rPr>
          <w:szCs w:val="21"/>
        </w:rPr>
        <w:fldChar w:fldCharType="end"/>
      </w:r>
      <w:r w:rsidR="002A4BF4" w:rsidRPr="009B783C">
        <w:rPr>
          <w:szCs w:val="21"/>
        </w:rPr>
        <w:t>).</w:t>
      </w:r>
    </w:p>
    <w:p w14:paraId="27155B3B" w14:textId="31A024E0" w:rsidR="00683C14" w:rsidRPr="009B783C" w:rsidRDefault="0095419A" w:rsidP="00CC1F8D">
      <w:pPr>
        <w:rPr>
          <w:szCs w:val="21"/>
        </w:rPr>
      </w:pPr>
      <w:r w:rsidRPr="009B783C">
        <w:rPr>
          <w:szCs w:val="21"/>
        </w:rPr>
        <w:t xml:space="preserve">As shown previously in </w:t>
      </w:r>
      <w:r w:rsidR="00DF3C6E" w:rsidRPr="009B783C">
        <w:rPr>
          <w:szCs w:val="21"/>
        </w:rPr>
        <w:fldChar w:fldCharType="begin"/>
      </w:r>
      <w:r w:rsidR="00DF3C6E" w:rsidRPr="009B783C">
        <w:rPr>
          <w:szCs w:val="21"/>
        </w:rPr>
        <w:instrText xml:space="preserve"> REF _Ref185485624 \h </w:instrText>
      </w:r>
      <w:r w:rsidR="00CC1F8D" w:rsidRPr="009B783C">
        <w:rPr>
          <w:szCs w:val="21"/>
        </w:rPr>
        <w:instrText xml:space="preserve"> \* MERGEFORMAT </w:instrText>
      </w:r>
      <w:r w:rsidR="00DF3C6E" w:rsidRPr="009B783C">
        <w:rPr>
          <w:szCs w:val="21"/>
        </w:rPr>
      </w:r>
      <w:r w:rsidR="00DF3C6E" w:rsidRPr="009B783C">
        <w:rPr>
          <w:szCs w:val="21"/>
        </w:rPr>
        <w:fldChar w:fldCharType="separate"/>
      </w:r>
      <w:r w:rsidR="006E7782" w:rsidRPr="009B783C">
        <w:rPr>
          <w:szCs w:val="21"/>
        </w:rPr>
        <w:t xml:space="preserve">Table </w:t>
      </w:r>
      <w:r w:rsidR="006E7782">
        <w:rPr>
          <w:szCs w:val="21"/>
        </w:rPr>
        <w:t>7</w:t>
      </w:r>
      <w:r w:rsidR="00DF3C6E" w:rsidRPr="009B783C">
        <w:rPr>
          <w:szCs w:val="21"/>
        </w:rPr>
        <w:fldChar w:fldCharType="end"/>
      </w:r>
      <w:r w:rsidRPr="009B783C">
        <w:rPr>
          <w:szCs w:val="21"/>
        </w:rPr>
        <w:t xml:space="preserve">, </w:t>
      </w:r>
      <w:r w:rsidR="00CE083A" w:rsidRPr="009B783C">
        <w:rPr>
          <w:szCs w:val="21"/>
        </w:rPr>
        <w:t>6</w:t>
      </w:r>
      <w:r w:rsidRPr="009B783C">
        <w:rPr>
          <w:szCs w:val="21"/>
        </w:rPr>
        <w:t xml:space="preserve"> per cent of patients presenting to a Medicare UCC identified as Aboriginal and/or Torres Strait Islander. This is slightly lower than for EDs, where </w:t>
      </w:r>
      <w:r w:rsidR="00D41139" w:rsidRPr="009B783C">
        <w:rPr>
          <w:szCs w:val="21"/>
        </w:rPr>
        <w:t>8</w:t>
      </w:r>
      <w:r w:rsidRPr="009B783C">
        <w:rPr>
          <w:szCs w:val="21"/>
        </w:rPr>
        <w:t xml:space="preserve"> per cent of patients identified as Aboriginal and/or Torres Strait Islander.</w:t>
      </w:r>
      <w:r w:rsidRPr="009B783C">
        <w:rPr>
          <w:rStyle w:val="FootnoteReference"/>
          <w:szCs w:val="21"/>
        </w:rPr>
        <w:footnoteReference w:id="55"/>
      </w:r>
      <w:r w:rsidRPr="009B783C">
        <w:rPr>
          <w:szCs w:val="21"/>
          <w:vertAlign w:val="superscript"/>
        </w:rPr>
        <w:t>,</w:t>
      </w:r>
      <w:r w:rsidRPr="009B783C">
        <w:rPr>
          <w:rStyle w:val="FootnoteReference"/>
          <w:szCs w:val="21"/>
        </w:rPr>
        <w:footnoteReference w:id="56"/>
      </w:r>
      <w:r w:rsidRPr="009B783C">
        <w:rPr>
          <w:szCs w:val="21"/>
        </w:rPr>
        <w:t xml:space="preserve"> </w:t>
      </w:r>
    </w:p>
    <w:tbl>
      <w:tblPr>
        <w:tblStyle w:val="NousLongformcallout"/>
        <w:tblpPr w:leftFromText="180" w:rightFromText="180" w:vertAnchor="text" w:horzAnchor="margin" w:tblpY="122"/>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E93F94" w:rsidRPr="009B783C" w14:paraId="65D37FDE" w14:textId="77777777" w:rsidTr="003E79FA">
        <w:tc>
          <w:tcPr>
            <w:tcW w:w="9146" w:type="dxa"/>
          </w:tcPr>
          <w:p w14:paraId="60CD29DE" w14:textId="3243A807" w:rsidR="00E93F94" w:rsidRPr="00646FE9" w:rsidRDefault="005D1D88" w:rsidP="00CC1F8D">
            <w:pPr>
              <w:pStyle w:val="Longformcallout"/>
              <w:rPr>
                <w:rFonts w:asciiTheme="majorHAnsi" w:hAnsiTheme="majorHAnsi" w:cstheme="majorHAnsi"/>
                <w:sz w:val="28"/>
                <w:szCs w:val="28"/>
              </w:rPr>
            </w:pPr>
            <w:r w:rsidRPr="00646FE9">
              <w:rPr>
                <w:rFonts w:asciiTheme="majorHAnsi" w:hAnsiTheme="majorHAnsi" w:cstheme="majorHAnsi"/>
                <w:sz w:val="28"/>
                <w:szCs w:val="28"/>
              </w:rPr>
              <w:t>Interim finding</w:t>
            </w:r>
          </w:p>
          <w:p w14:paraId="39CC1878" w14:textId="78AEF1EB" w:rsidR="00E93F94" w:rsidRPr="009B783C" w:rsidRDefault="00E93F94" w:rsidP="00CC1F8D">
            <w:pPr>
              <w:pStyle w:val="Longformcallout"/>
              <w:rPr>
                <w:szCs w:val="21"/>
              </w:rPr>
            </w:pPr>
            <w:r w:rsidRPr="009B783C">
              <w:rPr>
                <w:szCs w:val="21"/>
              </w:rPr>
              <w:lastRenderedPageBreak/>
              <w:t xml:space="preserve">As of 30 September 2024, </w:t>
            </w:r>
            <w:r w:rsidR="00AD1014" w:rsidRPr="009B783C">
              <w:rPr>
                <w:szCs w:val="21"/>
              </w:rPr>
              <w:t>6</w:t>
            </w:r>
            <w:r w:rsidRPr="009B783C">
              <w:rPr>
                <w:szCs w:val="21"/>
              </w:rPr>
              <w:t xml:space="preserve"> per cent of </w:t>
            </w:r>
            <w:r w:rsidR="00AD545B" w:rsidRPr="009B783C">
              <w:rPr>
                <w:szCs w:val="21"/>
              </w:rPr>
              <w:t xml:space="preserve">those </w:t>
            </w:r>
            <w:r w:rsidRPr="009B783C">
              <w:rPr>
                <w:szCs w:val="21"/>
              </w:rPr>
              <w:t xml:space="preserve">Medicare UCC patients </w:t>
            </w:r>
            <w:r w:rsidR="006F03A2" w:rsidRPr="009B783C">
              <w:rPr>
                <w:szCs w:val="21"/>
              </w:rPr>
              <w:t>with recorded status</w:t>
            </w:r>
            <w:r w:rsidR="0095419A" w:rsidRPr="009B783C">
              <w:rPr>
                <w:szCs w:val="21"/>
              </w:rPr>
              <w:t xml:space="preserve"> </w:t>
            </w:r>
            <w:r w:rsidRPr="009B783C">
              <w:rPr>
                <w:szCs w:val="21"/>
              </w:rPr>
              <w:t>identified as Aboriginal and/or Torres Strait Islander, which is slightly lower than for EDs (</w:t>
            </w:r>
            <w:r w:rsidR="00AD1014" w:rsidRPr="009B783C">
              <w:rPr>
                <w:szCs w:val="21"/>
              </w:rPr>
              <w:t>8</w:t>
            </w:r>
            <w:r w:rsidRPr="009B783C">
              <w:rPr>
                <w:szCs w:val="21"/>
              </w:rPr>
              <w:t xml:space="preserve"> per cent). </w:t>
            </w:r>
            <w:r w:rsidR="005E307C" w:rsidRPr="009B783C">
              <w:rPr>
                <w:szCs w:val="21"/>
              </w:rPr>
              <w:t>There is limited data available on utilisation of Medicare UCCs by other priority populations.</w:t>
            </w:r>
            <w:r w:rsidR="0095419A" w:rsidRPr="009B783C">
              <w:rPr>
                <w:szCs w:val="21"/>
              </w:rPr>
              <w:t xml:space="preserve"> </w:t>
            </w:r>
          </w:p>
        </w:tc>
      </w:tr>
    </w:tbl>
    <w:p w14:paraId="7DDD6467" w14:textId="1CFC2CE6" w:rsidR="00E93F94" w:rsidRPr="009B783C" w:rsidRDefault="00E93F94" w:rsidP="00CC1F8D">
      <w:pPr>
        <w:spacing w:before="240"/>
        <w:rPr>
          <w:szCs w:val="21"/>
          <w:lang w:eastAsia="en-AU"/>
        </w:rPr>
      </w:pPr>
      <w:r w:rsidRPr="009B783C">
        <w:rPr>
          <w:szCs w:val="21"/>
          <w:lang w:eastAsia="en-AU"/>
        </w:rPr>
        <w:lastRenderedPageBreak/>
        <w:t xml:space="preserve">Cultural and linguistic diversity can encompass a range of aspects, including a person’s country of birth, their ancestry, where their parents were born, what language/s they speak and their religious affiliation. There is no </w:t>
      </w:r>
      <w:r w:rsidR="00AD1014" w:rsidRPr="009B783C">
        <w:rPr>
          <w:szCs w:val="21"/>
          <w:lang w:eastAsia="en-AU"/>
        </w:rPr>
        <w:t>single</w:t>
      </w:r>
      <w:r w:rsidRPr="009B783C">
        <w:rPr>
          <w:szCs w:val="21"/>
          <w:lang w:eastAsia="en-AU"/>
        </w:rPr>
        <w:t xml:space="preserve"> definition of cultural and linguistic diversity, and often a range of information is required to identify the unique characteristics of a person that may affect their health care needs.</w:t>
      </w:r>
      <w:r w:rsidRPr="009B783C">
        <w:rPr>
          <w:rStyle w:val="FootnoteReference"/>
          <w:szCs w:val="21"/>
          <w:lang w:eastAsia="en-AU"/>
        </w:rPr>
        <w:footnoteReference w:id="57"/>
      </w:r>
      <w:r w:rsidRPr="009B783C">
        <w:rPr>
          <w:szCs w:val="21"/>
          <w:lang w:eastAsia="en-AU"/>
        </w:rPr>
        <w:t xml:space="preserve"> </w:t>
      </w:r>
    </w:p>
    <w:p w14:paraId="3161ADD1" w14:textId="77777777" w:rsidR="00E93F94" w:rsidRPr="009B783C" w:rsidRDefault="00E93F94" w:rsidP="00CC1F8D">
      <w:pPr>
        <w:rPr>
          <w:szCs w:val="21"/>
          <w:lang w:eastAsia="en-AU"/>
        </w:rPr>
      </w:pPr>
      <w:r w:rsidRPr="009B783C">
        <w:rPr>
          <w:szCs w:val="21"/>
          <w:lang w:eastAsia="en-AU"/>
        </w:rPr>
        <w:t>There are issues in the way the Medicare UCC data on cultural and linguistic diversity is collected that could be given some attention. Examples include:</w:t>
      </w:r>
    </w:p>
    <w:p w14:paraId="0B560212" w14:textId="77777777" w:rsidR="00E93F94" w:rsidRPr="009B783C" w:rsidRDefault="00E93F94" w:rsidP="00CC1F8D">
      <w:pPr>
        <w:pStyle w:val="Bullet"/>
        <w:rPr>
          <w:szCs w:val="21"/>
        </w:rPr>
      </w:pPr>
      <w:r w:rsidRPr="009B783C">
        <w:rPr>
          <w:szCs w:val="21"/>
        </w:rPr>
        <w:t>Country of birth data is collected using ethnicity variables, mixing concepts with separate definitions.</w:t>
      </w:r>
      <w:r w:rsidRPr="009B783C">
        <w:rPr>
          <w:rStyle w:val="FootnoteReference"/>
          <w:szCs w:val="21"/>
        </w:rPr>
        <w:footnoteReference w:id="58"/>
      </w:r>
      <w:r w:rsidRPr="009B783C">
        <w:rPr>
          <w:szCs w:val="21"/>
          <w:vertAlign w:val="superscript"/>
        </w:rPr>
        <w:t>,</w:t>
      </w:r>
      <w:r w:rsidRPr="009B783C">
        <w:rPr>
          <w:rStyle w:val="FootnoteReference"/>
          <w:szCs w:val="21"/>
        </w:rPr>
        <w:footnoteReference w:id="59"/>
      </w:r>
    </w:p>
    <w:p w14:paraId="7D9A2987" w14:textId="2CD31478" w:rsidR="00E93F94" w:rsidRPr="009B783C" w:rsidRDefault="0026002B" w:rsidP="00CC1F8D">
      <w:pPr>
        <w:pStyle w:val="Bullet"/>
        <w:rPr>
          <w:szCs w:val="21"/>
        </w:rPr>
      </w:pPr>
      <w:r w:rsidRPr="009B783C">
        <w:rPr>
          <w:szCs w:val="21"/>
        </w:rPr>
        <w:t xml:space="preserve">Just </w:t>
      </w:r>
      <w:r w:rsidR="00E93F94" w:rsidRPr="009B783C">
        <w:rPr>
          <w:szCs w:val="21"/>
        </w:rPr>
        <w:t>1.4 per cent of patients attending Medicare UCCs reported speaking a language other than English at home, which is likely related to the proportion of presentations for whom an interpreter was engaged (1.1 per cent) and may under</w:t>
      </w:r>
      <w:r w:rsidR="00CC22B5" w:rsidRPr="009B783C">
        <w:rPr>
          <w:szCs w:val="21"/>
        </w:rPr>
        <w:t>-</w:t>
      </w:r>
      <w:r w:rsidR="00E93F94" w:rsidRPr="009B783C">
        <w:rPr>
          <w:szCs w:val="21"/>
        </w:rPr>
        <w:t xml:space="preserve">represent use of Medicare UCCs by </w:t>
      </w:r>
      <w:r w:rsidR="00AD1014" w:rsidRPr="009B783C">
        <w:rPr>
          <w:szCs w:val="21"/>
        </w:rPr>
        <w:t>CALD</w:t>
      </w:r>
      <w:r w:rsidR="00E93F94" w:rsidRPr="009B783C">
        <w:rPr>
          <w:szCs w:val="21"/>
        </w:rPr>
        <w:t xml:space="preserve"> communities. Alternatively, it may also suggest that </w:t>
      </w:r>
      <w:r w:rsidR="0095419A" w:rsidRPr="009B783C" w:rsidDel="00A00E58">
        <w:rPr>
          <w:szCs w:val="21"/>
        </w:rPr>
        <w:t>CALD</w:t>
      </w:r>
      <w:r w:rsidR="00E93F94" w:rsidRPr="009B783C">
        <w:rPr>
          <w:szCs w:val="21"/>
        </w:rPr>
        <w:t xml:space="preserve"> communities are under-represented among Medicare UCC patients. This will be explored further in future phases of the </w:t>
      </w:r>
      <w:r w:rsidR="00235F1F" w:rsidRPr="009B783C">
        <w:rPr>
          <w:szCs w:val="21"/>
        </w:rPr>
        <w:t>evaluation</w:t>
      </w:r>
      <w:r w:rsidR="0095419A" w:rsidRPr="009B783C">
        <w:rPr>
          <w:szCs w:val="21"/>
        </w:rPr>
        <w:t xml:space="preserve">. </w:t>
      </w:r>
    </w:p>
    <w:p w14:paraId="4B0B7F68" w14:textId="101C12FA" w:rsidR="0095419A" w:rsidRPr="009B783C" w:rsidRDefault="00E93F94" w:rsidP="00CC1F8D">
      <w:pPr>
        <w:rPr>
          <w:szCs w:val="21"/>
        </w:rPr>
      </w:pPr>
      <w:r w:rsidRPr="009B783C">
        <w:rPr>
          <w:szCs w:val="21"/>
        </w:rPr>
        <w:t xml:space="preserve">Among Medicare UCC patients for whom disability status was recorded, 14 per cent were reported to have a disability, with physical disability being the most common type reported. Recording of disability status has been subject to varying interpretations by Medicare UCCs and comparable reporting in EDs is not available. </w:t>
      </w:r>
    </w:p>
    <w:tbl>
      <w:tblPr>
        <w:tblStyle w:val="NousLongformcallout"/>
        <w:tblpPr w:leftFromText="180" w:rightFromText="180" w:vertAnchor="text" w:horzAnchor="margin" w:tblpY="122"/>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95419A" w:rsidRPr="009B783C" w14:paraId="763CFC16" w14:textId="77777777" w:rsidTr="48BDE655">
        <w:tc>
          <w:tcPr>
            <w:tcW w:w="9146" w:type="dxa"/>
            <w:tcBorders>
              <w:left w:val="single" w:sz="18" w:space="0" w:color="2D358E"/>
            </w:tcBorders>
          </w:tcPr>
          <w:p w14:paraId="1323946C" w14:textId="41591870" w:rsidR="0095419A" w:rsidRPr="00646FE9" w:rsidRDefault="005D1D88" w:rsidP="00CC1F8D">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5701AC54" w14:textId="04DA63D1" w:rsidR="0095419A" w:rsidRPr="009B783C" w:rsidRDefault="349D8E52" w:rsidP="00CC1F8D">
            <w:pPr>
              <w:pStyle w:val="Longformcallout"/>
              <w:rPr>
                <w:szCs w:val="21"/>
              </w:rPr>
            </w:pPr>
            <w:r w:rsidRPr="009B783C">
              <w:rPr>
                <w:rStyle w:val="BulletChar"/>
                <w:rFonts w:eastAsiaTheme="majorEastAsia"/>
                <w:sz w:val="21"/>
                <w:szCs w:val="21"/>
              </w:rPr>
              <w:t>There is an opportunity to improve the accuracy of reporting and provide clearer insights into utilisation of Medicare UCCs by priority populations</w:t>
            </w:r>
            <w:r w:rsidR="325E558D" w:rsidRPr="009B783C">
              <w:rPr>
                <w:rStyle w:val="BulletChar"/>
                <w:rFonts w:eastAsiaTheme="majorEastAsia"/>
                <w:sz w:val="21"/>
                <w:szCs w:val="21"/>
              </w:rPr>
              <w:t>.</w:t>
            </w:r>
            <w:r w:rsidRPr="009B783C">
              <w:rPr>
                <w:szCs w:val="21"/>
              </w:rPr>
              <w:t xml:space="preserve"> </w:t>
            </w:r>
            <w:r w:rsidR="0095419A" w:rsidRPr="009B783C">
              <w:rPr>
                <w:szCs w:val="21"/>
              </w:rPr>
              <w:t>Refin</w:t>
            </w:r>
            <w:r w:rsidR="746F7972" w:rsidRPr="009B783C">
              <w:rPr>
                <w:szCs w:val="21"/>
              </w:rPr>
              <w:t>ing</w:t>
            </w:r>
            <w:r w:rsidR="0095419A" w:rsidRPr="009B783C">
              <w:rPr>
                <w:szCs w:val="21"/>
              </w:rPr>
              <w:t xml:space="preserve"> the response options for </w:t>
            </w:r>
            <w:r w:rsidR="00AD1014" w:rsidRPr="009B783C">
              <w:rPr>
                <w:szCs w:val="21"/>
              </w:rPr>
              <w:t>“</w:t>
            </w:r>
            <w:r w:rsidR="0095419A" w:rsidRPr="009B783C">
              <w:rPr>
                <w:szCs w:val="21"/>
              </w:rPr>
              <w:t>country of birth</w:t>
            </w:r>
            <w:r w:rsidR="00AD1014" w:rsidRPr="009B783C">
              <w:rPr>
                <w:szCs w:val="21"/>
              </w:rPr>
              <w:t>”</w:t>
            </w:r>
            <w:r w:rsidR="0095419A" w:rsidRPr="009B783C">
              <w:rPr>
                <w:szCs w:val="21"/>
              </w:rPr>
              <w:t xml:space="preserve"> and enhanc</w:t>
            </w:r>
            <w:r w:rsidR="746F7972" w:rsidRPr="009B783C">
              <w:rPr>
                <w:szCs w:val="21"/>
              </w:rPr>
              <w:t>ing</w:t>
            </w:r>
            <w:r w:rsidR="0095419A" w:rsidRPr="009B783C">
              <w:rPr>
                <w:szCs w:val="21"/>
              </w:rPr>
              <w:t xml:space="preserve"> consistency of reporting processes for </w:t>
            </w:r>
            <w:r w:rsidR="00AD1014" w:rsidRPr="009B783C">
              <w:rPr>
                <w:szCs w:val="21"/>
              </w:rPr>
              <w:t>“</w:t>
            </w:r>
            <w:r w:rsidR="0095419A" w:rsidRPr="009B783C">
              <w:rPr>
                <w:szCs w:val="21"/>
              </w:rPr>
              <w:t>language spoken at home</w:t>
            </w:r>
            <w:r w:rsidR="00AD1014" w:rsidRPr="009B783C">
              <w:rPr>
                <w:szCs w:val="21"/>
              </w:rPr>
              <w:t>”</w:t>
            </w:r>
            <w:r w:rsidR="0095419A" w:rsidRPr="009B783C">
              <w:rPr>
                <w:szCs w:val="21"/>
              </w:rPr>
              <w:t xml:space="preserve"> and </w:t>
            </w:r>
            <w:r w:rsidR="00AD1014" w:rsidRPr="009B783C">
              <w:rPr>
                <w:szCs w:val="21"/>
              </w:rPr>
              <w:t>“</w:t>
            </w:r>
            <w:r w:rsidR="0095419A" w:rsidRPr="009B783C">
              <w:rPr>
                <w:szCs w:val="21"/>
              </w:rPr>
              <w:t>disability status</w:t>
            </w:r>
            <w:r w:rsidR="00AD1014" w:rsidRPr="009B783C">
              <w:rPr>
                <w:szCs w:val="21"/>
              </w:rPr>
              <w:t>”</w:t>
            </w:r>
            <w:r w:rsidR="0095419A" w:rsidRPr="009B783C">
              <w:rPr>
                <w:szCs w:val="21"/>
              </w:rPr>
              <w:t xml:space="preserve"> by Medicare UCCs will </w:t>
            </w:r>
            <w:r w:rsidR="5F8048E2" w:rsidRPr="009B783C">
              <w:rPr>
                <w:szCs w:val="21"/>
              </w:rPr>
              <w:t>assist with this.</w:t>
            </w:r>
          </w:p>
        </w:tc>
      </w:tr>
    </w:tbl>
    <w:p w14:paraId="11E393A0" w14:textId="79D7761F" w:rsidR="00E93F94" w:rsidRPr="009B783C" w:rsidRDefault="00E93F94" w:rsidP="000D706D">
      <w:pPr>
        <w:pStyle w:val="Heading3"/>
        <w:rPr>
          <w:b/>
          <w:bCs/>
        </w:rPr>
      </w:pPr>
      <w:bookmarkStart w:id="109" w:name="_Toc179962851"/>
      <w:r w:rsidRPr="009B783C">
        <w:lastRenderedPageBreak/>
        <w:t xml:space="preserve">Expectations around cultural awareness, training and access for priority populations were established during the tender process and followed through in </w:t>
      </w:r>
      <w:r w:rsidRPr="000D706D">
        <w:t>implementation</w:t>
      </w:r>
      <w:bookmarkEnd w:id="109"/>
    </w:p>
    <w:p w14:paraId="62A315DF" w14:textId="67F29951" w:rsidR="00E93F94" w:rsidRPr="009B783C" w:rsidRDefault="00E93F94" w:rsidP="00CC1F8D">
      <w:pPr>
        <w:pStyle w:val="Bullet"/>
        <w:numPr>
          <w:ilvl w:val="0"/>
          <w:numId w:val="0"/>
        </w:numPr>
        <w:rPr>
          <w:szCs w:val="21"/>
        </w:rPr>
      </w:pPr>
      <w:r w:rsidRPr="009B783C">
        <w:rPr>
          <w:szCs w:val="21"/>
        </w:rPr>
        <w:t>Commissioners reported that equitable access to appropriate care for priority populations was a weighted part of the tender process. However, the groups considered to be a priority population</w:t>
      </w:r>
      <w:r w:rsidR="00987905" w:rsidRPr="009B783C">
        <w:rPr>
          <w:rFonts w:cs="Segoe UI"/>
          <w:szCs w:val="21"/>
        </w:rPr>
        <w:t xml:space="preserve"> – </w:t>
      </w:r>
      <w:r w:rsidRPr="009B783C">
        <w:rPr>
          <w:szCs w:val="21"/>
        </w:rPr>
        <w:t xml:space="preserve">and therefore what </w:t>
      </w:r>
      <w:proofErr w:type="gramStart"/>
      <w:r w:rsidRPr="009B783C">
        <w:rPr>
          <w:szCs w:val="21"/>
        </w:rPr>
        <w:t>was considered to be</w:t>
      </w:r>
      <w:proofErr w:type="gramEnd"/>
      <w:r w:rsidRPr="009B783C">
        <w:rPr>
          <w:szCs w:val="21"/>
        </w:rPr>
        <w:t xml:space="preserve"> culturally safe and responsive care</w:t>
      </w:r>
      <w:r w:rsidR="00987905" w:rsidRPr="009B783C">
        <w:rPr>
          <w:rFonts w:cs="Segoe UI"/>
          <w:szCs w:val="21"/>
        </w:rPr>
        <w:t xml:space="preserve"> – </w:t>
      </w:r>
      <w:r w:rsidRPr="009B783C">
        <w:rPr>
          <w:szCs w:val="21"/>
        </w:rPr>
        <w:t>shifted with geography, as the demographic makeup of even neighbouring regions could differ significantly.</w:t>
      </w:r>
    </w:p>
    <w:p w14:paraId="258B076C" w14:textId="7D7CB1DB" w:rsidR="00E93F94" w:rsidRPr="009B783C" w:rsidRDefault="00E93F94" w:rsidP="00CC1F8D">
      <w:pPr>
        <w:pStyle w:val="Bullet"/>
        <w:numPr>
          <w:ilvl w:val="0"/>
          <w:numId w:val="0"/>
        </w:numPr>
        <w:rPr>
          <w:szCs w:val="21"/>
        </w:rPr>
      </w:pPr>
      <w:r w:rsidRPr="009B783C">
        <w:rPr>
          <w:szCs w:val="21"/>
        </w:rPr>
        <w:t xml:space="preserve">Some stakeholders reported working closely with First Nations partners during the tendering process to ensure that the Medicare UCCs in the area could demonstrate capacity to support access for Aboriginal and Torres Strait Islander clients. </w:t>
      </w:r>
      <w:r w:rsidR="00594F40" w:rsidRPr="009B783C">
        <w:rPr>
          <w:szCs w:val="21"/>
        </w:rPr>
        <w:t xml:space="preserve">For example, </w:t>
      </w:r>
      <w:r w:rsidR="00C640EE" w:rsidRPr="009B783C">
        <w:rPr>
          <w:szCs w:val="21"/>
        </w:rPr>
        <w:t>in one PHN</w:t>
      </w:r>
      <w:r w:rsidR="0095419A" w:rsidRPr="009B783C">
        <w:rPr>
          <w:szCs w:val="21"/>
        </w:rPr>
        <w:t xml:space="preserve"> </w:t>
      </w:r>
      <w:r w:rsidRPr="009B783C">
        <w:rPr>
          <w:szCs w:val="21"/>
        </w:rPr>
        <w:t>First Nations partners</w:t>
      </w:r>
      <w:r w:rsidR="00987905" w:rsidRPr="009B783C">
        <w:rPr>
          <w:rFonts w:cs="Segoe UI"/>
          <w:szCs w:val="21"/>
        </w:rPr>
        <w:t xml:space="preserve"> – </w:t>
      </w:r>
      <w:r w:rsidRPr="009B783C">
        <w:rPr>
          <w:szCs w:val="21"/>
        </w:rPr>
        <w:t xml:space="preserve">including a nearby </w:t>
      </w:r>
      <w:r w:rsidR="00A91C6E" w:rsidRPr="009B783C">
        <w:rPr>
          <w:szCs w:val="21"/>
        </w:rPr>
        <w:t>Aboriginal Community Controlled Health Organisation (</w:t>
      </w:r>
      <w:r w:rsidRPr="009B783C">
        <w:rPr>
          <w:szCs w:val="21"/>
        </w:rPr>
        <w:t>ACCHO</w:t>
      </w:r>
      <w:r w:rsidR="00A91C6E" w:rsidRPr="009B783C">
        <w:rPr>
          <w:szCs w:val="21"/>
        </w:rPr>
        <w:t>)</w:t>
      </w:r>
      <w:r w:rsidRPr="009B783C">
        <w:rPr>
          <w:szCs w:val="21"/>
        </w:rPr>
        <w:t xml:space="preserve"> and a regional Indigenous doctor’s association</w:t>
      </w:r>
      <w:r w:rsidR="00987905" w:rsidRPr="009B783C">
        <w:rPr>
          <w:rFonts w:cs="Segoe UI"/>
          <w:szCs w:val="21"/>
        </w:rPr>
        <w:t xml:space="preserve"> – </w:t>
      </w:r>
      <w:r w:rsidRPr="009B783C">
        <w:rPr>
          <w:szCs w:val="21"/>
        </w:rPr>
        <w:t xml:space="preserve">were involved with testing and validation to ensure that the PHN’s </w:t>
      </w:r>
      <w:r w:rsidR="00C640EE" w:rsidRPr="009B783C">
        <w:rPr>
          <w:szCs w:val="21"/>
        </w:rPr>
        <w:t xml:space="preserve">commissioning </w:t>
      </w:r>
      <w:r w:rsidRPr="009B783C">
        <w:rPr>
          <w:szCs w:val="21"/>
        </w:rPr>
        <w:t xml:space="preserve">approach was culturally responsive. The success of this co-design process led this PHN to apply a similar </w:t>
      </w:r>
      <w:r w:rsidR="00746F9A" w:rsidRPr="009B783C">
        <w:rPr>
          <w:szCs w:val="21"/>
        </w:rPr>
        <w:t>approach</w:t>
      </w:r>
      <w:r w:rsidRPr="009B783C">
        <w:rPr>
          <w:szCs w:val="21"/>
        </w:rPr>
        <w:t xml:space="preserve"> in their rollout of a new Medicare UCC in a </w:t>
      </w:r>
      <w:r w:rsidR="00AD1014" w:rsidRPr="009B783C">
        <w:rPr>
          <w:szCs w:val="21"/>
        </w:rPr>
        <w:t>CALD</w:t>
      </w:r>
      <w:r w:rsidRPr="009B783C">
        <w:rPr>
          <w:szCs w:val="21"/>
        </w:rPr>
        <w:t xml:space="preserve"> part of their region.</w:t>
      </w:r>
    </w:p>
    <w:p w14:paraId="61A873ED" w14:textId="77777777" w:rsidR="00E93F94" w:rsidRPr="009B783C" w:rsidRDefault="00E93F94" w:rsidP="00CC1F8D">
      <w:pPr>
        <w:pStyle w:val="Bullet"/>
        <w:numPr>
          <w:ilvl w:val="0"/>
          <w:numId w:val="0"/>
        </w:numPr>
        <w:rPr>
          <w:szCs w:val="21"/>
        </w:rPr>
      </w:pPr>
      <w:r w:rsidRPr="009B783C">
        <w:rPr>
          <w:szCs w:val="21"/>
        </w:rPr>
        <w:t xml:space="preserve">Other commissioners also reported strong engagement with First Nations partners to support Medicare UCC access for First Nations clients. Examples include: </w:t>
      </w:r>
    </w:p>
    <w:p w14:paraId="1674460F" w14:textId="2A60E254" w:rsidR="00E93F94" w:rsidRPr="009B783C" w:rsidRDefault="00E93F94" w:rsidP="00CC1F8D">
      <w:pPr>
        <w:pStyle w:val="Bullet"/>
        <w:rPr>
          <w:szCs w:val="21"/>
        </w:rPr>
      </w:pPr>
      <w:r w:rsidRPr="009B783C">
        <w:rPr>
          <w:szCs w:val="21"/>
        </w:rPr>
        <w:t>Working with the local ACCHO to create a welcoming environment and establish referral pathways.</w:t>
      </w:r>
    </w:p>
    <w:p w14:paraId="05B063B4" w14:textId="1FB95239" w:rsidR="00E93F94" w:rsidRPr="009B783C" w:rsidRDefault="00E93F94" w:rsidP="00CC1F8D">
      <w:pPr>
        <w:pStyle w:val="Bullet"/>
        <w:rPr>
          <w:szCs w:val="21"/>
        </w:rPr>
      </w:pPr>
      <w:r w:rsidRPr="009B783C">
        <w:rPr>
          <w:szCs w:val="21"/>
        </w:rPr>
        <w:t xml:space="preserve">Formal audit or feedback on cultural safety by a First </w:t>
      </w:r>
      <w:r w:rsidR="0095419A" w:rsidRPr="009B783C">
        <w:rPr>
          <w:szCs w:val="21"/>
        </w:rPr>
        <w:t>Nation</w:t>
      </w:r>
      <w:r w:rsidR="00BD4C84" w:rsidRPr="009B783C">
        <w:rPr>
          <w:szCs w:val="21"/>
        </w:rPr>
        <w:t>s</w:t>
      </w:r>
      <w:r w:rsidRPr="009B783C">
        <w:rPr>
          <w:szCs w:val="21"/>
        </w:rPr>
        <w:t xml:space="preserve"> stakeholder invited to the Medicare UCC.</w:t>
      </w:r>
    </w:p>
    <w:p w14:paraId="5AED90FC" w14:textId="035AEA1C" w:rsidR="00E93F94" w:rsidRPr="009B783C" w:rsidRDefault="00E93F94" w:rsidP="00CC1F8D">
      <w:pPr>
        <w:pStyle w:val="Bullet"/>
        <w:rPr>
          <w:szCs w:val="21"/>
        </w:rPr>
      </w:pPr>
      <w:r w:rsidRPr="009B783C">
        <w:rPr>
          <w:szCs w:val="21"/>
        </w:rPr>
        <w:t xml:space="preserve">Ensuring that Aboriginal health workers at the hospital </w:t>
      </w:r>
      <w:r w:rsidR="000B40DD" w:rsidRPr="009B783C">
        <w:rPr>
          <w:szCs w:val="21"/>
        </w:rPr>
        <w:t>were</w:t>
      </w:r>
      <w:r w:rsidRPr="009B783C">
        <w:rPr>
          <w:szCs w:val="21"/>
        </w:rPr>
        <w:t xml:space="preserve"> aware of the Medicare UCC and the services that it provides.</w:t>
      </w:r>
    </w:p>
    <w:p w14:paraId="66DFEDE9" w14:textId="16473416" w:rsidR="00E93F94" w:rsidRPr="009B783C" w:rsidRDefault="00E93F94" w:rsidP="00CC1F8D">
      <w:pPr>
        <w:pStyle w:val="Bullet"/>
        <w:rPr>
          <w:szCs w:val="21"/>
        </w:rPr>
      </w:pPr>
      <w:r w:rsidRPr="009B783C">
        <w:rPr>
          <w:szCs w:val="21"/>
        </w:rPr>
        <w:t>Uplifting culturally appropriate care at the Medicare UCC through a training program developed in conjunction with a respected regional First Nation health partner.</w:t>
      </w:r>
    </w:p>
    <w:p w14:paraId="37B6DFBB" w14:textId="77777777" w:rsidR="00E93F94" w:rsidRPr="009B783C" w:rsidRDefault="00E93F94" w:rsidP="00CC1F8D">
      <w:pPr>
        <w:pStyle w:val="Bullet"/>
        <w:numPr>
          <w:ilvl w:val="0"/>
          <w:numId w:val="0"/>
        </w:numPr>
        <w:rPr>
          <w:szCs w:val="21"/>
        </w:rPr>
      </w:pPr>
      <w:r w:rsidRPr="009B783C">
        <w:rPr>
          <w:szCs w:val="21"/>
        </w:rPr>
        <w:t xml:space="preserve">Cultural awareness training for all staff was cited as a priority by most stakeholders. Several commissioners reported providing additional locally tailored training for their clinicians from their own budget as well as the national resources and training provided by the Department, to ensure staff had adequate training for the circumstances of their region. </w:t>
      </w:r>
    </w:p>
    <w:p w14:paraId="7DB1EBD6" w14:textId="1A781994" w:rsidR="00E93F94" w:rsidRPr="009B783C" w:rsidRDefault="00E93F94" w:rsidP="00CC1F8D">
      <w:pPr>
        <w:rPr>
          <w:szCs w:val="21"/>
        </w:rPr>
      </w:pPr>
      <w:r w:rsidRPr="009B783C">
        <w:rPr>
          <w:szCs w:val="21"/>
        </w:rPr>
        <w:t xml:space="preserve">Stakeholders reported confusion amongst Medicare UCCs around subsidised access to the Translation and Interpreting Service (TIS) provided by the Department of Home Affairs. </w:t>
      </w:r>
      <w:r w:rsidR="0095419A" w:rsidRPr="009B783C">
        <w:rPr>
          <w:szCs w:val="21"/>
        </w:rPr>
        <w:t xml:space="preserve">The </w:t>
      </w:r>
      <w:r w:rsidR="00F34098" w:rsidRPr="009B783C">
        <w:rPr>
          <w:szCs w:val="21"/>
        </w:rPr>
        <w:t>f</w:t>
      </w:r>
      <w:r w:rsidR="0095419A" w:rsidRPr="009B783C">
        <w:rPr>
          <w:szCs w:val="21"/>
        </w:rPr>
        <w:t>ree</w:t>
      </w:r>
      <w:r w:rsidR="00F34098" w:rsidRPr="009B783C">
        <w:rPr>
          <w:szCs w:val="21"/>
        </w:rPr>
        <w:t xml:space="preserve"> interpreting servic</w:t>
      </w:r>
      <w:r w:rsidR="0095419A" w:rsidRPr="009B783C">
        <w:rPr>
          <w:szCs w:val="21"/>
        </w:rPr>
        <w:t>e</w:t>
      </w:r>
      <w:r w:rsidRPr="009B783C">
        <w:rPr>
          <w:szCs w:val="21"/>
        </w:rPr>
        <w:t xml:space="preserve"> provided by TIS is available to general practices, whereas Medicare UCCs are expected to utilise their grant funding to cover TIS costs, as is the case for other services that receive substantial government funding. </w:t>
      </w:r>
    </w:p>
    <w:p w14:paraId="2DB167F4" w14:textId="19561D4F" w:rsidR="00E93F94" w:rsidRPr="009B783C" w:rsidRDefault="00E93F94" w:rsidP="00CC1F8D">
      <w:pPr>
        <w:rPr>
          <w:szCs w:val="21"/>
        </w:rPr>
      </w:pPr>
      <w:r w:rsidRPr="009B783C">
        <w:rPr>
          <w:szCs w:val="21"/>
        </w:rPr>
        <w:t xml:space="preserve">The cost of immediate telephone interpreting of a 20-minute appointment by TIS is relatively low ($43.56 </w:t>
      </w:r>
      <w:r w:rsidR="00761CB6" w:rsidRPr="009B783C">
        <w:rPr>
          <w:szCs w:val="21"/>
        </w:rPr>
        <w:t>including</w:t>
      </w:r>
      <w:r w:rsidRPr="009B783C">
        <w:rPr>
          <w:szCs w:val="21"/>
        </w:rPr>
        <w:t xml:space="preserve"> GST).</w:t>
      </w:r>
      <w:r w:rsidRPr="009B783C">
        <w:rPr>
          <w:rStyle w:val="FootnoteReference"/>
          <w:szCs w:val="21"/>
        </w:rPr>
        <w:footnoteReference w:id="60"/>
      </w:r>
      <w:r w:rsidRPr="009B783C">
        <w:rPr>
          <w:szCs w:val="21"/>
        </w:rPr>
        <w:t xml:space="preserve"> Nonetheless, cost of interpreter services was identified as a challenge for some Medicare UCCs with large CALD communities, with one PHN offering to </w:t>
      </w:r>
      <w:r w:rsidRPr="009B783C">
        <w:rPr>
          <w:szCs w:val="21"/>
        </w:rPr>
        <w:lastRenderedPageBreak/>
        <w:t xml:space="preserve">subsidise these costs for the Medicare UCCs within their region. At a national level, this issue appears to be minor, with interpreters </w:t>
      </w:r>
      <w:r w:rsidR="00245C03" w:rsidRPr="009B783C">
        <w:rPr>
          <w:szCs w:val="21"/>
        </w:rPr>
        <w:t xml:space="preserve">reported to be </w:t>
      </w:r>
      <w:r w:rsidRPr="009B783C">
        <w:rPr>
          <w:szCs w:val="21"/>
        </w:rPr>
        <w:t xml:space="preserve">required for just 1.1 per cent of presentations to Medicare UCCs (data as </w:t>
      </w:r>
      <w:r w:rsidR="00683C14" w:rsidRPr="009B783C">
        <w:rPr>
          <w:szCs w:val="21"/>
        </w:rPr>
        <w:t>of</w:t>
      </w:r>
      <w:r w:rsidRPr="009B783C">
        <w:rPr>
          <w:szCs w:val="21"/>
        </w:rPr>
        <w:t xml:space="preserve"> 30 September 2024).</w:t>
      </w:r>
      <w:r w:rsidRPr="009B783C">
        <w:rPr>
          <w:rStyle w:val="FootnoteReference"/>
          <w:szCs w:val="21"/>
        </w:rPr>
        <w:footnoteReference w:id="61"/>
      </w:r>
      <w:r w:rsidRPr="009B783C">
        <w:rPr>
          <w:szCs w:val="21"/>
        </w:rPr>
        <w:t xml:space="preserve"> </w:t>
      </w:r>
      <w:r w:rsidR="00287F6C" w:rsidRPr="009B783C">
        <w:rPr>
          <w:szCs w:val="21"/>
        </w:rPr>
        <w:t xml:space="preserve">However, as stated previously, this </w:t>
      </w:r>
      <w:r w:rsidR="006D27E5" w:rsidRPr="009B783C">
        <w:rPr>
          <w:szCs w:val="21"/>
        </w:rPr>
        <w:t>may be underestimated</w:t>
      </w:r>
      <w:r w:rsidR="00272D60" w:rsidRPr="009B783C">
        <w:rPr>
          <w:szCs w:val="21"/>
        </w:rPr>
        <w:t>.</w:t>
      </w:r>
    </w:p>
    <w:p w14:paraId="09EDD52F" w14:textId="77777777" w:rsidR="00E93F94" w:rsidRPr="009B783C" w:rsidRDefault="00E93F94" w:rsidP="000D706D">
      <w:pPr>
        <w:pStyle w:val="Heading3"/>
      </w:pPr>
      <w:r w:rsidRPr="009B783C">
        <w:t xml:space="preserve">Next </w:t>
      </w:r>
      <w:r w:rsidRPr="000D706D">
        <w:t>steps</w:t>
      </w:r>
    </w:p>
    <w:p w14:paraId="041821E0" w14:textId="36070CE4" w:rsidR="00E93F94" w:rsidRPr="009B783C" w:rsidRDefault="00E93F94" w:rsidP="00CC1F8D">
      <w:pPr>
        <w:spacing w:after="240"/>
        <w:rPr>
          <w:rFonts w:asciiTheme="minorHAnsi" w:hAnsiTheme="minorHAnsi"/>
          <w:szCs w:val="21"/>
        </w:rPr>
      </w:pPr>
      <w:r w:rsidRPr="009B783C">
        <w:rPr>
          <w:szCs w:val="21"/>
          <w:lang w:eastAsia="en-AU"/>
        </w:rPr>
        <w:t xml:space="preserve">In future phases of the evaluation, patient surveys will gather perceptions of safety and quality across clinics. Medicare UCCs will also be surveyed on their safety practices, incident and complaint management processes, and clinical quality indicators, with analyses to explore model-based variations. </w:t>
      </w:r>
      <w:r w:rsidRPr="009B783C">
        <w:rPr>
          <w:rFonts w:asciiTheme="minorHAnsi" w:hAnsiTheme="minorHAnsi" w:cstheme="minorHAnsi"/>
          <w:szCs w:val="21"/>
        </w:rPr>
        <w:t xml:space="preserve">Stakeholder perspectives will be sought on appropriateness of care and redirections from Medicare UCCs. There will also be an opportunity to review Medicare UCC </w:t>
      </w:r>
      <w:r w:rsidR="00235F1F" w:rsidRPr="009B783C">
        <w:rPr>
          <w:rFonts w:asciiTheme="minorHAnsi" w:hAnsiTheme="minorHAnsi" w:cstheme="minorHAnsi"/>
          <w:szCs w:val="21"/>
        </w:rPr>
        <w:t>Operational Guidance</w:t>
      </w:r>
      <w:r w:rsidRPr="009B783C">
        <w:rPr>
          <w:rFonts w:asciiTheme="minorHAnsi" w:hAnsiTheme="minorHAnsi" w:cstheme="minorHAnsi"/>
          <w:szCs w:val="21"/>
        </w:rPr>
        <w:t xml:space="preserve"> in future evaluation</w:t>
      </w:r>
      <w:r w:rsidR="00632ECF" w:rsidRPr="009B783C">
        <w:rPr>
          <w:rFonts w:asciiTheme="minorHAnsi" w:hAnsiTheme="minorHAnsi" w:cstheme="minorHAnsi"/>
          <w:szCs w:val="21"/>
        </w:rPr>
        <w:t xml:space="preserve"> phases</w:t>
      </w:r>
      <w:r w:rsidRPr="009B783C">
        <w:rPr>
          <w:rFonts w:asciiTheme="minorHAnsi" w:hAnsiTheme="minorHAnsi" w:cstheme="minorHAnsi"/>
          <w:szCs w:val="21"/>
        </w:rPr>
        <w:t>, now that the program has been better established.</w:t>
      </w:r>
      <w:r w:rsidR="008A611A" w:rsidRPr="009B783C">
        <w:rPr>
          <w:rFonts w:asciiTheme="minorHAnsi" w:hAnsiTheme="minorHAnsi" w:cstheme="minorHAnsi"/>
          <w:szCs w:val="21"/>
        </w:rPr>
        <w:t xml:space="preserve"> </w:t>
      </w:r>
    </w:p>
    <w:tbl>
      <w:tblPr>
        <w:tblStyle w:val="TableGrid"/>
        <w:tblW w:w="0" w:type="auto"/>
        <w:tblLook w:val="04A0" w:firstRow="1" w:lastRow="0" w:firstColumn="1" w:lastColumn="0" w:noHBand="0" w:noVBand="1"/>
      </w:tblPr>
      <w:tblGrid>
        <w:gridCol w:w="8920"/>
      </w:tblGrid>
      <w:tr w:rsidR="009711A2" w:rsidRPr="009B783C" w14:paraId="67DAEDFE" w14:textId="77777777">
        <w:trPr>
          <w:trHeight w:val="215"/>
        </w:trPr>
        <w:tc>
          <w:tcPr>
            <w:tcW w:w="8920" w:type="dxa"/>
            <w:tcBorders>
              <w:top w:val="nil"/>
              <w:left w:val="nil"/>
              <w:bottom w:val="nil"/>
              <w:right w:val="nil"/>
            </w:tcBorders>
            <w:shd w:val="clear" w:color="auto" w:fill="25B3E0" w:themeFill="accent6"/>
          </w:tcPr>
          <w:p w14:paraId="532C5C3A" w14:textId="5E4A97DB" w:rsidR="009711A2" w:rsidRPr="00D37C77" w:rsidRDefault="00230283">
            <w:pPr>
              <w:pStyle w:val="TableNheader"/>
              <w:rPr>
                <w:color w:val="00264D" w:themeColor="background2"/>
              </w:rPr>
            </w:pPr>
            <w:r w:rsidRPr="00D37C77">
              <w:rPr>
                <w:color w:val="00264D" w:themeColor="background2"/>
              </w:rPr>
              <w:t>Measure Of Success 3</w:t>
            </w:r>
          </w:p>
        </w:tc>
      </w:tr>
    </w:tbl>
    <w:p w14:paraId="17594C40" w14:textId="5A269AD6" w:rsidR="00102FFA" w:rsidRPr="009B783C" w:rsidRDefault="008D6DF1" w:rsidP="00102FFA">
      <w:pPr>
        <w:pStyle w:val="Heading2"/>
        <w:spacing w:before="120"/>
      </w:pPr>
      <w:bookmarkStart w:id="110" w:name="_Toc189639229"/>
      <w:bookmarkStart w:id="111" w:name="_Toc189772029"/>
      <w:bookmarkStart w:id="112" w:name="_Ref185323764"/>
      <w:r w:rsidRPr="009B783C">
        <w:t>C</w:t>
      </w:r>
      <w:r w:rsidR="00102FFA" w:rsidRPr="009B783C">
        <w:t>oordinated care</w:t>
      </w:r>
      <w:bookmarkEnd w:id="110"/>
      <w:bookmarkEnd w:id="111"/>
      <w:r w:rsidR="00102FFA" w:rsidRPr="009B783C">
        <w:t xml:space="preserve"> </w:t>
      </w:r>
      <w:bookmarkEnd w:id="112"/>
    </w:p>
    <w:p w14:paraId="7DCA7014" w14:textId="7B0916BF" w:rsidR="001C6361" w:rsidRPr="009B783C" w:rsidRDefault="00CA7860" w:rsidP="00CA7860">
      <w:pPr>
        <w:rPr>
          <w:szCs w:val="21"/>
          <w:lang w:eastAsia="en-AU"/>
        </w:rPr>
      </w:pPr>
      <w:r w:rsidRPr="009B783C">
        <w:rPr>
          <w:szCs w:val="21"/>
          <w:lang w:eastAsia="en-AU"/>
        </w:rPr>
        <w:t xml:space="preserve">Measure of Success 3 agreed by the Australian, state and territory </w:t>
      </w:r>
      <w:r w:rsidR="00FB4B88" w:rsidRPr="009B783C">
        <w:rPr>
          <w:szCs w:val="21"/>
          <w:lang w:eastAsia="en-AU"/>
        </w:rPr>
        <w:t xml:space="preserve">governments </w:t>
      </w:r>
      <w:r w:rsidRPr="009B783C">
        <w:rPr>
          <w:szCs w:val="21"/>
          <w:lang w:eastAsia="en-AU"/>
        </w:rPr>
        <w:t>is</w:t>
      </w:r>
      <w:r w:rsidR="001C6361" w:rsidRPr="009B783C">
        <w:rPr>
          <w:szCs w:val="21"/>
          <w:lang w:eastAsia="en-AU"/>
        </w:rPr>
        <w:t>:</w:t>
      </w:r>
    </w:p>
    <w:p w14:paraId="034C1708" w14:textId="21FCE42E" w:rsidR="00CA7860" w:rsidRPr="009B783C" w:rsidRDefault="00CA7860" w:rsidP="0031172E">
      <w:pPr>
        <w:pStyle w:val="Caption"/>
        <w:rPr>
          <w:szCs w:val="21"/>
        </w:rPr>
      </w:pPr>
      <w:r w:rsidRPr="009B783C">
        <w:rPr>
          <w:szCs w:val="21"/>
          <w:lang w:eastAsia="en-AU"/>
        </w:rPr>
        <w:t xml:space="preserve"> “Medicare UCCs deliver coordinated care for Medicare UCC patients.”</w:t>
      </w:r>
    </w:p>
    <w:p w14:paraId="57CEDF3B" w14:textId="2E84CDA4" w:rsidR="00B35E0B" w:rsidRPr="009B783C" w:rsidRDefault="00B35E0B" w:rsidP="000D706D">
      <w:pPr>
        <w:pStyle w:val="Heading3"/>
      </w:pPr>
      <w:bookmarkStart w:id="113" w:name="_Hlk185428787"/>
      <w:r w:rsidRPr="009B783C">
        <w:t>There are</w:t>
      </w:r>
      <w:r w:rsidRPr="009B783C" w:rsidDel="00CA2B5B">
        <w:t xml:space="preserve"> </w:t>
      </w:r>
      <w:r w:rsidR="00CA2B5B" w:rsidRPr="009B783C">
        <w:t xml:space="preserve">many </w:t>
      </w:r>
      <w:r w:rsidRPr="009B783C">
        <w:t xml:space="preserve">dimensions to coordinating a patient's healthcare services across </w:t>
      </w:r>
      <w:r w:rsidRPr="000D706D">
        <w:t>multiple</w:t>
      </w:r>
      <w:r w:rsidRPr="009B783C">
        <w:t xml:space="preserve"> providers and settings</w:t>
      </w:r>
    </w:p>
    <w:bookmarkEnd w:id="113"/>
    <w:p w14:paraId="3656CC2D" w14:textId="162B5CA9" w:rsidR="00B35E0B" w:rsidRPr="009B783C" w:rsidRDefault="00B35E0B" w:rsidP="00CC1F8D">
      <w:pPr>
        <w:rPr>
          <w:szCs w:val="21"/>
        </w:rPr>
      </w:pPr>
      <w:r w:rsidRPr="009B783C">
        <w:rPr>
          <w:szCs w:val="21"/>
          <w:lang w:eastAsia="en-AU"/>
        </w:rPr>
        <w:t>Coordination of care is the intentional organisation of patient care activities among multiple participants, including the patient, to ensure appropriate healthcare delivery.</w:t>
      </w:r>
      <w:r w:rsidRPr="009B783C">
        <w:rPr>
          <w:rStyle w:val="FootnoteReference"/>
          <w:szCs w:val="21"/>
          <w:lang w:eastAsia="en-AU"/>
        </w:rPr>
        <w:footnoteReference w:id="62"/>
      </w:r>
      <w:r w:rsidRPr="009B783C">
        <w:rPr>
          <w:szCs w:val="21"/>
          <w:lang w:eastAsia="en-AU"/>
        </w:rPr>
        <w:t xml:space="preserve"> In general, Medicare UCCs are not intended to provide follow-up care or to be the primary coordinator of care, instead patients should be referred to their usual GP or GP practice.</w:t>
      </w:r>
      <w:r w:rsidRPr="009B783C">
        <w:rPr>
          <w:rStyle w:val="FootnoteReference"/>
          <w:szCs w:val="21"/>
          <w:lang w:eastAsia="en-AU"/>
        </w:rPr>
        <w:footnoteReference w:id="63"/>
      </w:r>
      <w:r w:rsidR="008A611A" w:rsidRPr="009B783C">
        <w:rPr>
          <w:szCs w:val="21"/>
          <w:lang w:eastAsia="en-AU"/>
        </w:rPr>
        <w:t xml:space="preserve"> </w:t>
      </w:r>
    </w:p>
    <w:p w14:paraId="3AE3A9D9" w14:textId="77777777" w:rsidR="00B35E0B" w:rsidRPr="009B783C" w:rsidRDefault="00B35E0B" w:rsidP="00CC1F8D">
      <w:pPr>
        <w:rPr>
          <w:szCs w:val="21"/>
          <w:lang w:eastAsia="en-AU"/>
        </w:rPr>
      </w:pPr>
      <w:r w:rsidRPr="009B783C">
        <w:rPr>
          <w:szCs w:val="21"/>
          <w:lang w:eastAsia="en-AU"/>
        </w:rPr>
        <w:t>The evaluation of the Medicare UCCs will encompass the following dimensions:</w:t>
      </w:r>
    </w:p>
    <w:p w14:paraId="4AF7B8F5" w14:textId="0E9B83DE" w:rsidR="00491FA1" w:rsidRPr="009B783C" w:rsidRDefault="00491FA1" w:rsidP="00CC1F8D">
      <w:pPr>
        <w:pStyle w:val="Bullet"/>
        <w:rPr>
          <w:szCs w:val="21"/>
        </w:rPr>
      </w:pPr>
      <w:r w:rsidRPr="009B783C">
        <w:rPr>
          <w:szCs w:val="21"/>
        </w:rPr>
        <w:t>Effectiveness and consistency of clinical handover</w:t>
      </w:r>
      <w:r w:rsidR="00E81118" w:rsidRPr="009B783C">
        <w:rPr>
          <w:szCs w:val="21"/>
        </w:rPr>
        <w:t>.</w:t>
      </w:r>
      <w:r w:rsidRPr="009B783C">
        <w:rPr>
          <w:szCs w:val="21"/>
        </w:rPr>
        <w:t xml:space="preserve"> </w:t>
      </w:r>
      <w:r w:rsidR="00F846D4" w:rsidRPr="009B783C">
        <w:rPr>
          <w:szCs w:val="21"/>
        </w:rPr>
        <w:t>Medicare UCCs e</w:t>
      </w:r>
      <w:r w:rsidRPr="009B783C">
        <w:rPr>
          <w:szCs w:val="21"/>
        </w:rPr>
        <w:t>ffective sharing of patients’ care summaries with their usual primary care provider</w:t>
      </w:r>
      <w:r w:rsidR="00244CA9" w:rsidRPr="009B783C">
        <w:rPr>
          <w:szCs w:val="21"/>
        </w:rPr>
        <w:t>.</w:t>
      </w:r>
    </w:p>
    <w:p w14:paraId="1C7F61A7" w14:textId="7F1E96EA" w:rsidR="00CB4F76" w:rsidRPr="009B783C" w:rsidRDefault="00CB4F76" w:rsidP="00CC1F8D">
      <w:pPr>
        <w:pStyle w:val="Bullet"/>
        <w:rPr>
          <w:szCs w:val="21"/>
        </w:rPr>
      </w:pPr>
      <w:r w:rsidRPr="009B783C">
        <w:rPr>
          <w:szCs w:val="21"/>
        </w:rPr>
        <w:t>Medicare UCCs</w:t>
      </w:r>
      <w:r w:rsidR="000C6D2B" w:rsidRPr="009B783C">
        <w:rPr>
          <w:szCs w:val="21"/>
        </w:rPr>
        <w:t xml:space="preserve"> assistance</w:t>
      </w:r>
      <w:r w:rsidRPr="009B783C">
        <w:rPr>
          <w:szCs w:val="21"/>
        </w:rPr>
        <w:t xml:space="preserve"> with referrals</w:t>
      </w:r>
      <w:r w:rsidR="00E81118" w:rsidRPr="009B783C">
        <w:rPr>
          <w:szCs w:val="21"/>
        </w:rPr>
        <w:t>.</w:t>
      </w:r>
      <w:r w:rsidRPr="009B783C">
        <w:rPr>
          <w:szCs w:val="21"/>
        </w:rPr>
        <w:t xml:space="preserve"> Medicare UCCs proactive support for patients in booking necessary appointments and coordinating further care, especially for those without a regular GP or those with chronic conditions, ensuring they can access ongoing, primary care. </w:t>
      </w:r>
    </w:p>
    <w:p w14:paraId="5DD2048E" w14:textId="539082D9" w:rsidR="003F6026" w:rsidRPr="009B783C" w:rsidRDefault="003F6026" w:rsidP="00CC1F8D">
      <w:pPr>
        <w:pStyle w:val="Bullet"/>
        <w:rPr>
          <w:szCs w:val="21"/>
        </w:rPr>
      </w:pPr>
      <w:r w:rsidRPr="009B783C">
        <w:rPr>
          <w:szCs w:val="21"/>
        </w:rPr>
        <w:t>Medicare UCCs’ use of referral pathways</w:t>
      </w:r>
      <w:r w:rsidR="00E81118" w:rsidRPr="009B783C">
        <w:rPr>
          <w:szCs w:val="21"/>
        </w:rPr>
        <w:t>.</w:t>
      </w:r>
      <w:r w:rsidRPr="009B783C">
        <w:rPr>
          <w:szCs w:val="21"/>
        </w:rPr>
        <w:t xml:space="preserve"> Assessment of patient transition from Medicare UCCs </w:t>
      </w:r>
      <w:r w:rsidR="00B35E0B" w:rsidRPr="009B783C">
        <w:rPr>
          <w:szCs w:val="21"/>
        </w:rPr>
        <w:t>home or to other services (such as</w:t>
      </w:r>
      <w:r w:rsidRPr="009B783C">
        <w:rPr>
          <w:szCs w:val="21"/>
        </w:rPr>
        <w:t xml:space="preserve"> GP follow-ups, EDs, allied health, or mental health </w:t>
      </w:r>
      <w:r w:rsidRPr="009B783C">
        <w:rPr>
          <w:szCs w:val="21"/>
        </w:rPr>
        <w:lastRenderedPageBreak/>
        <w:t>services) to understand the continuity of care and identify potential gaps in referral pathways.</w:t>
      </w:r>
    </w:p>
    <w:p w14:paraId="5D05A0F6" w14:textId="69F891C7" w:rsidR="008E356B" w:rsidRPr="009B783C" w:rsidRDefault="00047C2B" w:rsidP="00CC1F8D">
      <w:pPr>
        <w:pStyle w:val="Bullet"/>
        <w:rPr>
          <w:szCs w:val="21"/>
        </w:rPr>
      </w:pPr>
      <w:r w:rsidRPr="009B783C">
        <w:rPr>
          <w:szCs w:val="21"/>
        </w:rPr>
        <w:t xml:space="preserve">Access to </w:t>
      </w:r>
      <w:r w:rsidR="0087001D" w:rsidRPr="009B783C">
        <w:rPr>
          <w:szCs w:val="21"/>
        </w:rPr>
        <w:t xml:space="preserve">multidisciplinary and </w:t>
      </w:r>
      <w:r w:rsidR="00A82131" w:rsidRPr="009B783C">
        <w:rPr>
          <w:szCs w:val="21"/>
        </w:rPr>
        <w:t>diagnostic services</w:t>
      </w:r>
      <w:r w:rsidR="00E81118" w:rsidRPr="009B783C">
        <w:rPr>
          <w:szCs w:val="21"/>
        </w:rPr>
        <w:t>.</w:t>
      </w:r>
      <w:r w:rsidRPr="009B783C">
        <w:rPr>
          <w:szCs w:val="21"/>
        </w:rPr>
        <w:t xml:space="preserve"> Availability and integration of </w:t>
      </w:r>
      <w:r w:rsidR="00D35990" w:rsidRPr="009B783C">
        <w:rPr>
          <w:szCs w:val="21"/>
        </w:rPr>
        <w:t xml:space="preserve">multidisciplinary and </w:t>
      </w:r>
      <w:r w:rsidRPr="009B783C">
        <w:rPr>
          <w:szCs w:val="21"/>
        </w:rPr>
        <w:t>diagnostic services that support efficient, coordinated care and allow Medicare UCCs to address patient needs more comprehensively.</w:t>
      </w:r>
    </w:p>
    <w:p w14:paraId="3BFCF45B" w14:textId="7FFD5C0D" w:rsidR="00B35E0B" w:rsidRPr="009B783C" w:rsidRDefault="00B35E0B" w:rsidP="00CC1F8D">
      <w:pPr>
        <w:pStyle w:val="Bullet"/>
        <w:rPr>
          <w:szCs w:val="21"/>
        </w:rPr>
      </w:pPr>
      <w:r w:rsidRPr="009B783C">
        <w:rPr>
          <w:szCs w:val="21"/>
        </w:rPr>
        <w:t>Patient experience of care coordination</w:t>
      </w:r>
      <w:r w:rsidR="00E81118" w:rsidRPr="009B783C">
        <w:rPr>
          <w:szCs w:val="21"/>
        </w:rPr>
        <w:t>.</w:t>
      </w:r>
      <w:r w:rsidRPr="009B783C">
        <w:rPr>
          <w:szCs w:val="21"/>
        </w:rPr>
        <w:t xml:space="preserve"> Patients’ perspectives on the extent to which Medicare UCCs provide a coordinated care experience, including receiving clear care summaries, feeling supported in follow-up arrangements and being connected to a regular GP if they lack one.</w:t>
      </w:r>
      <w:r w:rsidR="003C50FF" w:rsidRPr="009B783C">
        <w:rPr>
          <w:szCs w:val="21"/>
        </w:rPr>
        <w:t xml:space="preserve"> </w:t>
      </w:r>
    </w:p>
    <w:p w14:paraId="72370B9E" w14:textId="66ECAE16" w:rsidR="00B35E0B" w:rsidRPr="009B783C" w:rsidRDefault="00B35E0B" w:rsidP="00CC1F8D">
      <w:pPr>
        <w:pStyle w:val="Bullet"/>
        <w:rPr>
          <w:szCs w:val="21"/>
        </w:rPr>
      </w:pPr>
      <w:r w:rsidRPr="009B783C">
        <w:rPr>
          <w:szCs w:val="21"/>
        </w:rPr>
        <w:t>Primary care provider experience of care coordination</w:t>
      </w:r>
      <w:r w:rsidR="00E81118" w:rsidRPr="009B783C">
        <w:rPr>
          <w:szCs w:val="21"/>
        </w:rPr>
        <w:t>.</w:t>
      </w:r>
      <w:r w:rsidRPr="009B783C">
        <w:rPr>
          <w:szCs w:val="21"/>
        </w:rPr>
        <w:t xml:space="preserve"> Provider experience of care coordination is addressed in Measure of Success 5</w:t>
      </w:r>
      <w:r w:rsidR="00D33582" w:rsidRPr="009B783C">
        <w:rPr>
          <w:szCs w:val="21"/>
        </w:rPr>
        <w:t xml:space="preserve"> (section </w:t>
      </w:r>
      <w:r w:rsidR="00E81118" w:rsidRPr="009B783C">
        <w:rPr>
          <w:szCs w:val="21"/>
        </w:rPr>
        <w:fldChar w:fldCharType="begin"/>
      </w:r>
      <w:r w:rsidR="00E81118" w:rsidRPr="009B783C">
        <w:rPr>
          <w:szCs w:val="21"/>
        </w:rPr>
        <w:instrText xml:space="preserve"> REF _Ref185505717 \n \h </w:instrText>
      </w:r>
      <w:r w:rsidR="00CC1F8D" w:rsidRPr="009B783C">
        <w:rPr>
          <w:szCs w:val="21"/>
        </w:rPr>
        <w:instrText xml:space="preserve"> \* MERGEFORMAT </w:instrText>
      </w:r>
      <w:r w:rsidR="00E81118" w:rsidRPr="009B783C">
        <w:rPr>
          <w:szCs w:val="21"/>
        </w:rPr>
      </w:r>
      <w:r w:rsidR="00E81118" w:rsidRPr="009B783C">
        <w:rPr>
          <w:szCs w:val="21"/>
        </w:rPr>
        <w:fldChar w:fldCharType="separate"/>
      </w:r>
      <w:r w:rsidR="0031172E" w:rsidRPr="009B783C">
        <w:rPr>
          <w:szCs w:val="21"/>
        </w:rPr>
        <w:t>5.5</w:t>
      </w:r>
      <w:r w:rsidR="00E81118" w:rsidRPr="009B783C">
        <w:rPr>
          <w:szCs w:val="21"/>
        </w:rPr>
        <w:fldChar w:fldCharType="end"/>
      </w:r>
      <w:r w:rsidR="00D33582" w:rsidRPr="009B783C">
        <w:rPr>
          <w:szCs w:val="21"/>
        </w:rPr>
        <w:t>)</w:t>
      </w:r>
      <w:r w:rsidR="00102FFA" w:rsidRPr="009B783C">
        <w:rPr>
          <w:szCs w:val="21"/>
        </w:rPr>
        <w:t>.</w:t>
      </w:r>
      <w:r w:rsidRPr="009B783C">
        <w:rPr>
          <w:szCs w:val="21"/>
        </w:rPr>
        <w:t xml:space="preserve"> </w:t>
      </w:r>
    </w:p>
    <w:p w14:paraId="44C58DF5" w14:textId="34A1C2BE" w:rsidR="00B35E0B" w:rsidRPr="009B783C" w:rsidRDefault="00B35E0B" w:rsidP="00CC1F8D">
      <w:pPr>
        <w:rPr>
          <w:szCs w:val="21"/>
          <w:lang w:eastAsia="en-AU"/>
        </w:rPr>
      </w:pPr>
      <w:r w:rsidRPr="009B783C">
        <w:rPr>
          <w:szCs w:val="21"/>
          <w:lang w:eastAsia="en-AU"/>
        </w:rPr>
        <w:t xml:space="preserve">For this </w:t>
      </w:r>
      <w:r w:rsidR="00DA5403" w:rsidRPr="009B783C">
        <w:rPr>
          <w:szCs w:val="21"/>
          <w:lang w:eastAsia="en-AU"/>
        </w:rPr>
        <w:t>I</w:t>
      </w:r>
      <w:r w:rsidRPr="009B783C">
        <w:rPr>
          <w:szCs w:val="21"/>
          <w:lang w:eastAsia="en-AU"/>
        </w:rPr>
        <w:t xml:space="preserve">nterim </w:t>
      </w:r>
      <w:r w:rsidR="00DA5403" w:rsidRPr="009B783C">
        <w:rPr>
          <w:szCs w:val="21"/>
          <w:lang w:eastAsia="en-AU"/>
        </w:rPr>
        <w:t>Evaluation R</w:t>
      </w:r>
      <w:r w:rsidRPr="009B783C">
        <w:rPr>
          <w:szCs w:val="21"/>
          <w:lang w:eastAsia="en-AU"/>
        </w:rPr>
        <w:t>eport, channels of clinical handover and Medicare UCCs’ use of referral pathways have been assessed using the Medicare UCC data</w:t>
      </w:r>
      <w:r w:rsidR="00102FFA" w:rsidRPr="009B783C">
        <w:rPr>
          <w:szCs w:val="21"/>
          <w:lang w:eastAsia="en-AU"/>
        </w:rPr>
        <w:t xml:space="preserve"> and consultations with </w:t>
      </w:r>
      <w:r w:rsidR="00255576" w:rsidRPr="009B783C">
        <w:rPr>
          <w:szCs w:val="21"/>
          <w:lang w:eastAsia="en-AU"/>
        </w:rPr>
        <w:t>c</w:t>
      </w:r>
      <w:r w:rsidR="00102FFA" w:rsidRPr="009B783C">
        <w:rPr>
          <w:szCs w:val="21"/>
          <w:lang w:eastAsia="en-AU"/>
        </w:rPr>
        <w:t>ommissioners.</w:t>
      </w:r>
      <w:r w:rsidRPr="009B783C">
        <w:rPr>
          <w:szCs w:val="21"/>
          <w:lang w:eastAsia="en-AU"/>
        </w:rPr>
        <w:t xml:space="preserve"> Other dimensions will be explored in future evaluation </w:t>
      </w:r>
      <w:r w:rsidR="00DA5403" w:rsidRPr="009B783C">
        <w:rPr>
          <w:szCs w:val="21"/>
          <w:lang w:eastAsia="en-AU"/>
        </w:rPr>
        <w:t>phases</w:t>
      </w:r>
      <w:r w:rsidRPr="009B783C">
        <w:rPr>
          <w:szCs w:val="21"/>
          <w:lang w:eastAsia="en-AU"/>
        </w:rPr>
        <w:t>. Points of entry to Medicare UCCs are discussed in Measure of Success 8</w:t>
      </w:r>
      <w:r w:rsidR="00D33582" w:rsidRPr="009B783C">
        <w:rPr>
          <w:szCs w:val="21"/>
          <w:lang w:eastAsia="en-AU"/>
        </w:rPr>
        <w:t xml:space="preserve"> (section </w:t>
      </w:r>
      <w:r w:rsidR="0031172E" w:rsidRPr="009B783C">
        <w:rPr>
          <w:szCs w:val="21"/>
          <w:lang w:eastAsia="en-AU"/>
        </w:rPr>
        <w:fldChar w:fldCharType="begin"/>
      </w:r>
      <w:r w:rsidR="0031172E" w:rsidRPr="009B783C">
        <w:rPr>
          <w:szCs w:val="21"/>
          <w:lang w:eastAsia="en-AU"/>
        </w:rPr>
        <w:instrText xml:space="preserve"> REF _Ref188979301 \n \h </w:instrText>
      </w:r>
      <w:r w:rsidR="00CC1F8D" w:rsidRPr="009B783C">
        <w:rPr>
          <w:szCs w:val="21"/>
          <w:lang w:eastAsia="en-AU"/>
        </w:rPr>
        <w:instrText xml:space="preserve"> \* MERGEFORMAT </w:instrText>
      </w:r>
      <w:r w:rsidR="0031172E" w:rsidRPr="009B783C">
        <w:rPr>
          <w:szCs w:val="21"/>
          <w:lang w:eastAsia="en-AU"/>
        </w:rPr>
      </w:r>
      <w:r w:rsidR="0031172E" w:rsidRPr="009B783C">
        <w:rPr>
          <w:szCs w:val="21"/>
          <w:lang w:eastAsia="en-AU"/>
        </w:rPr>
        <w:fldChar w:fldCharType="separate"/>
      </w:r>
      <w:r w:rsidR="0031172E" w:rsidRPr="009B783C">
        <w:rPr>
          <w:szCs w:val="21"/>
          <w:lang w:eastAsia="en-AU"/>
        </w:rPr>
        <w:t>5.8</w:t>
      </w:r>
      <w:r w:rsidR="0031172E" w:rsidRPr="009B783C">
        <w:rPr>
          <w:szCs w:val="21"/>
          <w:lang w:eastAsia="en-AU"/>
        </w:rPr>
        <w:fldChar w:fldCharType="end"/>
      </w:r>
      <w:r w:rsidR="00D33582" w:rsidRPr="009B783C">
        <w:rPr>
          <w:szCs w:val="21"/>
          <w:lang w:eastAsia="en-AU"/>
        </w:rPr>
        <w:fldChar w:fldCharType="begin"/>
      </w:r>
      <w:r w:rsidR="00D33582" w:rsidRPr="009B783C">
        <w:rPr>
          <w:szCs w:val="21"/>
          <w:lang w:eastAsia="en-AU"/>
        </w:rPr>
        <w:instrText xml:space="preserve"> REF _Ref179978006 \n \h </w:instrText>
      </w:r>
      <w:r w:rsidR="00CC1F8D" w:rsidRPr="009B783C">
        <w:rPr>
          <w:szCs w:val="21"/>
          <w:lang w:eastAsia="en-AU"/>
        </w:rPr>
        <w:instrText xml:space="preserve"> \* MERGEFORMAT </w:instrText>
      </w:r>
      <w:r w:rsidR="00D33582" w:rsidRPr="009B783C">
        <w:rPr>
          <w:szCs w:val="21"/>
          <w:lang w:eastAsia="en-AU"/>
        </w:rPr>
      </w:r>
      <w:r w:rsidR="00D33582" w:rsidRPr="009B783C">
        <w:rPr>
          <w:szCs w:val="21"/>
          <w:lang w:eastAsia="en-AU"/>
        </w:rPr>
        <w:fldChar w:fldCharType="separate"/>
      </w:r>
      <w:r w:rsidR="00D33582" w:rsidRPr="009B783C">
        <w:rPr>
          <w:szCs w:val="21"/>
          <w:lang w:eastAsia="en-AU"/>
        </w:rPr>
        <w:fldChar w:fldCharType="end"/>
      </w:r>
      <w:r w:rsidR="00D33582" w:rsidRPr="009B783C">
        <w:rPr>
          <w:szCs w:val="21"/>
          <w:lang w:eastAsia="en-AU"/>
        </w:rPr>
        <w:t>)</w:t>
      </w:r>
      <w:r w:rsidR="00102FFA" w:rsidRPr="009B783C">
        <w:rPr>
          <w:szCs w:val="21"/>
          <w:lang w:eastAsia="en-AU"/>
        </w:rPr>
        <w:t>.</w:t>
      </w:r>
    </w:p>
    <w:p w14:paraId="69E3B6A9" w14:textId="77777777" w:rsidR="00102FFA" w:rsidRPr="009B783C" w:rsidRDefault="00102FFA" w:rsidP="000D706D">
      <w:pPr>
        <w:pStyle w:val="Heading3"/>
        <w:rPr>
          <w:b/>
        </w:rPr>
      </w:pPr>
      <w:bookmarkStart w:id="115" w:name="_Toc179962825"/>
      <w:r w:rsidRPr="009B783C">
        <w:t>Medicare UCCs use various channels for clinical handover to primary care providers</w:t>
      </w:r>
      <w:bookmarkEnd w:id="115"/>
    </w:p>
    <w:p w14:paraId="5FE3563F" w14:textId="1BF5F0D6" w:rsidR="00B35E0B" w:rsidRPr="009B783C" w:rsidRDefault="00B35E0B" w:rsidP="00CC1F8D">
      <w:pPr>
        <w:rPr>
          <w:szCs w:val="21"/>
        </w:rPr>
      </w:pPr>
      <w:r w:rsidRPr="009B783C">
        <w:rPr>
          <w:szCs w:val="21"/>
          <w:lang w:eastAsia="en-AU"/>
        </w:rPr>
        <w:t>To ensure continuity of care, the Medicare UCC Operational Guidance</w:t>
      </w:r>
      <w:r w:rsidRPr="009B783C">
        <w:rPr>
          <w:rStyle w:val="FootnoteReference"/>
          <w:szCs w:val="21"/>
          <w:lang w:eastAsia="en-AU"/>
        </w:rPr>
        <w:footnoteReference w:id="64"/>
      </w:r>
      <w:r w:rsidRPr="009B783C">
        <w:rPr>
          <w:szCs w:val="21"/>
          <w:lang w:eastAsia="en-AU"/>
        </w:rPr>
        <w:t xml:space="preserve"> requires clinics to have in place mechanisms for a clinical handover </w:t>
      </w:r>
      <w:r w:rsidR="00697C94" w:rsidRPr="009B783C">
        <w:rPr>
          <w:szCs w:val="21"/>
          <w:lang w:eastAsia="en-AU"/>
        </w:rPr>
        <w:t xml:space="preserve">to be provided </w:t>
      </w:r>
      <w:r w:rsidRPr="009B783C">
        <w:rPr>
          <w:szCs w:val="21"/>
          <w:lang w:eastAsia="en-AU"/>
        </w:rPr>
        <w:t xml:space="preserve">to the patient’s usual GP or other primary care provider. </w:t>
      </w:r>
      <w:r w:rsidR="0068578E" w:rsidRPr="009B783C">
        <w:rPr>
          <w:szCs w:val="21"/>
          <w:lang w:eastAsia="en-AU"/>
        </w:rPr>
        <w:t>I</w:t>
      </w:r>
      <w:r w:rsidR="00E0119C" w:rsidRPr="009B783C">
        <w:rPr>
          <w:szCs w:val="21"/>
          <w:lang w:eastAsia="en-AU"/>
        </w:rPr>
        <w:t xml:space="preserve">nformation included in the clinical handover </w:t>
      </w:r>
      <w:r w:rsidR="007D38A9" w:rsidRPr="009B783C">
        <w:rPr>
          <w:szCs w:val="21"/>
          <w:lang w:eastAsia="en-AU"/>
        </w:rPr>
        <w:t xml:space="preserve">should include </w:t>
      </w:r>
      <w:r w:rsidR="006127B4" w:rsidRPr="009B783C">
        <w:rPr>
          <w:szCs w:val="21"/>
          <w:lang w:eastAsia="en-AU"/>
        </w:rPr>
        <w:t xml:space="preserve">a summary of </w:t>
      </w:r>
      <w:r w:rsidR="0068578E" w:rsidRPr="009B783C">
        <w:rPr>
          <w:szCs w:val="21"/>
          <w:lang w:eastAsia="en-AU"/>
        </w:rPr>
        <w:t xml:space="preserve">case notes, referrals </w:t>
      </w:r>
      <w:r w:rsidR="006127B4" w:rsidRPr="009B783C">
        <w:rPr>
          <w:szCs w:val="21"/>
          <w:lang w:eastAsia="en-AU"/>
        </w:rPr>
        <w:t xml:space="preserve">and tests requested. </w:t>
      </w:r>
      <w:r w:rsidRPr="009B783C">
        <w:rPr>
          <w:szCs w:val="21"/>
        </w:rPr>
        <w:t>This may be the same information that is provided to other services the patient is directed to (for immediate or later follow up). Further discussion about these other services and coordinated care between Medicare UCCs and the broader health ecosystem including PHNs, Healthdirect, EDs and hospital outpatient services are discussed in Measure of Success 8</w:t>
      </w:r>
      <w:r w:rsidR="00037BAE" w:rsidRPr="009B783C">
        <w:rPr>
          <w:szCs w:val="21"/>
        </w:rPr>
        <w:t xml:space="preserve"> (section </w:t>
      </w:r>
      <w:r w:rsidR="0031172E" w:rsidRPr="009B783C">
        <w:rPr>
          <w:szCs w:val="21"/>
        </w:rPr>
        <w:fldChar w:fldCharType="begin"/>
      </w:r>
      <w:r w:rsidR="0031172E" w:rsidRPr="009B783C">
        <w:rPr>
          <w:szCs w:val="21"/>
        </w:rPr>
        <w:instrText xml:space="preserve"> REF _Ref188979287 \n \h </w:instrText>
      </w:r>
      <w:r w:rsidR="00CC1F8D" w:rsidRPr="009B783C">
        <w:rPr>
          <w:szCs w:val="21"/>
        </w:rPr>
        <w:instrText xml:space="preserve"> \* MERGEFORMAT </w:instrText>
      </w:r>
      <w:r w:rsidR="0031172E" w:rsidRPr="009B783C">
        <w:rPr>
          <w:szCs w:val="21"/>
        </w:rPr>
      </w:r>
      <w:r w:rsidR="0031172E" w:rsidRPr="009B783C">
        <w:rPr>
          <w:szCs w:val="21"/>
        </w:rPr>
        <w:fldChar w:fldCharType="separate"/>
      </w:r>
      <w:r w:rsidR="0031172E" w:rsidRPr="009B783C">
        <w:rPr>
          <w:szCs w:val="21"/>
        </w:rPr>
        <w:t>5.8</w:t>
      </w:r>
      <w:r w:rsidR="0031172E" w:rsidRPr="009B783C">
        <w:rPr>
          <w:szCs w:val="21"/>
        </w:rPr>
        <w:fldChar w:fldCharType="end"/>
      </w:r>
      <w:r w:rsidR="00037BAE" w:rsidRPr="009B783C">
        <w:rPr>
          <w:szCs w:val="21"/>
        </w:rPr>
        <w:t>)</w:t>
      </w:r>
      <w:r w:rsidR="00102FFA" w:rsidRPr="009B783C">
        <w:rPr>
          <w:szCs w:val="21"/>
        </w:rPr>
        <w:t>.</w:t>
      </w:r>
      <w:r w:rsidRPr="009B783C">
        <w:rPr>
          <w:szCs w:val="21"/>
        </w:rPr>
        <w:t xml:space="preserve"> Medicare UCC Operational Guidance specifies several channels for providing handovers of clinical information</w:t>
      </w:r>
      <w:r w:rsidRPr="009B783C" w:rsidDel="00553B87">
        <w:rPr>
          <w:szCs w:val="21"/>
        </w:rPr>
        <w:t xml:space="preserve"> are available</w:t>
      </w:r>
      <w:r w:rsidRPr="009B783C">
        <w:rPr>
          <w:szCs w:val="21"/>
        </w:rPr>
        <w:t>, including:</w:t>
      </w:r>
    </w:p>
    <w:p w14:paraId="2F709B76" w14:textId="2A87D333" w:rsidR="00FA6FAA" w:rsidRPr="009B783C" w:rsidRDefault="00037BAE" w:rsidP="00CC1F8D">
      <w:pPr>
        <w:pStyle w:val="Bullet"/>
        <w:rPr>
          <w:szCs w:val="21"/>
        </w:rPr>
      </w:pPr>
      <w:r w:rsidRPr="009B783C">
        <w:rPr>
          <w:szCs w:val="21"/>
        </w:rPr>
        <w:t>Electronic</w:t>
      </w:r>
      <w:r w:rsidR="00FA6FAA" w:rsidRPr="009B783C">
        <w:rPr>
          <w:szCs w:val="21"/>
        </w:rPr>
        <w:t xml:space="preserve"> provision of a discharge summary to the patient’s usual GP or </w:t>
      </w:r>
      <w:r w:rsidR="00AA1170" w:rsidRPr="009B783C">
        <w:rPr>
          <w:szCs w:val="21"/>
        </w:rPr>
        <w:t xml:space="preserve">primary care </w:t>
      </w:r>
      <w:r w:rsidR="00110D57" w:rsidRPr="009B783C">
        <w:rPr>
          <w:szCs w:val="21"/>
        </w:rPr>
        <w:t>provider</w:t>
      </w:r>
      <w:r w:rsidR="00FA6FAA" w:rsidRPr="009B783C">
        <w:rPr>
          <w:szCs w:val="21"/>
        </w:rPr>
        <w:t>, for example</w:t>
      </w:r>
      <w:r w:rsidR="00A327F4" w:rsidRPr="009B783C">
        <w:rPr>
          <w:szCs w:val="21"/>
        </w:rPr>
        <w:t>,</w:t>
      </w:r>
      <w:r w:rsidR="00FA6FAA" w:rsidRPr="009B783C">
        <w:rPr>
          <w:szCs w:val="21"/>
        </w:rPr>
        <w:t xml:space="preserve"> by fax or secure messaging</w:t>
      </w:r>
      <w:r w:rsidRPr="009B783C">
        <w:rPr>
          <w:szCs w:val="21"/>
        </w:rPr>
        <w:t>.</w:t>
      </w:r>
    </w:p>
    <w:p w14:paraId="0E08B8EA" w14:textId="6A0B0D2D" w:rsidR="009B2766" w:rsidRPr="009B783C" w:rsidRDefault="00037BAE" w:rsidP="00CC1F8D">
      <w:pPr>
        <w:pStyle w:val="Bullet"/>
        <w:rPr>
          <w:szCs w:val="21"/>
        </w:rPr>
      </w:pPr>
      <w:r w:rsidRPr="009B783C">
        <w:rPr>
          <w:szCs w:val="21"/>
        </w:rPr>
        <w:t>Uploading</w:t>
      </w:r>
      <w:r w:rsidR="009B2766" w:rsidRPr="009B783C">
        <w:rPr>
          <w:szCs w:val="21"/>
        </w:rPr>
        <w:t xml:space="preserve"> information </w:t>
      </w:r>
      <w:r w:rsidR="00006765" w:rsidRPr="009B783C">
        <w:rPr>
          <w:szCs w:val="21"/>
        </w:rPr>
        <w:t xml:space="preserve">to the patient’s </w:t>
      </w:r>
      <w:r w:rsidR="004441E3" w:rsidRPr="009B783C">
        <w:rPr>
          <w:szCs w:val="21"/>
        </w:rPr>
        <w:t>MyHR</w:t>
      </w:r>
      <w:r w:rsidRPr="009B783C">
        <w:rPr>
          <w:szCs w:val="21"/>
        </w:rPr>
        <w:t>.</w:t>
      </w:r>
    </w:p>
    <w:p w14:paraId="7FAAA193" w14:textId="64740195" w:rsidR="00CC5CFC" w:rsidRPr="009B783C" w:rsidRDefault="00834C57" w:rsidP="00CC1F8D">
      <w:pPr>
        <w:pStyle w:val="Bullet"/>
        <w:rPr>
          <w:szCs w:val="21"/>
        </w:rPr>
      </w:pPr>
      <w:r w:rsidRPr="009B783C">
        <w:rPr>
          <w:szCs w:val="21"/>
        </w:rPr>
        <w:t>If electronic transfer is not possible, p</w:t>
      </w:r>
      <w:r w:rsidR="00E81118" w:rsidRPr="009B783C">
        <w:rPr>
          <w:szCs w:val="21"/>
        </w:rPr>
        <w:t>roviding</w:t>
      </w:r>
      <w:r w:rsidR="00606CD6" w:rsidRPr="009B783C">
        <w:rPr>
          <w:szCs w:val="21"/>
        </w:rPr>
        <w:t xml:space="preserve"> a hard copy of the discharge summary to the patient.</w:t>
      </w:r>
    </w:p>
    <w:p w14:paraId="289512C0" w14:textId="759DD475" w:rsidR="00834C57" w:rsidRPr="009B783C" w:rsidRDefault="00834C57" w:rsidP="00CC1F8D">
      <w:pPr>
        <w:pStyle w:val="Bullet"/>
        <w:rPr>
          <w:szCs w:val="21"/>
        </w:rPr>
      </w:pPr>
      <w:r w:rsidRPr="009B783C">
        <w:rPr>
          <w:szCs w:val="21"/>
        </w:rPr>
        <w:t>Copying the patient’s usual GP provider into all diagnostic test requests and other referrals.</w:t>
      </w:r>
    </w:p>
    <w:p w14:paraId="500589ED" w14:textId="36B9428C" w:rsidR="00102FFA" w:rsidRPr="009B783C" w:rsidRDefault="00102FFA" w:rsidP="00CC1F8D">
      <w:pPr>
        <w:rPr>
          <w:szCs w:val="21"/>
          <w:lang w:val="en-US"/>
        </w:rPr>
      </w:pPr>
      <w:r w:rsidRPr="009B783C">
        <w:rPr>
          <w:szCs w:val="21"/>
        </w:rPr>
        <w:fldChar w:fldCharType="begin"/>
      </w:r>
      <w:r w:rsidRPr="009B783C">
        <w:rPr>
          <w:szCs w:val="21"/>
        </w:rPr>
        <w:instrText xml:space="preserve"> REF _Ref179622442 \h  \* MERGEFORMAT </w:instrText>
      </w:r>
      <w:r w:rsidRPr="009B783C">
        <w:rPr>
          <w:szCs w:val="21"/>
        </w:rPr>
      </w:r>
      <w:r w:rsidRPr="009B783C">
        <w:rPr>
          <w:szCs w:val="21"/>
        </w:rPr>
        <w:fldChar w:fldCharType="separate"/>
      </w:r>
      <w:r w:rsidR="005B79C6" w:rsidRPr="009B783C">
        <w:rPr>
          <w:szCs w:val="21"/>
        </w:rPr>
        <w:t xml:space="preserve">Table </w:t>
      </w:r>
      <w:r w:rsidR="005B79C6">
        <w:rPr>
          <w:szCs w:val="21"/>
        </w:rPr>
        <w:t>12</w:t>
      </w:r>
      <w:r w:rsidRPr="009B783C">
        <w:rPr>
          <w:szCs w:val="21"/>
        </w:rPr>
        <w:fldChar w:fldCharType="end"/>
      </w:r>
      <w:r w:rsidRPr="009B783C">
        <w:rPr>
          <w:szCs w:val="21"/>
        </w:rPr>
        <w:t xml:space="preserve"> identifies the channels used by Medicare UCCs for clinical handover to patients’ usual primary care provider, noting more than one channel can be used and recorded per presentation. </w:t>
      </w:r>
    </w:p>
    <w:p w14:paraId="7F8916F2" w14:textId="198D30DC" w:rsidR="00BE566D" w:rsidRPr="009B783C" w:rsidRDefault="00102FFA" w:rsidP="006D4456">
      <w:pPr>
        <w:pStyle w:val="Caption"/>
        <w:rPr>
          <w:szCs w:val="21"/>
        </w:rPr>
      </w:pPr>
      <w:bookmarkStart w:id="116" w:name="_Ref179622442"/>
      <w:r w:rsidRPr="009B783C">
        <w:rPr>
          <w:szCs w:val="21"/>
        </w:rPr>
        <w:lastRenderedPageBreak/>
        <w:t xml:space="preserve">Table </w:t>
      </w:r>
      <w:r w:rsidR="00BE566D" w:rsidRPr="009B783C">
        <w:rPr>
          <w:szCs w:val="21"/>
        </w:rPr>
        <w:fldChar w:fldCharType="begin"/>
      </w:r>
      <w:r w:rsidR="00BE566D" w:rsidRPr="009B783C">
        <w:rPr>
          <w:szCs w:val="21"/>
        </w:rPr>
        <w:instrText xml:space="preserve"> SEQ Table \* ARABIC </w:instrText>
      </w:r>
      <w:r w:rsidR="00BE566D" w:rsidRPr="009B783C">
        <w:rPr>
          <w:szCs w:val="21"/>
        </w:rPr>
        <w:fldChar w:fldCharType="separate"/>
      </w:r>
      <w:r w:rsidR="005B79C6">
        <w:rPr>
          <w:noProof/>
          <w:szCs w:val="21"/>
        </w:rPr>
        <w:t>12</w:t>
      </w:r>
      <w:r w:rsidR="00BE566D" w:rsidRPr="009B783C">
        <w:rPr>
          <w:szCs w:val="21"/>
        </w:rPr>
        <w:fldChar w:fldCharType="end"/>
      </w:r>
      <w:bookmarkEnd w:id="116"/>
      <w:r w:rsidR="001C3D72" w:rsidRPr="009B783C">
        <w:rPr>
          <w:szCs w:val="21"/>
        </w:rPr>
        <w:t xml:space="preserve"> |</w:t>
      </w:r>
      <w:r w:rsidR="00BE566D" w:rsidRPr="009B783C">
        <w:rPr>
          <w:szCs w:val="21"/>
        </w:rPr>
        <w:t xml:space="preserve"> Channel</w:t>
      </w:r>
      <w:r w:rsidR="00393086" w:rsidRPr="009B783C">
        <w:rPr>
          <w:szCs w:val="21"/>
        </w:rPr>
        <w:t xml:space="preserve"> of clinical </w:t>
      </w:r>
      <w:r w:rsidR="00BE566D" w:rsidRPr="009B783C">
        <w:rPr>
          <w:szCs w:val="21"/>
        </w:rPr>
        <w:t xml:space="preserve">handover provided back to patients' usual </w:t>
      </w:r>
      <w:r w:rsidR="00110D57" w:rsidRPr="009B783C">
        <w:rPr>
          <w:szCs w:val="21"/>
        </w:rPr>
        <w:t>primary care provider</w:t>
      </w:r>
    </w:p>
    <w:tbl>
      <w:tblPr>
        <w:tblW w:w="5000" w:type="pct"/>
        <w:jc w:val="center"/>
        <w:tblLook w:val="0420" w:firstRow="1" w:lastRow="0" w:firstColumn="0" w:lastColumn="0" w:noHBand="0" w:noVBand="1"/>
      </w:tblPr>
      <w:tblGrid>
        <w:gridCol w:w="4664"/>
        <w:gridCol w:w="1716"/>
        <w:gridCol w:w="2540"/>
      </w:tblGrid>
      <w:tr w:rsidR="00102FFA" w:rsidRPr="009B783C" w14:paraId="1AC85CA5" w14:textId="77777777" w:rsidTr="005A78EE">
        <w:trPr>
          <w:trHeight w:val="499"/>
          <w:tblHeader/>
          <w:jc w:val="center"/>
        </w:trPr>
        <w:tc>
          <w:tcPr>
            <w:tcW w:w="2614" w:type="pct"/>
            <w:tcBorders>
              <w:top w:val="single" w:sz="2" w:space="0" w:color="00264D" w:themeColor="background2"/>
              <w:left w:val="none" w:sz="0" w:space="0" w:color="000000" w:themeColor="text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0C59FCF5" w14:textId="091F070E" w:rsidR="00102FFA" w:rsidRPr="009B783C" w:rsidRDefault="00102FFA" w:rsidP="00037BAE">
            <w:pPr>
              <w:pStyle w:val="TableNheader"/>
            </w:pPr>
            <w:r w:rsidRPr="009B783C">
              <w:rPr>
                <w:rFonts w:eastAsia="Segoe UI Semibold"/>
              </w:rPr>
              <w:t>Clinical </w:t>
            </w:r>
            <w:r w:rsidR="00037BAE" w:rsidRPr="009B783C">
              <w:rPr>
                <w:rFonts w:eastAsia="Segoe UI Semibold"/>
              </w:rPr>
              <w:t>h</w:t>
            </w:r>
            <w:r w:rsidRPr="009B783C">
              <w:rPr>
                <w:rFonts w:eastAsia="Segoe UI Semibold"/>
              </w:rPr>
              <w:t>andover</w:t>
            </w:r>
          </w:p>
        </w:tc>
        <w:tc>
          <w:tcPr>
            <w:tcW w:w="962" w:type="pct"/>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734A0995" w14:textId="77777777" w:rsidR="00102FFA" w:rsidRPr="009B783C" w:rsidRDefault="00102FFA" w:rsidP="00786482">
            <w:pPr>
              <w:pStyle w:val="TableNheader"/>
            </w:pPr>
            <w:r w:rsidRPr="009B783C">
              <w:rPr>
                <w:rFonts w:eastAsia="Segoe UI Semibold"/>
              </w:rPr>
              <w:t>Presentations</w:t>
            </w:r>
          </w:p>
        </w:tc>
        <w:tc>
          <w:tcPr>
            <w:tcW w:w="1424" w:type="pct"/>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7A5E9D60" w14:textId="4EA4A73E" w:rsidR="00102FFA" w:rsidRPr="009B783C" w:rsidRDefault="0043766F" w:rsidP="00786482">
            <w:pPr>
              <w:pStyle w:val="TableNheader"/>
              <w:rPr>
                <w:rFonts w:eastAsia="Segoe UI Semibold"/>
              </w:rPr>
            </w:pPr>
            <w:r w:rsidRPr="009B783C">
              <w:rPr>
                <w:rFonts w:eastAsia="Segoe UI Semibold"/>
              </w:rPr>
              <w:t>Percentage of p</w:t>
            </w:r>
            <w:r w:rsidR="0038036D" w:rsidRPr="009B783C">
              <w:rPr>
                <w:rFonts w:eastAsia="Segoe UI Semibold"/>
              </w:rPr>
              <w:t>resentations that recorded a response</w:t>
            </w:r>
          </w:p>
        </w:tc>
      </w:tr>
      <w:tr w:rsidR="00102FFA" w:rsidRPr="009B783C" w14:paraId="3BCF9937"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396E7A8" w14:textId="1A2FF9AC" w:rsidR="00102FFA" w:rsidRPr="009B783C" w:rsidRDefault="00102FFA" w:rsidP="00037BAE">
            <w:pPr>
              <w:pStyle w:val="TableNText"/>
              <w:rPr>
                <w:rFonts w:eastAsia="Segoe UI"/>
                <w:sz w:val="21"/>
                <w:szCs w:val="21"/>
              </w:rPr>
            </w:pPr>
            <w:r w:rsidRPr="009B783C">
              <w:rPr>
                <w:rFonts w:eastAsia="Segoe UI"/>
                <w:sz w:val="21"/>
                <w:szCs w:val="21"/>
              </w:rPr>
              <w:t>Electronic provision to usual GP +/- upload to MyHR and/or provided to patient</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F41D6F9" w14:textId="77777777" w:rsidR="00102FFA" w:rsidRPr="009B783C" w:rsidRDefault="00102FFA" w:rsidP="00AB7572">
            <w:pPr>
              <w:pStyle w:val="TableNText"/>
              <w:jc w:val="center"/>
              <w:rPr>
                <w:rFonts w:eastAsia="Segoe UI"/>
                <w:sz w:val="21"/>
                <w:szCs w:val="21"/>
              </w:rPr>
            </w:pPr>
            <w:r w:rsidRPr="009B783C">
              <w:rPr>
                <w:rFonts w:eastAsia="Segoe UI"/>
                <w:sz w:val="21"/>
                <w:szCs w:val="21"/>
              </w:rPr>
              <w:t>266,213</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BE0D81D" w14:textId="583DD722" w:rsidR="00102FFA" w:rsidRPr="009B783C" w:rsidRDefault="00102FFA" w:rsidP="00AB7572">
            <w:pPr>
              <w:pStyle w:val="TableNText"/>
              <w:jc w:val="center"/>
              <w:rPr>
                <w:rFonts w:eastAsia="Segoe UI"/>
                <w:sz w:val="21"/>
                <w:szCs w:val="21"/>
              </w:rPr>
            </w:pPr>
            <w:r w:rsidRPr="009B783C">
              <w:rPr>
                <w:rFonts w:eastAsia="Segoe UI"/>
                <w:sz w:val="21"/>
                <w:szCs w:val="21"/>
              </w:rPr>
              <w:t>68.1%</w:t>
            </w:r>
          </w:p>
        </w:tc>
      </w:tr>
      <w:tr w:rsidR="00102FFA" w:rsidRPr="009B783C" w14:paraId="108A5FA7"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635B42A" w14:textId="77777777" w:rsidR="00102FFA" w:rsidRPr="009B783C" w:rsidRDefault="00102FFA" w:rsidP="00E40295">
            <w:pPr>
              <w:pStyle w:val="TableNText"/>
              <w:rPr>
                <w:sz w:val="21"/>
                <w:szCs w:val="21"/>
              </w:rPr>
            </w:pPr>
            <w:r w:rsidRPr="009B783C">
              <w:rPr>
                <w:rFonts w:eastAsia="Segoe UI"/>
                <w:sz w:val="21"/>
                <w:szCs w:val="21"/>
              </w:rPr>
              <w:t>Electronic provision to usual GP/primary care provider only</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54D7949" w14:textId="77777777" w:rsidR="00102FFA" w:rsidRPr="009B783C" w:rsidRDefault="00102FFA" w:rsidP="00AB7572">
            <w:pPr>
              <w:pStyle w:val="TableNText"/>
              <w:jc w:val="center"/>
              <w:rPr>
                <w:sz w:val="21"/>
                <w:szCs w:val="21"/>
              </w:rPr>
            </w:pPr>
            <w:r w:rsidRPr="009B783C">
              <w:rPr>
                <w:rFonts w:eastAsia="Segoe UI"/>
                <w:sz w:val="21"/>
                <w:szCs w:val="21"/>
              </w:rPr>
              <w:t>210,854</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832D10B" w14:textId="77777777" w:rsidR="00102FFA" w:rsidRPr="009B783C" w:rsidRDefault="00102FFA" w:rsidP="00AB7572">
            <w:pPr>
              <w:pStyle w:val="TableNText"/>
              <w:jc w:val="center"/>
              <w:rPr>
                <w:sz w:val="21"/>
                <w:szCs w:val="21"/>
              </w:rPr>
            </w:pPr>
            <w:r w:rsidRPr="009B783C">
              <w:rPr>
                <w:rFonts w:eastAsia="Segoe UI"/>
                <w:sz w:val="21"/>
                <w:szCs w:val="21"/>
              </w:rPr>
              <w:t>53.9%</w:t>
            </w:r>
          </w:p>
        </w:tc>
      </w:tr>
      <w:tr w:rsidR="00102FFA" w:rsidRPr="009B783C" w14:paraId="5A4D3277"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784362D" w14:textId="303E65A7" w:rsidR="00102FFA" w:rsidRPr="009B783C" w:rsidRDefault="00102FFA" w:rsidP="00E40295">
            <w:pPr>
              <w:pStyle w:val="TableNText"/>
              <w:rPr>
                <w:sz w:val="21"/>
                <w:szCs w:val="21"/>
              </w:rPr>
            </w:pPr>
            <w:r w:rsidRPr="009B783C">
              <w:rPr>
                <w:rFonts w:eastAsia="Segoe UI"/>
                <w:sz w:val="21"/>
                <w:szCs w:val="21"/>
              </w:rPr>
              <w:t xml:space="preserve">Electronic provision to usual GP + </w:t>
            </w:r>
            <w:r w:rsidR="00037BAE" w:rsidRPr="009B783C">
              <w:rPr>
                <w:rFonts w:eastAsia="Segoe UI"/>
                <w:sz w:val="21"/>
                <w:szCs w:val="21"/>
              </w:rPr>
              <w:t>u</w:t>
            </w:r>
            <w:r w:rsidRPr="009B783C">
              <w:rPr>
                <w:rFonts w:eastAsia="Segoe UI"/>
                <w:sz w:val="21"/>
                <w:szCs w:val="21"/>
              </w:rPr>
              <w:t>pload to MyHR</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61F3225" w14:textId="77777777" w:rsidR="00102FFA" w:rsidRPr="009B783C" w:rsidRDefault="00102FFA" w:rsidP="00AB7572">
            <w:pPr>
              <w:pStyle w:val="TableNText"/>
              <w:jc w:val="center"/>
              <w:rPr>
                <w:sz w:val="21"/>
                <w:szCs w:val="21"/>
              </w:rPr>
            </w:pPr>
            <w:r w:rsidRPr="009B783C">
              <w:rPr>
                <w:rFonts w:eastAsia="Segoe UI"/>
                <w:sz w:val="21"/>
                <w:szCs w:val="21"/>
              </w:rPr>
              <w:t>38,998</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5D36818" w14:textId="77777777" w:rsidR="00102FFA" w:rsidRPr="009B783C" w:rsidRDefault="00102FFA" w:rsidP="00AB7572">
            <w:pPr>
              <w:pStyle w:val="TableNText"/>
              <w:jc w:val="center"/>
              <w:rPr>
                <w:sz w:val="21"/>
                <w:szCs w:val="21"/>
              </w:rPr>
            </w:pPr>
            <w:r w:rsidRPr="009B783C">
              <w:rPr>
                <w:rFonts w:eastAsia="Segoe UI"/>
                <w:sz w:val="21"/>
                <w:szCs w:val="21"/>
              </w:rPr>
              <w:t>10.0%</w:t>
            </w:r>
          </w:p>
        </w:tc>
      </w:tr>
      <w:tr w:rsidR="00102FFA" w:rsidRPr="009B783C" w14:paraId="2175CA98"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E95DF96" w14:textId="1736E93D" w:rsidR="00102FFA" w:rsidRPr="009B783C" w:rsidRDefault="00102FFA" w:rsidP="00E40295">
            <w:pPr>
              <w:pStyle w:val="TableNText"/>
              <w:rPr>
                <w:sz w:val="21"/>
                <w:szCs w:val="21"/>
              </w:rPr>
            </w:pPr>
            <w:r w:rsidRPr="009B783C">
              <w:rPr>
                <w:rFonts w:eastAsia="Segoe UI"/>
                <w:sz w:val="21"/>
                <w:szCs w:val="21"/>
              </w:rPr>
              <w:t xml:space="preserve">Electronic provision to usual GP + </w:t>
            </w:r>
            <w:r w:rsidR="00037BAE" w:rsidRPr="009B783C">
              <w:rPr>
                <w:rFonts w:eastAsia="Segoe UI"/>
                <w:sz w:val="21"/>
                <w:szCs w:val="21"/>
              </w:rPr>
              <w:t>p</w:t>
            </w:r>
            <w:r w:rsidRPr="009B783C">
              <w:rPr>
                <w:rFonts w:eastAsia="Segoe UI"/>
                <w:sz w:val="21"/>
                <w:szCs w:val="21"/>
              </w:rPr>
              <w:t>rovided to patient</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6AF6DF6" w14:textId="77777777" w:rsidR="00102FFA" w:rsidRPr="009B783C" w:rsidRDefault="00102FFA" w:rsidP="00AB7572">
            <w:pPr>
              <w:pStyle w:val="TableNText"/>
              <w:jc w:val="center"/>
              <w:rPr>
                <w:sz w:val="21"/>
                <w:szCs w:val="21"/>
              </w:rPr>
            </w:pPr>
            <w:r w:rsidRPr="009B783C">
              <w:rPr>
                <w:rFonts w:eastAsia="Segoe UI"/>
                <w:sz w:val="21"/>
                <w:szCs w:val="21"/>
              </w:rPr>
              <w:t>10,240</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31A4280" w14:textId="77777777" w:rsidR="00102FFA" w:rsidRPr="009B783C" w:rsidRDefault="00102FFA" w:rsidP="00AB7572">
            <w:pPr>
              <w:pStyle w:val="TableNText"/>
              <w:jc w:val="center"/>
              <w:rPr>
                <w:sz w:val="21"/>
                <w:szCs w:val="21"/>
              </w:rPr>
            </w:pPr>
            <w:r w:rsidRPr="009B783C">
              <w:rPr>
                <w:rFonts w:eastAsia="Segoe UI"/>
                <w:sz w:val="21"/>
                <w:szCs w:val="21"/>
              </w:rPr>
              <w:t>2.6%</w:t>
            </w:r>
          </w:p>
        </w:tc>
      </w:tr>
      <w:tr w:rsidR="00102FFA" w:rsidRPr="009B783C" w14:paraId="05FC4AA1"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EE9F580" w14:textId="295B51DD" w:rsidR="00102FFA" w:rsidRPr="009B783C" w:rsidRDefault="00102FFA" w:rsidP="00E40295">
            <w:pPr>
              <w:pStyle w:val="TableNText"/>
              <w:rPr>
                <w:sz w:val="21"/>
                <w:szCs w:val="21"/>
              </w:rPr>
            </w:pPr>
            <w:r w:rsidRPr="009B783C">
              <w:rPr>
                <w:rFonts w:eastAsia="Segoe UI"/>
                <w:sz w:val="21"/>
                <w:szCs w:val="21"/>
              </w:rPr>
              <w:t xml:space="preserve">Electronic provision to usual GP + </w:t>
            </w:r>
            <w:r w:rsidR="00037BAE" w:rsidRPr="009B783C">
              <w:rPr>
                <w:rFonts w:eastAsia="Segoe UI"/>
                <w:sz w:val="21"/>
                <w:szCs w:val="21"/>
              </w:rPr>
              <w:t>u</w:t>
            </w:r>
            <w:r w:rsidRPr="009B783C">
              <w:rPr>
                <w:rFonts w:eastAsia="Segoe UI"/>
                <w:sz w:val="21"/>
                <w:szCs w:val="21"/>
              </w:rPr>
              <w:t xml:space="preserve">pload to MyHR + </w:t>
            </w:r>
            <w:r w:rsidR="00037BAE" w:rsidRPr="009B783C">
              <w:rPr>
                <w:rFonts w:eastAsia="Segoe UI"/>
                <w:sz w:val="21"/>
                <w:szCs w:val="21"/>
              </w:rPr>
              <w:t>p</w:t>
            </w:r>
            <w:r w:rsidRPr="009B783C">
              <w:rPr>
                <w:rFonts w:eastAsia="Segoe UI"/>
                <w:sz w:val="21"/>
                <w:szCs w:val="21"/>
              </w:rPr>
              <w:t>rovided to patient</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07BF689" w14:textId="77777777" w:rsidR="00102FFA" w:rsidRPr="009B783C" w:rsidRDefault="00102FFA" w:rsidP="00AB7572">
            <w:pPr>
              <w:pStyle w:val="TableNText"/>
              <w:jc w:val="center"/>
              <w:rPr>
                <w:sz w:val="21"/>
                <w:szCs w:val="21"/>
              </w:rPr>
            </w:pPr>
            <w:r w:rsidRPr="009B783C">
              <w:rPr>
                <w:rFonts w:eastAsia="Segoe UI"/>
                <w:sz w:val="21"/>
                <w:szCs w:val="21"/>
              </w:rPr>
              <w:t>6,121</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EADA0BE" w14:textId="77777777" w:rsidR="00102FFA" w:rsidRPr="009B783C" w:rsidRDefault="00102FFA" w:rsidP="00AB7572">
            <w:pPr>
              <w:pStyle w:val="TableNText"/>
              <w:jc w:val="center"/>
              <w:rPr>
                <w:sz w:val="21"/>
                <w:szCs w:val="21"/>
              </w:rPr>
            </w:pPr>
            <w:r w:rsidRPr="009B783C">
              <w:rPr>
                <w:rFonts w:eastAsia="Segoe UI"/>
                <w:sz w:val="21"/>
                <w:szCs w:val="21"/>
              </w:rPr>
              <w:t>1.6%</w:t>
            </w:r>
          </w:p>
        </w:tc>
      </w:tr>
      <w:tr w:rsidR="00102FFA" w:rsidRPr="009B783C" w14:paraId="30613AF9"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AC7BF68" w14:textId="77777777" w:rsidR="00102FFA" w:rsidRPr="009B783C" w:rsidRDefault="00102FFA" w:rsidP="00037BAE">
            <w:pPr>
              <w:pStyle w:val="TableNText"/>
              <w:rPr>
                <w:sz w:val="21"/>
                <w:szCs w:val="21"/>
              </w:rPr>
            </w:pPr>
            <w:r w:rsidRPr="009B783C">
              <w:rPr>
                <w:rFonts w:eastAsia="Segoe UI"/>
                <w:sz w:val="21"/>
                <w:szCs w:val="21"/>
              </w:rPr>
              <w:t>Upload to MyHR only</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C06C61C" w14:textId="77777777" w:rsidR="00102FFA" w:rsidRPr="009B783C" w:rsidRDefault="00102FFA" w:rsidP="00AB7572">
            <w:pPr>
              <w:pStyle w:val="TableNText"/>
              <w:jc w:val="center"/>
              <w:rPr>
                <w:sz w:val="21"/>
                <w:szCs w:val="21"/>
              </w:rPr>
            </w:pPr>
            <w:r w:rsidRPr="009B783C">
              <w:rPr>
                <w:rFonts w:eastAsia="Segoe UI"/>
                <w:sz w:val="21"/>
                <w:szCs w:val="21"/>
              </w:rPr>
              <w:t>34,851</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AEAE508" w14:textId="77777777" w:rsidR="00102FFA" w:rsidRPr="009B783C" w:rsidRDefault="00102FFA" w:rsidP="00AB7572">
            <w:pPr>
              <w:pStyle w:val="TableNText"/>
              <w:jc w:val="center"/>
              <w:rPr>
                <w:sz w:val="21"/>
                <w:szCs w:val="21"/>
              </w:rPr>
            </w:pPr>
            <w:r w:rsidRPr="009B783C">
              <w:rPr>
                <w:rFonts w:eastAsia="Segoe UI"/>
                <w:sz w:val="21"/>
                <w:szCs w:val="21"/>
              </w:rPr>
              <w:t>8.9%</w:t>
            </w:r>
          </w:p>
        </w:tc>
      </w:tr>
      <w:tr w:rsidR="00102FFA" w:rsidRPr="009B783C" w14:paraId="49B0700E"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D203ED9" w14:textId="4360A4B4" w:rsidR="00102FFA" w:rsidRPr="009B783C" w:rsidRDefault="00102FFA" w:rsidP="00037BAE">
            <w:pPr>
              <w:pStyle w:val="TableNText"/>
              <w:rPr>
                <w:sz w:val="21"/>
                <w:szCs w:val="21"/>
              </w:rPr>
            </w:pPr>
            <w:r w:rsidRPr="009B783C">
              <w:rPr>
                <w:rFonts w:eastAsia="Segoe UI"/>
                <w:sz w:val="21"/>
                <w:szCs w:val="21"/>
              </w:rPr>
              <w:t xml:space="preserve">Upload to MyHR + </w:t>
            </w:r>
            <w:r w:rsidR="00037BAE" w:rsidRPr="009B783C">
              <w:rPr>
                <w:rFonts w:eastAsia="Segoe UI"/>
                <w:sz w:val="21"/>
                <w:szCs w:val="21"/>
              </w:rPr>
              <w:t>p</w:t>
            </w:r>
            <w:r w:rsidRPr="009B783C">
              <w:rPr>
                <w:rFonts w:eastAsia="Segoe UI"/>
                <w:sz w:val="21"/>
                <w:szCs w:val="21"/>
              </w:rPr>
              <w:t>rovided to patient</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917BCE2" w14:textId="77777777" w:rsidR="00102FFA" w:rsidRPr="009B783C" w:rsidRDefault="00102FFA" w:rsidP="00AB7572">
            <w:pPr>
              <w:pStyle w:val="TableNText"/>
              <w:jc w:val="center"/>
              <w:rPr>
                <w:sz w:val="21"/>
                <w:szCs w:val="21"/>
              </w:rPr>
            </w:pPr>
            <w:r w:rsidRPr="009B783C">
              <w:rPr>
                <w:rFonts w:eastAsia="Segoe UI"/>
                <w:sz w:val="21"/>
                <w:szCs w:val="21"/>
              </w:rPr>
              <w:t>3,762</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EB610D5" w14:textId="77777777" w:rsidR="00102FFA" w:rsidRPr="009B783C" w:rsidRDefault="00102FFA" w:rsidP="00AB7572">
            <w:pPr>
              <w:pStyle w:val="TableNText"/>
              <w:jc w:val="center"/>
              <w:rPr>
                <w:sz w:val="21"/>
                <w:szCs w:val="21"/>
              </w:rPr>
            </w:pPr>
            <w:r w:rsidRPr="009B783C">
              <w:rPr>
                <w:rFonts w:eastAsia="Segoe UI"/>
                <w:sz w:val="21"/>
                <w:szCs w:val="21"/>
              </w:rPr>
              <w:t>1.0%</w:t>
            </w:r>
          </w:p>
        </w:tc>
      </w:tr>
      <w:tr w:rsidR="00102FFA" w:rsidRPr="009B783C" w14:paraId="00E66266"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0C7972A" w14:textId="77777777" w:rsidR="00102FFA" w:rsidRPr="009B783C" w:rsidRDefault="00102FFA" w:rsidP="00037BAE">
            <w:pPr>
              <w:pStyle w:val="TableNText"/>
              <w:rPr>
                <w:sz w:val="21"/>
                <w:szCs w:val="21"/>
              </w:rPr>
            </w:pPr>
            <w:r w:rsidRPr="009B783C">
              <w:rPr>
                <w:rFonts w:eastAsia="Segoe UI"/>
                <w:sz w:val="21"/>
                <w:szCs w:val="21"/>
              </w:rPr>
              <w:t>Provided to patient only</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3FEE413" w14:textId="77777777" w:rsidR="00102FFA" w:rsidRPr="009B783C" w:rsidRDefault="00102FFA" w:rsidP="00AB7572">
            <w:pPr>
              <w:pStyle w:val="TableNText"/>
              <w:jc w:val="center"/>
              <w:rPr>
                <w:sz w:val="21"/>
                <w:szCs w:val="21"/>
              </w:rPr>
            </w:pPr>
            <w:r w:rsidRPr="009B783C">
              <w:rPr>
                <w:rFonts w:eastAsia="Segoe UI"/>
                <w:sz w:val="21"/>
                <w:szCs w:val="21"/>
              </w:rPr>
              <w:t>41,987</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480811E" w14:textId="77777777" w:rsidR="00102FFA" w:rsidRPr="009B783C" w:rsidRDefault="00102FFA" w:rsidP="00AB7572">
            <w:pPr>
              <w:pStyle w:val="TableNText"/>
              <w:jc w:val="center"/>
              <w:rPr>
                <w:sz w:val="21"/>
                <w:szCs w:val="21"/>
              </w:rPr>
            </w:pPr>
            <w:r w:rsidRPr="009B783C">
              <w:rPr>
                <w:rFonts w:eastAsia="Segoe UI"/>
                <w:sz w:val="21"/>
                <w:szCs w:val="21"/>
              </w:rPr>
              <w:t>10.7%</w:t>
            </w:r>
          </w:p>
        </w:tc>
      </w:tr>
      <w:tr w:rsidR="00102FFA" w:rsidRPr="009B783C" w14:paraId="3D802D46" w14:textId="77777777" w:rsidTr="005A78EE">
        <w:trPr>
          <w:trHeight w:val="279"/>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1599855" w14:textId="77777777" w:rsidR="00102FFA" w:rsidRPr="009B783C" w:rsidRDefault="00102FFA" w:rsidP="00037BAE">
            <w:pPr>
              <w:pStyle w:val="TableNText"/>
              <w:rPr>
                <w:sz w:val="21"/>
                <w:szCs w:val="21"/>
              </w:rPr>
            </w:pPr>
            <w:r w:rsidRPr="009B783C">
              <w:rPr>
                <w:rFonts w:eastAsia="Segoe UI"/>
                <w:sz w:val="21"/>
                <w:szCs w:val="21"/>
              </w:rPr>
              <w:t>Other (a)</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535ADFB" w14:textId="77777777" w:rsidR="00102FFA" w:rsidRPr="009B783C" w:rsidRDefault="00102FFA" w:rsidP="00AB7572">
            <w:pPr>
              <w:pStyle w:val="TableNText"/>
              <w:jc w:val="center"/>
              <w:rPr>
                <w:sz w:val="21"/>
                <w:szCs w:val="21"/>
              </w:rPr>
            </w:pPr>
            <w:r w:rsidRPr="009B783C">
              <w:rPr>
                <w:rFonts w:eastAsia="Segoe UI"/>
                <w:sz w:val="21"/>
                <w:szCs w:val="21"/>
              </w:rPr>
              <w:t>44,328</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7601E88" w14:textId="77777777" w:rsidR="00102FFA" w:rsidRPr="009B783C" w:rsidRDefault="00102FFA" w:rsidP="00AB7572">
            <w:pPr>
              <w:pStyle w:val="TableNText"/>
              <w:jc w:val="center"/>
              <w:rPr>
                <w:sz w:val="21"/>
                <w:szCs w:val="21"/>
              </w:rPr>
            </w:pPr>
            <w:r w:rsidRPr="009B783C">
              <w:rPr>
                <w:rFonts w:eastAsia="Segoe UI"/>
                <w:sz w:val="21"/>
                <w:szCs w:val="21"/>
              </w:rPr>
              <w:t>11.3%</w:t>
            </w:r>
          </w:p>
        </w:tc>
      </w:tr>
      <w:tr w:rsidR="0038036D" w:rsidRPr="009B783C" w14:paraId="7498AB18"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E81BA69" w14:textId="03048582" w:rsidR="0038036D" w:rsidRPr="009B783C" w:rsidRDefault="0038036D" w:rsidP="0038036D">
            <w:pPr>
              <w:pStyle w:val="TableNText"/>
              <w:rPr>
                <w:rFonts w:eastAsia="Segoe UI"/>
                <w:sz w:val="21"/>
                <w:szCs w:val="21"/>
              </w:rPr>
            </w:pPr>
            <w:r w:rsidRPr="009B783C">
              <w:rPr>
                <w:rFonts w:eastAsia="Segoe UI"/>
                <w:color w:val="000000"/>
                <w:sz w:val="21"/>
                <w:szCs w:val="21"/>
              </w:rPr>
              <w:t>Total excluding “Not recorded” (from 63 Medicare UCCs)</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1D92DE8" w14:textId="5F828D30" w:rsidR="0038036D" w:rsidRPr="009B783C" w:rsidRDefault="0038036D" w:rsidP="00AB7572">
            <w:pPr>
              <w:pStyle w:val="TableNText"/>
              <w:jc w:val="center"/>
              <w:rPr>
                <w:rFonts w:eastAsia="Segoe UI"/>
                <w:color w:val="000000"/>
                <w:sz w:val="21"/>
                <w:szCs w:val="21"/>
              </w:rPr>
            </w:pPr>
            <w:r w:rsidRPr="009B783C">
              <w:rPr>
                <w:rFonts w:eastAsia="Segoe UI"/>
                <w:color w:val="000000"/>
                <w:sz w:val="21"/>
                <w:szCs w:val="21"/>
              </w:rPr>
              <w:t>391,141</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3C2D600" w14:textId="2E6F56CA" w:rsidR="0038036D" w:rsidRPr="009B783C" w:rsidRDefault="0038036D" w:rsidP="00AB7572">
            <w:pPr>
              <w:pStyle w:val="TableNText"/>
              <w:jc w:val="center"/>
              <w:rPr>
                <w:sz w:val="21"/>
                <w:szCs w:val="21"/>
              </w:rPr>
            </w:pPr>
            <w:r w:rsidRPr="009B783C">
              <w:rPr>
                <w:rFonts w:eastAsia="Segoe UI"/>
                <w:color w:val="000000"/>
                <w:sz w:val="21"/>
                <w:szCs w:val="21"/>
              </w:rPr>
              <w:t>100.0%</w:t>
            </w:r>
          </w:p>
        </w:tc>
      </w:tr>
      <w:tr w:rsidR="00102FFA" w:rsidRPr="009B783C" w14:paraId="01A027F4"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4A45E7F" w14:textId="77777777" w:rsidR="00102FFA" w:rsidRPr="009B783C" w:rsidRDefault="00102FFA" w:rsidP="00037BAE">
            <w:pPr>
              <w:pStyle w:val="TableNText"/>
              <w:rPr>
                <w:rFonts w:eastAsia="Segoe UI"/>
                <w:sz w:val="21"/>
                <w:szCs w:val="21"/>
              </w:rPr>
            </w:pPr>
            <w:r w:rsidRPr="009B783C">
              <w:rPr>
                <w:rFonts w:eastAsia="Segoe UI"/>
                <w:sz w:val="21"/>
                <w:szCs w:val="21"/>
              </w:rPr>
              <w:t>Not recorded</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0CA11B8" w14:textId="77777777" w:rsidR="00102FFA" w:rsidRPr="009B783C" w:rsidRDefault="00102FFA" w:rsidP="00AB7572">
            <w:pPr>
              <w:pStyle w:val="TableNText"/>
              <w:jc w:val="center"/>
              <w:rPr>
                <w:sz w:val="21"/>
                <w:szCs w:val="21"/>
              </w:rPr>
            </w:pPr>
            <w:r w:rsidRPr="009B783C">
              <w:rPr>
                <w:rFonts w:eastAsia="Segoe UI"/>
                <w:color w:val="000000"/>
                <w:sz w:val="21"/>
                <w:szCs w:val="21"/>
              </w:rPr>
              <w:t>35,338</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31682AE" w14:textId="77777777" w:rsidR="00102FFA" w:rsidRPr="009B783C" w:rsidRDefault="00102FFA" w:rsidP="00AB7572">
            <w:pPr>
              <w:pStyle w:val="TableNText"/>
              <w:jc w:val="center"/>
              <w:rPr>
                <w:sz w:val="21"/>
                <w:szCs w:val="21"/>
              </w:rPr>
            </w:pPr>
          </w:p>
        </w:tc>
      </w:tr>
      <w:tr w:rsidR="00102FFA" w:rsidRPr="009B783C" w14:paraId="3C1EF3D2"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C90E81E" w14:textId="1FB7FA37" w:rsidR="00102FFA" w:rsidRPr="009B783C" w:rsidRDefault="00102FFA" w:rsidP="00037BAE">
            <w:pPr>
              <w:pStyle w:val="TableNText"/>
              <w:rPr>
                <w:sz w:val="21"/>
                <w:szCs w:val="21"/>
              </w:rPr>
            </w:pPr>
            <w:r w:rsidRPr="009B783C">
              <w:rPr>
                <w:rFonts w:eastAsia="Segoe UI"/>
                <w:color w:val="000000"/>
                <w:sz w:val="21"/>
                <w:szCs w:val="21"/>
              </w:rPr>
              <w:t xml:space="preserve">Total including </w:t>
            </w:r>
            <w:r w:rsidR="00037BAE" w:rsidRPr="009B783C">
              <w:rPr>
                <w:rFonts w:eastAsia="Segoe UI"/>
                <w:color w:val="000000"/>
                <w:sz w:val="21"/>
                <w:szCs w:val="21"/>
              </w:rPr>
              <w:t>“</w:t>
            </w:r>
            <w:r w:rsidRPr="009B783C">
              <w:rPr>
                <w:rFonts w:eastAsia="Segoe UI"/>
                <w:color w:val="000000"/>
                <w:sz w:val="21"/>
                <w:szCs w:val="21"/>
              </w:rPr>
              <w:t>Not recorded</w:t>
            </w:r>
            <w:r w:rsidR="00037BAE" w:rsidRPr="009B783C">
              <w:rPr>
                <w:rFonts w:eastAsia="Segoe UI"/>
                <w:color w:val="000000"/>
                <w:sz w:val="21"/>
                <w:szCs w:val="21"/>
              </w:rPr>
              <w:t>”</w:t>
            </w:r>
            <w:r w:rsidRPr="009B783C">
              <w:rPr>
                <w:rFonts w:eastAsia="Segoe UI"/>
                <w:color w:val="000000"/>
                <w:sz w:val="21"/>
                <w:szCs w:val="21"/>
              </w:rPr>
              <w:t xml:space="preserve"> (from 63 Medicare UCCs)</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E25B98A" w14:textId="77777777" w:rsidR="00102FFA" w:rsidRPr="009B783C" w:rsidRDefault="00102FFA" w:rsidP="00AB7572">
            <w:pPr>
              <w:pStyle w:val="TableNText"/>
              <w:jc w:val="center"/>
              <w:rPr>
                <w:sz w:val="21"/>
                <w:szCs w:val="21"/>
              </w:rPr>
            </w:pPr>
            <w:r w:rsidRPr="009B783C">
              <w:rPr>
                <w:rFonts w:eastAsia="Segoe UI"/>
                <w:color w:val="000000"/>
                <w:sz w:val="21"/>
                <w:szCs w:val="21"/>
              </w:rPr>
              <w:t>426,479</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84BB9AC" w14:textId="77777777" w:rsidR="00102FFA" w:rsidRPr="009B783C" w:rsidRDefault="00102FFA" w:rsidP="00AB7572">
            <w:pPr>
              <w:pStyle w:val="TableNText"/>
              <w:jc w:val="center"/>
              <w:rPr>
                <w:sz w:val="21"/>
                <w:szCs w:val="21"/>
              </w:rPr>
            </w:pPr>
          </w:p>
        </w:tc>
      </w:tr>
      <w:tr w:rsidR="00102FFA" w:rsidRPr="009B783C" w14:paraId="42EB43A4"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A7C8E31" w14:textId="77777777" w:rsidR="00102FFA" w:rsidRPr="009B783C" w:rsidRDefault="00102FFA" w:rsidP="00037BAE">
            <w:pPr>
              <w:pStyle w:val="TableNText"/>
              <w:rPr>
                <w:sz w:val="21"/>
                <w:szCs w:val="21"/>
              </w:rPr>
            </w:pPr>
            <w:r w:rsidRPr="009B783C">
              <w:rPr>
                <w:rFonts w:eastAsia="Segoe UI"/>
                <w:color w:val="000000"/>
                <w:sz w:val="21"/>
                <w:szCs w:val="21"/>
              </w:rPr>
              <w:t>Aggregate and other unit records counts</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767AB8A" w14:textId="602C5BB1" w:rsidR="00102FFA" w:rsidRPr="009B783C" w:rsidRDefault="00102FFA" w:rsidP="00AB7572">
            <w:pPr>
              <w:pStyle w:val="TableNText"/>
              <w:jc w:val="center"/>
              <w:rPr>
                <w:sz w:val="21"/>
                <w:szCs w:val="21"/>
              </w:rPr>
            </w:pPr>
            <w:r w:rsidRPr="009B783C">
              <w:rPr>
                <w:rFonts w:eastAsia="Segoe UI"/>
                <w:color w:val="000000"/>
                <w:sz w:val="21"/>
                <w:szCs w:val="21"/>
              </w:rPr>
              <w:t>357,5</w:t>
            </w:r>
            <w:r w:rsidR="00C67A10" w:rsidRPr="009B783C">
              <w:rPr>
                <w:rFonts w:eastAsia="Segoe UI"/>
                <w:color w:val="000000"/>
                <w:sz w:val="21"/>
                <w:szCs w:val="21"/>
              </w:rPr>
              <w:t>92</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F2CC0C0" w14:textId="77777777" w:rsidR="00102FFA" w:rsidRPr="009B783C" w:rsidRDefault="00102FFA" w:rsidP="00AB7572">
            <w:pPr>
              <w:pStyle w:val="TableNText"/>
              <w:jc w:val="center"/>
              <w:rPr>
                <w:sz w:val="21"/>
                <w:szCs w:val="21"/>
              </w:rPr>
            </w:pPr>
          </w:p>
        </w:tc>
      </w:tr>
      <w:tr w:rsidR="00102FFA" w:rsidRPr="009B783C" w14:paraId="33F94D57" w14:textId="77777777" w:rsidTr="005A78EE">
        <w:trPr>
          <w:trHeight w:val="57"/>
          <w:jc w:val="center"/>
        </w:trPr>
        <w:tc>
          <w:tcPr>
            <w:tcW w:w="261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68EC5C4" w14:textId="77777777" w:rsidR="00102FFA" w:rsidRPr="009B783C" w:rsidRDefault="00102FFA" w:rsidP="00037BAE">
            <w:pPr>
              <w:pStyle w:val="TableNText"/>
              <w:rPr>
                <w:rFonts w:asciiTheme="majorHAnsi" w:eastAsia="Segoe UI" w:hAnsiTheme="majorHAnsi" w:cstheme="majorHAnsi"/>
                <w:sz w:val="21"/>
                <w:szCs w:val="21"/>
              </w:rPr>
            </w:pPr>
            <w:r w:rsidRPr="009B783C">
              <w:rPr>
                <w:rFonts w:asciiTheme="majorHAnsi" w:eastAsia="Segoe UI" w:hAnsiTheme="majorHAnsi" w:cstheme="majorHAnsi"/>
                <w:sz w:val="21"/>
                <w:szCs w:val="21"/>
              </w:rPr>
              <w:t>Total presentations (from 75 Medicare UCCs)</w:t>
            </w:r>
          </w:p>
        </w:tc>
        <w:tc>
          <w:tcPr>
            <w:tcW w:w="9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E45CC37" w14:textId="39220AAD" w:rsidR="00102FFA" w:rsidRPr="009B783C" w:rsidRDefault="00102FFA" w:rsidP="00AB7572">
            <w:pPr>
              <w:pStyle w:val="TableNText"/>
              <w:jc w:val="center"/>
              <w:rPr>
                <w:rFonts w:asciiTheme="majorHAnsi" w:eastAsia="Segoe UI" w:hAnsiTheme="majorHAnsi" w:cstheme="majorHAnsi"/>
                <w:sz w:val="21"/>
                <w:szCs w:val="21"/>
              </w:rPr>
            </w:pPr>
            <w:r w:rsidRPr="009B783C">
              <w:rPr>
                <w:rFonts w:asciiTheme="majorHAnsi" w:eastAsia="Segoe UI" w:hAnsiTheme="majorHAnsi" w:cstheme="majorHAnsi"/>
                <w:sz w:val="21"/>
                <w:szCs w:val="21"/>
              </w:rPr>
              <w:t>784,0</w:t>
            </w:r>
            <w:r w:rsidR="00657318" w:rsidRPr="009B783C">
              <w:rPr>
                <w:rFonts w:asciiTheme="majorHAnsi" w:eastAsia="Segoe UI" w:hAnsiTheme="majorHAnsi" w:cstheme="majorHAnsi"/>
                <w:sz w:val="21"/>
                <w:szCs w:val="21"/>
              </w:rPr>
              <w:t>71</w:t>
            </w:r>
          </w:p>
        </w:tc>
        <w:tc>
          <w:tcPr>
            <w:tcW w:w="142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6B835EC" w14:textId="77777777" w:rsidR="00102FFA" w:rsidRPr="009B783C" w:rsidRDefault="00102FFA" w:rsidP="00AB7572">
            <w:pPr>
              <w:pStyle w:val="TableNText"/>
              <w:jc w:val="center"/>
              <w:rPr>
                <w:sz w:val="21"/>
                <w:szCs w:val="21"/>
              </w:rPr>
            </w:pPr>
          </w:p>
        </w:tc>
      </w:tr>
    </w:tbl>
    <w:p w14:paraId="496F27E7" w14:textId="0854E3EA" w:rsidR="00CC1F8D" w:rsidRPr="00ED1544" w:rsidRDefault="00CC1F8D" w:rsidP="00ED1544">
      <w:r w:rsidRPr="00ED1544">
        <w:t xml:space="preserve">Notes: Table reflects data from 30 June 2023 to 30 September 2024 and extracted on 6 November 2024. More than one method for handover can be reported for a single presentation. Mutually exclusive categories have been reported to provide insights into where multiple handover methods have been used. Reported values of “Other” were ignored when another value was available for the same presentation. (a) “Other” is not well defined and may be open </w:t>
      </w:r>
      <w:r w:rsidRPr="00ED1544">
        <w:lastRenderedPageBreak/>
        <w:t xml:space="preserve">to variable interpretation. See section </w:t>
      </w:r>
      <w:r w:rsidRPr="00ED1544">
        <w:fldChar w:fldCharType="begin"/>
      </w:r>
      <w:r w:rsidRPr="00ED1544">
        <w:instrText xml:space="preserve"> REF _Ref185478021 \n \h  \* MERGEFORMAT </w:instrText>
      </w:r>
      <w:r w:rsidRPr="00ED1544">
        <w:fldChar w:fldCharType="separate"/>
      </w:r>
      <w:r w:rsidRPr="00ED1544">
        <w:t>3.4</w:t>
      </w:r>
      <w:r w:rsidRPr="00ED1544">
        <w:fldChar w:fldCharType="end"/>
      </w:r>
      <w:r w:rsidRPr="00ED1544">
        <w:t xml:space="preserve"> for an overview of limitations related to the Medicare UCC data.</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8D108F" w:rsidRPr="009B783C" w14:paraId="6BEF6326" w14:textId="77777777" w:rsidTr="00FD7038">
        <w:tc>
          <w:tcPr>
            <w:tcW w:w="8907" w:type="dxa"/>
          </w:tcPr>
          <w:p w14:paraId="1827A77B" w14:textId="585AA1B0" w:rsidR="008D108F" w:rsidRPr="00646FE9" w:rsidRDefault="005D1D88" w:rsidP="00CC1F8D">
            <w:pPr>
              <w:pStyle w:val="Longformcallout"/>
              <w:rPr>
                <w:rFonts w:asciiTheme="majorHAnsi" w:hAnsiTheme="majorHAnsi" w:cstheme="majorHAnsi"/>
                <w:sz w:val="28"/>
                <w:szCs w:val="28"/>
              </w:rPr>
            </w:pPr>
            <w:r w:rsidRPr="00646FE9">
              <w:rPr>
                <w:rFonts w:asciiTheme="majorHAnsi" w:hAnsiTheme="majorHAnsi" w:cstheme="majorHAnsi"/>
                <w:sz w:val="28"/>
                <w:szCs w:val="28"/>
              </w:rPr>
              <w:t>Interim finding</w:t>
            </w:r>
          </w:p>
          <w:p w14:paraId="4450D45A" w14:textId="6FA88945" w:rsidR="008D108F" w:rsidRPr="009B783C" w:rsidRDefault="008D108F" w:rsidP="00CC1F8D">
            <w:pPr>
              <w:pStyle w:val="Longformcallout"/>
            </w:pPr>
            <w:r w:rsidRPr="009B783C">
              <w:rPr>
                <w:szCs w:val="21"/>
              </w:rPr>
              <w:t xml:space="preserve">In the period to 30 September 2024, 89 per cent of </w:t>
            </w:r>
            <w:r w:rsidR="007D2C2C" w:rsidRPr="009B783C">
              <w:rPr>
                <w:szCs w:val="21"/>
              </w:rPr>
              <w:t>presentations</w:t>
            </w:r>
            <w:r w:rsidRPr="009B783C">
              <w:rPr>
                <w:szCs w:val="21"/>
              </w:rPr>
              <w:t xml:space="preserve"> had a clinical handover provided by at least one method outlined in the Operational Guidance (provided directly to usual GP, uploaded to </w:t>
            </w:r>
            <w:r w:rsidR="001F5633" w:rsidRPr="009B783C">
              <w:rPr>
                <w:szCs w:val="21"/>
              </w:rPr>
              <w:t>MyHR</w:t>
            </w:r>
            <w:r w:rsidRPr="009B783C">
              <w:rPr>
                <w:szCs w:val="21"/>
              </w:rPr>
              <w:t xml:space="preserve"> or paper copy given to the patient). A small proportion (11 per cent) had a clinical handover provided by ‘other’ means.</w:t>
            </w:r>
          </w:p>
        </w:tc>
      </w:tr>
    </w:tbl>
    <w:p w14:paraId="1AB11462" w14:textId="302E4153" w:rsidR="00B35E0B" w:rsidRPr="009B783C" w:rsidRDefault="00B35E0B" w:rsidP="000D706D">
      <w:pPr>
        <w:pStyle w:val="Heading3"/>
      </w:pPr>
      <w:r w:rsidRPr="009B783C">
        <w:t xml:space="preserve">Electronic provision of a discharge summary from the Medicare UCC is the preferred method of receiving handovers </w:t>
      </w:r>
    </w:p>
    <w:p w14:paraId="1667A97A" w14:textId="2FA702A5" w:rsidR="00102FFA" w:rsidRPr="009B783C" w:rsidRDefault="00744101" w:rsidP="00CC1F8D">
      <w:pPr>
        <w:rPr>
          <w:szCs w:val="21"/>
        </w:rPr>
      </w:pPr>
      <w:r w:rsidRPr="009B783C">
        <w:rPr>
          <w:szCs w:val="21"/>
        </w:rPr>
        <w:t>E</w:t>
      </w:r>
      <w:r w:rsidR="00102FFA" w:rsidRPr="009B783C">
        <w:rPr>
          <w:szCs w:val="21"/>
        </w:rPr>
        <w:t xml:space="preserve">lectronic provision of a discharge summary from the Medicare UCC directly to the patient's usual GP/GP practice was used for </w:t>
      </w:r>
      <w:r w:rsidR="003C3EC4" w:rsidRPr="009B783C">
        <w:rPr>
          <w:szCs w:val="21"/>
        </w:rPr>
        <w:t>68</w:t>
      </w:r>
      <w:r w:rsidR="00102FFA" w:rsidRPr="009B783C">
        <w:rPr>
          <w:szCs w:val="21"/>
        </w:rPr>
        <w:t xml:space="preserve"> per cent of presentations (excluding </w:t>
      </w:r>
      <w:r w:rsidR="00FC457C" w:rsidRPr="009B783C">
        <w:rPr>
          <w:szCs w:val="21"/>
        </w:rPr>
        <w:t>“N</w:t>
      </w:r>
      <w:r w:rsidR="00102FFA" w:rsidRPr="009B783C">
        <w:rPr>
          <w:szCs w:val="21"/>
        </w:rPr>
        <w:t>ot recorded</w:t>
      </w:r>
      <w:r w:rsidR="00FC457C" w:rsidRPr="009B783C">
        <w:rPr>
          <w:szCs w:val="21"/>
        </w:rPr>
        <w:t>”</w:t>
      </w:r>
      <w:r w:rsidR="00102FFA" w:rsidRPr="009B783C">
        <w:rPr>
          <w:szCs w:val="21"/>
        </w:rPr>
        <w:t xml:space="preserve">). </w:t>
      </w:r>
    </w:p>
    <w:p w14:paraId="6A64AF86" w14:textId="4303961A" w:rsidR="00102FFA" w:rsidRPr="009B783C" w:rsidRDefault="00102FFA" w:rsidP="00CC1F8D">
      <w:pPr>
        <w:rPr>
          <w:szCs w:val="21"/>
        </w:rPr>
      </w:pPr>
      <w:r w:rsidRPr="009B783C">
        <w:rPr>
          <w:szCs w:val="21"/>
        </w:rPr>
        <w:t xml:space="preserve">Commissioners reported receiving feedback from local GPs that electronic provision of a discharge summary is their preferred method of handover and the only channel </w:t>
      </w:r>
      <w:r w:rsidR="002F47A8" w:rsidRPr="009B783C">
        <w:rPr>
          <w:szCs w:val="21"/>
        </w:rPr>
        <w:t xml:space="preserve">that </w:t>
      </w:r>
      <w:r w:rsidRPr="009B783C">
        <w:rPr>
          <w:szCs w:val="21"/>
        </w:rPr>
        <w:t xml:space="preserve">notifies the GP that their patient has attended a Medicare UCC. </w:t>
      </w:r>
    </w:p>
    <w:p w14:paraId="33AE9E24" w14:textId="2718D3F1" w:rsidR="00B35E0B" w:rsidRPr="009B783C" w:rsidRDefault="00B35E0B" w:rsidP="00CC1F8D">
      <w:pPr>
        <w:rPr>
          <w:szCs w:val="21"/>
        </w:rPr>
      </w:pPr>
      <w:r w:rsidRPr="009B783C">
        <w:rPr>
          <w:szCs w:val="21"/>
        </w:rPr>
        <w:t xml:space="preserve">Upload by Medicare UCC clinicians to MyHR is limited as shown in </w:t>
      </w:r>
      <w:r w:rsidRPr="009B783C">
        <w:rPr>
          <w:szCs w:val="21"/>
        </w:rPr>
        <w:fldChar w:fldCharType="begin"/>
      </w:r>
      <w:r w:rsidRPr="009B783C">
        <w:rPr>
          <w:szCs w:val="21"/>
        </w:rPr>
        <w:instrText xml:space="preserve"> REF _Ref179622442 \h </w:instrText>
      </w:r>
      <w:r w:rsidR="00CC1F8D" w:rsidRPr="009B783C">
        <w:rPr>
          <w:szCs w:val="21"/>
        </w:rPr>
        <w:instrText xml:space="preserve"> \* MERGEFORMAT </w:instrText>
      </w:r>
      <w:r w:rsidRPr="009B783C">
        <w:rPr>
          <w:szCs w:val="21"/>
        </w:rPr>
      </w:r>
      <w:r w:rsidRPr="009B783C">
        <w:rPr>
          <w:szCs w:val="21"/>
        </w:rPr>
        <w:fldChar w:fldCharType="separate"/>
      </w:r>
      <w:r w:rsidR="0031172E" w:rsidRPr="009B783C">
        <w:rPr>
          <w:szCs w:val="21"/>
        </w:rPr>
        <w:t>Table 11</w:t>
      </w:r>
      <w:r w:rsidRPr="009B783C">
        <w:rPr>
          <w:szCs w:val="21"/>
        </w:rPr>
        <w:fldChar w:fldCharType="end"/>
      </w:r>
      <w:r w:rsidRPr="009B783C">
        <w:rPr>
          <w:szCs w:val="21"/>
        </w:rPr>
        <w:t>. MyHR does not generate a notification when information, such as a discharge summary, is uploaded to the system. Therefore, the patient’s usual GP/primary care provider is not aware of the need to follow up. This challenge is not unique to the Medicare UCC Program; GPs have reported similar experiences in relation to information uploaded to MyHR by other health services, for example hospital discharge summaries.</w:t>
      </w:r>
      <w:r w:rsidRPr="009B783C">
        <w:rPr>
          <w:rStyle w:val="FootnoteReference"/>
          <w:szCs w:val="21"/>
        </w:rPr>
        <w:footnoteReference w:id="65"/>
      </w:r>
      <w:r w:rsidRPr="009B783C">
        <w:rPr>
          <w:szCs w:val="21"/>
        </w:rPr>
        <w:t xml:space="preserve"> </w:t>
      </w:r>
      <w:r w:rsidR="009308F4" w:rsidRPr="009B783C">
        <w:rPr>
          <w:szCs w:val="21"/>
        </w:rPr>
        <w:t>Use of MyH</w:t>
      </w:r>
      <w:r w:rsidR="004001E9" w:rsidRPr="009B783C">
        <w:rPr>
          <w:szCs w:val="21"/>
        </w:rPr>
        <w:t>R</w:t>
      </w:r>
      <w:r w:rsidR="009308F4" w:rsidRPr="009B783C">
        <w:rPr>
          <w:szCs w:val="21"/>
        </w:rPr>
        <w:t xml:space="preserve"> and the opportunities it presents for coordination of care will be explored further in future reviews.</w:t>
      </w:r>
    </w:p>
    <w:p w14:paraId="4CF5AB96" w14:textId="7BA24513" w:rsidR="00B35E0B" w:rsidRPr="009B783C" w:rsidRDefault="00B35E0B" w:rsidP="00CC1F8D">
      <w:pPr>
        <w:rPr>
          <w:szCs w:val="21"/>
          <w:lang w:val="en-US"/>
        </w:rPr>
      </w:pPr>
      <w:r w:rsidRPr="009B783C">
        <w:rPr>
          <w:szCs w:val="21"/>
        </w:rPr>
        <w:t>Several commissioners reported that the preferred approach to sending clinical handovers to patients’ usual GP/primary care provider is via practice secure messaging platforms, rather than fax or email. More than 90 per cent of GP clinics have one or more secure messaging systems installed and numbers are similar for most other medical specialists and healthcare organisations.</w:t>
      </w:r>
      <w:r w:rsidRPr="009B783C">
        <w:rPr>
          <w:rStyle w:val="FootnoteReference"/>
          <w:szCs w:val="21"/>
        </w:rPr>
        <w:footnoteReference w:id="66"/>
      </w:r>
      <w:r w:rsidRPr="009B783C">
        <w:rPr>
          <w:szCs w:val="21"/>
        </w:rPr>
        <w:t xml:space="preserve"> However, use of secure messaging platforms more broadly in primary care varies nationally, and therefore, alternative approaches of fax and email are accepted under the Medicare UCC Operational Guidance. </w:t>
      </w:r>
    </w:p>
    <w:p w14:paraId="07C47189" w14:textId="693E4683" w:rsidR="00B35E0B" w:rsidRPr="009B783C" w:rsidRDefault="00B35E0B" w:rsidP="00CC1F8D">
      <w:pPr>
        <w:rPr>
          <w:szCs w:val="21"/>
        </w:rPr>
      </w:pPr>
      <w:r w:rsidRPr="009B783C">
        <w:rPr>
          <w:szCs w:val="21"/>
        </w:rPr>
        <w:t xml:space="preserve">Where patients do not have a usual GP or primary care provider, the Medicare UCC Operational Guidance indicates that the patient should be given a hard copy of the discharge summary and supported to identify, and book in with, a primary care provider. </w:t>
      </w:r>
      <w:r w:rsidR="00102FFA" w:rsidRPr="009B783C">
        <w:rPr>
          <w:szCs w:val="21"/>
        </w:rPr>
        <w:t>Medicare UCC data indicates that 11 per cent of patients presenting to the clinics report that they do not have a regular GP</w:t>
      </w:r>
      <w:r w:rsidR="004F481D" w:rsidRPr="009B783C">
        <w:rPr>
          <w:szCs w:val="21"/>
        </w:rPr>
        <w:t>.</w:t>
      </w:r>
      <w:r w:rsidR="00102FFA" w:rsidRPr="009B783C">
        <w:rPr>
          <w:szCs w:val="21"/>
        </w:rPr>
        <w:t xml:space="preserve"> These figures suggest that not all patients with a usual GP are currently receiving a clinical </w:t>
      </w:r>
      <w:r w:rsidR="00102FFA" w:rsidRPr="009B783C">
        <w:rPr>
          <w:szCs w:val="21"/>
        </w:rPr>
        <w:lastRenderedPageBreak/>
        <w:t xml:space="preserve">handover </w:t>
      </w:r>
      <w:r w:rsidR="00813DC8" w:rsidRPr="009B783C">
        <w:rPr>
          <w:szCs w:val="21"/>
        </w:rPr>
        <w:t xml:space="preserve">directly </w:t>
      </w:r>
      <w:r w:rsidR="00102FFA" w:rsidRPr="009B783C">
        <w:rPr>
          <w:szCs w:val="21"/>
        </w:rPr>
        <w:t xml:space="preserve">back to their usual GP, highlighting an opportunity for Medicare UCCs to improve clinical handover. </w:t>
      </w:r>
    </w:p>
    <w:p w14:paraId="164458A8" w14:textId="5B60D295" w:rsidR="001453C3" w:rsidRPr="009B783C" w:rsidRDefault="001453C3" w:rsidP="00CC1F8D">
      <w:pPr>
        <w:rPr>
          <w:szCs w:val="21"/>
          <w:lang w:val="en-US"/>
        </w:rPr>
      </w:pPr>
      <w:r w:rsidRPr="009B783C">
        <w:rPr>
          <w:szCs w:val="21"/>
        </w:rPr>
        <w:t xml:space="preserve">Future phases of the evaluation will consider whether the Medicare UCCs are filling a gap for the 11 per cent of patients who report that they do not have a regular GP and whether they are supporting those patients to identify and connect with a regular GP. </w:t>
      </w:r>
    </w:p>
    <w:p w14:paraId="5709EE3C" w14:textId="77777777" w:rsidR="00B35E0B" w:rsidRPr="009B783C" w:rsidRDefault="00B35E0B" w:rsidP="00CC1F8D">
      <w:pPr>
        <w:pStyle w:val="Bullet"/>
        <w:numPr>
          <w:ilvl w:val="0"/>
          <w:numId w:val="0"/>
        </w:numPr>
        <w:rPr>
          <w:szCs w:val="21"/>
        </w:rPr>
      </w:pPr>
      <w:r w:rsidRPr="009B783C">
        <w:rPr>
          <w:szCs w:val="21"/>
        </w:rPr>
        <w:t xml:space="preserve">Ensuring continuity of care between the Medicare UCCs and local primary care providers, via consistent and quality clinical handovers was noted to be essential in building trust and confidence in the service among local clinicians and embedding the Medicare UCCs in the local health ecosystem.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564D4F" w:rsidRPr="009B783C" w14:paraId="07315171" w14:textId="77777777" w:rsidTr="003E79FA">
        <w:tc>
          <w:tcPr>
            <w:tcW w:w="8908" w:type="dxa"/>
          </w:tcPr>
          <w:p w14:paraId="607447CE" w14:textId="21E11C66" w:rsidR="00564D4F" w:rsidRPr="00646FE9" w:rsidRDefault="00646FE9" w:rsidP="00CC1F8D">
            <w:pPr>
              <w:pStyle w:val="Longformcallout"/>
              <w:rPr>
                <w:rFonts w:asciiTheme="majorHAnsi" w:hAnsiTheme="majorHAnsi" w:cstheme="majorHAnsi"/>
                <w:sz w:val="28"/>
                <w:szCs w:val="28"/>
              </w:rPr>
            </w:pPr>
            <w:bookmarkStart w:id="117" w:name="_Hlk183432858"/>
            <w:r w:rsidRPr="00646FE9">
              <w:rPr>
                <w:rFonts w:asciiTheme="majorHAnsi" w:hAnsiTheme="majorHAnsi" w:cstheme="majorHAnsi"/>
                <w:sz w:val="28"/>
                <w:szCs w:val="28"/>
              </w:rPr>
              <w:t>Interim finding</w:t>
            </w:r>
          </w:p>
          <w:p w14:paraId="67F39894" w14:textId="65BED359" w:rsidR="00564D4F" w:rsidRPr="009B783C" w:rsidRDefault="00564D4F" w:rsidP="00CC1F8D">
            <w:pPr>
              <w:pStyle w:val="Longformcallout"/>
              <w:rPr>
                <w:szCs w:val="21"/>
              </w:rPr>
            </w:pPr>
            <w:r w:rsidRPr="009B783C">
              <w:rPr>
                <w:szCs w:val="21"/>
              </w:rPr>
              <w:t xml:space="preserve">Approximately 68 per cent of </w:t>
            </w:r>
            <w:r w:rsidR="004370C8" w:rsidRPr="009B783C">
              <w:rPr>
                <w:szCs w:val="21"/>
              </w:rPr>
              <w:t>presentations</w:t>
            </w:r>
            <w:r w:rsidRPr="009B783C">
              <w:rPr>
                <w:szCs w:val="21"/>
              </w:rPr>
              <w:t xml:space="preserve"> </w:t>
            </w:r>
            <w:r w:rsidR="004370C8" w:rsidRPr="009B783C">
              <w:rPr>
                <w:szCs w:val="21"/>
              </w:rPr>
              <w:t>had</w:t>
            </w:r>
            <w:r w:rsidRPr="009B783C">
              <w:rPr>
                <w:szCs w:val="21"/>
              </w:rPr>
              <w:t xml:space="preserve"> a handover directly back to </w:t>
            </w:r>
            <w:r w:rsidR="004370C8" w:rsidRPr="009B783C">
              <w:rPr>
                <w:szCs w:val="21"/>
              </w:rPr>
              <w:t>the patient’s</w:t>
            </w:r>
            <w:r w:rsidRPr="009B783C">
              <w:rPr>
                <w:szCs w:val="21"/>
              </w:rPr>
              <w:t xml:space="preserve"> usual GP/practice in the period to 30 September 2024</w:t>
            </w:r>
            <w:r w:rsidR="004A097A" w:rsidRPr="009B783C">
              <w:rPr>
                <w:szCs w:val="21"/>
              </w:rPr>
              <w:t xml:space="preserve">. A further 10 per cent of presentations </w:t>
            </w:r>
            <w:r w:rsidR="00E125B2" w:rsidRPr="009B783C">
              <w:rPr>
                <w:szCs w:val="21"/>
              </w:rPr>
              <w:t xml:space="preserve">had </w:t>
            </w:r>
            <w:r w:rsidR="00713549" w:rsidRPr="009B783C">
              <w:rPr>
                <w:szCs w:val="21"/>
              </w:rPr>
              <w:t>information</w:t>
            </w:r>
            <w:r w:rsidR="00E125B2" w:rsidRPr="009B783C">
              <w:rPr>
                <w:szCs w:val="21"/>
              </w:rPr>
              <w:t xml:space="preserve"> uploaded to MyH</w:t>
            </w:r>
            <w:r w:rsidR="00B8588F" w:rsidRPr="009B783C">
              <w:rPr>
                <w:szCs w:val="21"/>
              </w:rPr>
              <w:t>R</w:t>
            </w:r>
            <w:r w:rsidR="00222593" w:rsidRPr="009B783C">
              <w:rPr>
                <w:szCs w:val="21"/>
              </w:rPr>
              <w:t xml:space="preserve"> </w:t>
            </w:r>
            <w:r w:rsidR="00605110" w:rsidRPr="009B783C">
              <w:rPr>
                <w:szCs w:val="21"/>
              </w:rPr>
              <w:t>(</w:t>
            </w:r>
            <w:r w:rsidR="00E36EF2" w:rsidRPr="009B783C">
              <w:rPr>
                <w:szCs w:val="21"/>
              </w:rPr>
              <w:t>but not provided</w:t>
            </w:r>
            <w:r w:rsidR="00331E50" w:rsidRPr="009B783C">
              <w:rPr>
                <w:szCs w:val="21"/>
              </w:rPr>
              <w:t xml:space="preserve"> directly</w:t>
            </w:r>
            <w:r w:rsidR="005E28B8" w:rsidRPr="009B783C">
              <w:rPr>
                <w:szCs w:val="21"/>
              </w:rPr>
              <w:t xml:space="preserve"> </w:t>
            </w:r>
            <w:r w:rsidR="00605110" w:rsidRPr="009B783C">
              <w:rPr>
                <w:szCs w:val="21"/>
              </w:rPr>
              <w:t xml:space="preserve">to </w:t>
            </w:r>
            <w:r w:rsidR="00C10378" w:rsidRPr="009B783C">
              <w:rPr>
                <w:szCs w:val="21"/>
              </w:rPr>
              <w:t xml:space="preserve">the </w:t>
            </w:r>
            <w:r w:rsidR="005E28B8" w:rsidRPr="009B783C">
              <w:rPr>
                <w:szCs w:val="21"/>
              </w:rPr>
              <w:t xml:space="preserve">patient’s </w:t>
            </w:r>
            <w:r w:rsidR="00C10378" w:rsidRPr="009B783C">
              <w:rPr>
                <w:szCs w:val="21"/>
              </w:rPr>
              <w:t>usual GP</w:t>
            </w:r>
            <w:r w:rsidR="00605110" w:rsidRPr="009B783C">
              <w:rPr>
                <w:szCs w:val="21"/>
              </w:rPr>
              <w:t>)</w:t>
            </w:r>
            <w:r w:rsidR="0054380E" w:rsidRPr="009B783C">
              <w:rPr>
                <w:szCs w:val="21"/>
              </w:rPr>
              <w:t>.</w:t>
            </w:r>
            <w:r w:rsidR="00791372" w:rsidRPr="009B783C">
              <w:rPr>
                <w:szCs w:val="21"/>
              </w:rPr>
              <w:t xml:space="preserve"> </w:t>
            </w:r>
            <w:r w:rsidR="0054380E" w:rsidRPr="009B783C">
              <w:rPr>
                <w:szCs w:val="21"/>
              </w:rPr>
              <w:t xml:space="preserve">Approximately </w:t>
            </w:r>
            <w:r w:rsidR="00791372" w:rsidRPr="009B783C">
              <w:rPr>
                <w:szCs w:val="21"/>
              </w:rPr>
              <w:t xml:space="preserve">11 per cent of presentations </w:t>
            </w:r>
            <w:r w:rsidR="007C4E94" w:rsidRPr="009B783C">
              <w:rPr>
                <w:szCs w:val="21"/>
              </w:rPr>
              <w:t>received a hard copy of a discharge summary only</w:t>
            </w:r>
            <w:r w:rsidR="00D56854" w:rsidRPr="009B783C">
              <w:rPr>
                <w:szCs w:val="21"/>
              </w:rPr>
              <w:t>,</w:t>
            </w:r>
            <w:r w:rsidR="00A3776B" w:rsidRPr="009B783C">
              <w:rPr>
                <w:szCs w:val="21"/>
              </w:rPr>
              <w:t xml:space="preserve"> which is</w:t>
            </w:r>
            <w:r w:rsidR="00D56854" w:rsidRPr="009B783C">
              <w:rPr>
                <w:szCs w:val="21"/>
              </w:rPr>
              <w:t xml:space="preserve"> consistent with the proportion of Medicare UCC patients that did not identify a usual GP/practice (11</w:t>
            </w:r>
            <w:r w:rsidR="00CE39A8" w:rsidRPr="009B783C">
              <w:rPr>
                <w:szCs w:val="21"/>
              </w:rPr>
              <w:t xml:space="preserve"> per cent).</w:t>
            </w:r>
            <w:r w:rsidR="00507FE6" w:rsidRPr="009B783C">
              <w:rPr>
                <w:szCs w:val="21"/>
              </w:rPr>
              <w:t xml:space="preserve"> </w:t>
            </w:r>
            <w:r w:rsidRPr="009B783C">
              <w:rPr>
                <w:szCs w:val="21"/>
              </w:rPr>
              <w:t xml:space="preserve">Commissioners reported receiving feedback from local GPs that </w:t>
            </w:r>
            <w:r w:rsidR="00D23CE0" w:rsidRPr="009B783C">
              <w:rPr>
                <w:szCs w:val="21"/>
              </w:rPr>
              <w:t>electronic provision of a discharge summary</w:t>
            </w:r>
            <w:r w:rsidR="00A3776B" w:rsidRPr="009B783C">
              <w:rPr>
                <w:szCs w:val="21"/>
              </w:rPr>
              <w:t xml:space="preserve"> direct to the </w:t>
            </w:r>
            <w:r w:rsidR="00CA763A" w:rsidRPr="009B783C">
              <w:rPr>
                <w:szCs w:val="21"/>
              </w:rPr>
              <w:t>GP/practice</w:t>
            </w:r>
            <w:r w:rsidRPr="009B783C">
              <w:rPr>
                <w:szCs w:val="21"/>
              </w:rPr>
              <w:t xml:space="preserve"> was their preferred method of receiving clinical handovers. </w:t>
            </w:r>
          </w:p>
        </w:tc>
      </w:tr>
      <w:bookmarkEnd w:id="117"/>
    </w:tbl>
    <w:p w14:paraId="0128F65D" w14:textId="77777777" w:rsidR="007D389D" w:rsidRPr="009B783C" w:rsidRDefault="007D389D" w:rsidP="00CC1F8D">
      <w:pPr>
        <w:rPr>
          <w:szCs w:val="21"/>
        </w:rPr>
        <w:sectPr w:rsidR="007D389D" w:rsidRPr="009B783C" w:rsidSect="007D389D">
          <w:type w:val="continuous"/>
          <w:pgSz w:w="11907" w:h="16839" w:code="9"/>
          <w:pgMar w:top="1247" w:right="1418" w:bottom="1276" w:left="1559" w:header="720" w:footer="720" w:gutter="0"/>
          <w:cols w:space="720"/>
          <w:docGrid w:linePitch="360"/>
        </w:sectPr>
      </w:pP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B35E0B" w:rsidRPr="009B783C" w14:paraId="2C5C0A79" w14:textId="77777777" w:rsidTr="00E00EF9">
        <w:tc>
          <w:tcPr>
            <w:tcW w:w="8907" w:type="dxa"/>
            <w:tcBorders>
              <w:left w:val="single" w:sz="18" w:space="0" w:color="2D358E"/>
            </w:tcBorders>
          </w:tcPr>
          <w:p w14:paraId="5AB267F7" w14:textId="52BA83B5" w:rsidR="00B35E0B" w:rsidRPr="00646FE9" w:rsidRDefault="00EE21ED" w:rsidP="00CC1F8D">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094B6485" w14:textId="7D17AC6F" w:rsidR="00B35E0B" w:rsidRPr="009B783C" w:rsidRDefault="00C025C5" w:rsidP="00CC1F8D">
            <w:pPr>
              <w:pStyle w:val="Longformcallout"/>
              <w:rPr>
                <w:szCs w:val="21"/>
                <w:highlight w:val="yellow"/>
                <w:lang w:eastAsia="en-US"/>
              </w:rPr>
            </w:pPr>
            <w:r w:rsidRPr="009B783C">
              <w:rPr>
                <w:szCs w:val="21"/>
              </w:rPr>
              <w:t xml:space="preserve">The proportion of patients who receive a handover directly back to their usual GP/practice should be increased. Commissioners and Medicare UCCs should </w:t>
            </w:r>
            <w:r w:rsidR="00643F78" w:rsidRPr="009B783C">
              <w:rPr>
                <w:szCs w:val="21"/>
              </w:rPr>
              <w:t>consider</w:t>
            </w:r>
            <w:r w:rsidRPr="009B783C">
              <w:rPr>
                <w:szCs w:val="21"/>
              </w:rPr>
              <w:t xml:space="preserve"> work</w:t>
            </w:r>
            <w:r w:rsidR="00643F78" w:rsidRPr="009B783C">
              <w:rPr>
                <w:szCs w:val="21"/>
              </w:rPr>
              <w:t>ing</w:t>
            </w:r>
            <w:r w:rsidRPr="009B783C">
              <w:rPr>
                <w:szCs w:val="21"/>
              </w:rPr>
              <w:t xml:space="preserve"> together to achieve this, informed by learnings from other clinics</w:t>
            </w:r>
            <w:r w:rsidR="00812761" w:rsidRPr="009B783C">
              <w:rPr>
                <w:szCs w:val="21"/>
              </w:rPr>
              <w:t>.</w:t>
            </w:r>
          </w:p>
        </w:tc>
      </w:tr>
    </w:tbl>
    <w:p w14:paraId="4BDE9215" w14:textId="63449A67" w:rsidR="00102FFA" w:rsidRPr="009B783C" w:rsidRDefault="00102FFA" w:rsidP="000D706D">
      <w:pPr>
        <w:pStyle w:val="Heading3"/>
      </w:pPr>
      <w:r w:rsidRPr="009B783C">
        <w:t>Ways to improve clinical handovers to GPs are being developed</w:t>
      </w:r>
    </w:p>
    <w:p w14:paraId="34971888" w14:textId="6EEEEFE2" w:rsidR="00F2483C" w:rsidRPr="009B783C" w:rsidRDefault="00B35E0B" w:rsidP="00CC1F8D">
      <w:pPr>
        <w:rPr>
          <w:szCs w:val="21"/>
        </w:rPr>
      </w:pPr>
      <w:r w:rsidRPr="009B783C">
        <w:rPr>
          <w:szCs w:val="21"/>
        </w:rPr>
        <w:t xml:space="preserve">One </w:t>
      </w:r>
      <w:r w:rsidR="006351CC" w:rsidRPr="009B783C">
        <w:rPr>
          <w:szCs w:val="21"/>
        </w:rPr>
        <w:t>commissioner</w:t>
      </w:r>
      <w:r w:rsidRPr="009B783C">
        <w:rPr>
          <w:szCs w:val="21"/>
        </w:rPr>
        <w:t xml:space="preserve"> reported </w:t>
      </w:r>
      <w:r w:rsidR="00F2483C" w:rsidRPr="009B783C">
        <w:rPr>
          <w:szCs w:val="21"/>
        </w:rPr>
        <w:t xml:space="preserve">working closely with their Medicare UCCs to improve </w:t>
      </w:r>
      <w:r w:rsidRPr="009B783C">
        <w:rPr>
          <w:szCs w:val="21"/>
        </w:rPr>
        <w:t xml:space="preserve">electronic provision of clinical handovers directly </w:t>
      </w:r>
      <w:r w:rsidR="00F2483C" w:rsidRPr="009B783C">
        <w:rPr>
          <w:szCs w:val="21"/>
        </w:rPr>
        <w:t xml:space="preserve">back to usual </w:t>
      </w:r>
      <w:r w:rsidR="00CD6584" w:rsidRPr="009B783C">
        <w:rPr>
          <w:szCs w:val="21"/>
        </w:rPr>
        <w:t>primary care providers</w:t>
      </w:r>
      <w:r w:rsidRPr="009B783C">
        <w:rPr>
          <w:szCs w:val="21"/>
        </w:rPr>
        <w:t xml:space="preserve"> as a development strategy.</w:t>
      </w:r>
      <w:r w:rsidR="00F2483C" w:rsidRPr="009B783C">
        <w:rPr>
          <w:szCs w:val="21"/>
        </w:rPr>
        <w:t xml:space="preserve"> Some of the ways they are working with Medicare UCCs in this area include: </w:t>
      </w:r>
    </w:p>
    <w:p w14:paraId="2394D846" w14:textId="77777777" w:rsidR="003529A0" w:rsidRPr="009B783C" w:rsidRDefault="00E62D23" w:rsidP="00CC1F8D">
      <w:pPr>
        <w:pStyle w:val="Bullet"/>
        <w:rPr>
          <w:szCs w:val="21"/>
        </w:rPr>
      </w:pPr>
      <w:r w:rsidRPr="009B783C">
        <w:rPr>
          <w:szCs w:val="21"/>
        </w:rPr>
        <w:t>E</w:t>
      </w:r>
      <w:r w:rsidR="007B60EB" w:rsidRPr="009B783C">
        <w:rPr>
          <w:szCs w:val="21"/>
        </w:rPr>
        <w:t xml:space="preserve">nhancing collection and </w:t>
      </w:r>
      <w:r w:rsidR="003529A0" w:rsidRPr="009B783C">
        <w:rPr>
          <w:szCs w:val="21"/>
        </w:rPr>
        <w:t>documentation</w:t>
      </w:r>
      <w:r w:rsidR="007B60EB" w:rsidRPr="009B783C">
        <w:rPr>
          <w:szCs w:val="21"/>
        </w:rPr>
        <w:t xml:space="preserve"> </w:t>
      </w:r>
      <w:r w:rsidR="00DA59AF" w:rsidRPr="009B783C">
        <w:rPr>
          <w:szCs w:val="21"/>
        </w:rPr>
        <w:t xml:space="preserve">for </w:t>
      </w:r>
      <w:r w:rsidR="00DA735D" w:rsidRPr="009B783C">
        <w:rPr>
          <w:szCs w:val="21"/>
        </w:rPr>
        <w:t xml:space="preserve">the </w:t>
      </w:r>
      <w:r w:rsidR="007B60EB" w:rsidRPr="009B783C">
        <w:rPr>
          <w:szCs w:val="21"/>
        </w:rPr>
        <w:t xml:space="preserve">patient’s usual </w:t>
      </w:r>
      <w:r w:rsidR="005F0F4B" w:rsidRPr="009B783C">
        <w:rPr>
          <w:szCs w:val="21"/>
        </w:rPr>
        <w:t>GP</w:t>
      </w:r>
      <w:r w:rsidR="007B60EB" w:rsidRPr="009B783C">
        <w:rPr>
          <w:szCs w:val="21"/>
        </w:rPr>
        <w:t xml:space="preserve"> </w:t>
      </w:r>
      <w:r w:rsidR="00FB4428" w:rsidRPr="009B783C">
        <w:rPr>
          <w:szCs w:val="21"/>
        </w:rPr>
        <w:t xml:space="preserve">details </w:t>
      </w:r>
      <w:r w:rsidR="00F622D3" w:rsidRPr="009B783C">
        <w:rPr>
          <w:szCs w:val="21"/>
        </w:rPr>
        <w:t xml:space="preserve">upon their arrival at the clinic. </w:t>
      </w:r>
    </w:p>
    <w:p w14:paraId="2039B81E" w14:textId="77777777" w:rsidR="00AB2F78" w:rsidRPr="009B783C" w:rsidRDefault="00E62D23" w:rsidP="00CC1F8D">
      <w:pPr>
        <w:pStyle w:val="Bullet"/>
        <w:rPr>
          <w:szCs w:val="21"/>
        </w:rPr>
      </w:pPr>
      <w:r w:rsidRPr="009B783C">
        <w:rPr>
          <w:szCs w:val="21"/>
        </w:rPr>
        <w:t>C</w:t>
      </w:r>
      <w:r w:rsidR="00CE71C2" w:rsidRPr="009B783C">
        <w:rPr>
          <w:szCs w:val="21"/>
        </w:rPr>
        <w:t xml:space="preserve">onducting </w:t>
      </w:r>
      <w:r w:rsidR="00D3785F" w:rsidRPr="009B783C">
        <w:rPr>
          <w:szCs w:val="21"/>
        </w:rPr>
        <w:t>p</w:t>
      </w:r>
      <w:r w:rsidR="009E428A" w:rsidRPr="009B783C">
        <w:rPr>
          <w:szCs w:val="21"/>
        </w:rPr>
        <w:t>eriod</w:t>
      </w:r>
      <w:r w:rsidR="00361D96" w:rsidRPr="009B783C">
        <w:rPr>
          <w:szCs w:val="21"/>
        </w:rPr>
        <w:t>ic</w:t>
      </w:r>
      <w:r w:rsidR="009E428A" w:rsidRPr="009B783C">
        <w:rPr>
          <w:szCs w:val="21"/>
        </w:rPr>
        <w:t xml:space="preserve"> </w:t>
      </w:r>
      <w:r w:rsidR="00D3785F" w:rsidRPr="009B783C">
        <w:rPr>
          <w:szCs w:val="21"/>
        </w:rPr>
        <w:t>audits of</w:t>
      </w:r>
      <w:r w:rsidR="00174E5A" w:rsidRPr="009B783C">
        <w:rPr>
          <w:szCs w:val="21"/>
        </w:rPr>
        <w:t xml:space="preserve"> </w:t>
      </w:r>
      <w:r w:rsidR="00AB2F78" w:rsidRPr="009B783C">
        <w:rPr>
          <w:szCs w:val="21"/>
        </w:rPr>
        <w:t>mechanisms being used to provide handovers</w:t>
      </w:r>
      <w:r w:rsidR="00E87BAA" w:rsidRPr="009B783C">
        <w:rPr>
          <w:szCs w:val="21"/>
        </w:rPr>
        <w:t>.</w:t>
      </w:r>
      <w:r w:rsidR="00AB2F78" w:rsidRPr="009B783C">
        <w:rPr>
          <w:szCs w:val="21"/>
        </w:rPr>
        <w:t xml:space="preserve"> </w:t>
      </w:r>
    </w:p>
    <w:p w14:paraId="615923B3" w14:textId="7B5719C1" w:rsidR="00C9797C" w:rsidRPr="009B783C" w:rsidRDefault="00E62D23" w:rsidP="00CC1F8D">
      <w:pPr>
        <w:pStyle w:val="Bullet"/>
        <w:rPr>
          <w:szCs w:val="21"/>
        </w:rPr>
      </w:pPr>
      <w:r w:rsidRPr="009B783C">
        <w:rPr>
          <w:szCs w:val="21"/>
        </w:rPr>
        <w:t>R</w:t>
      </w:r>
      <w:r w:rsidR="00BE1FB5" w:rsidRPr="009B783C">
        <w:rPr>
          <w:szCs w:val="21"/>
        </w:rPr>
        <w:t xml:space="preserve">equesting clinics to provide </w:t>
      </w:r>
      <w:r w:rsidR="00B61B29" w:rsidRPr="009B783C">
        <w:rPr>
          <w:szCs w:val="21"/>
        </w:rPr>
        <w:t xml:space="preserve">clinical handovers </w:t>
      </w:r>
      <w:r w:rsidR="00D92252" w:rsidRPr="009B783C">
        <w:rPr>
          <w:szCs w:val="21"/>
        </w:rPr>
        <w:t>via multiple channels</w:t>
      </w:r>
      <w:r w:rsidR="00384B49" w:rsidRPr="009B783C">
        <w:rPr>
          <w:szCs w:val="21"/>
        </w:rPr>
        <w:t xml:space="preserve"> (upload to MyHR, electronic provision and a hard copy to the patient) to </w:t>
      </w:r>
      <w:r w:rsidR="00821BB3" w:rsidRPr="009B783C">
        <w:rPr>
          <w:szCs w:val="21"/>
        </w:rPr>
        <w:t xml:space="preserve">support optimal communication to the patient and their usual </w:t>
      </w:r>
      <w:r w:rsidR="00CD6584" w:rsidRPr="009B783C">
        <w:rPr>
          <w:szCs w:val="21"/>
        </w:rPr>
        <w:t>primary care provider</w:t>
      </w:r>
      <w:r w:rsidR="00821BB3" w:rsidRPr="009B783C">
        <w:rPr>
          <w:szCs w:val="21"/>
        </w:rPr>
        <w:t xml:space="preserve"> about their visit to the Medicare UCC. </w:t>
      </w:r>
    </w:p>
    <w:p w14:paraId="33BB6AD6" w14:textId="77777777" w:rsidR="00B35E0B" w:rsidRPr="009B783C" w:rsidRDefault="00B35E0B" w:rsidP="000D706D">
      <w:pPr>
        <w:pStyle w:val="Heading3"/>
      </w:pPr>
      <w:r w:rsidRPr="009B783C">
        <w:lastRenderedPageBreak/>
        <w:t>There is opportunity to improve data collection and reporting on clinical handovers</w:t>
      </w:r>
    </w:p>
    <w:p w14:paraId="37FE614B" w14:textId="5F759F65" w:rsidR="00B35E0B" w:rsidRPr="009B783C" w:rsidRDefault="00B35E0B" w:rsidP="00CC1F8D">
      <w:pPr>
        <w:rPr>
          <w:szCs w:val="21"/>
        </w:rPr>
      </w:pPr>
      <w:r w:rsidRPr="009B783C">
        <w:rPr>
          <w:szCs w:val="21"/>
        </w:rPr>
        <w:t xml:space="preserve">Currently, </w:t>
      </w:r>
      <w:r w:rsidR="00102FFA" w:rsidRPr="009B783C">
        <w:rPr>
          <w:szCs w:val="21"/>
        </w:rPr>
        <w:t>1</w:t>
      </w:r>
      <w:r w:rsidR="008070C5" w:rsidRPr="009B783C">
        <w:rPr>
          <w:szCs w:val="21"/>
        </w:rPr>
        <w:t>1</w:t>
      </w:r>
      <w:r w:rsidRPr="009B783C">
        <w:rPr>
          <w:szCs w:val="21"/>
        </w:rPr>
        <w:t xml:space="preserve"> per cent of clinical handovers are reported to be provided by ‘other’ means. This category is open to varied interpretation and may include referrals back to the same clinic during hours when the clinic is not operating as a Medicare UCC. Further consultation with providers is required to clarify this category, or additional categories could be introduced in the Medicare UCC </w:t>
      </w:r>
      <w:r w:rsidR="004E7366" w:rsidRPr="009B783C">
        <w:rPr>
          <w:szCs w:val="21"/>
        </w:rPr>
        <w:t>Module</w:t>
      </w:r>
      <w:r w:rsidRPr="009B783C">
        <w:rPr>
          <w:szCs w:val="21"/>
        </w:rPr>
        <w:t xml:space="preserve"> </w:t>
      </w:r>
      <w:r w:rsidR="00CB61FA" w:rsidRPr="009B783C">
        <w:rPr>
          <w:szCs w:val="21"/>
        </w:rPr>
        <w:t xml:space="preserve">data </w:t>
      </w:r>
      <w:r w:rsidRPr="009B783C">
        <w:rPr>
          <w:szCs w:val="21"/>
        </w:rPr>
        <w:t xml:space="preserve">to more precisely capture these alternative handover methods. </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102FFA" w:rsidRPr="009B783C" w14:paraId="6B38BFD3" w14:textId="77777777" w:rsidTr="48BDE655">
        <w:tc>
          <w:tcPr>
            <w:tcW w:w="8907" w:type="dxa"/>
            <w:tcBorders>
              <w:left w:val="single" w:sz="18" w:space="0" w:color="2D358E"/>
            </w:tcBorders>
          </w:tcPr>
          <w:p w14:paraId="298EC1CC" w14:textId="4BCCA8A2" w:rsidR="00102FFA" w:rsidRPr="00646FE9" w:rsidRDefault="00EE21ED" w:rsidP="00CC1F8D">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64AD6641" w14:textId="33F39785" w:rsidR="00102FFA" w:rsidRPr="009B783C" w:rsidRDefault="28E8AE1F" w:rsidP="00CC1F8D">
            <w:pPr>
              <w:pStyle w:val="Longformcallout"/>
              <w:rPr>
                <w:szCs w:val="21"/>
              </w:rPr>
            </w:pPr>
            <w:r w:rsidRPr="009B783C">
              <w:rPr>
                <w:szCs w:val="21"/>
              </w:rPr>
              <w:t xml:space="preserve">In the Medicare UCC </w:t>
            </w:r>
            <w:r w:rsidR="004E7366" w:rsidRPr="009B783C">
              <w:rPr>
                <w:szCs w:val="21"/>
              </w:rPr>
              <w:t>Module</w:t>
            </w:r>
            <w:r w:rsidRPr="009B783C">
              <w:rPr>
                <w:szCs w:val="21"/>
              </w:rPr>
              <w:t xml:space="preserve"> </w:t>
            </w:r>
            <w:r w:rsidR="6CBCC9E4" w:rsidRPr="009B783C">
              <w:rPr>
                <w:szCs w:val="21"/>
              </w:rPr>
              <w:t xml:space="preserve">data </w:t>
            </w:r>
            <w:r w:rsidRPr="009B783C">
              <w:rPr>
                <w:szCs w:val="21"/>
              </w:rPr>
              <w:t>consider refining the definition of the “other” response option f</w:t>
            </w:r>
            <w:r w:rsidR="2F28A381" w:rsidRPr="009B783C">
              <w:rPr>
                <w:szCs w:val="21"/>
              </w:rPr>
              <w:t>or</w:t>
            </w:r>
            <w:r w:rsidR="00102FFA" w:rsidRPr="009B783C">
              <w:rPr>
                <w:szCs w:val="21"/>
              </w:rPr>
              <w:t xml:space="preserve"> the question, “</w:t>
            </w:r>
            <w:r w:rsidR="00102FFA" w:rsidRPr="009B783C">
              <w:rPr>
                <w:i/>
                <w:iCs/>
                <w:szCs w:val="21"/>
              </w:rPr>
              <w:t>How was a clinical handover provided to the patient’s usual GP?</w:t>
            </w:r>
            <w:r w:rsidR="00102FFA" w:rsidRPr="009B783C">
              <w:rPr>
                <w:szCs w:val="21"/>
              </w:rPr>
              <w:t xml:space="preserve">”. </w:t>
            </w:r>
            <w:r w:rsidRPr="009B783C">
              <w:rPr>
                <w:szCs w:val="21"/>
              </w:rPr>
              <w:t>Alternatively,</w:t>
            </w:r>
            <w:r w:rsidR="2F28A381" w:rsidRPr="009B783C">
              <w:rPr>
                <w:szCs w:val="21"/>
              </w:rPr>
              <w:t xml:space="preserve"> consider</w:t>
            </w:r>
            <w:r w:rsidR="77486D47" w:rsidRPr="009B783C">
              <w:rPr>
                <w:szCs w:val="21"/>
              </w:rPr>
              <w:t xml:space="preserve"> introduc</w:t>
            </w:r>
            <w:r w:rsidR="04DAD5AE" w:rsidRPr="009B783C">
              <w:rPr>
                <w:szCs w:val="21"/>
              </w:rPr>
              <w:t>ing</w:t>
            </w:r>
            <w:r w:rsidR="77486D47" w:rsidRPr="009B783C">
              <w:rPr>
                <w:szCs w:val="21"/>
              </w:rPr>
              <w:t xml:space="preserve"> additional categories to more precisely capture alternative handover methods</w:t>
            </w:r>
            <w:r w:rsidR="00102FFA" w:rsidRPr="009B783C">
              <w:rPr>
                <w:szCs w:val="21"/>
              </w:rPr>
              <w:t xml:space="preserve">. This will improve the </w:t>
            </w:r>
            <w:r w:rsidR="3176E34E" w:rsidRPr="009B783C">
              <w:rPr>
                <w:szCs w:val="21"/>
              </w:rPr>
              <w:t>quality</w:t>
            </w:r>
            <w:r w:rsidR="277C1B69" w:rsidRPr="009B783C">
              <w:rPr>
                <w:szCs w:val="21"/>
              </w:rPr>
              <w:t xml:space="preserve"> </w:t>
            </w:r>
            <w:r w:rsidR="00102FFA" w:rsidRPr="009B783C">
              <w:rPr>
                <w:szCs w:val="21"/>
              </w:rPr>
              <w:t xml:space="preserve">of reporting and provide clearer insights into the channels of clinical handovers. </w:t>
            </w:r>
          </w:p>
        </w:tc>
      </w:tr>
    </w:tbl>
    <w:p w14:paraId="7B23F749" w14:textId="5D09C1A9" w:rsidR="00102FFA" w:rsidRPr="009B783C" w:rsidRDefault="00102FFA" w:rsidP="000D706D">
      <w:pPr>
        <w:pStyle w:val="Heading3"/>
        <w:rPr>
          <w:b/>
          <w:bCs/>
        </w:rPr>
      </w:pPr>
      <w:bookmarkStart w:id="118" w:name="_Toc179962828"/>
      <w:r w:rsidRPr="009B783C">
        <w:t xml:space="preserve">Most patients are sent home following their visit to a Medicare UCC and </w:t>
      </w:r>
      <w:bookmarkEnd w:id="118"/>
      <w:r w:rsidRPr="000D706D">
        <w:t>referrals</w:t>
      </w:r>
      <w:r w:rsidRPr="009B783C">
        <w:t xml:space="preserve"> </w:t>
      </w:r>
      <w:r w:rsidR="001E3889" w:rsidRPr="009B783C">
        <w:t xml:space="preserve">are provided to a small number of other services </w:t>
      </w:r>
    </w:p>
    <w:p w14:paraId="1BDA62C7" w14:textId="57F63765" w:rsidR="00627C18" w:rsidRPr="009B783C" w:rsidRDefault="00B35E0B" w:rsidP="00CC1F8D">
      <w:pPr>
        <w:rPr>
          <w:rFonts w:asciiTheme="minorHAnsi" w:hAnsiTheme="minorHAnsi"/>
          <w:szCs w:val="21"/>
          <w:lang w:val="en-GB"/>
        </w:rPr>
      </w:pPr>
      <w:r w:rsidRPr="009B783C">
        <w:rPr>
          <w:rFonts w:asciiTheme="minorHAnsi" w:hAnsiTheme="minorHAnsi"/>
          <w:szCs w:val="21"/>
        </w:rPr>
        <w:t xml:space="preserve">Referrals may include redirection of patients to a more appropriate provider following initial triage/management and post-treatment complementary care. </w:t>
      </w:r>
    </w:p>
    <w:p w14:paraId="071B1E0F" w14:textId="39EF88FD" w:rsidR="00595653" w:rsidRPr="009B783C" w:rsidRDefault="00271DBC" w:rsidP="00CC1F8D">
      <w:pPr>
        <w:rPr>
          <w:rFonts w:asciiTheme="minorHAnsi" w:hAnsiTheme="minorHAnsi"/>
          <w:szCs w:val="21"/>
          <w:lang w:val="en-GB"/>
        </w:rPr>
      </w:pPr>
      <w:r w:rsidRPr="009B783C">
        <w:rPr>
          <w:rFonts w:asciiTheme="minorHAnsi" w:hAnsiTheme="minorHAnsi"/>
          <w:szCs w:val="21"/>
        </w:rPr>
        <w:t>Medicare UCC Operational Guidance</w:t>
      </w:r>
      <w:r w:rsidR="00B35E0B" w:rsidRPr="35C5891D">
        <w:rPr>
          <w:rStyle w:val="FootnoteReference"/>
          <w:rFonts w:asciiTheme="minorHAnsi" w:hAnsiTheme="minorHAnsi"/>
          <w:szCs w:val="21"/>
          <w:lang w:val="en-GB"/>
        </w:rPr>
        <w:footnoteReference w:id="67"/>
      </w:r>
      <w:r w:rsidR="00B35E0B" w:rsidRPr="009B783C">
        <w:rPr>
          <w:rFonts w:asciiTheme="minorHAnsi" w:hAnsiTheme="minorHAnsi"/>
          <w:szCs w:val="21"/>
        </w:rPr>
        <w:t xml:space="preserve"> states that Medicare UCCs should maintain systems that inform users when their condition is not in scope and referral to the patient’s usual primary care provider or ED is more appropriate. As described in Measure of Success 2</w:t>
      </w:r>
      <w:r w:rsidR="00C447F8" w:rsidRPr="009B783C">
        <w:rPr>
          <w:rFonts w:asciiTheme="minorHAnsi" w:hAnsiTheme="minorHAnsi"/>
          <w:szCs w:val="21"/>
        </w:rPr>
        <w:t xml:space="preserve"> (section </w:t>
      </w:r>
      <w:r w:rsidR="00C447F8" w:rsidRPr="35C5891D">
        <w:rPr>
          <w:rFonts w:asciiTheme="minorHAnsi" w:hAnsiTheme="minorHAnsi"/>
          <w:szCs w:val="21"/>
        </w:rPr>
        <w:fldChar w:fldCharType="begin"/>
      </w:r>
      <w:r w:rsidR="00C447F8" w:rsidRPr="35C5891D">
        <w:rPr>
          <w:rFonts w:asciiTheme="minorHAnsi" w:hAnsiTheme="minorHAnsi"/>
          <w:szCs w:val="21"/>
        </w:rPr>
        <w:instrText xml:space="preserve"> REF _Ref185251579 \n \h </w:instrText>
      </w:r>
      <w:r w:rsidR="00CC1F8D" w:rsidRPr="35C5891D">
        <w:rPr>
          <w:rFonts w:asciiTheme="minorHAnsi" w:hAnsiTheme="minorHAnsi"/>
          <w:szCs w:val="21"/>
        </w:rPr>
        <w:instrText xml:space="preserve"> \* MERGEFORMAT </w:instrText>
      </w:r>
      <w:r w:rsidR="00C447F8" w:rsidRPr="35C5891D">
        <w:rPr>
          <w:rFonts w:asciiTheme="minorHAnsi" w:hAnsiTheme="minorHAnsi"/>
          <w:szCs w:val="21"/>
        </w:rPr>
      </w:r>
      <w:r w:rsidR="00C447F8" w:rsidRPr="35C5891D">
        <w:rPr>
          <w:rFonts w:asciiTheme="minorHAnsi" w:hAnsiTheme="minorHAnsi"/>
          <w:szCs w:val="21"/>
        </w:rPr>
        <w:fldChar w:fldCharType="separate"/>
      </w:r>
      <w:r w:rsidR="0031172E" w:rsidRPr="35C5891D">
        <w:rPr>
          <w:rFonts w:asciiTheme="minorHAnsi" w:hAnsiTheme="minorHAnsi"/>
          <w:szCs w:val="21"/>
        </w:rPr>
        <w:t>5.2</w:t>
      </w:r>
      <w:r w:rsidR="00C447F8" w:rsidRPr="35C5891D">
        <w:rPr>
          <w:rFonts w:asciiTheme="minorHAnsi" w:hAnsiTheme="minorHAnsi"/>
          <w:szCs w:val="21"/>
        </w:rPr>
        <w:fldChar w:fldCharType="end"/>
      </w:r>
      <w:r w:rsidR="00C447F8" w:rsidRPr="009B783C">
        <w:rPr>
          <w:rFonts w:asciiTheme="minorHAnsi" w:hAnsiTheme="minorHAnsi"/>
          <w:szCs w:val="21"/>
        </w:rPr>
        <w:t>)</w:t>
      </w:r>
      <w:r w:rsidR="00102FFA" w:rsidRPr="009B783C">
        <w:rPr>
          <w:rFonts w:asciiTheme="minorHAnsi" w:hAnsiTheme="minorHAnsi"/>
          <w:szCs w:val="21"/>
        </w:rPr>
        <w:t>,</w:t>
      </w:r>
      <w:r w:rsidR="00B35E0B" w:rsidRPr="009B783C">
        <w:rPr>
          <w:rFonts w:asciiTheme="minorHAnsi" w:hAnsiTheme="minorHAnsi"/>
          <w:szCs w:val="21"/>
        </w:rPr>
        <w:t xml:space="preserve"> most (84 per cent) patients were sent home at the end of their visit to the Medicare UCC. Ten per cent were </w:t>
      </w:r>
      <w:r w:rsidR="0018066A" w:rsidRPr="009B783C">
        <w:rPr>
          <w:rFonts w:asciiTheme="minorHAnsi" w:hAnsiTheme="minorHAnsi"/>
          <w:szCs w:val="21"/>
        </w:rPr>
        <w:t>redirected</w:t>
      </w:r>
      <w:r w:rsidR="00B35E0B" w:rsidRPr="009B783C">
        <w:rPr>
          <w:rFonts w:asciiTheme="minorHAnsi" w:hAnsiTheme="minorHAnsi"/>
          <w:szCs w:val="21"/>
        </w:rPr>
        <w:t xml:space="preserve"> to a GP and </w:t>
      </w:r>
      <w:r w:rsidR="00C447F8" w:rsidRPr="009B783C">
        <w:rPr>
          <w:rFonts w:asciiTheme="minorHAnsi" w:hAnsiTheme="minorHAnsi"/>
          <w:szCs w:val="21"/>
        </w:rPr>
        <w:t>5</w:t>
      </w:r>
      <w:r w:rsidR="00B35E0B" w:rsidRPr="009B783C">
        <w:rPr>
          <w:rFonts w:asciiTheme="minorHAnsi" w:hAnsiTheme="minorHAnsi"/>
          <w:szCs w:val="21"/>
        </w:rPr>
        <w:t xml:space="preserve"> per cent of patients were referred to ED</w:t>
      </w:r>
      <w:r w:rsidR="00595653" w:rsidRPr="009B783C">
        <w:rPr>
          <w:rFonts w:asciiTheme="minorHAnsi" w:hAnsiTheme="minorHAnsi"/>
          <w:szCs w:val="21"/>
        </w:rPr>
        <w:t xml:space="preserve">. </w:t>
      </w:r>
    </w:p>
    <w:p w14:paraId="365CE3F1" w14:textId="7E5D29A0" w:rsidR="00B35E0B" w:rsidRPr="009B783C" w:rsidRDefault="00102FFA" w:rsidP="00CC1F8D">
      <w:pPr>
        <w:rPr>
          <w:rFonts w:asciiTheme="minorHAnsi" w:hAnsiTheme="minorHAnsi"/>
          <w:szCs w:val="21"/>
          <w:lang w:val="en-GB"/>
        </w:rPr>
      </w:pPr>
      <w:r w:rsidRPr="009B783C">
        <w:rPr>
          <w:rFonts w:asciiTheme="minorHAnsi" w:hAnsiTheme="minorHAnsi"/>
          <w:szCs w:val="21"/>
        </w:rPr>
        <w:t xml:space="preserve">The </w:t>
      </w:r>
      <w:r w:rsidR="008666A0" w:rsidRPr="009B783C">
        <w:rPr>
          <w:rFonts w:asciiTheme="minorHAnsi" w:hAnsiTheme="minorHAnsi"/>
          <w:szCs w:val="21"/>
        </w:rPr>
        <w:t>Operational G</w:t>
      </w:r>
      <w:r w:rsidRPr="009B783C">
        <w:rPr>
          <w:rFonts w:asciiTheme="minorHAnsi" w:hAnsiTheme="minorHAnsi"/>
          <w:szCs w:val="21"/>
        </w:rPr>
        <w:t xml:space="preserve">uidance also states that Medicare UCCs should have </w:t>
      </w:r>
      <w:r w:rsidR="00B35E0B" w:rsidRPr="009B783C">
        <w:rPr>
          <w:rFonts w:asciiTheme="minorHAnsi" w:hAnsiTheme="minorHAnsi"/>
          <w:szCs w:val="21"/>
        </w:rPr>
        <w:t>referral pathways to other services including inpatient hospital services, outpatient clinics, mental health services, community and primary care services (</w:t>
      </w:r>
      <w:r w:rsidR="00E81118" w:rsidRPr="009B783C">
        <w:rPr>
          <w:rFonts w:asciiTheme="minorHAnsi" w:hAnsiTheme="minorHAnsi"/>
          <w:szCs w:val="21"/>
        </w:rPr>
        <w:t>for example</w:t>
      </w:r>
      <w:r w:rsidR="00B35E0B" w:rsidRPr="009B783C">
        <w:rPr>
          <w:rFonts w:asciiTheme="minorHAnsi" w:hAnsiTheme="minorHAnsi"/>
          <w:szCs w:val="21"/>
        </w:rPr>
        <w:t xml:space="preserve">, allied health), hospital in the home, other community support services and virtual care options. </w:t>
      </w:r>
    </w:p>
    <w:p w14:paraId="24A15AC3" w14:textId="35671D97" w:rsidR="00B35E0B" w:rsidRPr="009B783C" w:rsidRDefault="00B35E0B" w:rsidP="00CC1F8D">
      <w:pPr>
        <w:rPr>
          <w:rFonts w:asciiTheme="minorHAnsi" w:hAnsiTheme="minorHAnsi"/>
          <w:szCs w:val="21"/>
        </w:rPr>
      </w:pPr>
      <w:r w:rsidRPr="009B783C">
        <w:rPr>
          <w:rFonts w:asciiTheme="minorHAnsi" w:hAnsiTheme="minorHAnsi" w:cstheme="minorHAnsi"/>
          <w:szCs w:val="21"/>
        </w:rPr>
        <w:t xml:space="preserve">Medicare UCCs provided referrals to a small number of other services, with </w:t>
      </w:r>
      <w:r w:rsidR="006C4A57" w:rsidRPr="009B783C">
        <w:rPr>
          <w:rFonts w:asciiTheme="minorHAnsi" w:hAnsiTheme="minorHAnsi" w:cstheme="minorHAnsi"/>
          <w:szCs w:val="21"/>
        </w:rPr>
        <w:t>3</w:t>
      </w:r>
      <w:r w:rsidRPr="009B783C">
        <w:rPr>
          <w:rFonts w:asciiTheme="minorHAnsi" w:hAnsiTheme="minorHAnsi" w:cstheme="minorHAnsi"/>
          <w:szCs w:val="21"/>
        </w:rPr>
        <w:t xml:space="preserve"> per cent of presentations referred to allied health</w:t>
      </w:r>
      <w:r w:rsidR="00102FFA" w:rsidRPr="009B783C">
        <w:rPr>
          <w:rFonts w:asciiTheme="minorHAnsi" w:hAnsiTheme="minorHAnsi" w:cstheme="minorHAnsi"/>
          <w:szCs w:val="21"/>
        </w:rPr>
        <w:t xml:space="preserve"> </w:t>
      </w:r>
      <w:r w:rsidR="0070349A" w:rsidRPr="009B783C">
        <w:rPr>
          <w:rFonts w:asciiTheme="minorHAnsi" w:hAnsiTheme="minorHAnsi" w:cstheme="minorHAnsi"/>
          <w:szCs w:val="21"/>
        </w:rPr>
        <w:t>and</w:t>
      </w:r>
      <w:r w:rsidRPr="009B783C">
        <w:rPr>
          <w:rFonts w:asciiTheme="minorHAnsi" w:hAnsiTheme="minorHAnsi" w:cstheme="minorHAnsi"/>
          <w:szCs w:val="21"/>
        </w:rPr>
        <w:t xml:space="preserve"> less than </w:t>
      </w:r>
      <w:r w:rsidR="006C4A57" w:rsidRPr="009B783C">
        <w:rPr>
          <w:rFonts w:asciiTheme="minorHAnsi" w:hAnsiTheme="minorHAnsi" w:cstheme="minorHAnsi"/>
          <w:szCs w:val="21"/>
        </w:rPr>
        <w:t>1</w:t>
      </w:r>
      <w:r w:rsidRPr="009B783C">
        <w:rPr>
          <w:rFonts w:asciiTheme="minorHAnsi" w:hAnsiTheme="minorHAnsi" w:cstheme="minorHAnsi"/>
          <w:szCs w:val="21"/>
        </w:rPr>
        <w:t xml:space="preserve"> per cent referred to mental health services or outpatient clinics. </w:t>
      </w:r>
      <w:r w:rsidR="00102FFA" w:rsidRPr="009B783C">
        <w:rPr>
          <w:rFonts w:asciiTheme="minorHAnsi" w:hAnsiTheme="minorHAnsi" w:cstheme="minorHAnsi"/>
          <w:szCs w:val="21"/>
        </w:rPr>
        <w:t xml:space="preserve">This is in comparison to the approximately </w:t>
      </w:r>
      <w:r w:rsidR="006C4A57" w:rsidRPr="009B783C">
        <w:rPr>
          <w:rFonts w:asciiTheme="minorHAnsi" w:hAnsiTheme="minorHAnsi" w:cstheme="minorHAnsi"/>
          <w:szCs w:val="21"/>
        </w:rPr>
        <w:t>6</w:t>
      </w:r>
      <w:r w:rsidR="00102FFA" w:rsidRPr="009B783C">
        <w:rPr>
          <w:rFonts w:asciiTheme="minorHAnsi" w:hAnsiTheme="minorHAnsi" w:cstheme="minorHAnsi"/>
          <w:szCs w:val="21"/>
        </w:rPr>
        <w:t xml:space="preserve"> per</w:t>
      </w:r>
      <w:r w:rsidR="003A4F82" w:rsidRPr="009B783C">
        <w:rPr>
          <w:rFonts w:asciiTheme="minorHAnsi" w:hAnsiTheme="minorHAnsi" w:cstheme="minorHAnsi"/>
          <w:szCs w:val="21"/>
        </w:rPr>
        <w:t xml:space="preserve"> </w:t>
      </w:r>
      <w:r w:rsidR="00102FFA" w:rsidRPr="009B783C">
        <w:rPr>
          <w:rFonts w:asciiTheme="minorHAnsi" w:hAnsiTheme="minorHAnsi" w:cstheme="minorHAnsi"/>
          <w:szCs w:val="21"/>
        </w:rPr>
        <w:t xml:space="preserve">cent of GP presentations </w:t>
      </w:r>
      <w:r w:rsidR="002F47A8" w:rsidRPr="009B783C">
        <w:rPr>
          <w:rFonts w:asciiTheme="minorHAnsi" w:hAnsiTheme="minorHAnsi" w:cstheme="minorHAnsi"/>
          <w:szCs w:val="21"/>
        </w:rPr>
        <w:t xml:space="preserve">that </w:t>
      </w:r>
      <w:r w:rsidR="00102FFA" w:rsidRPr="009B783C">
        <w:rPr>
          <w:rFonts w:asciiTheme="minorHAnsi" w:hAnsiTheme="minorHAnsi" w:cstheme="minorHAnsi"/>
          <w:szCs w:val="21"/>
        </w:rPr>
        <w:t>result in a referral to allied health services,</w:t>
      </w:r>
      <w:r w:rsidR="00102FFA" w:rsidRPr="009B783C">
        <w:rPr>
          <w:rStyle w:val="FootnoteReference"/>
          <w:rFonts w:asciiTheme="minorHAnsi" w:hAnsiTheme="minorHAnsi"/>
          <w:szCs w:val="21"/>
        </w:rPr>
        <w:footnoteReference w:id="68"/>
      </w:r>
      <w:r w:rsidR="00102FFA" w:rsidRPr="009B783C">
        <w:rPr>
          <w:szCs w:val="21"/>
        </w:rPr>
        <w:t xml:space="preserve"> noting that </w:t>
      </w:r>
      <w:r w:rsidR="00102FFA" w:rsidRPr="009B783C">
        <w:rPr>
          <w:rFonts w:asciiTheme="minorHAnsi" w:hAnsiTheme="minorHAnsi" w:cstheme="minorHAnsi"/>
          <w:szCs w:val="21"/>
        </w:rPr>
        <w:t>GP presentations have a different case mix to Medicare UCCs where GPs generally attend to a higher proportion of patients with chronic conditions, rather than acute care needs. Development and implementation of these pathways is analysed in more detail in Measure of Success 8</w:t>
      </w:r>
      <w:r w:rsidR="00594BE7" w:rsidRPr="009B783C">
        <w:rPr>
          <w:rFonts w:asciiTheme="minorHAnsi" w:hAnsiTheme="minorHAnsi" w:cstheme="minorHAnsi"/>
          <w:szCs w:val="21"/>
        </w:rPr>
        <w:t xml:space="preserve"> (section </w:t>
      </w:r>
      <w:r w:rsidR="0031172E" w:rsidRPr="009B783C">
        <w:rPr>
          <w:rFonts w:asciiTheme="minorHAnsi" w:hAnsiTheme="minorHAnsi" w:cstheme="minorHAnsi"/>
          <w:szCs w:val="21"/>
        </w:rPr>
        <w:fldChar w:fldCharType="begin"/>
      </w:r>
      <w:r w:rsidR="0031172E" w:rsidRPr="009B783C">
        <w:rPr>
          <w:rFonts w:asciiTheme="minorHAnsi" w:hAnsiTheme="minorHAnsi" w:cstheme="minorHAnsi"/>
          <w:szCs w:val="21"/>
        </w:rPr>
        <w:instrText xml:space="preserve"> REF _Ref188979269 \n \h </w:instrText>
      </w:r>
      <w:r w:rsidR="00CC1F8D" w:rsidRPr="009B783C">
        <w:rPr>
          <w:rFonts w:asciiTheme="minorHAnsi" w:hAnsiTheme="minorHAnsi" w:cstheme="minorHAnsi"/>
          <w:szCs w:val="21"/>
        </w:rPr>
        <w:instrText xml:space="preserve"> \* MERGEFORMAT </w:instrText>
      </w:r>
      <w:r w:rsidR="0031172E" w:rsidRPr="009B783C">
        <w:rPr>
          <w:rFonts w:asciiTheme="minorHAnsi" w:hAnsiTheme="minorHAnsi" w:cstheme="minorHAnsi"/>
          <w:szCs w:val="21"/>
        </w:rPr>
      </w:r>
      <w:r w:rsidR="0031172E" w:rsidRPr="009B783C">
        <w:rPr>
          <w:rFonts w:asciiTheme="minorHAnsi" w:hAnsiTheme="minorHAnsi" w:cstheme="minorHAnsi"/>
          <w:szCs w:val="21"/>
        </w:rPr>
        <w:fldChar w:fldCharType="separate"/>
      </w:r>
      <w:r w:rsidR="0031172E" w:rsidRPr="009B783C">
        <w:rPr>
          <w:rFonts w:asciiTheme="minorHAnsi" w:hAnsiTheme="minorHAnsi" w:cstheme="minorHAnsi"/>
          <w:szCs w:val="21"/>
        </w:rPr>
        <w:t>5.8</w:t>
      </w:r>
      <w:r w:rsidR="0031172E" w:rsidRPr="009B783C">
        <w:rPr>
          <w:rFonts w:asciiTheme="minorHAnsi" w:hAnsiTheme="minorHAnsi" w:cstheme="minorHAnsi"/>
          <w:szCs w:val="21"/>
        </w:rPr>
        <w:fldChar w:fldCharType="end"/>
      </w:r>
      <w:r w:rsidR="00594BE7" w:rsidRPr="009B783C">
        <w:rPr>
          <w:rFonts w:asciiTheme="minorHAnsi" w:hAnsiTheme="minorHAnsi" w:cstheme="minorHAnsi"/>
          <w:szCs w:val="21"/>
        </w:rPr>
        <w:t>)</w:t>
      </w:r>
      <w:r w:rsidR="00102FFA" w:rsidRPr="009B783C">
        <w:rPr>
          <w:rFonts w:asciiTheme="minorHAnsi" w:hAnsiTheme="minorHAnsi" w:cstheme="minorHAnsi"/>
          <w:szCs w:val="21"/>
        </w:rPr>
        <w:t>.</w:t>
      </w:r>
    </w:p>
    <w:p w14:paraId="5D23A5E2" w14:textId="77777777" w:rsidR="00102FFA" w:rsidRPr="009B783C" w:rsidRDefault="00102FFA" w:rsidP="000D706D">
      <w:pPr>
        <w:pStyle w:val="Heading3"/>
      </w:pPr>
      <w:r w:rsidRPr="009B783C">
        <w:lastRenderedPageBreak/>
        <w:t>Next steps</w:t>
      </w:r>
    </w:p>
    <w:p w14:paraId="3B9FAE09" w14:textId="5C6341FA" w:rsidR="00102FFA" w:rsidRPr="009B783C" w:rsidRDefault="00102FFA" w:rsidP="00CC1F8D">
      <w:pPr>
        <w:spacing w:after="240"/>
        <w:rPr>
          <w:szCs w:val="21"/>
        </w:rPr>
      </w:pPr>
      <w:r w:rsidRPr="009B783C">
        <w:rPr>
          <w:szCs w:val="21"/>
          <w:lang w:eastAsia="en-AU"/>
        </w:rPr>
        <w:t>Subsequent phases of the evaluation will continue to analyse the rates of clinical handover. In addition, Medicare UCCs will be asked about their care coordination processes</w:t>
      </w:r>
      <w:r w:rsidR="00E81118" w:rsidRPr="009B783C">
        <w:rPr>
          <w:szCs w:val="21"/>
          <w:lang w:eastAsia="en-AU"/>
        </w:rPr>
        <w:t xml:space="preserve">, </w:t>
      </w:r>
      <w:r w:rsidRPr="009B783C">
        <w:rPr>
          <w:szCs w:val="21"/>
          <w:lang w:eastAsia="en-AU"/>
        </w:rPr>
        <w:t xml:space="preserve">barriers and enablers to effective coordination, including </w:t>
      </w:r>
      <w:r w:rsidR="00A4537F" w:rsidRPr="009B783C">
        <w:rPr>
          <w:szCs w:val="21"/>
          <w:lang w:eastAsia="en-AU"/>
        </w:rPr>
        <w:t xml:space="preserve">use of MyHR and </w:t>
      </w:r>
      <w:r w:rsidRPr="009B783C">
        <w:rPr>
          <w:szCs w:val="21"/>
          <w:lang w:eastAsia="en-AU"/>
        </w:rPr>
        <w:t>how they support patients without a regular GP to identify and connect with one</w:t>
      </w:r>
      <w:r w:rsidRPr="009B783C" w:rsidDel="00927CFD">
        <w:rPr>
          <w:szCs w:val="21"/>
          <w:lang w:eastAsia="en-AU"/>
        </w:rPr>
        <w:t xml:space="preserve">. </w:t>
      </w:r>
      <w:r w:rsidRPr="009B783C">
        <w:rPr>
          <w:szCs w:val="21"/>
          <w:lang w:eastAsia="en-AU"/>
        </w:rPr>
        <w:t xml:space="preserve">Patient experience of care coordination will also be sought through patient feedback mechanisms. </w:t>
      </w:r>
    </w:p>
    <w:tbl>
      <w:tblPr>
        <w:tblStyle w:val="TableGrid"/>
        <w:tblW w:w="0" w:type="auto"/>
        <w:tblLook w:val="04A0" w:firstRow="1" w:lastRow="0" w:firstColumn="1" w:lastColumn="0" w:noHBand="0" w:noVBand="1"/>
      </w:tblPr>
      <w:tblGrid>
        <w:gridCol w:w="8920"/>
      </w:tblGrid>
      <w:tr w:rsidR="009711A2" w:rsidRPr="009B783C" w14:paraId="10C6896C" w14:textId="77777777">
        <w:trPr>
          <w:trHeight w:val="215"/>
        </w:trPr>
        <w:tc>
          <w:tcPr>
            <w:tcW w:w="8920" w:type="dxa"/>
            <w:tcBorders>
              <w:top w:val="nil"/>
              <w:left w:val="nil"/>
              <w:bottom w:val="nil"/>
              <w:right w:val="nil"/>
            </w:tcBorders>
            <w:shd w:val="clear" w:color="auto" w:fill="25B3E0" w:themeFill="accent6"/>
          </w:tcPr>
          <w:p w14:paraId="5AAF43BD" w14:textId="6CC21F04" w:rsidR="009711A2" w:rsidRPr="00D37C77" w:rsidRDefault="00E2691E">
            <w:pPr>
              <w:pStyle w:val="TableNheader"/>
              <w:rPr>
                <w:color w:val="00264D" w:themeColor="background2"/>
              </w:rPr>
            </w:pPr>
            <w:bookmarkStart w:id="119" w:name="_Ref179979583"/>
            <w:bookmarkStart w:id="120" w:name="_Toc181366929"/>
            <w:bookmarkStart w:id="121" w:name="_Ref185240769"/>
            <w:bookmarkStart w:id="122" w:name="_Ref179803629"/>
            <w:r w:rsidRPr="00D37C77">
              <w:rPr>
                <w:color w:val="00264D" w:themeColor="background2"/>
              </w:rPr>
              <w:t>Measure Of Success 4</w:t>
            </w:r>
          </w:p>
        </w:tc>
      </w:tr>
    </w:tbl>
    <w:p w14:paraId="410073D5" w14:textId="1C0C8CE0" w:rsidR="004D1025" w:rsidRPr="009B783C" w:rsidRDefault="004A6EBE" w:rsidP="00CA2335">
      <w:pPr>
        <w:pStyle w:val="Heading2"/>
      </w:pPr>
      <w:bookmarkStart w:id="123" w:name="_Ref188979235"/>
      <w:bookmarkStart w:id="124" w:name="_Ref188979239"/>
      <w:bookmarkStart w:id="125" w:name="_Ref188979325"/>
      <w:bookmarkStart w:id="126" w:name="_Ref188979335"/>
      <w:bookmarkStart w:id="127" w:name="_Toc189639230"/>
      <w:bookmarkStart w:id="128" w:name="_Toc189772030"/>
      <w:bookmarkEnd w:id="119"/>
      <w:bookmarkEnd w:id="120"/>
      <w:bookmarkEnd w:id="121"/>
      <w:r w:rsidRPr="009B783C">
        <w:t>Patient and carer experience</w:t>
      </w:r>
      <w:bookmarkEnd w:id="123"/>
      <w:bookmarkEnd w:id="124"/>
      <w:bookmarkEnd w:id="125"/>
      <w:bookmarkEnd w:id="126"/>
      <w:bookmarkEnd w:id="127"/>
      <w:bookmarkEnd w:id="128"/>
    </w:p>
    <w:p w14:paraId="13E0D337" w14:textId="505FBC12" w:rsidR="001C6361" w:rsidRPr="009B783C" w:rsidRDefault="00473B25" w:rsidP="00F5425B">
      <w:pPr>
        <w:rPr>
          <w:szCs w:val="21"/>
          <w:lang w:eastAsia="en-AU"/>
        </w:rPr>
      </w:pPr>
      <w:r w:rsidRPr="009B783C">
        <w:rPr>
          <w:szCs w:val="21"/>
          <w:lang w:eastAsia="en-AU"/>
        </w:rPr>
        <w:t xml:space="preserve">Measure of Success </w:t>
      </w:r>
      <w:r w:rsidR="004A6EBE" w:rsidRPr="009B783C">
        <w:rPr>
          <w:szCs w:val="21"/>
          <w:lang w:eastAsia="en-AU"/>
        </w:rPr>
        <w:t xml:space="preserve">4 agreed by the Australian, state and territory </w:t>
      </w:r>
      <w:r w:rsidR="00370E08" w:rsidRPr="009B783C">
        <w:rPr>
          <w:szCs w:val="21"/>
          <w:lang w:eastAsia="en-AU"/>
        </w:rPr>
        <w:t xml:space="preserve">governments </w:t>
      </w:r>
      <w:r w:rsidR="004A6EBE" w:rsidRPr="009B783C">
        <w:rPr>
          <w:szCs w:val="21"/>
          <w:lang w:eastAsia="en-AU"/>
        </w:rPr>
        <w:t>is</w:t>
      </w:r>
      <w:r w:rsidR="001C6361" w:rsidRPr="009B783C">
        <w:rPr>
          <w:szCs w:val="21"/>
          <w:lang w:eastAsia="en-AU"/>
        </w:rPr>
        <w:t>:</w:t>
      </w:r>
    </w:p>
    <w:p w14:paraId="58B19879" w14:textId="45F5F6EE" w:rsidR="00473B25" w:rsidRPr="009B783C" w:rsidRDefault="004A6EBE" w:rsidP="00F5425B">
      <w:pPr>
        <w:pStyle w:val="Caption"/>
        <w:spacing w:line="276" w:lineRule="auto"/>
        <w:rPr>
          <w:szCs w:val="21"/>
          <w:lang w:eastAsia="en-AU"/>
        </w:rPr>
      </w:pPr>
      <w:r w:rsidRPr="009B783C">
        <w:rPr>
          <w:szCs w:val="21"/>
          <w:lang w:eastAsia="en-AU"/>
        </w:rPr>
        <w:t>“Medicare UCCs provide a positive experience for patients and carers.”</w:t>
      </w:r>
    </w:p>
    <w:p w14:paraId="535020EA" w14:textId="7C3E0BD7" w:rsidR="001835F3" w:rsidRPr="009B783C" w:rsidRDefault="004D1025" w:rsidP="00F5425B">
      <w:pPr>
        <w:tabs>
          <w:tab w:val="num" w:pos="720"/>
        </w:tabs>
        <w:rPr>
          <w:szCs w:val="21"/>
          <w:lang w:eastAsia="en-AU"/>
        </w:rPr>
      </w:pPr>
      <w:r w:rsidRPr="009B783C">
        <w:rPr>
          <w:szCs w:val="21"/>
          <w:lang w:eastAsia="en-AU"/>
        </w:rPr>
        <w:t>Patients are people who receive treatment and/or care from primary care providers, hospitals or other health services.</w:t>
      </w:r>
      <w:r w:rsidRPr="009B783C">
        <w:rPr>
          <w:rStyle w:val="FootnoteReference"/>
          <w:szCs w:val="21"/>
          <w:lang w:eastAsia="en-AU"/>
        </w:rPr>
        <w:footnoteReference w:id="69"/>
      </w:r>
      <w:r w:rsidRPr="009B783C">
        <w:rPr>
          <w:szCs w:val="21"/>
          <w:lang w:eastAsia="en-AU"/>
        </w:rPr>
        <w:t xml:space="preserve"> </w:t>
      </w:r>
      <w:r w:rsidR="00295870" w:rsidRPr="009B783C">
        <w:rPr>
          <w:szCs w:val="21"/>
          <w:lang w:eastAsia="en-AU"/>
        </w:rPr>
        <w:t>Carers are people who look after someone who needs help with their day-to-day living.</w:t>
      </w:r>
      <w:r w:rsidR="00295870" w:rsidRPr="009B783C">
        <w:rPr>
          <w:szCs w:val="21"/>
        </w:rPr>
        <w:t xml:space="preserve"> </w:t>
      </w:r>
      <w:r w:rsidR="00295870" w:rsidRPr="009B783C">
        <w:rPr>
          <w:szCs w:val="21"/>
          <w:lang w:eastAsia="en-AU"/>
        </w:rPr>
        <w:t xml:space="preserve">Under the </w:t>
      </w:r>
      <w:r w:rsidR="00295870" w:rsidRPr="009B783C">
        <w:rPr>
          <w:i/>
          <w:szCs w:val="21"/>
          <w:lang w:eastAsia="en-AU"/>
        </w:rPr>
        <w:t>Australian Government Carer Recognition Act 2010</w:t>
      </w:r>
      <w:r w:rsidR="00295870" w:rsidRPr="009B783C">
        <w:rPr>
          <w:szCs w:val="21"/>
          <w:lang w:eastAsia="en-AU"/>
        </w:rPr>
        <w:t xml:space="preserve">, a carer is someone who gives </w:t>
      </w:r>
      <w:r w:rsidR="009E7EAC" w:rsidRPr="009B783C">
        <w:rPr>
          <w:szCs w:val="21"/>
          <w:lang w:eastAsia="en-AU"/>
        </w:rPr>
        <w:t xml:space="preserve">unpaid </w:t>
      </w:r>
      <w:r w:rsidR="00295870" w:rsidRPr="009B783C">
        <w:rPr>
          <w:szCs w:val="21"/>
          <w:lang w:eastAsia="en-AU"/>
        </w:rPr>
        <w:t>care and support to a relative or friend who has a disability, chronic or terminal medical condition, mental illness or is frail and elderly.</w:t>
      </w:r>
      <w:r w:rsidR="00295870" w:rsidRPr="009B783C">
        <w:rPr>
          <w:rStyle w:val="FootnoteReference"/>
          <w:szCs w:val="21"/>
          <w:lang w:eastAsia="en-AU"/>
        </w:rPr>
        <w:footnoteReference w:id="70"/>
      </w:r>
      <w:r w:rsidR="004819EC" w:rsidRPr="009B783C">
        <w:rPr>
          <w:szCs w:val="21"/>
          <w:lang w:eastAsia="en-AU"/>
        </w:rPr>
        <w:t xml:space="preserve"> </w:t>
      </w:r>
    </w:p>
    <w:p w14:paraId="4E92590B" w14:textId="77466665" w:rsidR="009B4F6A" w:rsidRPr="009B783C" w:rsidRDefault="004D1025" w:rsidP="00F5425B">
      <w:pPr>
        <w:tabs>
          <w:tab w:val="num" w:pos="720"/>
        </w:tabs>
        <w:rPr>
          <w:szCs w:val="21"/>
          <w:lang w:eastAsia="en-AU"/>
        </w:rPr>
      </w:pPr>
      <w:r w:rsidRPr="009B783C">
        <w:rPr>
          <w:szCs w:val="21"/>
          <w:lang w:eastAsia="en-AU"/>
        </w:rPr>
        <w:t>Evidence</w:t>
      </w:r>
      <w:r w:rsidR="009B4F6A" w:rsidRPr="009B783C">
        <w:rPr>
          <w:szCs w:val="21"/>
          <w:lang w:eastAsia="en-AU"/>
        </w:rPr>
        <w:t xml:space="preserve"> shows there are positive associations between patient experience, patient safety and clinical effectiveness across a wide range of disease areas.</w:t>
      </w:r>
      <w:r w:rsidR="009B4F6A" w:rsidRPr="009B783C">
        <w:rPr>
          <w:rStyle w:val="FootnoteReference"/>
          <w:szCs w:val="21"/>
          <w:lang w:eastAsia="en-AU"/>
        </w:rPr>
        <w:footnoteReference w:id="71"/>
      </w:r>
      <w:r w:rsidR="009B4F6A" w:rsidRPr="009B783C">
        <w:rPr>
          <w:szCs w:val="21"/>
          <w:lang w:eastAsia="en-AU"/>
        </w:rPr>
        <w:t xml:space="preserve"> Improving patient experience can improve clinical outcomes.</w:t>
      </w:r>
      <w:r w:rsidR="009B4F6A" w:rsidRPr="009B783C">
        <w:rPr>
          <w:rStyle w:val="FootnoteReference"/>
          <w:szCs w:val="21"/>
          <w:lang w:eastAsia="en-AU"/>
        </w:rPr>
        <w:footnoteReference w:id="72"/>
      </w:r>
      <w:r w:rsidR="009B4F6A" w:rsidRPr="009B783C">
        <w:rPr>
          <w:szCs w:val="21"/>
          <w:lang w:eastAsia="en-AU"/>
        </w:rPr>
        <w:t xml:space="preserve"> Patient experience may encompass elements such as waiting time, time spent by the attending health professional, being listened to by the clinician and being shown respect</w:t>
      </w:r>
      <w:r w:rsidR="003D0266" w:rsidRPr="009B783C">
        <w:rPr>
          <w:szCs w:val="21"/>
          <w:lang w:eastAsia="en-AU"/>
        </w:rPr>
        <w:t>.</w:t>
      </w:r>
      <w:r w:rsidR="009B4F6A" w:rsidRPr="009B783C">
        <w:rPr>
          <w:rStyle w:val="FootnoteReference"/>
          <w:szCs w:val="21"/>
          <w:lang w:eastAsia="en-AU"/>
        </w:rPr>
        <w:footnoteReference w:id="73"/>
      </w:r>
      <w:r w:rsidR="009B4F6A" w:rsidRPr="009B783C">
        <w:rPr>
          <w:szCs w:val="21"/>
          <w:lang w:eastAsia="en-AU"/>
        </w:rPr>
        <w:t xml:space="preserve"> </w:t>
      </w:r>
    </w:p>
    <w:p w14:paraId="5F6ECC97" w14:textId="61C611C1" w:rsidR="009B4F6A" w:rsidRPr="009B783C" w:rsidRDefault="009B4F6A" w:rsidP="00F5425B">
      <w:pPr>
        <w:rPr>
          <w:szCs w:val="21"/>
          <w:lang w:val="en-US"/>
        </w:rPr>
      </w:pPr>
      <w:r w:rsidRPr="009B783C">
        <w:rPr>
          <w:szCs w:val="21"/>
        </w:rPr>
        <w:t>For this Interim Evaluation Report 1,</w:t>
      </w:r>
      <w:r w:rsidR="0063577F" w:rsidRPr="009B783C">
        <w:rPr>
          <w:szCs w:val="21"/>
        </w:rPr>
        <w:t xml:space="preserve"> very</w:t>
      </w:r>
      <w:r w:rsidRPr="009B783C">
        <w:rPr>
          <w:szCs w:val="21"/>
        </w:rPr>
        <w:t xml:space="preserve"> limited insights on patient experience were gained through interviews with the commissioning organisations (PHNs</w:t>
      </w:r>
      <w:r w:rsidR="00E81118" w:rsidRPr="009B783C">
        <w:rPr>
          <w:szCs w:val="21"/>
        </w:rPr>
        <w:t xml:space="preserve">, </w:t>
      </w:r>
      <w:r w:rsidRPr="009B783C">
        <w:rPr>
          <w:szCs w:val="21"/>
        </w:rPr>
        <w:t>states and territories) and the CHF</w:t>
      </w:r>
      <w:r w:rsidR="009E6765" w:rsidRPr="009B783C">
        <w:rPr>
          <w:szCs w:val="21"/>
        </w:rPr>
        <w:t xml:space="preserve"> executive</w:t>
      </w:r>
      <w:r w:rsidR="004D1025" w:rsidRPr="009B783C">
        <w:rPr>
          <w:szCs w:val="21"/>
        </w:rPr>
        <w:t>.</w:t>
      </w:r>
      <w:r w:rsidRPr="009B783C">
        <w:rPr>
          <w:szCs w:val="21"/>
        </w:rPr>
        <w:t xml:space="preserve"> The Department also provided a selection of written patient stories and a high-level summary of the complaints it received. </w:t>
      </w:r>
    </w:p>
    <w:p w14:paraId="38ABB5A4" w14:textId="06928366" w:rsidR="009B4F6A" w:rsidRPr="009B783C" w:rsidRDefault="009B4F6A" w:rsidP="00F5425B">
      <w:pPr>
        <w:rPr>
          <w:szCs w:val="21"/>
        </w:rPr>
      </w:pPr>
      <w:r w:rsidRPr="009B783C">
        <w:rPr>
          <w:szCs w:val="21"/>
        </w:rPr>
        <w:t xml:space="preserve">Based on the available evidence for this Interim Evaluation Report 1, </w:t>
      </w:r>
      <w:r w:rsidR="0042533F" w:rsidRPr="009B783C">
        <w:rPr>
          <w:szCs w:val="21"/>
        </w:rPr>
        <w:t>the evaluation</w:t>
      </w:r>
      <w:r w:rsidR="00BF04D0" w:rsidRPr="009B783C">
        <w:rPr>
          <w:szCs w:val="21"/>
        </w:rPr>
        <w:t xml:space="preserve"> was</w:t>
      </w:r>
      <w:r w:rsidR="00C566DB" w:rsidRPr="009B783C">
        <w:rPr>
          <w:szCs w:val="21"/>
        </w:rPr>
        <w:t xml:space="preserve"> </w:t>
      </w:r>
      <w:r w:rsidR="00BF04D0" w:rsidRPr="009B783C">
        <w:rPr>
          <w:szCs w:val="21"/>
        </w:rPr>
        <w:t>not</w:t>
      </w:r>
      <w:r w:rsidR="00C566DB" w:rsidRPr="009B783C">
        <w:rPr>
          <w:szCs w:val="21"/>
        </w:rPr>
        <w:t xml:space="preserve"> </w:t>
      </w:r>
      <w:r w:rsidR="004D1025" w:rsidRPr="009B783C">
        <w:rPr>
          <w:szCs w:val="21"/>
        </w:rPr>
        <w:t>able</w:t>
      </w:r>
      <w:r w:rsidRPr="009B783C">
        <w:rPr>
          <w:szCs w:val="21"/>
        </w:rPr>
        <w:t xml:space="preserve"> to provide a balanced assessment of the extent to which Medicare UCCs provide a positive patient experience.</w:t>
      </w:r>
    </w:p>
    <w:p w14:paraId="3EDB09C7" w14:textId="69155698" w:rsidR="00DB2B5F" w:rsidRPr="009B783C" w:rsidRDefault="00912477" w:rsidP="000D706D">
      <w:pPr>
        <w:pStyle w:val="Heading3"/>
      </w:pPr>
      <w:r w:rsidRPr="009B783C">
        <w:lastRenderedPageBreak/>
        <w:t xml:space="preserve">Commissioners reported </w:t>
      </w:r>
      <w:r w:rsidR="00CF6EB7" w:rsidRPr="009B783C">
        <w:t xml:space="preserve">a range of views </w:t>
      </w:r>
      <w:r w:rsidR="00E309DF" w:rsidRPr="009B783C">
        <w:t>about</w:t>
      </w:r>
      <w:r w:rsidR="00990959" w:rsidRPr="009B783C">
        <w:t xml:space="preserve"> patient experience</w:t>
      </w:r>
      <w:r w:rsidR="00804264" w:rsidRPr="009B783C">
        <w:t xml:space="preserve"> </w:t>
      </w:r>
    </w:p>
    <w:bookmarkEnd w:id="122"/>
    <w:p w14:paraId="197A3ADD" w14:textId="7712EA05" w:rsidR="00023722" w:rsidRPr="009B783C" w:rsidRDefault="009B4F6A" w:rsidP="00F5425B">
      <w:pPr>
        <w:rPr>
          <w:szCs w:val="21"/>
        </w:rPr>
      </w:pPr>
      <w:r w:rsidRPr="009B783C">
        <w:rPr>
          <w:szCs w:val="21"/>
        </w:rPr>
        <w:t>Commissioners reported that a key benefit of the Medicare UCC Program from their perspective was improved access to urgent care in the community, as an alternative to ED, and when patients are unable to get an appointment with their regular primary care provider.</w:t>
      </w:r>
      <w:r w:rsidR="00C07863" w:rsidRPr="009B783C">
        <w:rPr>
          <w:szCs w:val="21"/>
        </w:rPr>
        <w:t xml:space="preserve"> </w:t>
      </w:r>
      <w:r w:rsidR="002247A5" w:rsidRPr="009B783C">
        <w:rPr>
          <w:szCs w:val="21"/>
          <w:lang w:eastAsia="en-AU"/>
        </w:rPr>
        <w:t xml:space="preserve">Commissioners </w:t>
      </w:r>
      <w:r w:rsidR="00A747D7" w:rsidRPr="009B783C">
        <w:rPr>
          <w:szCs w:val="21"/>
          <w:lang w:eastAsia="en-AU"/>
        </w:rPr>
        <w:t>reported</w:t>
      </w:r>
      <w:r w:rsidR="002247A5" w:rsidRPr="009B783C">
        <w:rPr>
          <w:szCs w:val="21"/>
          <w:lang w:eastAsia="en-AU"/>
        </w:rPr>
        <w:t xml:space="preserve"> </w:t>
      </w:r>
      <w:r w:rsidR="00B1630E" w:rsidRPr="009B783C">
        <w:rPr>
          <w:szCs w:val="21"/>
          <w:lang w:eastAsia="en-AU"/>
        </w:rPr>
        <w:t xml:space="preserve">receiving feedback </w:t>
      </w:r>
      <w:r w:rsidR="002247A5" w:rsidRPr="009B783C">
        <w:rPr>
          <w:szCs w:val="21"/>
          <w:lang w:eastAsia="en-AU"/>
        </w:rPr>
        <w:t>that</w:t>
      </w:r>
      <w:r w:rsidR="00B1630E" w:rsidRPr="009B783C">
        <w:rPr>
          <w:szCs w:val="21"/>
          <w:lang w:eastAsia="en-AU"/>
        </w:rPr>
        <w:t xml:space="preserve"> </w:t>
      </w:r>
      <w:r w:rsidR="002247A5" w:rsidRPr="009B783C">
        <w:rPr>
          <w:szCs w:val="21"/>
          <w:lang w:eastAsia="en-AU"/>
        </w:rPr>
        <w:t xml:space="preserve">patients appreciated </w:t>
      </w:r>
      <w:r w:rsidR="00833290" w:rsidRPr="009B783C">
        <w:rPr>
          <w:szCs w:val="21"/>
          <w:lang w:eastAsia="en-AU"/>
        </w:rPr>
        <w:t xml:space="preserve">avoiding </w:t>
      </w:r>
      <w:r w:rsidR="00886033" w:rsidRPr="009B783C">
        <w:rPr>
          <w:szCs w:val="21"/>
          <w:lang w:eastAsia="en-AU"/>
        </w:rPr>
        <w:t>extended wait</w:t>
      </w:r>
      <w:r w:rsidR="00155165" w:rsidRPr="009B783C">
        <w:rPr>
          <w:szCs w:val="21"/>
          <w:lang w:eastAsia="en-AU"/>
        </w:rPr>
        <w:t xml:space="preserve">s in the local ED. </w:t>
      </w:r>
      <w:r w:rsidR="002247A5" w:rsidRPr="009B783C">
        <w:rPr>
          <w:szCs w:val="21"/>
        </w:rPr>
        <w:t xml:space="preserve">As described in Measure of Success 1 (section </w:t>
      </w:r>
      <w:r w:rsidR="002247A5" w:rsidRPr="009B783C">
        <w:rPr>
          <w:szCs w:val="21"/>
        </w:rPr>
        <w:fldChar w:fldCharType="begin"/>
      </w:r>
      <w:r w:rsidR="002247A5" w:rsidRPr="009B783C">
        <w:rPr>
          <w:szCs w:val="21"/>
        </w:rPr>
        <w:instrText xml:space="preserve"> REF _Ref185248357 \n \h </w:instrText>
      </w:r>
      <w:r w:rsidR="00F5425B" w:rsidRPr="009B783C">
        <w:rPr>
          <w:szCs w:val="21"/>
        </w:rPr>
        <w:instrText xml:space="preserve"> \* MERGEFORMAT </w:instrText>
      </w:r>
      <w:r w:rsidR="002247A5" w:rsidRPr="009B783C">
        <w:rPr>
          <w:szCs w:val="21"/>
        </w:rPr>
      </w:r>
      <w:r w:rsidR="002247A5" w:rsidRPr="009B783C">
        <w:rPr>
          <w:szCs w:val="21"/>
        </w:rPr>
        <w:fldChar w:fldCharType="separate"/>
      </w:r>
      <w:r w:rsidR="0031172E" w:rsidRPr="009B783C">
        <w:rPr>
          <w:szCs w:val="21"/>
        </w:rPr>
        <w:t>5.1</w:t>
      </w:r>
      <w:r w:rsidR="002247A5" w:rsidRPr="009B783C">
        <w:rPr>
          <w:szCs w:val="21"/>
        </w:rPr>
        <w:fldChar w:fldCharType="end"/>
      </w:r>
      <w:r w:rsidR="002247A5" w:rsidRPr="009B783C">
        <w:rPr>
          <w:szCs w:val="21"/>
        </w:rPr>
        <w:t>), median waiting time at Medicare UCCs was 14.5 minutes (to the period up to 30 September 2024)</w:t>
      </w:r>
      <w:r w:rsidR="00093B44" w:rsidRPr="009B783C">
        <w:rPr>
          <w:szCs w:val="21"/>
        </w:rPr>
        <w:t>, whereas the median waiting time at EDs for triage category four was 31 minutes and category five was 24 minutes, noting that these waiting times are not directly comparable.</w:t>
      </w:r>
    </w:p>
    <w:p w14:paraId="67B2C0E6" w14:textId="5886A977" w:rsidR="0015052F" w:rsidRPr="009B783C" w:rsidRDefault="003F1427" w:rsidP="00F5425B">
      <w:pPr>
        <w:rPr>
          <w:szCs w:val="21"/>
        </w:rPr>
      </w:pPr>
      <w:r w:rsidRPr="009B783C">
        <w:rPr>
          <w:szCs w:val="21"/>
        </w:rPr>
        <w:t>O</w:t>
      </w:r>
      <w:r w:rsidR="002D298A" w:rsidRPr="009B783C">
        <w:rPr>
          <w:szCs w:val="21"/>
        </w:rPr>
        <w:t xml:space="preserve">ne remote NT Medicare UCC reported that transitioning into the Medicare UCC Program has enabled the clinic to expand opening hours overnight in response to local demand and improved patient experience. Patients </w:t>
      </w:r>
      <w:r w:rsidR="00394D88" w:rsidRPr="009B783C">
        <w:rPr>
          <w:szCs w:val="21"/>
        </w:rPr>
        <w:t>can</w:t>
      </w:r>
      <w:r w:rsidR="002D298A" w:rsidRPr="009B783C">
        <w:rPr>
          <w:szCs w:val="21"/>
        </w:rPr>
        <w:t xml:space="preserve"> </w:t>
      </w:r>
      <w:r w:rsidR="00CE3166" w:rsidRPr="009B783C">
        <w:rPr>
          <w:szCs w:val="21"/>
        </w:rPr>
        <w:t>walk in</w:t>
      </w:r>
      <w:r w:rsidR="002D298A" w:rsidRPr="009B783C">
        <w:rPr>
          <w:szCs w:val="21"/>
        </w:rPr>
        <w:t xml:space="preserve"> and access healthcare quickly when they need to, rather than waiting for on-call staff to be available or have care re-directed to the next day. This change has resulted in a significant reduction in patient complaints. </w:t>
      </w:r>
    </w:p>
    <w:p w14:paraId="1B3B5DF4" w14:textId="68E0E2B1" w:rsidR="0088603C" w:rsidRPr="009B783C" w:rsidRDefault="00F0309A" w:rsidP="00F5425B">
      <w:pPr>
        <w:rPr>
          <w:szCs w:val="21"/>
        </w:rPr>
      </w:pPr>
      <w:r w:rsidRPr="009B783C">
        <w:rPr>
          <w:szCs w:val="21"/>
          <w:lang w:eastAsia="en-AU"/>
        </w:rPr>
        <w:t>Commissioners</w:t>
      </w:r>
      <w:r w:rsidR="0088603C" w:rsidRPr="009B783C">
        <w:rPr>
          <w:szCs w:val="21"/>
          <w:lang w:eastAsia="en-AU"/>
        </w:rPr>
        <w:t xml:space="preserve"> </w:t>
      </w:r>
      <w:r w:rsidR="00B1630E" w:rsidRPr="009B783C">
        <w:rPr>
          <w:szCs w:val="21"/>
          <w:lang w:eastAsia="en-AU"/>
        </w:rPr>
        <w:t xml:space="preserve">also </w:t>
      </w:r>
      <w:r w:rsidR="0088603C" w:rsidRPr="009B783C">
        <w:rPr>
          <w:szCs w:val="21"/>
          <w:lang w:eastAsia="en-AU"/>
        </w:rPr>
        <w:t xml:space="preserve">reported </w:t>
      </w:r>
      <w:r w:rsidR="00A747D7" w:rsidRPr="009B783C">
        <w:rPr>
          <w:szCs w:val="21"/>
          <w:lang w:eastAsia="en-AU"/>
        </w:rPr>
        <w:t xml:space="preserve">receiving feedback </w:t>
      </w:r>
      <w:r w:rsidR="0088603C" w:rsidRPr="009B783C">
        <w:rPr>
          <w:szCs w:val="21"/>
          <w:lang w:eastAsia="en-AU"/>
        </w:rPr>
        <w:t xml:space="preserve">that patients </w:t>
      </w:r>
      <w:r w:rsidR="00A747D7" w:rsidRPr="009B783C">
        <w:rPr>
          <w:szCs w:val="21"/>
          <w:lang w:eastAsia="en-AU"/>
        </w:rPr>
        <w:t>appreciated</w:t>
      </w:r>
      <w:r w:rsidR="0088603C" w:rsidRPr="009B783C">
        <w:rPr>
          <w:szCs w:val="21"/>
          <w:lang w:eastAsia="en-AU"/>
        </w:rPr>
        <w:t xml:space="preserve"> access to bulk-billed care and no out-of-pocket expenses at the Medicare UCCs. </w:t>
      </w:r>
      <w:r w:rsidR="0088603C" w:rsidRPr="009B783C">
        <w:rPr>
          <w:szCs w:val="21"/>
        </w:rPr>
        <w:t>Based on the ABS Patient Experience Survey,</w:t>
      </w:r>
      <w:r w:rsidR="0088603C" w:rsidRPr="009B783C">
        <w:rPr>
          <w:rStyle w:val="FootnoteReference"/>
          <w:szCs w:val="21"/>
        </w:rPr>
        <w:footnoteReference w:id="74"/>
      </w:r>
      <w:r w:rsidR="0088603C" w:rsidRPr="009B783C">
        <w:rPr>
          <w:szCs w:val="21"/>
        </w:rPr>
        <w:t xml:space="preserve"> in 2023</w:t>
      </w:r>
      <w:r w:rsidR="0088603C" w:rsidRPr="009B783C">
        <w:rPr>
          <w:rFonts w:cs="Segoe UI"/>
          <w:szCs w:val="21"/>
        </w:rPr>
        <w:t>-</w:t>
      </w:r>
      <w:r w:rsidR="0088603C" w:rsidRPr="009B783C">
        <w:rPr>
          <w:szCs w:val="21"/>
        </w:rPr>
        <w:t xml:space="preserve">24, 8.8 per cent of people reported cost was a reason for delaying or not seeing a GP when needed and 6.4 per cent of people reported cost was a reason for not seeing an after-hours GP when needed. </w:t>
      </w:r>
      <w:r w:rsidR="003D4129" w:rsidRPr="009B783C">
        <w:rPr>
          <w:szCs w:val="21"/>
        </w:rPr>
        <w:t xml:space="preserve">This was noted to be particularly important for accessibility in lower socioeconomic areas </w:t>
      </w:r>
      <w:r w:rsidR="003D4129" w:rsidRPr="009B783C">
        <w:rPr>
          <w:szCs w:val="21"/>
          <w:lang w:eastAsia="en-AU"/>
        </w:rPr>
        <w:t xml:space="preserve">(SEIFA IRSD Quintiles 1 to 2) </w:t>
      </w:r>
      <w:r w:rsidR="003D4129" w:rsidRPr="009B783C">
        <w:rPr>
          <w:szCs w:val="21"/>
        </w:rPr>
        <w:t xml:space="preserve">where </w:t>
      </w:r>
      <w:r w:rsidR="0088603C" w:rsidRPr="009B783C">
        <w:rPr>
          <w:szCs w:val="21"/>
          <w:lang w:eastAsia="en-AU"/>
        </w:rPr>
        <w:t xml:space="preserve">49 per cent of Medicare UCCs are located </w:t>
      </w:r>
      <w:r w:rsidR="003D4129" w:rsidRPr="009B783C">
        <w:rPr>
          <w:szCs w:val="21"/>
          <w:lang w:eastAsia="en-AU"/>
        </w:rPr>
        <w:t>(</w:t>
      </w:r>
      <w:r w:rsidR="00016244" w:rsidRPr="009B783C">
        <w:rPr>
          <w:szCs w:val="21"/>
          <w:lang w:eastAsia="en-AU"/>
        </w:rPr>
        <w:fldChar w:fldCharType="begin"/>
      </w:r>
      <w:r w:rsidR="00016244" w:rsidRPr="009B783C">
        <w:rPr>
          <w:szCs w:val="21"/>
          <w:lang w:eastAsia="en-AU"/>
        </w:rPr>
        <w:instrText xml:space="preserve"> REF _Ref185485359 \h </w:instrText>
      </w:r>
      <w:r w:rsidR="00F5425B" w:rsidRPr="009B783C">
        <w:rPr>
          <w:szCs w:val="21"/>
          <w:lang w:eastAsia="en-AU"/>
        </w:rPr>
        <w:instrText xml:space="preserve"> \* MERGEFORMAT </w:instrText>
      </w:r>
      <w:r w:rsidR="00016244" w:rsidRPr="009B783C">
        <w:rPr>
          <w:szCs w:val="21"/>
          <w:lang w:eastAsia="en-AU"/>
        </w:rPr>
      </w:r>
      <w:r w:rsidR="00016244" w:rsidRPr="009B783C">
        <w:rPr>
          <w:szCs w:val="21"/>
          <w:lang w:eastAsia="en-AU"/>
        </w:rPr>
        <w:fldChar w:fldCharType="separate"/>
      </w:r>
      <w:r w:rsidR="005B79C6" w:rsidRPr="009B783C">
        <w:rPr>
          <w:szCs w:val="21"/>
        </w:rPr>
        <w:t xml:space="preserve">Table </w:t>
      </w:r>
      <w:r w:rsidR="005B79C6">
        <w:rPr>
          <w:szCs w:val="21"/>
        </w:rPr>
        <w:t>3</w:t>
      </w:r>
      <w:r w:rsidR="00016244" w:rsidRPr="009B783C">
        <w:rPr>
          <w:szCs w:val="21"/>
          <w:lang w:eastAsia="en-AU"/>
        </w:rPr>
        <w:fldChar w:fldCharType="end"/>
      </w:r>
      <w:r w:rsidR="00016244" w:rsidRPr="009B783C">
        <w:rPr>
          <w:szCs w:val="21"/>
          <w:lang w:eastAsia="en-AU"/>
        </w:rPr>
        <w:t xml:space="preserve"> in section </w:t>
      </w:r>
      <w:r w:rsidR="00016244" w:rsidRPr="009B783C">
        <w:rPr>
          <w:szCs w:val="21"/>
          <w:lang w:eastAsia="en-AU"/>
        </w:rPr>
        <w:fldChar w:fldCharType="begin"/>
      </w:r>
      <w:r w:rsidR="00016244" w:rsidRPr="009B783C">
        <w:rPr>
          <w:szCs w:val="21"/>
          <w:lang w:eastAsia="en-AU"/>
        </w:rPr>
        <w:instrText xml:space="preserve"> REF _Ref185510938 \r \h </w:instrText>
      </w:r>
      <w:r w:rsidR="00F5425B" w:rsidRPr="009B783C">
        <w:rPr>
          <w:szCs w:val="21"/>
          <w:lang w:eastAsia="en-AU"/>
        </w:rPr>
        <w:instrText xml:space="preserve"> \* MERGEFORMAT </w:instrText>
      </w:r>
      <w:r w:rsidR="00016244" w:rsidRPr="009B783C">
        <w:rPr>
          <w:szCs w:val="21"/>
          <w:lang w:eastAsia="en-AU"/>
        </w:rPr>
      </w:r>
      <w:r w:rsidR="00016244" w:rsidRPr="009B783C">
        <w:rPr>
          <w:szCs w:val="21"/>
          <w:lang w:eastAsia="en-AU"/>
        </w:rPr>
        <w:fldChar w:fldCharType="separate"/>
      </w:r>
      <w:r w:rsidR="0031172E" w:rsidRPr="009B783C">
        <w:rPr>
          <w:szCs w:val="21"/>
          <w:lang w:eastAsia="en-AU"/>
        </w:rPr>
        <w:t>4.2</w:t>
      </w:r>
      <w:r w:rsidR="00016244" w:rsidRPr="009B783C">
        <w:rPr>
          <w:szCs w:val="21"/>
          <w:lang w:eastAsia="en-AU"/>
        </w:rPr>
        <w:fldChar w:fldCharType="end"/>
      </w:r>
      <w:r w:rsidR="003D4129" w:rsidRPr="009B783C">
        <w:rPr>
          <w:szCs w:val="21"/>
          <w:lang w:eastAsia="en-AU"/>
        </w:rPr>
        <w:t>)</w:t>
      </w:r>
      <w:r w:rsidR="00016244" w:rsidRPr="009B783C">
        <w:rPr>
          <w:szCs w:val="21"/>
          <w:lang w:eastAsia="en-AU"/>
        </w:rPr>
        <w:t>.</w:t>
      </w:r>
    </w:p>
    <w:p w14:paraId="237BE939" w14:textId="41202DEC" w:rsidR="00760B9F" w:rsidRPr="009B783C" w:rsidRDefault="00760B9F" w:rsidP="000D706D">
      <w:pPr>
        <w:pStyle w:val="Heading3"/>
      </w:pPr>
      <w:r w:rsidRPr="009B783C">
        <w:t xml:space="preserve">Patient stories provided </w:t>
      </w:r>
      <w:r w:rsidR="00FA7636" w:rsidRPr="009B783C">
        <w:t>to</w:t>
      </w:r>
      <w:r w:rsidRPr="009B783C">
        <w:t xml:space="preserve"> </w:t>
      </w:r>
      <w:r w:rsidRPr="000D706D">
        <w:t>the</w:t>
      </w:r>
      <w:r w:rsidRPr="009B783C">
        <w:t xml:space="preserve"> Department </w:t>
      </w:r>
      <w:r w:rsidR="0082293A" w:rsidRPr="009B783C">
        <w:t xml:space="preserve">offer examples </w:t>
      </w:r>
      <w:r w:rsidR="001A1BAA" w:rsidRPr="009B783C">
        <w:t>of patient experiences</w:t>
      </w:r>
      <w:r w:rsidR="002F5326" w:rsidRPr="009B783C">
        <w:t xml:space="preserve"> at Medicare UCCs</w:t>
      </w:r>
    </w:p>
    <w:p w14:paraId="7F8B0B6A" w14:textId="753820E7" w:rsidR="007837DC" w:rsidRPr="009B783C" w:rsidRDefault="002247A5" w:rsidP="00F5425B">
      <w:pPr>
        <w:rPr>
          <w:szCs w:val="21"/>
        </w:rPr>
      </w:pPr>
      <w:r w:rsidRPr="009B783C">
        <w:rPr>
          <w:szCs w:val="21"/>
        </w:rPr>
        <w:t xml:space="preserve">A sample of patient stories provided </w:t>
      </w:r>
      <w:r w:rsidR="004A1616" w:rsidRPr="009B783C">
        <w:rPr>
          <w:szCs w:val="21"/>
        </w:rPr>
        <w:t>to</w:t>
      </w:r>
      <w:r w:rsidRPr="009B783C">
        <w:rPr>
          <w:szCs w:val="21"/>
        </w:rPr>
        <w:t xml:space="preserve"> the Department</w:t>
      </w:r>
      <w:r w:rsidR="00235215" w:rsidRPr="009B783C">
        <w:rPr>
          <w:szCs w:val="21"/>
        </w:rPr>
        <w:t xml:space="preserve"> echo sentiments reported by commissioners and offer examples of patient experiences at Medicare UCCs</w:t>
      </w:r>
      <w:r w:rsidR="00BD0E07" w:rsidRPr="009B783C">
        <w:rPr>
          <w:szCs w:val="21"/>
        </w:rPr>
        <w:t>.</w:t>
      </w:r>
    </w:p>
    <w:p w14:paraId="6338D066" w14:textId="418AB3DA" w:rsidR="002F5326" w:rsidRDefault="004267EC" w:rsidP="00F5425B">
      <w:pPr>
        <w:rPr>
          <w:szCs w:val="21"/>
        </w:rPr>
      </w:pPr>
      <w:r w:rsidRPr="009B783C">
        <w:rPr>
          <w:szCs w:val="21"/>
        </w:rPr>
        <w:t>T</w:t>
      </w:r>
      <w:r w:rsidR="005629A7" w:rsidRPr="009B783C">
        <w:rPr>
          <w:szCs w:val="21"/>
        </w:rPr>
        <w:t>he story</w:t>
      </w:r>
      <w:r w:rsidRPr="009B783C">
        <w:rPr>
          <w:szCs w:val="21"/>
        </w:rPr>
        <w:t xml:space="preserve"> below is</w:t>
      </w:r>
      <w:r w:rsidR="005629A7" w:rsidRPr="009B783C">
        <w:rPr>
          <w:szCs w:val="21"/>
        </w:rPr>
        <w:t xml:space="preserve"> </w:t>
      </w:r>
      <w:r w:rsidR="00925AF2" w:rsidRPr="009B783C">
        <w:rPr>
          <w:szCs w:val="21"/>
        </w:rPr>
        <w:t xml:space="preserve">of a patient </w:t>
      </w:r>
      <w:r w:rsidR="00CA3377" w:rsidRPr="009B783C">
        <w:rPr>
          <w:szCs w:val="21"/>
        </w:rPr>
        <w:t xml:space="preserve">from North </w:t>
      </w:r>
      <w:r w:rsidR="00967E52" w:rsidRPr="009B783C">
        <w:rPr>
          <w:szCs w:val="21"/>
        </w:rPr>
        <w:t>QLD</w:t>
      </w:r>
      <w:r w:rsidR="00CA3377" w:rsidRPr="009B783C">
        <w:rPr>
          <w:szCs w:val="21"/>
        </w:rPr>
        <w:t xml:space="preserve"> who </w:t>
      </w:r>
      <w:r w:rsidR="002A6982" w:rsidRPr="009B783C">
        <w:rPr>
          <w:szCs w:val="21"/>
        </w:rPr>
        <w:t>went to</w:t>
      </w:r>
      <w:r w:rsidR="005F77AF" w:rsidRPr="009B783C">
        <w:rPr>
          <w:szCs w:val="21"/>
        </w:rPr>
        <w:t xml:space="preserve"> the Medicare UCC </w:t>
      </w:r>
      <w:r w:rsidR="004A1616" w:rsidRPr="009B783C">
        <w:rPr>
          <w:szCs w:val="21"/>
        </w:rPr>
        <w:t xml:space="preserve">instead of an ED </w:t>
      </w:r>
      <w:r w:rsidR="000E3FB5" w:rsidRPr="009B783C">
        <w:rPr>
          <w:szCs w:val="21"/>
        </w:rPr>
        <w:t>when experiencing a migraine</w:t>
      </w:r>
      <w:r w:rsidR="004C6186" w:rsidRPr="009B783C">
        <w:rPr>
          <w:szCs w:val="21"/>
        </w:rPr>
        <w:t xml:space="preserve">. This patient </w:t>
      </w:r>
      <w:r w:rsidR="00774D3D" w:rsidRPr="009B783C">
        <w:rPr>
          <w:szCs w:val="21"/>
        </w:rPr>
        <w:t>appreci</w:t>
      </w:r>
      <w:r w:rsidR="004454AB" w:rsidRPr="009B783C">
        <w:rPr>
          <w:szCs w:val="21"/>
        </w:rPr>
        <w:t xml:space="preserve">ated </w:t>
      </w:r>
      <w:r w:rsidR="00F12A68" w:rsidRPr="009B783C">
        <w:rPr>
          <w:szCs w:val="21"/>
        </w:rPr>
        <w:t xml:space="preserve">being treated </w:t>
      </w:r>
      <w:r w:rsidR="005B7509" w:rsidRPr="009B783C">
        <w:rPr>
          <w:szCs w:val="21"/>
        </w:rPr>
        <w:t xml:space="preserve">by staff </w:t>
      </w:r>
      <w:r w:rsidR="00F12A68" w:rsidRPr="009B783C">
        <w:rPr>
          <w:szCs w:val="21"/>
        </w:rPr>
        <w:t xml:space="preserve">with </w:t>
      </w:r>
      <w:r w:rsidR="004C6186" w:rsidRPr="009B783C">
        <w:rPr>
          <w:szCs w:val="21"/>
        </w:rPr>
        <w:t xml:space="preserve">care and compassion, </w:t>
      </w:r>
      <w:r w:rsidR="00487649" w:rsidRPr="009B783C">
        <w:rPr>
          <w:szCs w:val="21"/>
        </w:rPr>
        <w:t xml:space="preserve">having her appointment </w:t>
      </w:r>
      <w:r w:rsidR="004454AB" w:rsidRPr="009B783C">
        <w:rPr>
          <w:szCs w:val="21"/>
        </w:rPr>
        <w:t>bulk-billed</w:t>
      </w:r>
      <w:r w:rsidR="00487649" w:rsidRPr="009B783C">
        <w:rPr>
          <w:szCs w:val="21"/>
        </w:rPr>
        <w:t xml:space="preserve"> and avoiding</w:t>
      </w:r>
      <w:r w:rsidR="00046EC2" w:rsidRPr="009B783C">
        <w:rPr>
          <w:szCs w:val="21"/>
        </w:rPr>
        <w:t xml:space="preserve"> ED. </w:t>
      </w:r>
    </w:p>
    <w:p w14:paraId="53FB36AD" w14:textId="41FCC11B" w:rsidR="00397117" w:rsidRPr="00397117" w:rsidRDefault="00F311CC" w:rsidP="00F5425B">
      <w:pPr>
        <w:rPr>
          <w:rFonts w:asciiTheme="minorHAnsi" w:hAnsiTheme="minorHAnsi" w:cstheme="minorHAnsi"/>
          <w:szCs w:val="21"/>
        </w:rPr>
      </w:pPr>
      <w:r>
        <w:rPr>
          <w:rFonts w:asciiTheme="minorHAnsi" w:hAnsiTheme="minorHAnsi" w:cstheme="minorHAnsi"/>
          <w:b/>
          <w:bCs/>
          <w:szCs w:val="21"/>
        </w:rPr>
        <w:t xml:space="preserve">Patient story: </w:t>
      </w:r>
      <w:r w:rsidR="00397117" w:rsidRPr="00397117">
        <w:rPr>
          <w:rFonts w:asciiTheme="minorHAnsi" w:hAnsiTheme="minorHAnsi" w:cstheme="minorHAnsi"/>
          <w:szCs w:val="21"/>
        </w:rPr>
        <w:t xml:space="preserve">“Recently I had the unfortunate experience of a migraine. It was not my first, and I could not get on top of it with the medications I usually take. In the past, I attended the ED at Cairns Hospital and received excellent care, however, this time I let my partner drive me to the Edmonton Medicare UCC. On my arrival, I was treated well with care and compassion – placed in a quiet dark room and medications for my symptoms were administered in a timely manner. After a few hours when the symptoms had eased, I offered to go home to sleep the rest of the attack off, but at no stage did I feel like I was being pressured to make way for other patients. The services were </w:t>
      </w:r>
      <w:proofErr w:type="gramStart"/>
      <w:r w:rsidR="00397117" w:rsidRPr="00397117">
        <w:rPr>
          <w:rFonts w:asciiTheme="minorHAnsi" w:hAnsiTheme="minorHAnsi" w:cstheme="minorHAnsi"/>
          <w:szCs w:val="21"/>
        </w:rPr>
        <w:t>bulk-billed</w:t>
      </w:r>
      <w:proofErr w:type="gramEnd"/>
      <w:r w:rsidR="00397117" w:rsidRPr="00397117">
        <w:rPr>
          <w:rFonts w:asciiTheme="minorHAnsi" w:hAnsiTheme="minorHAnsi" w:cstheme="minorHAnsi"/>
          <w:szCs w:val="21"/>
        </w:rPr>
        <w:t xml:space="preserve"> with no out-of-pocket expenses. I found this service to be </w:t>
      </w:r>
      <w:r w:rsidR="00397117" w:rsidRPr="00397117">
        <w:rPr>
          <w:rFonts w:asciiTheme="minorHAnsi" w:hAnsiTheme="minorHAnsi" w:cstheme="minorHAnsi"/>
          <w:szCs w:val="21"/>
        </w:rPr>
        <w:lastRenderedPageBreak/>
        <w:t>excellent for my minor medical needs and was glad I didn’t tie up a bed in the already overstretched ED at Cairns Hospital.” [Patient]</w:t>
      </w:r>
    </w:p>
    <w:p w14:paraId="0721DEC4" w14:textId="04706DFF" w:rsidR="009B4F6A" w:rsidRDefault="004267EC" w:rsidP="00B06B25">
      <w:pPr>
        <w:spacing w:before="120"/>
        <w:rPr>
          <w:szCs w:val="21"/>
        </w:rPr>
      </w:pPr>
      <w:r w:rsidRPr="009B783C">
        <w:rPr>
          <w:szCs w:val="21"/>
        </w:rPr>
        <w:t>T</w:t>
      </w:r>
      <w:r w:rsidR="009B4F6A" w:rsidRPr="009B783C">
        <w:rPr>
          <w:szCs w:val="21"/>
        </w:rPr>
        <w:t>he</w:t>
      </w:r>
      <w:r w:rsidRPr="009B783C">
        <w:rPr>
          <w:szCs w:val="21"/>
        </w:rPr>
        <w:t xml:space="preserve"> following</w:t>
      </w:r>
      <w:r w:rsidR="009B4F6A" w:rsidRPr="009B783C">
        <w:rPr>
          <w:szCs w:val="21"/>
        </w:rPr>
        <w:t xml:space="preserve"> story </w:t>
      </w:r>
      <w:r w:rsidRPr="009B783C">
        <w:rPr>
          <w:szCs w:val="21"/>
        </w:rPr>
        <w:t xml:space="preserve">is </w:t>
      </w:r>
      <w:r w:rsidR="009B4F6A" w:rsidRPr="009B783C">
        <w:rPr>
          <w:szCs w:val="21"/>
        </w:rPr>
        <w:t>of a 12-year-old child who was brought to a Medicare UCC with an urgent respiratory condition whilst away on holidays</w:t>
      </w:r>
      <w:r w:rsidR="00406B46" w:rsidRPr="009B783C">
        <w:rPr>
          <w:szCs w:val="21"/>
        </w:rPr>
        <w:t xml:space="preserve">. </w:t>
      </w:r>
      <w:r w:rsidR="005F78CE" w:rsidRPr="009B783C">
        <w:rPr>
          <w:szCs w:val="21"/>
        </w:rPr>
        <w:t>The girl and her mother were at the clinic for one</w:t>
      </w:r>
      <w:r w:rsidR="008D166C" w:rsidRPr="009B783C">
        <w:rPr>
          <w:szCs w:val="21"/>
        </w:rPr>
        <w:t xml:space="preserve"> </w:t>
      </w:r>
      <w:r w:rsidR="005F78CE" w:rsidRPr="009B783C">
        <w:rPr>
          <w:szCs w:val="21"/>
        </w:rPr>
        <w:t xml:space="preserve">hour, and were reportedly </w:t>
      </w:r>
      <w:r w:rsidR="00F013B3" w:rsidRPr="009B783C">
        <w:rPr>
          <w:szCs w:val="21"/>
        </w:rPr>
        <w:t xml:space="preserve">appreciative </w:t>
      </w:r>
      <w:r w:rsidR="00B131DA" w:rsidRPr="009B783C">
        <w:rPr>
          <w:szCs w:val="21"/>
        </w:rPr>
        <w:t xml:space="preserve">that the Medicare UCC was </w:t>
      </w:r>
      <w:r w:rsidR="0041561E" w:rsidRPr="009B783C">
        <w:rPr>
          <w:szCs w:val="21"/>
        </w:rPr>
        <w:t xml:space="preserve">available so they could </w:t>
      </w:r>
      <w:r w:rsidR="009B4F6A" w:rsidRPr="009B783C">
        <w:rPr>
          <w:szCs w:val="21"/>
        </w:rPr>
        <w:t xml:space="preserve">avoid a lengthy wait in ED. </w:t>
      </w:r>
    </w:p>
    <w:p w14:paraId="5716296E" w14:textId="722B5167" w:rsidR="00F311CC" w:rsidRDefault="00F311CC" w:rsidP="00B06B25">
      <w:pPr>
        <w:spacing w:before="120"/>
        <w:rPr>
          <w:szCs w:val="21"/>
        </w:rPr>
      </w:pPr>
      <w:r>
        <w:rPr>
          <w:b/>
          <w:bCs/>
          <w:szCs w:val="21"/>
        </w:rPr>
        <w:t xml:space="preserve">Patient story: </w:t>
      </w:r>
      <w:r w:rsidRPr="00F311CC">
        <w:rPr>
          <w:szCs w:val="21"/>
        </w:rPr>
        <w:t>A 12-year-old girl was brought into the Medicare UCC by her mother with a “barking” cough. Her mother reported they were unable to get into their regular GP as they were away on holidays. The child had a diagnosis of asthma and was triaged by the nurse and assessed by the GP not long after, who started her on antibiotics and prednisolone. The girl and her mother were at the clinic for a total of one-hour from walking in the front door to leaving. Her mother was very appreciative of the care and that the clinic was available to them, which prevented them from having to wait an extended amount of time in the local ED.</w:t>
      </w:r>
    </w:p>
    <w:p w14:paraId="1DBDDB79" w14:textId="55A45AF6" w:rsidR="009B4F6A" w:rsidRDefault="00C535EE" w:rsidP="00B06B25">
      <w:pPr>
        <w:spacing w:before="120"/>
        <w:rPr>
          <w:szCs w:val="21"/>
          <w:lang w:eastAsia="en-AU"/>
        </w:rPr>
      </w:pPr>
      <w:r w:rsidRPr="009B783C">
        <w:rPr>
          <w:szCs w:val="21"/>
          <w:lang w:eastAsia="en-AU"/>
        </w:rPr>
        <w:t xml:space="preserve">The final story </w:t>
      </w:r>
      <w:r w:rsidR="009B4F6A" w:rsidRPr="009B783C">
        <w:rPr>
          <w:szCs w:val="21"/>
          <w:lang w:eastAsia="en-AU"/>
        </w:rPr>
        <w:t>describes a mother bringing her 18-month-old son to a Medicare UCC in the NT with a urinary tract infection and the quality of care she received from the GP.</w:t>
      </w:r>
      <w:r w:rsidR="005075EA" w:rsidRPr="009B783C">
        <w:rPr>
          <w:szCs w:val="21"/>
          <w:lang w:eastAsia="en-AU"/>
        </w:rPr>
        <w:t xml:space="preserve"> </w:t>
      </w:r>
    </w:p>
    <w:p w14:paraId="7601A1B6" w14:textId="520E2F1F" w:rsidR="009B4F6A" w:rsidRPr="009B783C" w:rsidRDefault="00F311CC" w:rsidP="00F311CC">
      <w:pPr>
        <w:spacing w:before="120"/>
        <w:rPr>
          <w:szCs w:val="21"/>
          <w:lang w:eastAsia="en-AU"/>
        </w:rPr>
      </w:pPr>
      <w:r>
        <w:rPr>
          <w:b/>
          <w:bCs/>
          <w:szCs w:val="21"/>
          <w:lang w:eastAsia="en-AU"/>
        </w:rPr>
        <w:t xml:space="preserve">Patient story: </w:t>
      </w:r>
      <w:r w:rsidRPr="00F311CC">
        <w:rPr>
          <w:szCs w:val="21"/>
          <w:lang w:eastAsia="en-AU"/>
        </w:rPr>
        <w:t>An 18-month-old boy was brought into a Medicare UCC in NT by his mother with a deteriorating urinary tract infection and fever. They were the first patients to arrive at the clinic and were welcomed in by staff. They were seen promptly by the GP who they had also seen at a nearby GP super clinic on occasions. The mother stated that the GP was excellent with her son and her. He provided a thorough assessment and was very calming to her unwell child. He allowed appropriate time between different parts of the assessment to gain her son’s trust. He allowed her to talk through what she had done to date to manage her son’s condition and made some recommendations for further medications. Most importantly, the GP reassured her that being there was the right thing to do and that if they needed to return later in the day, he welcomed it and would review her son again. The mother stated it was overall an excellent service with a thorough GP who allowed them to return home comfortably with a great plan of action.</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9B4F6A" w:rsidRPr="009B783C" w14:paraId="482C577E" w14:textId="77777777" w:rsidTr="007D389D">
        <w:tc>
          <w:tcPr>
            <w:tcW w:w="8907" w:type="dxa"/>
          </w:tcPr>
          <w:p w14:paraId="6FF0D70E" w14:textId="6CCE6EF9" w:rsidR="009B4F6A" w:rsidRPr="00646FE9" w:rsidRDefault="00EE21ED" w:rsidP="00F5425B">
            <w:pPr>
              <w:pStyle w:val="Longformcallout"/>
              <w:rPr>
                <w:rFonts w:asciiTheme="majorHAnsi" w:hAnsiTheme="majorHAnsi" w:cstheme="majorHAnsi"/>
                <w:sz w:val="28"/>
                <w:szCs w:val="28"/>
              </w:rPr>
            </w:pPr>
            <w:bookmarkStart w:id="129" w:name="_Toc179962834"/>
            <w:r w:rsidRPr="00646FE9">
              <w:rPr>
                <w:rFonts w:asciiTheme="majorHAnsi" w:hAnsiTheme="majorHAnsi" w:cstheme="majorHAnsi"/>
                <w:sz w:val="28"/>
                <w:szCs w:val="28"/>
              </w:rPr>
              <w:t>Interim finding</w:t>
            </w:r>
          </w:p>
          <w:p w14:paraId="05772E00" w14:textId="5E1E315B" w:rsidR="009B4F6A" w:rsidRPr="009B783C" w:rsidRDefault="009B4F6A" w:rsidP="00F5425B">
            <w:pPr>
              <w:pStyle w:val="Longformcallout"/>
            </w:pPr>
            <w:r w:rsidRPr="009B783C">
              <w:rPr>
                <w:szCs w:val="21"/>
              </w:rPr>
              <w:t xml:space="preserve">Based on available evidence, it is too early to provide a balanced assessment of how satisfied patients are with Medicare UCCs and the extent to which Medicare UCCs are providing a positive experience for patients and carers. </w:t>
            </w:r>
            <w:r w:rsidR="001A45C6" w:rsidRPr="009B783C">
              <w:rPr>
                <w:szCs w:val="21"/>
              </w:rPr>
              <w:t>F</w:t>
            </w:r>
            <w:r w:rsidR="00A2753A" w:rsidRPr="009B783C">
              <w:rPr>
                <w:szCs w:val="21"/>
              </w:rPr>
              <w:t xml:space="preserve">eedback </w:t>
            </w:r>
            <w:r w:rsidR="00B521D8" w:rsidRPr="009B783C">
              <w:rPr>
                <w:szCs w:val="21"/>
              </w:rPr>
              <w:t>received</w:t>
            </w:r>
            <w:r w:rsidR="00A2753A" w:rsidRPr="009B783C">
              <w:rPr>
                <w:szCs w:val="21"/>
              </w:rPr>
              <w:t xml:space="preserve"> </w:t>
            </w:r>
            <w:r w:rsidR="003C1D5C" w:rsidRPr="009B783C">
              <w:rPr>
                <w:szCs w:val="21"/>
              </w:rPr>
              <w:t>from</w:t>
            </w:r>
            <w:r w:rsidR="00A2753A" w:rsidRPr="009B783C">
              <w:rPr>
                <w:szCs w:val="21"/>
              </w:rPr>
              <w:t xml:space="preserve"> commissioners indicated </w:t>
            </w:r>
            <w:r w:rsidR="008A08AA" w:rsidRPr="009B783C">
              <w:rPr>
                <w:szCs w:val="21"/>
              </w:rPr>
              <w:t xml:space="preserve">their consistent view </w:t>
            </w:r>
            <w:r w:rsidR="00A2753A" w:rsidRPr="009B783C">
              <w:rPr>
                <w:szCs w:val="21"/>
              </w:rPr>
              <w:t xml:space="preserve">that patients </w:t>
            </w:r>
            <w:r w:rsidR="004360BB" w:rsidRPr="009B783C">
              <w:rPr>
                <w:szCs w:val="21"/>
              </w:rPr>
              <w:t>appreciated</w:t>
            </w:r>
            <w:r w:rsidR="00A2753A" w:rsidRPr="009B783C">
              <w:rPr>
                <w:szCs w:val="21"/>
              </w:rPr>
              <w:t xml:space="preserve"> avoiding extended waits in ED and having access to bulk-billed care.</w:t>
            </w:r>
            <w:r w:rsidR="00A2753A" w:rsidRPr="009B783C">
              <w:t xml:space="preserve"> </w:t>
            </w:r>
          </w:p>
        </w:tc>
      </w:tr>
    </w:tbl>
    <w:p w14:paraId="7C9529E6" w14:textId="77777777" w:rsidR="009B4F6A" w:rsidRPr="009B783C" w:rsidRDefault="009B4F6A" w:rsidP="000D706D">
      <w:pPr>
        <w:pStyle w:val="Heading3"/>
        <w:rPr>
          <w:rFonts w:asciiTheme="majorHAnsi" w:hAnsiTheme="majorHAnsi" w:cstheme="majorHAnsi"/>
          <w:bCs/>
        </w:rPr>
      </w:pPr>
      <w:r w:rsidRPr="009B783C">
        <w:t>Stakeholders identified early opportunities to improve patient experience</w:t>
      </w:r>
      <w:r w:rsidRPr="009B783C">
        <w:rPr>
          <w:rFonts w:asciiTheme="majorHAnsi" w:hAnsiTheme="majorHAnsi" w:cstheme="majorHAnsi"/>
          <w:bCs/>
        </w:rPr>
        <w:t xml:space="preserve"> </w:t>
      </w:r>
      <w:bookmarkEnd w:id="129"/>
    </w:p>
    <w:p w14:paraId="01756A53" w14:textId="77777777" w:rsidR="009B4F6A" w:rsidRPr="000045B5" w:rsidRDefault="009B4F6A" w:rsidP="00950D18">
      <w:pPr>
        <w:pStyle w:val="Heading4"/>
      </w:pPr>
      <w:r w:rsidRPr="000045B5">
        <w:t>Managing demand for Medicare UCC services</w:t>
      </w:r>
    </w:p>
    <w:p w14:paraId="107C98BE" w14:textId="0553F876" w:rsidR="009B4F6A" w:rsidRPr="009B783C" w:rsidRDefault="009B4F6A" w:rsidP="00F5425B">
      <w:pPr>
        <w:rPr>
          <w:szCs w:val="21"/>
          <w:lang w:eastAsia="en-AU"/>
        </w:rPr>
      </w:pPr>
      <w:r w:rsidRPr="009B783C">
        <w:rPr>
          <w:szCs w:val="21"/>
          <w:lang w:eastAsia="en-AU"/>
        </w:rPr>
        <w:t>As described in Measure of Success 1</w:t>
      </w:r>
      <w:r w:rsidR="00193CAF" w:rsidRPr="009B783C">
        <w:rPr>
          <w:szCs w:val="21"/>
          <w:lang w:eastAsia="en-AU"/>
        </w:rPr>
        <w:t xml:space="preserve"> (section </w:t>
      </w:r>
      <w:r w:rsidR="00193CAF" w:rsidRPr="009B783C">
        <w:rPr>
          <w:szCs w:val="21"/>
          <w:lang w:eastAsia="en-AU"/>
        </w:rPr>
        <w:fldChar w:fldCharType="begin"/>
      </w:r>
      <w:r w:rsidR="00193CAF" w:rsidRPr="009B783C">
        <w:rPr>
          <w:szCs w:val="21"/>
          <w:lang w:eastAsia="en-AU"/>
        </w:rPr>
        <w:instrText xml:space="preserve"> REF _Ref185248357 \n \h </w:instrText>
      </w:r>
      <w:r w:rsidR="00F5425B" w:rsidRPr="009B783C">
        <w:rPr>
          <w:szCs w:val="21"/>
          <w:lang w:eastAsia="en-AU"/>
        </w:rPr>
        <w:instrText xml:space="preserve"> \* MERGEFORMAT </w:instrText>
      </w:r>
      <w:r w:rsidR="00193CAF" w:rsidRPr="009B783C">
        <w:rPr>
          <w:szCs w:val="21"/>
          <w:lang w:eastAsia="en-AU"/>
        </w:rPr>
      </w:r>
      <w:r w:rsidR="00193CAF" w:rsidRPr="009B783C">
        <w:rPr>
          <w:szCs w:val="21"/>
          <w:lang w:eastAsia="en-AU"/>
        </w:rPr>
        <w:fldChar w:fldCharType="separate"/>
      </w:r>
      <w:r w:rsidR="0031172E" w:rsidRPr="009B783C">
        <w:rPr>
          <w:szCs w:val="21"/>
          <w:lang w:eastAsia="en-AU"/>
        </w:rPr>
        <w:t>5.1</w:t>
      </w:r>
      <w:r w:rsidR="00193CAF" w:rsidRPr="009B783C">
        <w:rPr>
          <w:szCs w:val="21"/>
          <w:lang w:eastAsia="en-AU"/>
        </w:rPr>
        <w:fldChar w:fldCharType="end"/>
      </w:r>
      <w:r w:rsidR="00193CAF" w:rsidRPr="009B783C">
        <w:rPr>
          <w:szCs w:val="21"/>
          <w:lang w:eastAsia="en-AU"/>
        </w:rPr>
        <w:t>)</w:t>
      </w:r>
      <w:r w:rsidR="004D1025" w:rsidRPr="009B783C">
        <w:rPr>
          <w:szCs w:val="21"/>
          <w:lang w:eastAsia="en-AU"/>
        </w:rPr>
        <w:t>,</w:t>
      </w:r>
      <w:r w:rsidRPr="009B783C">
        <w:rPr>
          <w:szCs w:val="21"/>
          <w:lang w:eastAsia="en-AU"/>
        </w:rPr>
        <w:t xml:space="preserve"> there have been some reports of patients experiencing challenges accessing care at the Medicare UCCs during peak periods as awareness and demand for the services have increased. There have been instances where Medicare UCCs </w:t>
      </w:r>
      <w:r w:rsidRPr="009B783C">
        <w:rPr>
          <w:szCs w:val="21"/>
          <w:lang w:eastAsia="en-AU"/>
        </w:rPr>
        <w:lastRenderedPageBreak/>
        <w:t>have been at capacity several hours before closing time and have had to turn patients away. For example, in one state, some clinics have had to turn away patients after 8</w:t>
      </w:r>
      <w:r w:rsidRPr="009B783C">
        <w:rPr>
          <w:szCs w:val="21"/>
        </w:rPr>
        <w:t xml:space="preserve">:00 </w:t>
      </w:r>
      <w:r w:rsidRPr="009B783C">
        <w:rPr>
          <w:szCs w:val="21"/>
          <w:lang w:eastAsia="en-AU"/>
        </w:rPr>
        <w:t>pm during peak periods, despite not closing until 11</w:t>
      </w:r>
      <w:r w:rsidRPr="009B783C">
        <w:rPr>
          <w:szCs w:val="21"/>
        </w:rPr>
        <w:t xml:space="preserve">:00 </w:t>
      </w:r>
      <w:r w:rsidRPr="009B783C">
        <w:rPr>
          <w:szCs w:val="21"/>
          <w:lang w:eastAsia="en-AU"/>
        </w:rPr>
        <w:t xml:space="preserve">pm. In these circumstances, patients were advised to either attend ED or present the next day to the Medicare UCC or their usual GP, depending on the acuity of their condition. </w:t>
      </w:r>
    </w:p>
    <w:p w14:paraId="16FC7968" w14:textId="016F72A1" w:rsidR="009B4F6A" w:rsidRPr="009B783C" w:rsidRDefault="009B4F6A" w:rsidP="00F5425B">
      <w:pPr>
        <w:rPr>
          <w:szCs w:val="21"/>
          <w:lang w:eastAsia="en-AU"/>
        </w:rPr>
      </w:pPr>
      <w:r w:rsidRPr="009B783C">
        <w:rPr>
          <w:szCs w:val="21"/>
          <w:lang w:eastAsia="en-AU"/>
        </w:rPr>
        <w:t>There have also been some reports of long waiting times at Medicare UCCs. As described in Measure of Success 1</w:t>
      </w:r>
      <w:r w:rsidR="00193CAF" w:rsidRPr="009B783C">
        <w:rPr>
          <w:szCs w:val="21"/>
          <w:lang w:eastAsia="en-AU"/>
        </w:rPr>
        <w:t xml:space="preserve"> (section </w:t>
      </w:r>
      <w:r w:rsidR="00193CAF" w:rsidRPr="009B783C">
        <w:rPr>
          <w:szCs w:val="21"/>
          <w:lang w:eastAsia="en-AU"/>
        </w:rPr>
        <w:fldChar w:fldCharType="begin"/>
      </w:r>
      <w:r w:rsidR="00193CAF" w:rsidRPr="009B783C">
        <w:rPr>
          <w:szCs w:val="21"/>
          <w:lang w:eastAsia="en-AU"/>
        </w:rPr>
        <w:instrText xml:space="preserve"> REF _Ref185248357 \n \h </w:instrText>
      </w:r>
      <w:r w:rsidR="00F5425B" w:rsidRPr="009B783C">
        <w:rPr>
          <w:szCs w:val="21"/>
          <w:lang w:eastAsia="en-AU"/>
        </w:rPr>
        <w:instrText xml:space="preserve"> \* MERGEFORMAT </w:instrText>
      </w:r>
      <w:r w:rsidR="00193CAF" w:rsidRPr="009B783C">
        <w:rPr>
          <w:szCs w:val="21"/>
          <w:lang w:eastAsia="en-AU"/>
        </w:rPr>
      </w:r>
      <w:r w:rsidR="00193CAF" w:rsidRPr="009B783C">
        <w:rPr>
          <w:szCs w:val="21"/>
          <w:lang w:eastAsia="en-AU"/>
        </w:rPr>
        <w:fldChar w:fldCharType="separate"/>
      </w:r>
      <w:r w:rsidR="0031172E" w:rsidRPr="009B783C">
        <w:rPr>
          <w:szCs w:val="21"/>
          <w:lang w:eastAsia="en-AU"/>
        </w:rPr>
        <w:t>5.1</w:t>
      </w:r>
      <w:r w:rsidR="00193CAF" w:rsidRPr="009B783C">
        <w:rPr>
          <w:szCs w:val="21"/>
          <w:lang w:eastAsia="en-AU"/>
        </w:rPr>
        <w:fldChar w:fldCharType="end"/>
      </w:r>
      <w:r w:rsidR="00193CAF" w:rsidRPr="009B783C">
        <w:rPr>
          <w:szCs w:val="21"/>
          <w:lang w:eastAsia="en-AU"/>
        </w:rPr>
        <w:t>)</w:t>
      </w:r>
      <w:r w:rsidR="004D1025" w:rsidRPr="009B783C">
        <w:rPr>
          <w:szCs w:val="21"/>
          <w:lang w:eastAsia="en-AU"/>
        </w:rPr>
        <w:t>,</w:t>
      </w:r>
      <w:r w:rsidRPr="009B783C">
        <w:rPr>
          <w:szCs w:val="21"/>
          <w:lang w:eastAsia="en-AU"/>
        </w:rPr>
        <w:t xml:space="preserve"> 12 per cent of patients waited longer than 60 minutes to be seen at Medicare UCCs and 2 </w:t>
      </w:r>
      <w:r w:rsidR="004D1025" w:rsidRPr="009B783C">
        <w:rPr>
          <w:szCs w:val="21"/>
          <w:lang w:eastAsia="en-AU"/>
        </w:rPr>
        <w:t>per</w:t>
      </w:r>
      <w:r w:rsidR="00B11341" w:rsidRPr="009B783C">
        <w:rPr>
          <w:szCs w:val="21"/>
          <w:lang w:eastAsia="en-AU"/>
        </w:rPr>
        <w:t xml:space="preserve"> </w:t>
      </w:r>
      <w:r w:rsidR="004D1025" w:rsidRPr="009B783C">
        <w:rPr>
          <w:szCs w:val="21"/>
          <w:lang w:eastAsia="en-AU"/>
        </w:rPr>
        <w:t>cent</w:t>
      </w:r>
      <w:r w:rsidRPr="009B783C">
        <w:rPr>
          <w:szCs w:val="21"/>
          <w:lang w:eastAsia="en-AU"/>
        </w:rPr>
        <w:t xml:space="preserve"> of patients waited longer than </w:t>
      </w:r>
      <w:r w:rsidR="00B11341" w:rsidRPr="009B783C">
        <w:rPr>
          <w:szCs w:val="21"/>
          <w:lang w:eastAsia="en-AU"/>
        </w:rPr>
        <w:t>two</w:t>
      </w:r>
      <w:r w:rsidRPr="009B783C">
        <w:rPr>
          <w:szCs w:val="21"/>
          <w:lang w:eastAsia="en-AU"/>
        </w:rPr>
        <w:t xml:space="preserve"> hours. </w:t>
      </w:r>
      <w:r w:rsidR="00D73E20" w:rsidRPr="009B783C">
        <w:rPr>
          <w:szCs w:val="21"/>
          <w:lang w:eastAsia="en-AU"/>
        </w:rPr>
        <w:t xml:space="preserve">The Department has advised that </w:t>
      </w:r>
      <w:r w:rsidR="000624CC" w:rsidRPr="009B783C">
        <w:rPr>
          <w:szCs w:val="21"/>
          <w:lang w:eastAsia="en-AU"/>
        </w:rPr>
        <w:t>Medicare UCCs</w:t>
      </w:r>
      <w:r w:rsidR="00891512" w:rsidRPr="009B783C">
        <w:rPr>
          <w:szCs w:val="21"/>
          <w:lang w:eastAsia="en-AU"/>
        </w:rPr>
        <w:t xml:space="preserve"> </w:t>
      </w:r>
      <w:r w:rsidR="007E370A" w:rsidRPr="009B783C">
        <w:rPr>
          <w:szCs w:val="21"/>
          <w:lang w:eastAsia="en-AU"/>
        </w:rPr>
        <w:t>are expected to provide walk-in se</w:t>
      </w:r>
      <w:r w:rsidR="003937AB" w:rsidRPr="009B783C">
        <w:rPr>
          <w:szCs w:val="21"/>
          <w:lang w:eastAsia="en-AU"/>
        </w:rPr>
        <w:t>rvices. I</w:t>
      </w:r>
      <w:r w:rsidR="00E83D48" w:rsidRPr="009B783C">
        <w:rPr>
          <w:szCs w:val="21"/>
          <w:lang w:eastAsia="en-AU"/>
        </w:rPr>
        <w:t xml:space="preserve">ndividual clinics may implement booking systems locally in addition to </w:t>
      </w:r>
      <w:r w:rsidR="003937AB" w:rsidRPr="009B783C">
        <w:rPr>
          <w:szCs w:val="21"/>
          <w:lang w:eastAsia="en-AU"/>
        </w:rPr>
        <w:t>offering walk-in services, but this is not a requirement of the program</w:t>
      </w:r>
      <w:r w:rsidR="0020041E" w:rsidRPr="009B783C">
        <w:rPr>
          <w:szCs w:val="21"/>
          <w:lang w:eastAsia="en-AU"/>
        </w:rPr>
        <w:t xml:space="preserve">. </w:t>
      </w:r>
      <w:r w:rsidR="004D744B" w:rsidRPr="009B783C">
        <w:rPr>
          <w:szCs w:val="21"/>
          <w:lang w:eastAsia="en-AU"/>
        </w:rPr>
        <w:t>Some c</w:t>
      </w:r>
      <w:r w:rsidRPr="009B783C">
        <w:rPr>
          <w:szCs w:val="21"/>
          <w:lang w:eastAsia="en-AU"/>
        </w:rPr>
        <w:t>ommissioners noted challenges with managing patients’ expectations when they have booked an appointment but are required to wait while higher urgency patients are seen, in accordance with Medicare UCC Operational Guidance on triaging. There is currently no data on the number of patients who book or attempt to book an appointment at Medicare UCCs.</w:t>
      </w:r>
      <w:r w:rsidR="008A611A" w:rsidRPr="009B783C">
        <w:rPr>
          <w:szCs w:val="21"/>
          <w:lang w:eastAsia="en-AU"/>
        </w:rPr>
        <w:t xml:space="preserve"> </w:t>
      </w:r>
    </w:p>
    <w:p w14:paraId="6ECA5B97" w14:textId="2B8D40F6" w:rsidR="009B4F6A" w:rsidRPr="009B783C" w:rsidRDefault="009B4F6A" w:rsidP="00F5425B">
      <w:pPr>
        <w:rPr>
          <w:szCs w:val="21"/>
          <w:lang w:eastAsia="en-AU"/>
        </w:rPr>
      </w:pPr>
      <w:r w:rsidRPr="009B783C">
        <w:rPr>
          <w:szCs w:val="21"/>
          <w:lang w:eastAsia="en-AU"/>
        </w:rPr>
        <w:t xml:space="preserve">To address challenges associated with high demand, some clinics </w:t>
      </w:r>
      <w:r w:rsidR="00251E29" w:rsidRPr="009B783C">
        <w:rPr>
          <w:szCs w:val="21"/>
          <w:lang w:eastAsia="en-AU"/>
        </w:rPr>
        <w:t xml:space="preserve">have </w:t>
      </w:r>
      <w:r w:rsidR="00CB4101" w:rsidRPr="009B783C">
        <w:rPr>
          <w:szCs w:val="21"/>
          <w:lang w:eastAsia="en-AU"/>
        </w:rPr>
        <w:t>implemented scale up plans (with support from the Department and commissioners)</w:t>
      </w:r>
      <w:r w:rsidR="00DA47E5" w:rsidRPr="009B783C">
        <w:rPr>
          <w:szCs w:val="21"/>
          <w:lang w:eastAsia="en-AU"/>
        </w:rPr>
        <w:t xml:space="preserve"> involving</w:t>
      </w:r>
      <w:r w:rsidR="00AC0367" w:rsidRPr="009B783C">
        <w:rPr>
          <w:szCs w:val="21"/>
          <w:lang w:eastAsia="en-AU"/>
        </w:rPr>
        <w:t xml:space="preserve"> extending opening hours and</w:t>
      </w:r>
      <w:r w:rsidR="00FE5913" w:rsidRPr="009B783C">
        <w:rPr>
          <w:szCs w:val="21"/>
          <w:lang w:eastAsia="en-AU"/>
        </w:rPr>
        <w:t xml:space="preserve"> </w:t>
      </w:r>
      <w:r w:rsidR="00251E29" w:rsidRPr="009B783C">
        <w:rPr>
          <w:szCs w:val="21"/>
          <w:lang w:eastAsia="en-AU"/>
        </w:rPr>
        <w:t xml:space="preserve">rostering additional staff </w:t>
      </w:r>
      <w:r w:rsidR="00FE5913" w:rsidRPr="009B783C">
        <w:rPr>
          <w:szCs w:val="21"/>
          <w:lang w:eastAsia="en-AU"/>
        </w:rPr>
        <w:t xml:space="preserve">to meet demand. </w:t>
      </w:r>
      <w:r w:rsidRPr="009B783C">
        <w:rPr>
          <w:szCs w:val="21"/>
          <w:lang w:eastAsia="en-AU"/>
        </w:rPr>
        <w:t>This is explored in more detail in Measure of Success 5</w:t>
      </w:r>
      <w:r w:rsidR="00B11341" w:rsidRPr="009B783C">
        <w:rPr>
          <w:szCs w:val="21"/>
          <w:lang w:eastAsia="en-AU"/>
        </w:rPr>
        <w:t xml:space="preserve"> (section </w:t>
      </w:r>
      <w:r w:rsidR="00B11341" w:rsidRPr="009B783C">
        <w:rPr>
          <w:szCs w:val="21"/>
          <w:lang w:eastAsia="en-AU"/>
        </w:rPr>
        <w:fldChar w:fldCharType="begin"/>
      </w:r>
      <w:r w:rsidR="00B11341" w:rsidRPr="009B783C">
        <w:rPr>
          <w:szCs w:val="21"/>
          <w:lang w:eastAsia="en-AU"/>
        </w:rPr>
        <w:instrText xml:space="preserve"> REF _Ref179977970 \n \h </w:instrText>
      </w:r>
      <w:r w:rsidR="00F5425B" w:rsidRPr="009B783C">
        <w:rPr>
          <w:szCs w:val="21"/>
          <w:lang w:eastAsia="en-AU"/>
        </w:rPr>
        <w:instrText xml:space="preserve"> \* MERGEFORMAT </w:instrText>
      </w:r>
      <w:r w:rsidR="00B11341" w:rsidRPr="009B783C">
        <w:rPr>
          <w:szCs w:val="21"/>
          <w:lang w:eastAsia="en-AU"/>
        </w:rPr>
      </w:r>
      <w:r w:rsidR="00B11341" w:rsidRPr="009B783C">
        <w:rPr>
          <w:szCs w:val="21"/>
          <w:lang w:eastAsia="en-AU"/>
        </w:rPr>
        <w:fldChar w:fldCharType="separate"/>
      </w:r>
      <w:r w:rsidR="0031172E" w:rsidRPr="009B783C">
        <w:rPr>
          <w:szCs w:val="21"/>
          <w:lang w:eastAsia="en-AU"/>
        </w:rPr>
        <w:t>5.5</w:t>
      </w:r>
      <w:r w:rsidR="00B11341" w:rsidRPr="009B783C">
        <w:rPr>
          <w:szCs w:val="21"/>
          <w:lang w:eastAsia="en-AU"/>
        </w:rPr>
        <w:fldChar w:fldCharType="end"/>
      </w:r>
      <w:r w:rsidR="00B11341" w:rsidRPr="009B783C">
        <w:rPr>
          <w:szCs w:val="21"/>
          <w:lang w:eastAsia="en-AU"/>
        </w:rPr>
        <w:t>)</w:t>
      </w:r>
      <w:r w:rsidR="004D1025" w:rsidRPr="009B783C">
        <w:rPr>
          <w:szCs w:val="21"/>
          <w:lang w:eastAsia="en-AU"/>
        </w:rPr>
        <w:t>.</w:t>
      </w:r>
      <w:r w:rsidRPr="009B783C">
        <w:rPr>
          <w:szCs w:val="21"/>
          <w:lang w:eastAsia="en-AU"/>
        </w:rPr>
        <w:t xml:space="preserve"> </w:t>
      </w:r>
    </w:p>
    <w:p w14:paraId="64289904" w14:textId="2C029ACA" w:rsidR="009B4F6A" w:rsidRPr="009B783C" w:rsidRDefault="009B4F6A" w:rsidP="00F5425B">
      <w:pPr>
        <w:spacing w:after="240"/>
        <w:rPr>
          <w:szCs w:val="21"/>
          <w:lang w:eastAsia="en-AU"/>
        </w:rPr>
      </w:pPr>
      <w:r w:rsidRPr="009B783C">
        <w:rPr>
          <w:szCs w:val="21"/>
          <w:lang w:eastAsia="en-AU"/>
        </w:rPr>
        <w:t>Several commissioners reported collecting data locally to assess unmet demand when the Medicare UCCs reach maximum capacity. This data is currently collected in a variety of ways, including reporting the number of instances where the Medicare UCC closed early, the number of patients turned away and the proportion of patients referred to ED due to the clinic reaching capacity. Consistent reporting of unmet demand across the program would facilitate a greater understanding of this issue and clarify the need for a more systemic response.</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9B4F6A" w:rsidRPr="009B783C" w14:paraId="65DA427C" w14:textId="77777777" w:rsidTr="00E00EF9">
        <w:tc>
          <w:tcPr>
            <w:tcW w:w="8908" w:type="dxa"/>
            <w:tcBorders>
              <w:left w:val="single" w:sz="18" w:space="0" w:color="2D358E"/>
            </w:tcBorders>
          </w:tcPr>
          <w:p w14:paraId="048318EE" w14:textId="586CF79C" w:rsidR="009B4F6A" w:rsidRPr="00646FE9" w:rsidRDefault="00EE21ED" w:rsidP="00F5425B">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34601A35" w14:textId="2772B1CF" w:rsidR="009B4F6A" w:rsidRPr="009B783C" w:rsidRDefault="00182A58" w:rsidP="00F5425B">
            <w:pPr>
              <w:rPr>
                <w:szCs w:val="21"/>
                <w:highlight w:val="yellow"/>
                <w:lang w:val="en-US"/>
              </w:rPr>
            </w:pPr>
            <w:r w:rsidRPr="009B783C">
              <w:rPr>
                <w:szCs w:val="21"/>
              </w:rPr>
              <w:t xml:space="preserve">A consistent approach to collecting data on when patients are being turned away because the </w:t>
            </w:r>
            <w:r w:rsidR="006D2B72" w:rsidRPr="009B783C">
              <w:rPr>
                <w:szCs w:val="21"/>
              </w:rPr>
              <w:t>Medicare UCC</w:t>
            </w:r>
            <w:r w:rsidRPr="009B783C">
              <w:rPr>
                <w:szCs w:val="21"/>
              </w:rPr>
              <w:t xml:space="preserve"> is unable to meet demand, should be established at a national level.</w:t>
            </w:r>
          </w:p>
        </w:tc>
      </w:tr>
    </w:tbl>
    <w:p w14:paraId="01358A15" w14:textId="77777777" w:rsidR="009B4F6A" w:rsidRPr="000045B5" w:rsidRDefault="009B4F6A" w:rsidP="00950D18">
      <w:pPr>
        <w:pStyle w:val="Heading4"/>
      </w:pPr>
      <w:r w:rsidRPr="000045B5">
        <w:t>Enhancing clarity of communication about local Medicare UCC services</w:t>
      </w:r>
    </w:p>
    <w:p w14:paraId="7DFF04D8" w14:textId="08785554" w:rsidR="009B4F6A" w:rsidRPr="009B783C" w:rsidRDefault="009B4F6A" w:rsidP="00F5425B">
      <w:pPr>
        <w:pStyle w:val="Bullet"/>
        <w:numPr>
          <w:ilvl w:val="0"/>
          <w:numId w:val="0"/>
        </w:numPr>
        <w:rPr>
          <w:szCs w:val="21"/>
        </w:rPr>
      </w:pPr>
      <w:r w:rsidRPr="009B783C">
        <w:rPr>
          <w:szCs w:val="21"/>
        </w:rPr>
        <w:t xml:space="preserve">There have been significant investments in promoting the Medicare UCC Program nationally and regionally (see Measure of Success 7 </w:t>
      </w:r>
      <w:r w:rsidR="00B11341" w:rsidRPr="009B783C">
        <w:rPr>
          <w:szCs w:val="21"/>
        </w:rPr>
        <w:t>(section</w:t>
      </w:r>
      <w:r w:rsidR="0031172E" w:rsidRPr="009B783C">
        <w:rPr>
          <w:szCs w:val="21"/>
        </w:rPr>
        <w:t xml:space="preserve"> </w:t>
      </w:r>
      <w:r w:rsidR="0031172E" w:rsidRPr="009B783C">
        <w:rPr>
          <w:szCs w:val="21"/>
        </w:rPr>
        <w:fldChar w:fldCharType="begin"/>
      </w:r>
      <w:r w:rsidR="0031172E" w:rsidRPr="009B783C">
        <w:rPr>
          <w:szCs w:val="21"/>
        </w:rPr>
        <w:instrText xml:space="preserve"> REF _Ref188979371 \n \h </w:instrText>
      </w:r>
      <w:r w:rsidR="00F5425B" w:rsidRPr="009B783C">
        <w:rPr>
          <w:szCs w:val="21"/>
        </w:rPr>
        <w:instrText xml:space="preserve"> \* MERGEFORMAT </w:instrText>
      </w:r>
      <w:r w:rsidR="0031172E" w:rsidRPr="009B783C">
        <w:rPr>
          <w:szCs w:val="21"/>
        </w:rPr>
      </w:r>
      <w:r w:rsidR="0031172E" w:rsidRPr="009B783C">
        <w:rPr>
          <w:szCs w:val="21"/>
        </w:rPr>
        <w:fldChar w:fldCharType="separate"/>
      </w:r>
      <w:r w:rsidR="0031172E" w:rsidRPr="009B783C">
        <w:rPr>
          <w:szCs w:val="21"/>
        </w:rPr>
        <w:t>5.7</w:t>
      </w:r>
      <w:r w:rsidR="0031172E" w:rsidRPr="009B783C">
        <w:rPr>
          <w:szCs w:val="21"/>
        </w:rPr>
        <w:fldChar w:fldCharType="end"/>
      </w:r>
      <w:r w:rsidR="00B11341" w:rsidRPr="009B783C">
        <w:rPr>
          <w:szCs w:val="21"/>
        </w:rPr>
        <w:t>)</w:t>
      </w:r>
      <w:r w:rsidR="004D1025" w:rsidRPr="009B783C">
        <w:rPr>
          <w:szCs w:val="21"/>
        </w:rPr>
        <w:t xml:space="preserve"> </w:t>
      </w:r>
      <w:r w:rsidRPr="009B783C">
        <w:rPr>
          <w:szCs w:val="21"/>
        </w:rPr>
        <w:t xml:space="preserve">for further details). However, stakeholder reports and the </w:t>
      </w:r>
      <w:r w:rsidR="00701A00" w:rsidRPr="009B783C">
        <w:rPr>
          <w:szCs w:val="21"/>
        </w:rPr>
        <w:t xml:space="preserve">summary of patient complaints </w:t>
      </w:r>
      <w:r w:rsidR="006F36E6" w:rsidRPr="009B783C">
        <w:rPr>
          <w:szCs w:val="21"/>
        </w:rPr>
        <w:t xml:space="preserve">received by the Department </w:t>
      </w:r>
      <w:r w:rsidRPr="009B783C">
        <w:rPr>
          <w:szCs w:val="21"/>
        </w:rPr>
        <w:t xml:space="preserve">indicate a perceived lack of clarity regarding local service offerings at the Medicare UCCs, for example: </w:t>
      </w:r>
    </w:p>
    <w:p w14:paraId="6501DBAB" w14:textId="5520393E" w:rsidR="008172DC" w:rsidRPr="009B783C" w:rsidRDefault="009B4F6A" w:rsidP="00F5425B">
      <w:pPr>
        <w:pStyle w:val="Bullet"/>
        <w:rPr>
          <w:szCs w:val="21"/>
        </w:rPr>
      </w:pPr>
      <w:r w:rsidRPr="009B783C" w:rsidDel="00921E8F">
        <w:rPr>
          <w:szCs w:val="21"/>
        </w:rPr>
        <w:t>scope of conditions able to be treated at the Medicare UCC</w:t>
      </w:r>
      <w:r w:rsidR="008A611A" w:rsidRPr="009B783C" w:rsidDel="00CE5E02">
        <w:rPr>
          <w:szCs w:val="21"/>
        </w:rPr>
        <w:t xml:space="preserve"> </w:t>
      </w:r>
    </w:p>
    <w:p w14:paraId="62517565" w14:textId="6003B282" w:rsidR="009B4F6A" w:rsidRPr="009B783C" w:rsidRDefault="009B4F6A" w:rsidP="00F5425B">
      <w:pPr>
        <w:pStyle w:val="Bullet"/>
        <w:rPr>
          <w:szCs w:val="21"/>
        </w:rPr>
      </w:pPr>
      <w:r w:rsidRPr="009B783C">
        <w:rPr>
          <w:szCs w:val="21"/>
        </w:rPr>
        <w:t>access to diagnostic imaging during Medicare UCC opening hours</w:t>
      </w:r>
    </w:p>
    <w:p w14:paraId="6A11A192" w14:textId="77777777" w:rsidR="009B4F6A" w:rsidRPr="009B783C" w:rsidRDefault="009B4F6A" w:rsidP="00F5425B">
      <w:pPr>
        <w:pStyle w:val="Bullet"/>
        <w:rPr>
          <w:szCs w:val="21"/>
        </w:rPr>
      </w:pPr>
      <w:r w:rsidRPr="009B783C">
        <w:rPr>
          <w:szCs w:val="21"/>
        </w:rPr>
        <w:t>distinction between fee structures at the Medicare UCC and co-located GP or other services</w:t>
      </w:r>
    </w:p>
    <w:p w14:paraId="41703DDF" w14:textId="77777777" w:rsidR="009B4F6A" w:rsidRPr="009B783C" w:rsidRDefault="009B4F6A" w:rsidP="00F5425B">
      <w:pPr>
        <w:pStyle w:val="Bullet"/>
        <w:rPr>
          <w:szCs w:val="21"/>
        </w:rPr>
      </w:pPr>
      <w:r w:rsidRPr="009B783C">
        <w:rPr>
          <w:szCs w:val="21"/>
        </w:rPr>
        <w:t>clinic details such as opening hours or phone numbers.</w:t>
      </w:r>
    </w:p>
    <w:p w14:paraId="0A027A11" w14:textId="5CDF4683" w:rsidR="009B4F6A" w:rsidRPr="009B783C" w:rsidRDefault="009B4F6A" w:rsidP="00F5425B">
      <w:pPr>
        <w:pStyle w:val="Bullet"/>
        <w:numPr>
          <w:ilvl w:val="0"/>
          <w:numId w:val="0"/>
        </w:numPr>
        <w:spacing w:after="240"/>
        <w:rPr>
          <w:szCs w:val="21"/>
        </w:rPr>
      </w:pPr>
      <w:r w:rsidRPr="009B783C">
        <w:rPr>
          <w:szCs w:val="21"/>
        </w:rPr>
        <w:lastRenderedPageBreak/>
        <w:t>These issues have resulted in potential misalignment of patient expectations and the local Medicare UCC service offering, resulting in some examples of poorer patient experience. This will be explored with stakeholders in future stages of the evaluation.</w:t>
      </w:r>
      <w:r w:rsidR="008A611A" w:rsidRPr="009B783C">
        <w:rPr>
          <w:szCs w:val="21"/>
        </w:rPr>
        <w:t xml:space="preserve"> </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9B4F6A" w:rsidRPr="009B783C" w14:paraId="4A50C1E9" w14:textId="77777777" w:rsidTr="00E00EF9">
        <w:tc>
          <w:tcPr>
            <w:tcW w:w="8908" w:type="dxa"/>
            <w:tcBorders>
              <w:left w:val="single" w:sz="18" w:space="0" w:color="2D358E"/>
            </w:tcBorders>
          </w:tcPr>
          <w:p w14:paraId="4D87794F" w14:textId="4E2FB867" w:rsidR="009B4F6A" w:rsidRPr="00646FE9" w:rsidRDefault="009D61EB" w:rsidP="00F5425B">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6B522B37" w14:textId="384EDEA1" w:rsidR="009B4F6A" w:rsidRPr="009B783C" w:rsidRDefault="009B4F6A" w:rsidP="00F5425B">
            <w:pPr>
              <w:pStyle w:val="Longformcallout"/>
              <w:rPr>
                <w:szCs w:val="21"/>
              </w:rPr>
            </w:pPr>
            <w:r w:rsidRPr="009B783C">
              <w:rPr>
                <w:szCs w:val="21"/>
              </w:rPr>
              <w:t xml:space="preserve">There is opportunity </w:t>
            </w:r>
            <w:r w:rsidR="007E4D00" w:rsidRPr="009B783C">
              <w:rPr>
                <w:szCs w:val="21"/>
              </w:rPr>
              <w:t xml:space="preserve">for clinics </w:t>
            </w:r>
            <w:r w:rsidR="003E3D05" w:rsidRPr="009B783C">
              <w:rPr>
                <w:szCs w:val="21"/>
              </w:rPr>
              <w:t>to</w:t>
            </w:r>
            <w:r w:rsidRPr="009B783C">
              <w:rPr>
                <w:szCs w:val="21"/>
              </w:rPr>
              <w:t xml:space="preserve"> </w:t>
            </w:r>
            <w:r w:rsidR="003E3D05" w:rsidRPr="009B783C">
              <w:rPr>
                <w:szCs w:val="21"/>
              </w:rPr>
              <w:t xml:space="preserve">enhance </w:t>
            </w:r>
            <w:r w:rsidR="007E4D00" w:rsidRPr="009B783C">
              <w:rPr>
                <w:szCs w:val="21"/>
              </w:rPr>
              <w:t xml:space="preserve">their </w:t>
            </w:r>
            <w:r w:rsidRPr="009B783C">
              <w:rPr>
                <w:szCs w:val="21"/>
              </w:rPr>
              <w:t xml:space="preserve">communications </w:t>
            </w:r>
            <w:r w:rsidR="003026EA" w:rsidRPr="009B783C">
              <w:rPr>
                <w:szCs w:val="21"/>
              </w:rPr>
              <w:t xml:space="preserve">to </w:t>
            </w:r>
            <w:r w:rsidR="00A44369" w:rsidRPr="009B783C">
              <w:rPr>
                <w:szCs w:val="21"/>
              </w:rPr>
              <w:t>the</w:t>
            </w:r>
            <w:r w:rsidR="003026EA" w:rsidRPr="009B783C">
              <w:rPr>
                <w:szCs w:val="21"/>
              </w:rPr>
              <w:t xml:space="preserve"> communit</w:t>
            </w:r>
            <w:r w:rsidR="00A44369" w:rsidRPr="009B783C">
              <w:rPr>
                <w:szCs w:val="21"/>
              </w:rPr>
              <w:t>y</w:t>
            </w:r>
            <w:r w:rsidR="003026EA" w:rsidRPr="009B783C">
              <w:rPr>
                <w:szCs w:val="21"/>
              </w:rPr>
              <w:t xml:space="preserve"> about </w:t>
            </w:r>
            <w:r w:rsidR="00A44369" w:rsidRPr="009B783C">
              <w:rPr>
                <w:szCs w:val="21"/>
              </w:rPr>
              <w:t>local Medicare UCC service offerings</w:t>
            </w:r>
            <w:r w:rsidR="005A4E0C" w:rsidRPr="009B783C">
              <w:rPr>
                <w:szCs w:val="21"/>
              </w:rPr>
              <w:t>,</w:t>
            </w:r>
            <w:r w:rsidR="003E3D05" w:rsidRPr="009B783C">
              <w:rPr>
                <w:szCs w:val="21"/>
              </w:rPr>
              <w:t xml:space="preserve"> for example, </w:t>
            </w:r>
            <w:r w:rsidR="00310A5D" w:rsidRPr="009B783C">
              <w:rPr>
                <w:szCs w:val="21"/>
              </w:rPr>
              <w:t>opening hours of affiliated</w:t>
            </w:r>
            <w:r w:rsidR="00A80F3D" w:rsidRPr="009B783C">
              <w:rPr>
                <w:szCs w:val="21"/>
              </w:rPr>
              <w:t xml:space="preserve"> diagnostic imaging </w:t>
            </w:r>
            <w:r w:rsidR="00310A5D" w:rsidRPr="009B783C">
              <w:rPr>
                <w:szCs w:val="21"/>
              </w:rPr>
              <w:t>services</w:t>
            </w:r>
            <w:r w:rsidR="00A44369" w:rsidRPr="009B783C">
              <w:rPr>
                <w:szCs w:val="21"/>
              </w:rPr>
              <w:t>,</w:t>
            </w:r>
            <w:r w:rsidR="001E6D36" w:rsidRPr="009B783C">
              <w:rPr>
                <w:szCs w:val="21"/>
              </w:rPr>
              <w:t xml:space="preserve"> and the distinction between fee structures </w:t>
            </w:r>
            <w:r w:rsidR="006B65B5" w:rsidRPr="009B783C">
              <w:rPr>
                <w:szCs w:val="21"/>
              </w:rPr>
              <w:t>at the Medicare UCC and co-located services</w:t>
            </w:r>
            <w:r w:rsidR="007E4D00" w:rsidRPr="009B783C">
              <w:rPr>
                <w:szCs w:val="21"/>
              </w:rPr>
              <w:t>.</w:t>
            </w:r>
          </w:p>
        </w:tc>
      </w:tr>
    </w:tbl>
    <w:p w14:paraId="07933973" w14:textId="77777777" w:rsidR="009B4F6A" w:rsidRPr="000045B5" w:rsidRDefault="009B4F6A" w:rsidP="00950D18">
      <w:pPr>
        <w:pStyle w:val="Heading4"/>
      </w:pPr>
      <w:r w:rsidRPr="000045B5">
        <w:t>Improving physical infrastructure at some Medicare UCCs</w:t>
      </w:r>
    </w:p>
    <w:p w14:paraId="360FA59A" w14:textId="44BF9BFB" w:rsidR="009B4F6A" w:rsidRPr="009B783C" w:rsidRDefault="009B4F6A" w:rsidP="00F5425B">
      <w:pPr>
        <w:spacing w:after="240"/>
        <w:rPr>
          <w:szCs w:val="21"/>
          <w:lang w:eastAsia="en-AU"/>
        </w:rPr>
      </w:pPr>
      <w:r w:rsidRPr="009B783C">
        <w:rPr>
          <w:szCs w:val="21"/>
          <w:lang w:eastAsia="en-AU"/>
        </w:rPr>
        <w:t>Stakeholders reported some concerns with the physical infrastructure at some clinics, such as security lighting in the evenings, sufficient parking, wheelchair access including ramps and easily moveable doors. Feedback and complaints of this nature suggest potential non-adherence</w:t>
      </w:r>
      <w:r w:rsidR="0042668D" w:rsidRPr="009B783C">
        <w:rPr>
          <w:szCs w:val="21"/>
          <w:lang w:eastAsia="en-AU"/>
        </w:rPr>
        <w:t xml:space="preserve"> by some clinics</w:t>
      </w:r>
      <w:r w:rsidRPr="009B783C">
        <w:rPr>
          <w:szCs w:val="21"/>
          <w:lang w:eastAsia="en-AU"/>
        </w:rPr>
        <w:t xml:space="preserve"> to the accessibility requirements </w:t>
      </w:r>
      <w:r w:rsidR="00FE7711" w:rsidRPr="009B783C">
        <w:rPr>
          <w:szCs w:val="21"/>
          <w:lang w:eastAsia="en-AU"/>
        </w:rPr>
        <w:t xml:space="preserve">related to physical infrastructure </w:t>
      </w:r>
      <w:r w:rsidRPr="009B783C">
        <w:rPr>
          <w:szCs w:val="21"/>
          <w:lang w:eastAsia="en-AU"/>
        </w:rPr>
        <w:t>outlined in the Medicare UCC Operational Guidance.</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4D1025" w:rsidRPr="009B783C" w14:paraId="3AF34624" w14:textId="77777777" w:rsidTr="00E00EF9">
        <w:tc>
          <w:tcPr>
            <w:tcW w:w="8907" w:type="dxa"/>
            <w:tcBorders>
              <w:left w:val="single" w:sz="18" w:space="0" w:color="2D358E"/>
            </w:tcBorders>
          </w:tcPr>
          <w:p w14:paraId="7504363E" w14:textId="10B0FC04" w:rsidR="004D1025" w:rsidRPr="00646FE9" w:rsidRDefault="009D61EB" w:rsidP="00F5425B">
            <w:pPr>
              <w:pStyle w:val="Longformcallout"/>
              <w:rPr>
                <w:rFonts w:asciiTheme="majorHAnsi" w:hAnsiTheme="majorHAnsi" w:cstheme="majorHAnsi"/>
                <w:color w:val="2D358E"/>
                <w:sz w:val="28"/>
                <w:szCs w:val="28"/>
              </w:rPr>
            </w:pPr>
            <w:r w:rsidRPr="00646FE9">
              <w:rPr>
                <w:rFonts w:asciiTheme="majorHAnsi" w:hAnsiTheme="majorHAnsi" w:cstheme="majorHAnsi"/>
                <w:color w:val="2D358E"/>
                <w:sz w:val="28"/>
                <w:szCs w:val="28"/>
              </w:rPr>
              <w:t>Improvement opportunity</w:t>
            </w:r>
          </w:p>
          <w:p w14:paraId="61A61151" w14:textId="1C13B935" w:rsidR="004D1025" w:rsidRPr="009B783C" w:rsidRDefault="004D1025" w:rsidP="00F5425B">
            <w:pPr>
              <w:pStyle w:val="Longformcallout"/>
              <w:rPr>
                <w:szCs w:val="21"/>
                <w:lang w:val="en-US"/>
              </w:rPr>
            </w:pPr>
            <w:r w:rsidRPr="009B783C">
              <w:rPr>
                <w:szCs w:val="21"/>
              </w:rPr>
              <w:t>Upgrades to physical infrastructure (such as security lighting, parking and wheelchair access) to support accessibility could be considered at some clinics</w:t>
            </w:r>
            <w:r w:rsidR="00957439" w:rsidRPr="009B783C">
              <w:rPr>
                <w:szCs w:val="21"/>
              </w:rPr>
              <w:t xml:space="preserve">, to </w:t>
            </w:r>
            <w:r w:rsidR="00D26950" w:rsidRPr="009B783C">
              <w:rPr>
                <w:szCs w:val="21"/>
              </w:rPr>
              <w:t>ensure adherence to accessibility requirements outlined in the Medicare UCC Operational Guidance</w:t>
            </w:r>
            <w:r w:rsidR="00DD16CA" w:rsidRPr="009B783C">
              <w:rPr>
                <w:szCs w:val="21"/>
              </w:rPr>
              <w:t>.</w:t>
            </w:r>
            <w:r w:rsidRPr="009B783C">
              <w:rPr>
                <w:szCs w:val="21"/>
              </w:rPr>
              <w:t xml:space="preserve"> </w:t>
            </w:r>
          </w:p>
        </w:tc>
      </w:tr>
    </w:tbl>
    <w:p w14:paraId="185CD5EF" w14:textId="77777777" w:rsidR="00562956" w:rsidRPr="009B783C" w:rsidRDefault="00562956" w:rsidP="00F5425B">
      <w:pPr>
        <w:rPr>
          <w:szCs w:val="21"/>
          <w:lang w:eastAsia="en-AU"/>
        </w:rPr>
        <w:sectPr w:rsidR="00562956" w:rsidRPr="009B783C" w:rsidSect="007D389D">
          <w:type w:val="continuous"/>
          <w:pgSz w:w="11907" w:h="16839" w:code="9"/>
          <w:pgMar w:top="1247" w:right="1418" w:bottom="1276" w:left="1559" w:header="720" w:footer="720" w:gutter="0"/>
          <w:cols w:space="720"/>
          <w:docGrid w:linePitch="360"/>
        </w:sectPr>
      </w:pP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9B4F6A" w:rsidRPr="009B783C" w14:paraId="509911D0" w14:textId="77777777" w:rsidTr="00562956">
        <w:tc>
          <w:tcPr>
            <w:tcW w:w="8907" w:type="dxa"/>
          </w:tcPr>
          <w:p w14:paraId="7209655F" w14:textId="4F1B2D2B" w:rsidR="009B4F6A" w:rsidRPr="009B783C" w:rsidRDefault="00646FE9"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6D82DE5A" w14:textId="5634514E" w:rsidR="009B4F6A" w:rsidRPr="009B783C" w:rsidRDefault="009B4F6A" w:rsidP="00F5425B">
            <w:pPr>
              <w:pStyle w:val="Longformcallout"/>
              <w:rPr>
                <w:szCs w:val="21"/>
              </w:rPr>
            </w:pPr>
            <w:r w:rsidRPr="009B783C">
              <w:rPr>
                <w:szCs w:val="21"/>
              </w:rPr>
              <w:t xml:space="preserve">Early opportunities to improve patient experience in some clinics include better management of demand during peak periods, improved communication about local Medicare UCC service offerings and upgrades to physical infrastructure to support accessibility. </w:t>
            </w:r>
          </w:p>
        </w:tc>
      </w:tr>
    </w:tbl>
    <w:p w14:paraId="7DBB5241" w14:textId="77777777" w:rsidR="009B4F6A" w:rsidRPr="009B783C" w:rsidRDefault="009B4F6A" w:rsidP="000D706D">
      <w:pPr>
        <w:pStyle w:val="Heading3"/>
      </w:pPr>
      <w:r w:rsidRPr="009B783C">
        <w:t>Methods of collecting feedback on patient experience vary across clinics</w:t>
      </w:r>
    </w:p>
    <w:p w14:paraId="164F95C1" w14:textId="2822E6F5" w:rsidR="009B4F6A" w:rsidRPr="009B783C" w:rsidRDefault="009B4F6A" w:rsidP="00F5425B">
      <w:pPr>
        <w:tabs>
          <w:tab w:val="num" w:pos="720"/>
        </w:tabs>
        <w:rPr>
          <w:szCs w:val="21"/>
          <w:lang w:eastAsia="en-AU"/>
        </w:rPr>
      </w:pPr>
      <w:r w:rsidRPr="009B783C">
        <w:rPr>
          <w:szCs w:val="21"/>
          <w:lang w:eastAsia="en-AU"/>
        </w:rPr>
        <w:t>The Medicare UCC Operational Guidance</w:t>
      </w:r>
      <w:r w:rsidRPr="009B783C">
        <w:rPr>
          <w:rStyle w:val="FootnoteReference"/>
          <w:szCs w:val="21"/>
          <w:lang w:eastAsia="en-AU"/>
        </w:rPr>
        <w:footnoteReference w:id="75"/>
      </w:r>
      <w:r w:rsidRPr="009B783C">
        <w:rPr>
          <w:szCs w:val="21"/>
          <w:lang w:eastAsia="en-AU"/>
        </w:rPr>
        <w:t xml:space="preserve"> requires clinics to have systems in place to improve clinical quality and safety, including the use of </w:t>
      </w:r>
      <w:r w:rsidR="002F1FED" w:rsidRPr="009B783C">
        <w:rPr>
          <w:szCs w:val="21"/>
          <w:lang w:eastAsia="en-AU"/>
        </w:rPr>
        <w:t>patient reported experience measures</w:t>
      </w:r>
      <w:r w:rsidRPr="009B783C">
        <w:rPr>
          <w:szCs w:val="21"/>
          <w:lang w:eastAsia="en-AU"/>
        </w:rPr>
        <w:t xml:space="preserve"> </w:t>
      </w:r>
      <w:r w:rsidR="002F1FED" w:rsidRPr="009B783C">
        <w:rPr>
          <w:szCs w:val="21"/>
          <w:lang w:eastAsia="en-AU"/>
        </w:rPr>
        <w:t>(</w:t>
      </w:r>
      <w:r w:rsidRPr="009B783C">
        <w:rPr>
          <w:szCs w:val="21"/>
          <w:lang w:eastAsia="en-AU"/>
        </w:rPr>
        <w:t>PREMs</w:t>
      </w:r>
      <w:r w:rsidR="002F1FED" w:rsidRPr="009B783C">
        <w:rPr>
          <w:szCs w:val="21"/>
          <w:lang w:eastAsia="en-AU"/>
        </w:rPr>
        <w:t>)</w:t>
      </w:r>
      <w:r w:rsidRPr="009B783C">
        <w:rPr>
          <w:szCs w:val="21"/>
          <w:lang w:eastAsia="en-AU"/>
        </w:rPr>
        <w:t>. However, it does not</w:t>
      </w:r>
      <w:r w:rsidR="004D1025" w:rsidRPr="009B783C">
        <w:rPr>
          <w:szCs w:val="21"/>
          <w:lang w:eastAsia="en-AU"/>
        </w:rPr>
        <w:t xml:space="preserve"> </w:t>
      </w:r>
      <w:r w:rsidR="00A330DE" w:rsidRPr="009B783C">
        <w:rPr>
          <w:szCs w:val="21"/>
          <w:lang w:eastAsia="en-AU"/>
        </w:rPr>
        <w:t>specifically</w:t>
      </w:r>
      <w:r w:rsidRPr="009B783C">
        <w:rPr>
          <w:szCs w:val="21"/>
          <w:lang w:eastAsia="en-AU"/>
        </w:rPr>
        <w:t xml:space="preserve"> define the methods or tools for collecting these data. Similarly, the RACGP </w:t>
      </w:r>
      <w:r w:rsidRPr="009B783C">
        <w:rPr>
          <w:i/>
          <w:szCs w:val="21"/>
          <w:lang w:eastAsia="en-AU"/>
        </w:rPr>
        <w:t>Standards for general practices (5</w:t>
      </w:r>
      <w:r w:rsidRPr="009B783C">
        <w:rPr>
          <w:i/>
          <w:szCs w:val="21"/>
          <w:vertAlign w:val="superscript"/>
          <w:lang w:eastAsia="en-AU"/>
        </w:rPr>
        <w:t>th</w:t>
      </w:r>
      <w:r w:rsidRPr="009B783C">
        <w:rPr>
          <w:i/>
          <w:szCs w:val="21"/>
          <w:lang w:eastAsia="en-AU"/>
        </w:rPr>
        <w:t xml:space="preserve"> edition)</w:t>
      </w:r>
      <w:r w:rsidRPr="009B783C">
        <w:rPr>
          <w:szCs w:val="21"/>
          <w:lang w:eastAsia="en-AU"/>
        </w:rPr>
        <w:t xml:space="preserve"> </w:t>
      </w:r>
      <w:r w:rsidR="004D1025" w:rsidRPr="009B783C">
        <w:rPr>
          <w:szCs w:val="21"/>
          <w:lang w:eastAsia="en-AU"/>
        </w:rPr>
        <w:t>do</w:t>
      </w:r>
      <w:r w:rsidR="00B44A5C" w:rsidRPr="009B783C">
        <w:rPr>
          <w:szCs w:val="21"/>
          <w:lang w:eastAsia="en-AU"/>
        </w:rPr>
        <w:t>es</w:t>
      </w:r>
      <w:r w:rsidRPr="009B783C">
        <w:rPr>
          <w:szCs w:val="21"/>
          <w:lang w:eastAsia="en-AU"/>
        </w:rPr>
        <w:t xml:space="preserve"> not prescribe specific methods for gathering patient feedback. Instead, the RACGP strongly encourages practices to choose approaches that best align with the needs of their practice and patients. </w:t>
      </w:r>
    </w:p>
    <w:p w14:paraId="0630D69F" w14:textId="6086DA25" w:rsidR="009B4F6A" w:rsidRPr="009B783C" w:rsidRDefault="009B4F6A" w:rsidP="00F5425B">
      <w:pPr>
        <w:rPr>
          <w:szCs w:val="21"/>
          <w:lang w:eastAsia="en-AU"/>
        </w:rPr>
      </w:pPr>
      <w:r w:rsidRPr="009B783C">
        <w:rPr>
          <w:szCs w:val="21"/>
          <w:lang w:eastAsia="en-AU"/>
        </w:rPr>
        <w:lastRenderedPageBreak/>
        <w:t xml:space="preserve">Commissioners reported that while Medicare UCCs are generally collecting patient feedback, the methods used vary widely. Feedback on patient experience is gathered through channels such as Google reviews, patient surveys, incidental feedback and complaints. Patient surveys in particular use diverse questions, tools and platforms, with reported response rates between </w:t>
      </w:r>
      <w:r w:rsidR="00C06BA4" w:rsidRPr="009B783C">
        <w:rPr>
          <w:szCs w:val="21"/>
          <w:lang w:eastAsia="en-AU"/>
        </w:rPr>
        <w:t>1 per cent</w:t>
      </w:r>
      <w:r w:rsidRPr="009B783C">
        <w:rPr>
          <w:szCs w:val="21"/>
          <w:lang w:eastAsia="en-AU"/>
        </w:rPr>
        <w:t xml:space="preserve"> and </w:t>
      </w:r>
      <w:r w:rsidR="00C06BA4" w:rsidRPr="009B783C">
        <w:rPr>
          <w:szCs w:val="21"/>
          <w:lang w:eastAsia="en-AU"/>
        </w:rPr>
        <w:t>8</w:t>
      </w:r>
      <w:r w:rsidRPr="009B783C">
        <w:rPr>
          <w:szCs w:val="21"/>
          <w:lang w:eastAsia="en-AU"/>
        </w:rPr>
        <w:t xml:space="preserve"> per cent. </w:t>
      </w:r>
    </w:p>
    <w:p w14:paraId="1AA64C82" w14:textId="4668E72C" w:rsidR="009B4F6A" w:rsidRPr="009B783C" w:rsidRDefault="009B4F6A" w:rsidP="00F5425B">
      <w:pPr>
        <w:spacing w:after="240"/>
        <w:rPr>
          <w:szCs w:val="21"/>
          <w:lang w:val="en-US" w:eastAsia="en-AU"/>
        </w:rPr>
      </w:pPr>
      <w:r w:rsidRPr="009B783C">
        <w:rPr>
          <w:szCs w:val="21"/>
          <w:lang w:eastAsia="en-AU"/>
        </w:rPr>
        <w:t xml:space="preserve">Commissioners advocated strongly for a consistent, standardised patient survey mechanism (PREM) across all clinics to enable benchmarking across the program. This would aid commissioners with performance and contract management as well as identifying areas for quality improvement at local and national level. </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9B4F6A" w:rsidRPr="009B783C" w14:paraId="6EB5A19B" w14:textId="77777777" w:rsidTr="00E00EF9">
        <w:tc>
          <w:tcPr>
            <w:tcW w:w="8908" w:type="dxa"/>
            <w:tcBorders>
              <w:left w:val="single" w:sz="18" w:space="0" w:color="2D358E"/>
            </w:tcBorders>
          </w:tcPr>
          <w:p w14:paraId="69994385" w14:textId="0CFA7E3E" w:rsidR="009B4F6A" w:rsidRPr="009B783C" w:rsidRDefault="00646FE9" w:rsidP="00F5425B">
            <w:pPr>
              <w:pStyle w:val="Longformcallout"/>
              <w:rPr>
                <w:rFonts w:asciiTheme="majorHAnsi" w:hAnsiTheme="majorHAnsi" w:cstheme="majorHAnsi"/>
                <w:color w:val="2D358E"/>
                <w:sz w:val="28"/>
                <w:szCs w:val="28"/>
              </w:rPr>
            </w:pPr>
            <w:r w:rsidRPr="009B783C">
              <w:rPr>
                <w:rFonts w:asciiTheme="majorHAnsi" w:hAnsiTheme="majorHAnsi" w:cstheme="majorHAnsi"/>
                <w:color w:val="2D358E"/>
                <w:sz w:val="28"/>
                <w:szCs w:val="28"/>
              </w:rPr>
              <w:t>Improvement opportunity</w:t>
            </w:r>
          </w:p>
          <w:p w14:paraId="25B0122A" w14:textId="19DA3F2D" w:rsidR="009B4F6A" w:rsidRPr="009B783C" w:rsidRDefault="009B4F6A" w:rsidP="00F5425B">
            <w:pPr>
              <w:pStyle w:val="Longformcallout"/>
              <w:rPr>
                <w:szCs w:val="21"/>
                <w:lang w:val="en-US"/>
              </w:rPr>
            </w:pPr>
            <w:r w:rsidRPr="009B783C">
              <w:t>A consistent, standardised mechanism for collecting patient experience feedback (</w:t>
            </w:r>
            <w:r w:rsidR="000D07A3" w:rsidRPr="009B783C">
              <w:t>patient reported experience measures – PREMs</w:t>
            </w:r>
            <w:r w:rsidRPr="009B783C">
              <w:t>) across Medicare UCCs should be established at a national level.</w:t>
            </w:r>
          </w:p>
        </w:tc>
      </w:tr>
    </w:tbl>
    <w:p w14:paraId="4905BB08" w14:textId="77777777" w:rsidR="009B4F6A" w:rsidRPr="009B783C" w:rsidRDefault="009B4F6A" w:rsidP="000D706D">
      <w:pPr>
        <w:pStyle w:val="Heading3"/>
      </w:pPr>
      <w:r w:rsidRPr="009B783C">
        <w:t>Next steps</w:t>
      </w:r>
    </w:p>
    <w:p w14:paraId="7BE50854" w14:textId="2AA3D7F6" w:rsidR="009B4F6A" w:rsidRPr="009B783C" w:rsidRDefault="009B4F6A" w:rsidP="00F5425B">
      <w:pPr>
        <w:spacing w:after="240"/>
        <w:rPr>
          <w:szCs w:val="21"/>
          <w:lang w:val="en-US"/>
        </w:rPr>
      </w:pPr>
      <w:r w:rsidRPr="009B783C">
        <w:rPr>
          <w:szCs w:val="21"/>
        </w:rPr>
        <w:t>For subsequent evaluation phases, the evaluators will work closely with the CHF and seek to conduct a patient survey to obtain patient feedback on their experience at the Medicare UCCs and an understanding of how experience differs across Medicare UCC models.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25B3E0" w:themeFill="accent6"/>
        <w:tblLook w:val="04A0" w:firstRow="1" w:lastRow="0" w:firstColumn="1" w:lastColumn="0" w:noHBand="0" w:noVBand="1"/>
      </w:tblPr>
      <w:tblGrid>
        <w:gridCol w:w="8920"/>
      </w:tblGrid>
      <w:tr w:rsidR="004932C1" w:rsidRPr="009B783C" w14:paraId="05F18223" w14:textId="77777777" w:rsidTr="004932C1">
        <w:tc>
          <w:tcPr>
            <w:tcW w:w="8920" w:type="dxa"/>
            <w:shd w:val="clear" w:color="auto" w:fill="25B3E0" w:themeFill="accent6"/>
            <w:vAlign w:val="center"/>
          </w:tcPr>
          <w:p w14:paraId="4B39DD74" w14:textId="3E1CB4F7" w:rsidR="004932C1" w:rsidRPr="00D37C77" w:rsidRDefault="009D49C8" w:rsidP="004932C1">
            <w:pPr>
              <w:pStyle w:val="TableNheader"/>
              <w:rPr>
                <w:color w:val="00264D" w:themeColor="background2"/>
              </w:rPr>
            </w:pPr>
            <w:r w:rsidRPr="00D37C77">
              <w:rPr>
                <w:color w:val="00264D" w:themeColor="background2"/>
              </w:rPr>
              <w:t>Measure Of Success 5</w:t>
            </w:r>
          </w:p>
        </w:tc>
      </w:tr>
    </w:tbl>
    <w:p w14:paraId="4FE91A8F" w14:textId="6E5733DF" w:rsidR="00E42C9C" w:rsidRPr="009B783C" w:rsidRDefault="001614D8" w:rsidP="00CA2335">
      <w:pPr>
        <w:pStyle w:val="Heading2"/>
      </w:pPr>
      <w:bookmarkStart w:id="130" w:name="_Toc181366930"/>
      <w:bookmarkStart w:id="131" w:name="_Ref185505717"/>
      <w:bookmarkStart w:id="132" w:name="_Toc189639231"/>
      <w:bookmarkStart w:id="133" w:name="_Toc189772031"/>
      <w:bookmarkStart w:id="134" w:name="_Ref179527825"/>
      <w:bookmarkStart w:id="135" w:name="_Ref179532164"/>
      <w:bookmarkStart w:id="136" w:name="_Ref179977970"/>
      <w:bookmarkStart w:id="137" w:name="_Ref179978135"/>
      <w:r w:rsidRPr="009B783C">
        <w:t>Experience for providers at Medicare UCCs, partner hospital EDs and local GP practices</w:t>
      </w:r>
      <w:bookmarkEnd w:id="130"/>
      <w:bookmarkEnd w:id="131"/>
      <w:bookmarkEnd w:id="132"/>
      <w:bookmarkEnd w:id="133"/>
    </w:p>
    <w:p w14:paraId="62280E15" w14:textId="56BD4320" w:rsidR="00D73091" w:rsidRPr="009B783C" w:rsidRDefault="00D73091" w:rsidP="00F5425B">
      <w:pPr>
        <w:rPr>
          <w:szCs w:val="21"/>
          <w:lang w:eastAsia="en-AU"/>
        </w:rPr>
      </w:pPr>
      <w:r w:rsidRPr="009B783C">
        <w:rPr>
          <w:szCs w:val="21"/>
          <w:lang w:eastAsia="en-AU"/>
        </w:rPr>
        <w:t xml:space="preserve">Measure of Success 5 </w:t>
      </w:r>
      <w:r w:rsidR="00F36BB3" w:rsidRPr="009B783C">
        <w:rPr>
          <w:szCs w:val="21"/>
          <w:lang w:eastAsia="en-AU"/>
        </w:rPr>
        <w:t xml:space="preserve">agreed by the Australian, state and territory </w:t>
      </w:r>
      <w:r w:rsidR="00370E08" w:rsidRPr="009B783C">
        <w:rPr>
          <w:szCs w:val="21"/>
          <w:lang w:eastAsia="en-AU"/>
        </w:rPr>
        <w:t xml:space="preserve">governments </w:t>
      </w:r>
      <w:r w:rsidR="00F36BB3" w:rsidRPr="009B783C">
        <w:rPr>
          <w:szCs w:val="21"/>
          <w:lang w:eastAsia="en-AU"/>
        </w:rPr>
        <w:t>is:</w:t>
      </w:r>
    </w:p>
    <w:p w14:paraId="4B861C44" w14:textId="7E3F7D39" w:rsidR="00F36BB3" w:rsidRPr="009B783C" w:rsidRDefault="00F36BB3" w:rsidP="00F5425B">
      <w:pPr>
        <w:pStyle w:val="Caption"/>
        <w:spacing w:line="276" w:lineRule="auto"/>
        <w:rPr>
          <w:szCs w:val="21"/>
        </w:rPr>
      </w:pPr>
      <w:r w:rsidRPr="009B783C">
        <w:rPr>
          <w:szCs w:val="21"/>
        </w:rPr>
        <w:t>“Medicare UCCs provide a positive experience for providers at Medicare UCCs, in partner hospital EDs and in local GP practices.”</w:t>
      </w:r>
    </w:p>
    <w:bookmarkEnd w:id="134"/>
    <w:bookmarkEnd w:id="135"/>
    <w:bookmarkEnd w:id="136"/>
    <w:bookmarkEnd w:id="137"/>
    <w:p w14:paraId="3CACCAA6" w14:textId="77777777" w:rsidR="0075138F" w:rsidRPr="009B783C" w:rsidRDefault="0075138F" w:rsidP="00F5425B">
      <w:pPr>
        <w:rPr>
          <w:szCs w:val="21"/>
          <w:lang w:eastAsia="en-AU"/>
        </w:rPr>
      </w:pPr>
      <w:r w:rsidRPr="009B783C">
        <w:rPr>
          <w:szCs w:val="21"/>
          <w:lang w:eastAsia="en-AU"/>
        </w:rPr>
        <w:t>For Measure of Success 5, the evaluation of the Medicare UCCs will encompass the following dimensions:</w:t>
      </w:r>
    </w:p>
    <w:p w14:paraId="4BE70EF5" w14:textId="77777777" w:rsidR="0075138F" w:rsidRPr="009B783C" w:rsidRDefault="0075138F" w:rsidP="00F5425B">
      <w:pPr>
        <w:pStyle w:val="Bullet"/>
        <w:rPr>
          <w:szCs w:val="21"/>
        </w:rPr>
      </w:pPr>
      <w:r w:rsidRPr="009B783C">
        <w:rPr>
          <w:szCs w:val="21"/>
        </w:rPr>
        <w:t>Experiences of Medicare UCC staff providing services.</w:t>
      </w:r>
    </w:p>
    <w:p w14:paraId="7A359FDF" w14:textId="77777777" w:rsidR="0075138F" w:rsidRPr="009B783C" w:rsidRDefault="0075138F" w:rsidP="00F5425B">
      <w:pPr>
        <w:pStyle w:val="Bullet"/>
        <w:rPr>
          <w:szCs w:val="21"/>
        </w:rPr>
      </w:pPr>
      <w:r w:rsidRPr="009B783C">
        <w:rPr>
          <w:szCs w:val="21"/>
        </w:rPr>
        <w:t xml:space="preserve">Experiences of partner hospital EDs and local GP practices with Medicare UCC services. </w:t>
      </w:r>
    </w:p>
    <w:p w14:paraId="76432A2A" w14:textId="28F2336B" w:rsidR="0075138F" w:rsidRPr="009B783C" w:rsidRDefault="0075138F" w:rsidP="00F5425B">
      <w:pPr>
        <w:pStyle w:val="Bullet"/>
        <w:rPr>
          <w:szCs w:val="21"/>
        </w:rPr>
      </w:pPr>
      <w:r w:rsidRPr="009B783C">
        <w:rPr>
          <w:szCs w:val="21"/>
        </w:rPr>
        <w:t>The impact of Medicare UCCs on other GP practices and workforce availability.</w:t>
      </w:r>
    </w:p>
    <w:p w14:paraId="5546413A" w14:textId="40B617FD" w:rsidR="00BD503C" w:rsidRPr="009B783C" w:rsidRDefault="00BD503C" w:rsidP="00F5425B">
      <w:pPr>
        <w:rPr>
          <w:szCs w:val="21"/>
          <w:lang w:val="en-US" w:eastAsia="en-AU"/>
        </w:rPr>
      </w:pPr>
      <w:r w:rsidRPr="009B783C">
        <w:rPr>
          <w:szCs w:val="21"/>
          <w:lang w:eastAsia="en-AU"/>
        </w:rPr>
        <w:t xml:space="preserve">For this Interim Evaluation Report 1, insights into provider experiences were limited. While interviews were conducted with all commissioning organisations, interviews with providers were limited to one </w:t>
      </w:r>
      <w:r w:rsidR="00D73043" w:rsidRPr="009B783C">
        <w:rPr>
          <w:szCs w:val="21"/>
          <w:lang w:eastAsia="en-AU"/>
        </w:rPr>
        <w:t xml:space="preserve">NSW Medicare UCC </w:t>
      </w:r>
      <w:r w:rsidR="00994A49" w:rsidRPr="009B783C">
        <w:rPr>
          <w:szCs w:val="21"/>
          <w:lang w:eastAsia="en-AU"/>
        </w:rPr>
        <w:t xml:space="preserve">as well as </w:t>
      </w:r>
      <w:r w:rsidRPr="009B783C">
        <w:rPr>
          <w:szCs w:val="21"/>
          <w:lang w:eastAsia="en-AU"/>
        </w:rPr>
        <w:t>one remote NT UCC</w:t>
      </w:r>
      <w:r w:rsidR="00994A49" w:rsidRPr="009B783C">
        <w:rPr>
          <w:szCs w:val="21"/>
          <w:lang w:eastAsia="en-AU"/>
        </w:rPr>
        <w:t xml:space="preserve"> and the</w:t>
      </w:r>
      <w:r w:rsidRPr="009B783C">
        <w:rPr>
          <w:szCs w:val="21"/>
          <w:lang w:eastAsia="en-AU"/>
        </w:rPr>
        <w:t xml:space="preserve"> ACT </w:t>
      </w:r>
      <w:r w:rsidR="00280823" w:rsidRPr="009B783C">
        <w:rPr>
          <w:szCs w:val="21"/>
          <w:lang w:eastAsia="en-AU"/>
        </w:rPr>
        <w:t>Medicare UCCs</w:t>
      </w:r>
      <w:r w:rsidRPr="009B783C">
        <w:rPr>
          <w:szCs w:val="21"/>
          <w:lang w:eastAsia="en-AU"/>
        </w:rPr>
        <w:t xml:space="preserve"> to support greater understanding of unique models of care operating within the program. Preliminary analysis of workforce availability has also been undertaken. </w:t>
      </w:r>
    </w:p>
    <w:p w14:paraId="77113183" w14:textId="5791DF21" w:rsidR="008855C7" w:rsidRPr="009B783C" w:rsidRDefault="008855C7" w:rsidP="000D706D">
      <w:pPr>
        <w:pStyle w:val="Heading3"/>
      </w:pPr>
      <w:r w:rsidRPr="009B783C">
        <w:lastRenderedPageBreak/>
        <w:t>Limited stakeholder engagement indicated that staff are enjoying the variety and style of work at Medicare UCCs</w:t>
      </w:r>
    </w:p>
    <w:p w14:paraId="091D797D" w14:textId="2C22C70F" w:rsidR="0075138F" w:rsidRPr="009B783C" w:rsidRDefault="0075138F" w:rsidP="00F5425B">
      <w:pPr>
        <w:rPr>
          <w:szCs w:val="21"/>
          <w:lang w:eastAsia="en-AU"/>
        </w:rPr>
      </w:pPr>
      <w:r w:rsidRPr="009B783C">
        <w:rPr>
          <w:szCs w:val="21"/>
          <w:lang w:eastAsia="en-AU"/>
        </w:rPr>
        <w:t>As noted elsewhere, stakeholder engagement for this Interim Evaluation Report 1 was limited. However, feedback</w:t>
      </w:r>
      <w:r w:rsidRPr="009B783C" w:rsidDel="00B52B27">
        <w:rPr>
          <w:szCs w:val="21"/>
          <w:lang w:eastAsia="en-AU"/>
        </w:rPr>
        <w:t xml:space="preserve"> </w:t>
      </w:r>
      <w:r w:rsidRPr="009B783C">
        <w:rPr>
          <w:szCs w:val="21"/>
          <w:lang w:eastAsia="en-AU"/>
        </w:rPr>
        <w:t>from some commissioners indicated that GPs enjoyed the style of work at their Medicare UCC. They reported that staff enjoyed applying procedural skills</w:t>
      </w:r>
      <w:r w:rsidR="000F6131" w:rsidRPr="009B783C">
        <w:rPr>
          <w:rFonts w:cs="Segoe UI"/>
          <w:szCs w:val="21"/>
          <w:lang w:eastAsia="en-AU"/>
        </w:rPr>
        <w:t xml:space="preserve"> – </w:t>
      </w:r>
      <w:r w:rsidRPr="009B783C">
        <w:rPr>
          <w:szCs w:val="21"/>
          <w:lang w:eastAsia="en-AU"/>
        </w:rPr>
        <w:t>such as suturing and plastering</w:t>
      </w:r>
      <w:r w:rsidR="000F6131" w:rsidRPr="009B783C">
        <w:rPr>
          <w:rFonts w:cs="Segoe UI"/>
          <w:szCs w:val="21"/>
          <w:lang w:eastAsia="en-AU"/>
        </w:rPr>
        <w:t xml:space="preserve"> – </w:t>
      </w:r>
      <w:r w:rsidRPr="009B783C">
        <w:rPr>
          <w:szCs w:val="21"/>
          <w:lang w:eastAsia="en-AU"/>
        </w:rPr>
        <w:t>they had learnt during their medical training but rarely had the opportunity to apply in their regular work in general practice.</w:t>
      </w:r>
    </w:p>
    <w:p w14:paraId="4ACA76C4" w14:textId="4D3B57B3" w:rsidR="0075138F" w:rsidRPr="009B783C" w:rsidRDefault="0075138F" w:rsidP="00F5425B">
      <w:pPr>
        <w:rPr>
          <w:szCs w:val="21"/>
          <w:lang w:eastAsia="en-AU"/>
        </w:rPr>
      </w:pPr>
      <w:r w:rsidRPr="009B783C">
        <w:rPr>
          <w:szCs w:val="21"/>
          <w:lang w:eastAsia="en-AU"/>
        </w:rPr>
        <w:t xml:space="preserve">Commissioners also reported there was a positive team environment at the Medicare UCCs and the acuity of the caseload offered a refreshing change to the normal patient case mix in general practice. Some reported that the flexible hours available at the Medicare UCCs were attractive to many GPs. </w:t>
      </w:r>
    </w:p>
    <w:p w14:paraId="543B2C8C" w14:textId="68B380AE" w:rsidR="0075138F" w:rsidRPr="009B783C" w:rsidRDefault="008855C7" w:rsidP="00F5425B">
      <w:pPr>
        <w:rPr>
          <w:szCs w:val="21"/>
          <w:lang w:eastAsia="en-AU"/>
        </w:rPr>
      </w:pPr>
      <w:r w:rsidRPr="009B783C">
        <w:rPr>
          <w:szCs w:val="21"/>
          <w:lang w:eastAsia="en-AU"/>
        </w:rPr>
        <w:t>Commissioners</w:t>
      </w:r>
      <w:r w:rsidR="0075138F" w:rsidRPr="009B783C">
        <w:rPr>
          <w:szCs w:val="21"/>
          <w:lang w:eastAsia="en-AU"/>
        </w:rPr>
        <w:t xml:space="preserve"> held the view that Medicare UCCs were reducing burnout of primary care staff in remote clinics, as they are easing the burden of regular on-call hours, enabling them to take holidays and take breaks outside of their regular working hours. </w:t>
      </w:r>
    </w:p>
    <w:p w14:paraId="7D28CD8C" w14:textId="07D2C27A" w:rsidR="0075138F" w:rsidRPr="009B783C" w:rsidRDefault="0075138F" w:rsidP="00F5425B">
      <w:pPr>
        <w:rPr>
          <w:szCs w:val="21"/>
          <w:lang w:eastAsia="en-AU"/>
        </w:rPr>
      </w:pPr>
      <w:r w:rsidRPr="009B783C">
        <w:rPr>
          <w:szCs w:val="21"/>
          <w:lang w:eastAsia="en-AU"/>
        </w:rPr>
        <w:t xml:space="preserve">However, high workloads at some clinics were noted to impact staff experiences. Stakeholders suggested that rostering additional GPs and nurses during peak periods could help staff better manage demand and take necessary meal breaks, though this may be challenging in some areas with workforce shortages, as described below. </w:t>
      </w:r>
    </w:p>
    <w:p w14:paraId="695D5AFD" w14:textId="57D42A21" w:rsidR="008855C7" w:rsidRPr="009B783C" w:rsidRDefault="008855C7" w:rsidP="00F5425B">
      <w:pPr>
        <w:spacing w:after="240"/>
        <w:rPr>
          <w:szCs w:val="21"/>
          <w:lang w:val="en-US"/>
        </w:rPr>
      </w:pPr>
      <w:r w:rsidRPr="009B783C">
        <w:rPr>
          <w:szCs w:val="21"/>
        </w:rPr>
        <w:t>Future evaluation rounds will include opportunity for greater direct feedback from providers (including GPs, nursing staff and other workforce groups) regarding their experience of working at the Medicare UCCs.</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E42C9C" w:rsidRPr="009B783C" w14:paraId="5C1B6056" w14:textId="77777777" w:rsidTr="003E79FA">
        <w:tc>
          <w:tcPr>
            <w:tcW w:w="8908" w:type="dxa"/>
          </w:tcPr>
          <w:p w14:paraId="59F43102" w14:textId="57B322B2" w:rsidR="00E42C9C" w:rsidRPr="009B783C" w:rsidRDefault="00646FE9"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0808FE95" w14:textId="351053AB" w:rsidR="00E42C9C" w:rsidRPr="009B783C" w:rsidRDefault="00783971" w:rsidP="00F5425B">
            <w:pPr>
              <w:pStyle w:val="Longformcallout"/>
              <w:rPr>
                <w:szCs w:val="21"/>
                <w:highlight w:val="yellow"/>
                <w:lang w:val="en-US"/>
              </w:rPr>
            </w:pPr>
            <w:r w:rsidRPr="009B783C">
              <w:rPr>
                <w:szCs w:val="21"/>
              </w:rPr>
              <w:t xml:space="preserve">Although direct consultations with Medicare UCC staff were very limited, feedback from commissioners indicated that Medicare UCC staff appreciated the variety and style of work at Medicare UCCs, though high workloads at some clinics were noted to impact staff experiences. </w:t>
            </w:r>
          </w:p>
        </w:tc>
      </w:tr>
    </w:tbl>
    <w:p w14:paraId="06E5140C" w14:textId="2BC7055C" w:rsidR="0075138F" w:rsidRPr="009B783C" w:rsidRDefault="0075138F" w:rsidP="000D706D">
      <w:pPr>
        <w:pStyle w:val="Heading3"/>
        <w:rPr>
          <w:b/>
        </w:rPr>
      </w:pPr>
      <w:bookmarkStart w:id="138" w:name="_Toc179962839"/>
      <w:r w:rsidRPr="009B783C">
        <w:t xml:space="preserve">Building confidence in the program among local GPs </w:t>
      </w:r>
      <w:bookmarkEnd w:id="138"/>
      <w:r w:rsidRPr="009B783C">
        <w:t>remains a key focus</w:t>
      </w:r>
    </w:p>
    <w:p w14:paraId="1D3EB201" w14:textId="0874492F" w:rsidR="0075138F" w:rsidRPr="009B783C" w:rsidRDefault="0075138F" w:rsidP="00F5425B">
      <w:pPr>
        <w:rPr>
          <w:szCs w:val="21"/>
          <w:lang w:val="en-US"/>
        </w:rPr>
      </w:pPr>
      <w:r w:rsidRPr="009B783C">
        <w:rPr>
          <w:szCs w:val="21"/>
        </w:rPr>
        <w:t>The evaluation has not yet engaged with local GPs, limiting the ability to provide a balanced assessment of the extent to which Medicare UCCs have provided a positive experience for local GPs. Instead, key themes regarding GP perspectives of the program have been identified through interviews with commissioners and public statements from peak bodies.</w:t>
      </w:r>
    </w:p>
    <w:p w14:paraId="093F9932" w14:textId="203D3B5C" w:rsidR="000D1AF4" w:rsidRPr="009B783C" w:rsidRDefault="000D1AF4" w:rsidP="00F5425B">
      <w:pPr>
        <w:rPr>
          <w:szCs w:val="21"/>
        </w:rPr>
      </w:pPr>
      <w:r w:rsidRPr="009B783C">
        <w:rPr>
          <w:szCs w:val="21"/>
        </w:rPr>
        <w:t>Commissioners reported apprehension about the program from many local GPs who had</w:t>
      </w:r>
      <w:r w:rsidRPr="009B783C" w:rsidDel="00485690">
        <w:rPr>
          <w:szCs w:val="21"/>
        </w:rPr>
        <w:t xml:space="preserve"> </w:t>
      </w:r>
      <w:r w:rsidRPr="009B783C">
        <w:rPr>
          <w:szCs w:val="21"/>
        </w:rPr>
        <w:t>raised concerns that they would lose staff and patients to the Medicare UCCs due to the Medicare UCCs offering bulk-billed care and a fear that they may not hand patients back to their regular GP after the urgent episode.</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4987DF60" w14:textId="77777777" w:rsidTr="008E04CE">
        <w:trPr>
          <w:cantSplit/>
        </w:trPr>
        <w:tc>
          <w:tcPr>
            <w:tcW w:w="813" w:type="dxa"/>
            <w:shd w:val="clear" w:color="auto" w:fill="F2F2F2" w:themeFill="background1" w:themeFillShade="F2"/>
            <w:vAlign w:val="center"/>
          </w:tcPr>
          <w:p w14:paraId="7DDDB7D9" w14:textId="77777777" w:rsidR="00E42C9C" w:rsidRPr="009B783C" w:rsidRDefault="00E42C9C" w:rsidP="00F5425B">
            <w:pPr>
              <w:spacing w:before="120"/>
              <w:rPr>
                <w:szCs w:val="21"/>
              </w:rPr>
            </w:pPr>
            <w:r w:rsidRPr="009B783C">
              <w:rPr>
                <w:noProof/>
                <w:szCs w:val="21"/>
              </w:rPr>
              <w:lastRenderedPageBreak/>
              <w:drawing>
                <wp:inline distT="0" distB="0" distL="0" distR="0" wp14:anchorId="5539293D" wp14:editId="130A7B2B">
                  <wp:extent cx="296915" cy="241300"/>
                  <wp:effectExtent l="0" t="0" r="8255" b="6350"/>
                  <wp:docPr id="910541845"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541845"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117" w:type="dxa"/>
            <w:shd w:val="clear" w:color="auto" w:fill="F2F2F2" w:themeFill="background1" w:themeFillShade="F2"/>
            <w:vAlign w:val="center"/>
          </w:tcPr>
          <w:p w14:paraId="3DE306C7" w14:textId="77777777"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szCs w:val="21"/>
              </w:rPr>
              <w:t xml:space="preserve">“There is concern from our GP community, particularly as we’ve transitioned from an urgent care service that was heavily triaged to an Urgent Care Clinic, that we might end up being the surrogate bulk-billing practice in the area.” </w:t>
            </w:r>
            <w:r w:rsidRPr="009B783C">
              <w:rPr>
                <w:rFonts w:asciiTheme="minorHAnsi" w:hAnsiTheme="minorHAnsi" w:cstheme="minorHAnsi"/>
                <w:szCs w:val="21"/>
              </w:rPr>
              <w:t>[Commissioner]</w:t>
            </w:r>
          </w:p>
        </w:tc>
      </w:tr>
      <w:tr w:rsidR="00E42C9C" w:rsidRPr="009B783C" w14:paraId="3122FC89" w14:textId="77777777" w:rsidTr="008E04CE">
        <w:trPr>
          <w:cantSplit/>
        </w:trPr>
        <w:tc>
          <w:tcPr>
            <w:tcW w:w="813" w:type="dxa"/>
            <w:shd w:val="clear" w:color="auto" w:fill="F2F2F2" w:themeFill="background1" w:themeFillShade="F2"/>
            <w:vAlign w:val="center"/>
          </w:tcPr>
          <w:p w14:paraId="7C9152F8" w14:textId="77777777" w:rsidR="00E42C9C" w:rsidRPr="009B783C" w:rsidRDefault="00E42C9C" w:rsidP="00F5425B">
            <w:pPr>
              <w:spacing w:before="120"/>
              <w:rPr>
                <w:szCs w:val="21"/>
              </w:rPr>
            </w:pPr>
            <w:r w:rsidRPr="009B783C">
              <w:rPr>
                <w:noProof/>
                <w:szCs w:val="21"/>
              </w:rPr>
              <w:drawing>
                <wp:inline distT="0" distB="0" distL="0" distR="0" wp14:anchorId="694ECF65" wp14:editId="1423E9B7">
                  <wp:extent cx="296915" cy="241300"/>
                  <wp:effectExtent l="0" t="0" r="8255" b="6350"/>
                  <wp:docPr id="267483080"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483080"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117" w:type="dxa"/>
            <w:shd w:val="clear" w:color="auto" w:fill="F2F2F2" w:themeFill="background1" w:themeFillShade="F2"/>
            <w:vAlign w:val="center"/>
          </w:tcPr>
          <w:p w14:paraId="6E28DFEA" w14:textId="7F4D6C8F" w:rsidR="00E42C9C" w:rsidRPr="009B783C" w:rsidRDefault="00E42C9C" w:rsidP="00F5425B">
            <w:pPr>
              <w:spacing w:before="120"/>
              <w:rPr>
                <w:rFonts w:asciiTheme="majorHAnsi" w:hAnsiTheme="majorHAnsi" w:cstheme="majorBidi"/>
                <w:szCs w:val="21"/>
                <w:lang w:val="en-US"/>
              </w:rPr>
            </w:pPr>
            <w:r w:rsidRPr="009B783C">
              <w:rPr>
                <w:rFonts w:asciiTheme="majorHAnsi" w:hAnsiTheme="majorHAnsi" w:cstheme="majorBidi"/>
                <w:szCs w:val="21"/>
              </w:rPr>
              <w:t>“A thing we have come across is the distrust of the local general practices. When the [Medicare] UCCs first opened, they felt that the [Medicare] UCCs were going to be stealing patients, didn’t feel they would be returning patients once they had been seen, that they would keep them as their clinic patients. So</w:t>
            </w:r>
            <w:r w:rsidR="003172DD" w:rsidRPr="009B783C">
              <w:rPr>
                <w:rFonts w:asciiTheme="majorHAnsi" w:hAnsiTheme="majorHAnsi" w:cstheme="majorBidi"/>
                <w:szCs w:val="21"/>
              </w:rPr>
              <w:t>,</w:t>
            </w:r>
            <w:r w:rsidRPr="009B783C">
              <w:rPr>
                <w:rFonts w:asciiTheme="majorHAnsi" w:hAnsiTheme="majorHAnsi" w:cstheme="majorBidi"/>
                <w:szCs w:val="21"/>
              </w:rPr>
              <w:t xml:space="preserve"> there was a lot of work that we had to do around that.” </w:t>
            </w:r>
            <w:r w:rsidRPr="009B783C">
              <w:rPr>
                <w:rFonts w:asciiTheme="minorHAnsi" w:hAnsiTheme="minorHAnsi"/>
                <w:szCs w:val="21"/>
              </w:rPr>
              <w:t>[Commissioner]</w:t>
            </w:r>
          </w:p>
        </w:tc>
      </w:tr>
    </w:tbl>
    <w:p w14:paraId="6C79DD81" w14:textId="40C9C871" w:rsidR="008E04CE" w:rsidRPr="009B783C" w:rsidRDefault="008E04CE" w:rsidP="00F5425B">
      <w:pPr>
        <w:spacing w:before="120"/>
        <w:rPr>
          <w:szCs w:val="21"/>
          <w:lang w:val="en-US"/>
        </w:rPr>
      </w:pPr>
      <w:r w:rsidRPr="009B783C">
        <w:rPr>
          <w:szCs w:val="21"/>
        </w:rPr>
        <w:t>Commissioners also received feedback from some local GPs that they had not received clinical handovers when patients have attended Medicare UCCs, negatively impacting continuity of care. As discussed in detail in Measure of Success 3</w:t>
      </w:r>
      <w:r w:rsidR="003172DD" w:rsidRPr="009B783C">
        <w:rPr>
          <w:szCs w:val="21"/>
        </w:rPr>
        <w:t xml:space="preserve"> (section </w:t>
      </w:r>
      <w:r w:rsidR="003172DD" w:rsidRPr="009B783C">
        <w:rPr>
          <w:szCs w:val="21"/>
        </w:rPr>
        <w:fldChar w:fldCharType="begin"/>
      </w:r>
      <w:r w:rsidR="003172DD" w:rsidRPr="009B783C">
        <w:rPr>
          <w:szCs w:val="21"/>
        </w:rPr>
        <w:instrText xml:space="preserve"> REF _Ref185323764 \n \h </w:instrText>
      </w:r>
      <w:r w:rsidR="00F5425B" w:rsidRPr="009B783C">
        <w:rPr>
          <w:szCs w:val="21"/>
        </w:rPr>
        <w:instrText xml:space="preserve"> \* MERGEFORMAT </w:instrText>
      </w:r>
      <w:r w:rsidR="003172DD" w:rsidRPr="009B783C">
        <w:rPr>
          <w:szCs w:val="21"/>
        </w:rPr>
      </w:r>
      <w:r w:rsidR="003172DD" w:rsidRPr="009B783C">
        <w:rPr>
          <w:szCs w:val="21"/>
        </w:rPr>
        <w:fldChar w:fldCharType="separate"/>
      </w:r>
      <w:r w:rsidR="0031172E" w:rsidRPr="009B783C">
        <w:rPr>
          <w:szCs w:val="21"/>
        </w:rPr>
        <w:t>5.3</w:t>
      </w:r>
      <w:r w:rsidR="003172DD" w:rsidRPr="009B783C">
        <w:rPr>
          <w:szCs w:val="21"/>
        </w:rPr>
        <w:fldChar w:fldCharType="end"/>
      </w:r>
      <w:r w:rsidR="003172DD" w:rsidRPr="009B783C">
        <w:rPr>
          <w:szCs w:val="21"/>
        </w:rPr>
        <w:t>)</w:t>
      </w:r>
      <w:r w:rsidRPr="009B783C">
        <w:rPr>
          <w:szCs w:val="21"/>
        </w:rPr>
        <w:t xml:space="preserve">, electronic provision of a discharge summary from the Medicare UCC directly to a patient's usual GP/GP practice was used for only 68 per cent of presentations. </w:t>
      </w:r>
    </w:p>
    <w:p w14:paraId="53AD73B1" w14:textId="77777777" w:rsidR="0075138F" w:rsidRPr="009B783C" w:rsidRDefault="0075138F" w:rsidP="00F5425B">
      <w:pPr>
        <w:spacing w:before="120"/>
        <w:rPr>
          <w:szCs w:val="21"/>
          <w:lang w:val="en-US"/>
        </w:rPr>
      </w:pPr>
      <w:r w:rsidRPr="009B783C">
        <w:rPr>
          <w:szCs w:val="21"/>
        </w:rPr>
        <w:t xml:space="preserve">These reports </w:t>
      </w:r>
      <w:r w:rsidRPr="009B783C" w:rsidDel="008F1497">
        <w:rPr>
          <w:szCs w:val="21"/>
        </w:rPr>
        <w:t xml:space="preserve">were </w:t>
      </w:r>
      <w:r w:rsidRPr="009B783C">
        <w:rPr>
          <w:szCs w:val="21"/>
        </w:rPr>
        <w:t>echoed in a position statement released by the National Council of Primary Care Doctors</w:t>
      </w:r>
      <w:r w:rsidRPr="35C5891D">
        <w:rPr>
          <w:rStyle w:val="FootnoteReference"/>
          <w:szCs w:val="21"/>
          <w:lang w:val="en-US"/>
        </w:rPr>
        <w:footnoteReference w:id="76"/>
      </w:r>
      <w:r w:rsidRPr="009B783C">
        <w:rPr>
          <w:szCs w:val="21"/>
        </w:rPr>
        <w:t xml:space="preserve"> in November 2024,</w:t>
      </w:r>
      <w:r w:rsidRPr="35C5891D">
        <w:rPr>
          <w:rStyle w:val="FootnoteReference"/>
          <w:szCs w:val="21"/>
          <w:lang w:val="en-US"/>
        </w:rPr>
        <w:footnoteReference w:id="77"/>
      </w:r>
      <w:r w:rsidRPr="009B783C">
        <w:rPr>
          <w:szCs w:val="21"/>
        </w:rPr>
        <w:t xml:space="preserve"> raising concerns about fragmentation of care and the impact of Medicare UCCs on workforce supply and urgent care training opportunities for surrounding local general practices. </w:t>
      </w:r>
    </w:p>
    <w:p w14:paraId="403C3A79" w14:textId="77777777" w:rsidR="0075138F" w:rsidRPr="009B783C" w:rsidRDefault="0075138F" w:rsidP="00F5425B">
      <w:pPr>
        <w:spacing w:before="120"/>
        <w:rPr>
          <w:szCs w:val="21"/>
        </w:rPr>
      </w:pPr>
      <w:r w:rsidRPr="009B783C">
        <w:rPr>
          <w:szCs w:val="21"/>
        </w:rPr>
        <w:t>Commissioners reported that they are working with Medicare UCCs to build confidence in the program and strengthen relationships with local GPs through:</w:t>
      </w:r>
    </w:p>
    <w:p w14:paraId="619C0062" w14:textId="61855EA3" w:rsidR="0075138F" w:rsidRPr="009B783C" w:rsidRDefault="0075138F" w:rsidP="00F5425B">
      <w:pPr>
        <w:pStyle w:val="Bullet"/>
        <w:rPr>
          <w:szCs w:val="21"/>
        </w:rPr>
      </w:pPr>
      <w:r w:rsidRPr="009B783C">
        <w:rPr>
          <w:szCs w:val="21"/>
        </w:rPr>
        <w:t>Meetings with local GPs to explain the aims of the Medicare UCC Program and challenge pre-conceptions by reiterating the Medicare UCC Operational Guidance that clinics are there to provide short-term episodic care for urgent conditions and that they will refer patients back to their regular GP for follow up.</w:t>
      </w:r>
    </w:p>
    <w:p w14:paraId="38C793EE" w14:textId="77777777" w:rsidR="0075138F" w:rsidRPr="009B783C" w:rsidRDefault="0075138F" w:rsidP="00F5425B">
      <w:pPr>
        <w:pStyle w:val="Bullet"/>
        <w:rPr>
          <w:szCs w:val="21"/>
        </w:rPr>
      </w:pPr>
      <w:r w:rsidRPr="009B783C">
        <w:rPr>
          <w:szCs w:val="21"/>
        </w:rPr>
        <w:t>Arranging walk throughs of the Medicare UCCs with local GPs.</w:t>
      </w:r>
    </w:p>
    <w:p w14:paraId="5B82F39E" w14:textId="77777777" w:rsidR="0075138F" w:rsidRPr="009B783C" w:rsidRDefault="0075138F" w:rsidP="00F5425B">
      <w:pPr>
        <w:pStyle w:val="Bullet"/>
        <w:rPr>
          <w:szCs w:val="21"/>
        </w:rPr>
      </w:pPr>
      <w:r w:rsidRPr="009B783C">
        <w:rPr>
          <w:szCs w:val="21"/>
        </w:rPr>
        <w:t>Encouraging ongoing communications between the Medicare UCC and local GPs, with assistance from PHN staff where required.</w:t>
      </w:r>
    </w:p>
    <w:p w14:paraId="49C8CC4A" w14:textId="5CF705A2" w:rsidR="0075138F" w:rsidRPr="009B783C" w:rsidRDefault="0075138F" w:rsidP="00F5425B">
      <w:pPr>
        <w:spacing w:before="120"/>
        <w:rPr>
          <w:szCs w:val="21"/>
          <w:lang w:val="en-US"/>
        </w:rPr>
      </w:pPr>
      <w:r w:rsidRPr="009B783C">
        <w:rPr>
          <w:szCs w:val="21"/>
        </w:rPr>
        <w:t xml:space="preserve">Commissioners reported that the early concerns raised by GPs about losing patients to the Medicare UCCs were starting to dissipate in some instances. </w:t>
      </w:r>
      <w:r w:rsidR="008E04CE" w:rsidRPr="009B783C">
        <w:rPr>
          <w:szCs w:val="21"/>
        </w:rPr>
        <w:t xml:space="preserve">A survey of 795 GPs conducted by medical education company </w:t>
      </w:r>
      <w:proofErr w:type="spellStart"/>
      <w:r w:rsidR="008E04CE" w:rsidRPr="009B783C">
        <w:rPr>
          <w:szCs w:val="21"/>
        </w:rPr>
        <w:t>Healthed</w:t>
      </w:r>
      <w:proofErr w:type="spellEnd"/>
      <w:r w:rsidR="008E04CE" w:rsidRPr="009B783C">
        <w:rPr>
          <w:szCs w:val="21"/>
        </w:rPr>
        <w:t xml:space="preserve"> in November 2024 indicated that 70 per cent</w:t>
      </w:r>
      <w:r w:rsidR="008E04CE" w:rsidRPr="009B783C" w:rsidDel="002238FD">
        <w:rPr>
          <w:szCs w:val="21"/>
        </w:rPr>
        <w:t xml:space="preserve"> of </w:t>
      </w:r>
      <w:r w:rsidR="008E04CE" w:rsidRPr="009B783C">
        <w:rPr>
          <w:szCs w:val="21"/>
        </w:rPr>
        <w:t xml:space="preserve">GPs support </w:t>
      </w:r>
      <w:r w:rsidR="0016766C" w:rsidRPr="009B783C">
        <w:rPr>
          <w:szCs w:val="21"/>
        </w:rPr>
        <w:t xml:space="preserve">Medicare </w:t>
      </w:r>
      <w:r w:rsidR="004F5599" w:rsidRPr="009B783C">
        <w:rPr>
          <w:szCs w:val="21"/>
        </w:rPr>
        <w:t>UCC</w:t>
      </w:r>
      <w:r w:rsidR="008E04CE" w:rsidRPr="009B783C">
        <w:rPr>
          <w:szCs w:val="21"/>
        </w:rPr>
        <w:t>s</w:t>
      </w:r>
      <w:r w:rsidR="008E04CE" w:rsidRPr="009B783C" w:rsidDel="002238FD">
        <w:rPr>
          <w:szCs w:val="21"/>
        </w:rPr>
        <w:t xml:space="preserve"> in </w:t>
      </w:r>
      <w:r w:rsidR="008E04CE" w:rsidRPr="009B783C">
        <w:rPr>
          <w:szCs w:val="21"/>
        </w:rPr>
        <w:t xml:space="preserve">principle, with the majority citing that they felt it had a positive impact on timely delivery of care, reduced pressure on local </w:t>
      </w:r>
      <w:r w:rsidR="00B64012" w:rsidRPr="009B783C">
        <w:rPr>
          <w:szCs w:val="21"/>
        </w:rPr>
        <w:t>EDs</w:t>
      </w:r>
      <w:r w:rsidR="008E04CE" w:rsidRPr="009B783C">
        <w:rPr>
          <w:szCs w:val="21"/>
        </w:rPr>
        <w:t xml:space="preserve"> and having a positive impact on patient health outcomes.</w:t>
      </w:r>
      <w:r w:rsidR="008E04CE" w:rsidRPr="009B783C">
        <w:rPr>
          <w:rStyle w:val="FootnoteReference"/>
          <w:szCs w:val="21"/>
        </w:rPr>
        <w:footnoteReference w:id="78"/>
      </w:r>
      <w:r w:rsidR="008E04CE" w:rsidRPr="009B783C" w:rsidDel="00D02214">
        <w:rPr>
          <w:szCs w:val="21"/>
        </w:rPr>
        <w:t xml:space="preserve"> </w:t>
      </w:r>
      <w:r w:rsidRPr="009B783C">
        <w:rPr>
          <w:szCs w:val="21"/>
        </w:rPr>
        <w:t xml:space="preserve">Building relationships, awareness and reliable channels of communication with local GPs remains an important area of focus for many commissioners and </w:t>
      </w:r>
      <w:r w:rsidRPr="009B783C">
        <w:rPr>
          <w:szCs w:val="21"/>
        </w:rPr>
        <w:lastRenderedPageBreak/>
        <w:t>the Medicare UCCs they work with.</w:t>
      </w:r>
      <w:r w:rsidR="008E04CE" w:rsidRPr="009B783C">
        <w:rPr>
          <w:szCs w:val="21"/>
        </w:rPr>
        <w:t xml:space="preserve"> This will be further explored through expanded stakeholder consultations in future evaluations. </w:t>
      </w:r>
    </w:p>
    <w:p w14:paraId="37520F32" w14:textId="77777777" w:rsidR="0075138F" w:rsidRPr="009B783C" w:rsidRDefault="0075138F" w:rsidP="000D706D">
      <w:pPr>
        <w:pStyle w:val="Heading3"/>
      </w:pPr>
      <w:r w:rsidRPr="009B783C">
        <w:t>ED staff experiences with Medicare UCC services will be examined in future phases of the evaluation</w:t>
      </w:r>
    </w:p>
    <w:p w14:paraId="621DC29C" w14:textId="77777777" w:rsidR="0075138F" w:rsidRPr="009B783C" w:rsidRDefault="0075138F" w:rsidP="00F5425B">
      <w:pPr>
        <w:rPr>
          <w:szCs w:val="21"/>
          <w:lang w:eastAsia="en-AU"/>
        </w:rPr>
      </w:pPr>
      <w:r w:rsidRPr="009B783C">
        <w:rPr>
          <w:szCs w:val="21"/>
          <w:lang w:eastAsia="en-AU"/>
        </w:rPr>
        <w:t xml:space="preserve">The evaluation has not yet engaged with ED staff, so their experiences and perceptions of Medicare UCC services cannot be assessed at this stage. This will be addressed in future reports. </w:t>
      </w:r>
    </w:p>
    <w:p w14:paraId="1A0959E8" w14:textId="3C46A1BF" w:rsidR="0075138F" w:rsidRPr="009B783C" w:rsidRDefault="0075138F" w:rsidP="00F5425B">
      <w:pPr>
        <w:spacing w:after="240"/>
        <w:rPr>
          <w:szCs w:val="21"/>
          <w:lang w:eastAsia="en-AU"/>
        </w:rPr>
      </w:pPr>
      <w:r w:rsidRPr="009B783C">
        <w:rPr>
          <w:szCs w:val="21"/>
          <w:lang w:eastAsia="en-AU"/>
        </w:rPr>
        <w:t>Commissioners reported that Medicare UCCs have focussed on establishing relationships with partner hospital ED staff and this is explored in more detail in Measure of Success 8</w:t>
      </w:r>
      <w:r w:rsidR="00A81592" w:rsidRPr="009B783C">
        <w:rPr>
          <w:szCs w:val="21"/>
          <w:lang w:eastAsia="en-AU"/>
        </w:rPr>
        <w:t xml:space="preserve"> (section</w:t>
      </w:r>
      <w:r w:rsidR="0031172E" w:rsidRPr="009B783C">
        <w:rPr>
          <w:szCs w:val="21"/>
          <w:lang w:eastAsia="en-AU"/>
        </w:rPr>
        <w:t xml:space="preserve"> </w:t>
      </w:r>
      <w:r w:rsidR="0031172E" w:rsidRPr="009B783C">
        <w:rPr>
          <w:szCs w:val="21"/>
          <w:lang w:eastAsia="en-AU"/>
        </w:rPr>
        <w:fldChar w:fldCharType="begin"/>
      </w:r>
      <w:r w:rsidR="0031172E" w:rsidRPr="009B783C">
        <w:rPr>
          <w:szCs w:val="21"/>
          <w:lang w:eastAsia="en-AU"/>
        </w:rPr>
        <w:instrText xml:space="preserve"> REF _Ref188979357 \n \h </w:instrText>
      </w:r>
      <w:r w:rsidR="00F5425B" w:rsidRPr="009B783C">
        <w:rPr>
          <w:szCs w:val="21"/>
          <w:lang w:eastAsia="en-AU"/>
        </w:rPr>
        <w:instrText xml:space="preserve"> \* MERGEFORMAT </w:instrText>
      </w:r>
      <w:r w:rsidR="0031172E" w:rsidRPr="009B783C">
        <w:rPr>
          <w:szCs w:val="21"/>
          <w:lang w:eastAsia="en-AU"/>
        </w:rPr>
      </w:r>
      <w:r w:rsidR="0031172E" w:rsidRPr="009B783C">
        <w:rPr>
          <w:szCs w:val="21"/>
          <w:lang w:eastAsia="en-AU"/>
        </w:rPr>
        <w:fldChar w:fldCharType="separate"/>
      </w:r>
      <w:r w:rsidR="0031172E" w:rsidRPr="009B783C">
        <w:rPr>
          <w:szCs w:val="21"/>
          <w:lang w:eastAsia="en-AU"/>
        </w:rPr>
        <w:t>5.8</w:t>
      </w:r>
      <w:r w:rsidR="0031172E" w:rsidRPr="009B783C">
        <w:rPr>
          <w:szCs w:val="21"/>
          <w:lang w:eastAsia="en-AU"/>
        </w:rPr>
        <w:fldChar w:fldCharType="end"/>
      </w:r>
      <w:r w:rsidR="00A81592" w:rsidRPr="009B783C">
        <w:rPr>
          <w:szCs w:val="21"/>
          <w:lang w:eastAsia="en-AU"/>
        </w:rPr>
        <w:t>).</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E42C9C" w:rsidRPr="009B783C" w14:paraId="22F65B7C" w14:textId="77777777" w:rsidTr="003E79FA">
        <w:tc>
          <w:tcPr>
            <w:tcW w:w="8908" w:type="dxa"/>
          </w:tcPr>
          <w:p w14:paraId="73CAE3E8" w14:textId="53194FBA" w:rsidR="00E42C9C" w:rsidRPr="009B783C" w:rsidRDefault="00646FE9"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49963830" w14:textId="2A949222" w:rsidR="00E42C9C" w:rsidRPr="009B783C" w:rsidRDefault="00E42C9C" w:rsidP="00F5425B">
            <w:pPr>
              <w:pStyle w:val="Longformcallout"/>
              <w:rPr>
                <w:szCs w:val="21"/>
                <w:lang w:val="en-US"/>
              </w:rPr>
            </w:pPr>
            <w:r w:rsidRPr="009B783C">
              <w:rPr>
                <w:szCs w:val="21"/>
              </w:rPr>
              <w:t xml:space="preserve">At this early stage, the evaluation cannot draw conclusions about the concerns expressed from some GPs that Medicare UCCs will </w:t>
            </w:r>
            <w:r w:rsidR="00C54169" w:rsidRPr="009B783C">
              <w:rPr>
                <w:szCs w:val="21"/>
              </w:rPr>
              <w:t xml:space="preserve">interfere with established relationships between GPs and their patients and </w:t>
            </w:r>
            <w:r w:rsidRPr="009B783C">
              <w:rPr>
                <w:szCs w:val="21"/>
              </w:rPr>
              <w:t>attract patients</w:t>
            </w:r>
            <w:r w:rsidR="00C54169" w:rsidRPr="009B783C">
              <w:rPr>
                <w:szCs w:val="21"/>
              </w:rPr>
              <w:t xml:space="preserve"> who do not have urgent care needs.</w:t>
            </w:r>
            <w:r w:rsidRPr="009B783C">
              <w:rPr>
                <w:szCs w:val="21"/>
              </w:rPr>
              <w:t xml:space="preserve"> The evaluation notes that commissioners are aware of these concerns and are working to improve communications and build stronger relationships</w:t>
            </w:r>
            <w:r w:rsidR="00245A5F" w:rsidRPr="009B783C">
              <w:rPr>
                <w:szCs w:val="21"/>
              </w:rPr>
              <w:t xml:space="preserve"> locally</w:t>
            </w:r>
            <w:r w:rsidRPr="009B783C">
              <w:rPr>
                <w:szCs w:val="21"/>
              </w:rPr>
              <w:t>.</w:t>
            </w:r>
          </w:p>
        </w:tc>
      </w:tr>
    </w:tbl>
    <w:p w14:paraId="602079EA" w14:textId="368711D2" w:rsidR="008477B4" w:rsidRPr="000D706D" w:rsidRDefault="008477B4" w:rsidP="000D706D">
      <w:pPr>
        <w:pStyle w:val="Heading3"/>
      </w:pPr>
      <w:bookmarkStart w:id="139" w:name="_Toc179962837"/>
      <w:r w:rsidRPr="000D706D">
        <w:t xml:space="preserve">Medicare UCCs are facing similar </w:t>
      </w:r>
      <w:r w:rsidR="00FA4A00" w:rsidRPr="000D706D">
        <w:t xml:space="preserve">GP </w:t>
      </w:r>
      <w:r w:rsidRPr="000D706D">
        <w:t>workforce challenges to primary care more broadly</w:t>
      </w:r>
      <w:bookmarkEnd w:id="139"/>
      <w:r w:rsidRPr="000D706D">
        <w:t xml:space="preserve"> </w:t>
      </w:r>
    </w:p>
    <w:p w14:paraId="42FF721F" w14:textId="3C69F732" w:rsidR="004562B2" w:rsidRPr="009B783C" w:rsidRDefault="004562B2" w:rsidP="00F5425B">
      <w:pPr>
        <w:rPr>
          <w:szCs w:val="21"/>
          <w:lang w:val="en-US" w:eastAsia="en-AU"/>
        </w:rPr>
      </w:pPr>
      <w:r w:rsidRPr="009B783C">
        <w:rPr>
          <w:szCs w:val="21"/>
          <w:lang w:eastAsia="en-AU"/>
        </w:rPr>
        <w:t xml:space="preserve">Commissioners highlighted challenges related to GP workforce availability, particularly in recruiting enough GPs to meet the minimum </w:t>
      </w:r>
      <w:r w:rsidR="00351A8B" w:rsidRPr="009B783C">
        <w:rPr>
          <w:szCs w:val="21"/>
          <w:lang w:eastAsia="en-AU"/>
        </w:rPr>
        <w:t xml:space="preserve">and sufficient </w:t>
      </w:r>
      <w:r w:rsidRPr="009B783C">
        <w:rPr>
          <w:szCs w:val="21"/>
          <w:lang w:eastAsia="en-AU"/>
        </w:rPr>
        <w:t>workforce requirements for extended opening hours in regional, rural and remote areas. Similar issues were acknowledged in the recently published After Hours Review.</w:t>
      </w:r>
      <w:r w:rsidRPr="35C5891D">
        <w:rPr>
          <w:rStyle w:val="FootnoteReference"/>
          <w:szCs w:val="21"/>
          <w:lang w:val="en-US" w:eastAsia="en-AU"/>
        </w:rPr>
        <w:footnoteReference w:id="79"/>
      </w:r>
      <w:r w:rsidR="008A611A" w:rsidRPr="009B783C">
        <w:rPr>
          <w:szCs w:val="21"/>
          <w:lang w:eastAsia="en-AU"/>
        </w:rPr>
        <w:t xml:space="preserve"> </w:t>
      </w:r>
      <w:r w:rsidRPr="009B783C">
        <w:rPr>
          <w:szCs w:val="21"/>
          <w:lang w:eastAsia="en-AU"/>
        </w:rPr>
        <w:t xml:space="preserve">Recent reports show that the number of GPs increased by 1.5 per cent in 2023 compared with 2022, </w:t>
      </w:r>
      <w:r w:rsidR="00E07C2E" w:rsidRPr="009B783C">
        <w:rPr>
          <w:szCs w:val="21"/>
          <w:lang w:eastAsia="en-AU"/>
        </w:rPr>
        <w:t xml:space="preserve">however, </w:t>
      </w:r>
      <w:r w:rsidRPr="009B783C">
        <w:rPr>
          <w:szCs w:val="21"/>
          <w:lang w:eastAsia="en-AU"/>
        </w:rPr>
        <w:t>this growth remains insufficient to meet the healthcare needs of Australians.</w:t>
      </w:r>
      <w:r w:rsidRPr="35C5891D">
        <w:rPr>
          <w:rStyle w:val="FootnoteReference"/>
          <w:szCs w:val="21"/>
          <w:lang w:val="en-US" w:eastAsia="en-AU"/>
        </w:rPr>
        <w:footnoteReference w:id="80"/>
      </w:r>
      <w:r w:rsidR="008A611A" w:rsidRPr="009B783C">
        <w:rPr>
          <w:szCs w:val="21"/>
          <w:lang w:eastAsia="en-AU"/>
        </w:rPr>
        <w:t xml:space="preserve"> </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4414D377" w14:textId="77777777">
        <w:trPr>
          <w:cantSplit/>
        </w:trPr>
        <w:tc>
          <w:tcPr>
            <w:tcW w:w="817" w:type="dxa"/>
            <w:shd w:val="clear" w:color="auto" w:fill="F2F2F2" w:themeFill="background1" w:themeFillShade="F2"/>
            <w:vAlign w:val="center"/>
          </w:tcPr>
          <w:p w14:paraId="53110EE6" w14:textId="77777777" w:rsidR="00E42C9C" w:rsidRPr="009B783C" w:rsidRDefault="00E42C9C" w:rsidP="00F5425B">
            <w:pPr>
              <w:spacing w:before="120"/>
              <w:rPr>
                <w:szCs w:val="21"/>
              </w:rPr>
            </w:pPr>
            <w:r w:rsidRPr="009B783C">
              <w:rPr>
                <w:noProof/>
                <w:szCs w:val="21"/>
              </w:rPr>
              <w:drawing>
                <wp:inline distT="0" distB="0" distL="0" distR="0" wp14:anchorId="6DB4600E" wp14:editId="66574032">
                  <wp:extent cx="296915" cy="241300"/>
                  <wp:effectExtent l="0" t="0" r="8255" b="6350"/>
                  <wp:docPr id="217828404"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828404"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50756E49" w14:textId="77777777"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szCs w:val="21"/>
              </w:rPr>
              <w:t xml:space="preserve">“Some of the biggest challenges with this model are around workforce and sourcing the GPs to be able to staff these clinics.” </w:t>
            </w:r>
            <w:r w:rsidRPr="009B783C">
              <w:rPr>
                <w:rFonts w:asciiTheme="minorHAnsi" w:hAnsiTheme="minorHAnsi" w:cstheme="minorHAnsi"/>
                <w:szCs w:val="21"/>
              </w:rPr>
              <w:t>[Commissioner]</w:t>
            </w:r>
          </w:p>
        </w:tc>
      </w:tr>
    </w:tbl>
    <w:p w14:paraId="6E015A1D" w14:textId="66984990" w:rsidR="00196FB6" w:rsidRPr="009B783C" w:rsidRDefault="00CC492C" w:rsidP="00F5425B">
      <w:pPr>
        <w:spacing w:before="120"/>
        <w:rPr>
          <w:szCs w:val="21"/>
          <w:lang w:eastAsia="en-AU"/>
        </w:rPr>
      </w:pPr>
      <w:r w:rsidRPr="009B783C">
        <w:rPr>
          <w:szCs w:val="21"/>
          <w:lang w:eastAsia="en-AU"/>
        </w:rPr>
        <w:t>The Medicare UCC Operational Guidance require</w:t>
      </w:r>
      <w:r w:rsidR="00095905" w:rsidRPr="009B783C">
        <w:rPr>
          <w:szCs w:val="21"/>
          <w:lang w:eastAsia="en-AU"/>
        </w:rPr>
        <w:t>s</w:t>
      </w:r>
      <w:r w:rsidRPr="009B783C">
        <w:rPr>
          <w:szCs w:val="21"/>
          <w:lang w:eastAsia="en-AU"/>
        </w:rPr>
        <w:t xml:space="preserve"> the clinics to be GP</w:t>
      </w:r>
      <w:r w:rsidR="00682254" w:rsidRPr="009B783C">
        <w:rPr>
          <w:szCs w:val="21"/>
          <w:lang w:eastAsia="en-AU"/>
        </w:rPr>
        <w:t>-</w:t>
      </w:r>
      <w:r w:rsidRPr="009B783C">
        <w:rPr>
          <w:szCs w:val="21"/>
          <w:lang w:eastAsia="en-AU"/>
        </w:rPr>
        <w:t>led,</w:t>
      </w:r>
      <w:r w:rsidR="0075138F" w:rsidRPr="009B783C">
        <w:rPr>
          <w:rStyle w:val="FootnoteReference"/>
          <w:szCs w:val="21"/>
          <w:lang w:eastAsia="en-AU"/>
        </w:rPr>
        <w:footnoteReference w:id="81"/>
      </w:r>
      <w:r w:rsidRPr="009B783C">
        <w:rPr>
          <w:szCs w:val="21"/>
          <w:lang w:eastAsia="en-AU"/>
        </w:rPr>
        <w:t xml:space="preserve"> with </w:t>
      </w:r>
      <w:r w:rsidR="00762F60" w:rsidRPr="009B783C">
        <w:rPr>
          <w:szCs w:val="21"/>
          <w:lang w:eastAsia="en-AU"/>
        </w:rPr>
        <w:t xml:space="preserve">workforce </w:t>
      </w:r>
      <w:r w:rsidRPr="009B783C">
        <w:rPr>
          <w:szCs w:val="21"/>
          <w:lang w:eastAsia="en-AU"/>
        </w:rPr>
        <w:t>mix based on availability, local need and context. At a minimum, clinics are to be staffed by</w:t>
      </w:r>
      <w:r w:rsidR="0075138F" w:rsidRPr="009B783C">
        <w:rPr>
          <w:szCs w:val="21"/>
          <w:lang w:eastAsia="en-AU"/>
        </w:rPr>
        <w:t>:</w:t>
      </w:r>
      <w:r w:rsidRPr="009B783C">
        <w:rPr>
          <w:szCs w:val="21"/>
          <w:lang w:eastAsia="en-AU"/>
        </w:rPr>
        <w:t xml:space="preserve"> </w:t>
      </w:r>
    </w:p>
    <w:p w14:paraId="44EAFB3A" w14:textId="77777777" w:rsidR="00196FB6" w:rsidRPr="009B783C" w:rsidRDefault="00196FB6" w:rsidP="00E40295">
      <w:pPr>
        <w:pStyle w:val="Bullet"/>
        <w:spacing w:after="0"/>
        <w:rPr>
          <w:szCs w:val="21"/>
        </w:rPr>
      </w:pPr>
      <w:r w:rsidRPr="009B783C">
        <w:rPr>
          <w:szCs w:val="21"/>
        </w:rPr>
        <w:t>one</w:t>
      </w:r>
      <w:r w:rsidR="00CC492C" w:rsidRPr="009B783C">
        <w:rPr>
          <w:szCs w:val="21"/>
        </w:rPr>
        <w:t xml:space="preserve"> vocationally registered GP</w:t>
      </w:r>
    </w:p>
    <w:p w14:paraId="05B4C11B" w14:textId="77777777" w:rsidR="00196FB6" w:rsidRPr="009B783C" w:rsidRDefault="00196FB6" w:rsidP="00E40295">
      <w:pPr>
        <w:pStyle w:val="Bullet"/>
        <w:spacing w:after="0"/>
        <w:rPr>
          <w:szCs w:val="21"/>
        </w:rPr>
      </w:pPr>
      <w:r w:rsidRPr="009B783C">
        <w:rPr>
          <w:szCs w:val="21"/>
        </w:rPr>
        <w:t>one</w:t>
      </w:r>
      <w:r w:rsidR="00CC492C" w:rsidRPr="009B783C">
        <w:rPr>
          <w:szCs w:val="21"/>
        </w:rPr>
        <w:t xml:space="preserve"> registered nurse</w:t>
      </w:r>
    </w:p>
    <w:p w14:paraId="0260E4E8" w14:textId="04B1F3BB" w:rsidR="00196FB6" w:rsidRPr="009B783C" w:rsidRDefault="00196FB6" w:rsidP="00F5425B">
      <w:pPr>
        <w:pStyle w:val="Bullet"/>
        <w:rPr>
          <w:szCs w:val="21"/>
        </w:rPr>
      </w:pPr>
      <w:r w:rsidRPr="009B783C">
        <w:rPr>
          <w:szCs w:val="21"/>
        </w:rPr>
        <w:t>one</w:t>
      </w:r>
      <w:r w:rsidR="00CC492C" w:rsidRPr="009B783C">
        <w:rPr>
          <w:szCs w:val="21"/>
        </w:rPr>
        <w:t xml:space="preserve"> receptionist. </w:t>
      </w:r>
    </w:p>
    <w:p w14:paraId="5277792D" w14:textId="64D1D0D2" w:rsidR="008915CA" w:rsidRPr="009B783C" w:rsidRDefault="008915CA" w:rsidP="00F5425B">
      <w:pPr>
        <w:pStyle w:val="Bullet"/>
        <w:numPr>
          <w:ilvl w:val="0"/>
          <w:numId w:val="0"/>
        </w:numPr>
        <w:rPr>
          <w:szCs w:val="21"/>
        </w:rPr>
      </w:pPr>
      <w:r w:rsidRPr="009B783C">
        <w:rPr>
          <w:szCs w:val="21"/>
        </w:rPr>
        <w:t xml:space="preserve">The Department has advised the </w:t>
      </w:r>
      <w:r w:rsidR="007511D2" w:rsidRPr="009B783C">
        <w:rPr>
          <w:szCs w:val="21"/>
        </w:rPr>
        <w:t xml:space="preserve">minimum </w:t>
      </w:r>
      <w:r w:rsidR="00474EFB" w:rsidRPr="009B783C">
        <w:rPr>
          <w:szCs w:val="21"/>
        </w:rPr>
        <w:t>workforce</w:t>
      </w:r>
      <w:r w:rsidR="007511D2" w:rsidRPr="009B783C">
        <w:rPr>
          <w:szCs w:val="21"/>
        </w:rPr>
        <w:t xml:space="preserve"> </w:t>
      </w:r>
      <w:r w:rsidR="00EF5E7E" w:rsidRPr="009B783C">
        <w:rPr>
          <w:szCs w:val="21"/>
        </w:rPr>
        <w:t xml:space="preserve">requirements </w:t>
      </w:r>
      <w:r w:rsidR="007806DF" w:rsidRPr="009B783C">
        <w:rPr>
          <w:szCs w:val="21"/>
        </w:rPr>
        <w:t xml:space="preserve">specified in the Medicare UCC Operational Guidance </w:t>
      </w:r>
      <w:r w:rsidRPr="009B783C">
        <w:rPr>
          <w:szCs w:val="21"/>
        </w:rPr>
        <w:t>w</w:t>
      </w:r>
      <w:r w:rsidR="00810F39" w:rsidRPr="009B783C">
        <w:rPr>
          <w:szCs w:val="21"/>
        </w:rPr>
        <w:t>ere</w:t>
      </w:r>
      <w:r w:rsidRPr="009B783C">
        <w:rPr>
          <w:szCs w:val="21"/>
        </w:rPr>
        <w:t xml:space="preserve"> established </w:t>
      </w:r>
      <w:r w:rsidR="00775EB1" w:rsidRPr="009B783C">
        <w:rPr>
          <w:szCs w:val="21"/>
        </w:rPr>
        <w:t xml:space="preserve">upfront </w:t>
      </w:r>
      <w:r w:rsidRPr="009B783C">
        <w:rPr>
          <w:szCs w:val="21"/>
        </w:rPr>
        <w:t xml:space="preserve">to ensure Medicare UCCs are able to </w:t>
      </w:r>
      <w:r w:rsidRPr="009B783C">
        <w:rPr>
          <w:szCs w:val="21"/>
        </w:rPr>
        <w:lastRenderedPageBreak/>
        <w:t xml:space="preserve">deliver the full scope of intended services and maintain clinical safety. Medicare UCCs seeking approval for a </w:t>
      </w:r>
      <w:r w:rsidRPr="009B783C" w:rsidDel="003D1E28">
        <w:rPr>
          <w:szCs w:val="21"/>
        </w:rPr>
        <w:t xml:space="preserve">minimum </w:t>
      </w:r>
      <w:r w:rsidR="001A2D2E" w:rsidRPr="009B783C">
        <w:rPr>
          <w:szCs w:val="21"/>
        </w:rPr>
        <w:t xml:space="preserve">workforce </w:t>
      </w:r>
      <w:r w:rsidRPr="009B783C">
        <w:rPr>
          <w:szCs w:val="21"/>
        </w:rPr>
        <w:t xml:space="preserve">mix that differs from this </w:t>
      </w:r>
      <w:r w:rsidR="00322D94" w:rsidRPr="009B783C">
        <w:rPr>
          <w:szCs w:val="21"/>
        </w:rPr>
        <w:t xml:space="preserve">requirement </w:t>
      </w:r>
      <w:r w:rsidRPr="009B783C">
        <w:rPr>
          <w:szCs w:val="21"/>
        </w:rPr>
        <w:t xml:space="preserve">must demonstrate how they will still meet core functional and operational parameters, while maintaining clinical safety requirements and provide sufficient reasoning and context to support the Department’s consideration. </w:t>
      </w:r>
    </w:p>
    <w:p w14:paraId="39CC8B43" w14:textId="585B1CFF" w:rsidR="0075138F" w:rsidRPr="009B783C" w:rsidRDefault="0075138F" w:rsidP="00F5425B">
      <w:pPr>
        <w:rPr>
          <w:szCs w:val="21"/>
          <w:lang w:eastAsia="en-AU"/>
        </w:rPr>
      </w:pPr>
      <w:r w:rsidRPr="009B783C">
        <w:rPr>
          <w:szCs w:val="21"/>
        </w:rPr>
        <w:t>Commissioners reported challenges with the</w:t>
      </w:r>
      <w:r w:rsidRPr="009B783C" w:rsidDel="008F20BF">
        <w:rPr>
          <w:szCs w:val="21"/>
        </w:rPr>
        <w:t xml:space="preserve"> </w:t>
      </w:r>
      <w:r w:rsidRPr="009B783C">
        <w:rPr>
          <w:szCs w:val="21"/>
        </w:rPr>
        <w:t xml:space="preserve">requirement to roster a vocationally registered GP on all shifts across extended opening hours. </w:t>
      </w:r>
      <w:r w:rsidR="004C72E6" w:rsidRPr="009B783C">
        <w:rPr>
          <w:szCs w:val="21"/>
          <w:lang w:eastAsia="en-AU"/>
        </w:rPr>
        <w:t xml:space="preserve">Commissioners noted that recruitment of vocationally registered GPs to regional and rural areas was particularly hard, with some clinics relying on staff from expensive locum agencies to fill gaps in their rosters. Others described instances where the clinics had been unable to open because the GP was sick and there was not a sufficient pool of local vocationally registered GPs to source a replacement at late notice. </w:t>
      </w:r>
      <w:r w:rsidR="00560851" w:rsidRPr="009B783C">
        <w:rPr>
          <w:szCs w:val="21"/>
          <w:lang w:eastAsia="en-AU"/>
        </w:rPr>
        <w:t xml:space="preserve">Clinics in metropolitan areas were also experiencing difficulties. For example, commissioners noted that in some metropolitan areas, clinics were having challenges with covering Medicare UCC shifts in the evenings, weekends, public holidays and holiday periods. </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57915D83" w14:textId="77777777" w:rsidTr="00DB237D">
        <w:trPr>
          <w:cantSplit/>
        </w:trPr>
        <w:tc>
          <w:tcPr>
            <w:tcW w:w="813" w:type="dxa"/>
            <w:shd w:val="clear" w:color="auto" w:fill="F2F2F2" w:themeFill="background1" w:themeFillShade="F2"/>
            <w:vAlign w:val="center"/>
          </w:tcPr>
          <w:p w14:paraId="77075B62" w14:textId="77777777" w:rsidR="00E42C9C" w:rsidRPr="009B783C" w:rsidRDefault="00E42C9C" w:rsidP="00F5425B">
            <w:pPr>
              <w:spacing w:before="120"/>
              <w:rPr>
                <w:szCs w:val="21"/>
              </w:rPr>
            </w:pPr>
            <w:r w:rsidRPr="009B783C">
              <w:rPr>
                <w:noProof/>
                <w:szCs w:val="21"/>
              </w:rPr>
              <w:drawing>
                <wp:inline distT="0" distB="0" distL="0" distR="0" wp14:anchorId="175F84F3" wp14:editId="712A357F">
                  <wp:extent cx="296915" cy="241300"/>
                  <wp:effectExtent l="0" t="0" r="8255" b="6350"/>
                  <wp:docPr id="1851746676"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746676"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117" w:type="dxa"/>
            <w:shd w:val="clear" w:color="auto" w:fill="F2F2F2" w:themeFill="background1" w:themeFillShade="F2"/>
            <w:vAlign w:val="center"/>
          </w:tcPr>
          <w:p w14:paraId="7049BAD4" w14:textId="137D779B" w:rsidR="00E42C9C" w:rsidRPr="009B783C" w:rsidRDefault="00E42C9C" w:rsidP="00F5425B">
            <w:pPr>
              <w:spacing w:before="120"/>
              <w:rPr>
                <w:rFonts w:asciiTheme="minorHAnsi" w:hAnsiTheme="minorHAnsi"/>
                <w:szCs w:val="21"/>
                <w:lang w:val="en-US"/>
              </w:rPr>
            </w:pPr>
            <w:r w:rsidRPr="009B783C">
              <w:rPr>
                <w:rFonts w:asciiTheme="majorHAnsi" w:hAnsiTheme="majorHAnsi" w:cstheme="majorBidi"/>
                <w:szCs w:val="21"/>
              </w:rPr>
              <w:t xml:space="preserve">“We’ve tried to work with our </w:t>
            </w:r>
            <w:r w:rsidR="00870676" w:rsidRPr="009B783C">
              <w:rPr>
                <w:rFonts w:asciiTheme="majorHAnsi" w:hAnsiTheme="majorHAnsi" w:cstheme="majorBidi"/>
                <w:szCs w:val="21"/>
              </w:rPr>
              <w:t xml:space="preserve">Medicare </w:t>
            </w:r>
            <w:r w:rsidRPr="009B783C">
              <w:rPr>
                <w:rFonts w:asciiTheme="majorHAnsi" w:hAnsiTheme="majorHAnsi" w:cstheme="majorBidi"/>
                <w:szCs w:val="21"/>
              </w:rPr>
              <w:t xml:space="preserve">UCCs to develop different models. The difficulty is that the Operational Guidance are strict in saying that it must be a vocationally registered GP-led service. That’s great if you’ve got a lot of vocationally registered GPs to pick from.” </w:t>
            </w:r>
            <w:r w:rsidRPr="35C5891D">
              <w:rPr>
                <w:rFonts w:asciiTheme="minorHAnsi" w:hAnsiTheme="minorHAnsi"/>
                <w:szCs w:val="21"/>
              </w:rPr>
              <w:t>[</w:t>
            </w:r>
            <w:r w:rsidRPr="009B783C">
              <w:rPr>
                <w:rFonts w:asciiTheme="minorHAnsi" w:hAnsiTheme="minorHAnsi"/>
                <w:szCs w:val="21"/>
              </w:rPr>
              <w:t>Commissioner]</w:t>
            </w:r>
          </w:p>
        </w:tc>
      </w:tr>
      <w:tr w:rsidR="00E42C9C" w:rsidRPr="009B783C" w14:paraId="1EA06AC5" w14:textId="77777777" w:rsidTr="00DB237D">
        <w:trPr>
          <w:cantSplit/>
        </w:trPr>
        <w:tc>
          <w:tcPr>
            <w:tcW w:w="813" w:type="dxa"/>
            <w:shd w:val="clear" w:color="auto" w:fill="F2F2F2" w:themeFill="background1" w:themeFillShade="F2"/>
            <w:vAlign w:val="center"/>
          </w:tcPr>
          <w:p w14:paraId="7EBD4639" w14:textId="77777777" w:rsidR="00E42C9C" w:rsidRPr="009B783C" w:rsidRDefault="00E42C9C" w:rsidP="00F5425B">
            <w:pPr>
              <w:spacing w:before="120"/>
              <w:rPr>
                <w:szCs w:val="21"/>
              </w:rPr>
            </w:pPr>
            <w:r w:rsidRPr="009B783C">
              <w:rPr>
                <w:noProof/>
                <w:szCs w:val="21"/>
              </w:rPr>
              <w:drawing>
                <wp:inline distT="0" distB="0" distL="0" distR="0" wp14:anchorId="1FC2164C" wp14:editId="7B53339B">
                  <wp:extent cx="296915" cy="241300"/>
                  <wp:effectExtent l="0" t="0" r="8255" b="6350"/>
                  <wp:docPr id="167066566"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66566"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117" w:type="dxa"/>
            <w:shd w:val="clear" w:color="auto" w:fill="F2F2F2" w:themeFill="background1" w:themeFillShade="F2"/>
            <w:vAlign w:val="center"/>
          </w:tcPr>
          <w:p w14:paraId="3E3BFE88" w14:textId="77777777"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szCs w:val="21"/>
              </w:rPr>
              <w:t xml:space="preserve">“One of our biggest problems being regional is we just don’t have the workforce to be open for the hours that these practices should be open for.” </w:t>
            </w:r>
            <w:r w:rsidRPr="009B783C">
              <w:rPr>
                <w:rFonts w:asciiTheme="minorHAnsi" w:hAnsiTheme="minorHAnsi" w:cstheme="minorHAnsi"/>
                <w:szCs w:val="21"/>
              </w:rPr>
              <w:t>[Commissioner]</w:t>
            </w:r>
          </w:p>
        </w:tc>
      </w:tr>
    </w:tbl>
    <w:p w14:paraId="25C7E74D" w14:textId="7833D0B5" w:rsidR="00560851" w:rsidRPr="009B783C" w:rsidRDefault="00DD4B19" w:rsidP="00606C34">
      <w:r w:rsidRPr="009B783C">
        <w:rPr>
          <w:lang w:eastAsia="en-AU"/>
        </w:rPr>
        <w:t>The Department reported t</w:t>
      </w:r>
      <w:r w:rsidR="00560851" w:rsidRPr="009B783C">
        <w:rPr>
          <w:lang w:eastAsia="en-AU"/>
        </w:rPr>
        <w:t>h</w:t>
      </w:r>
      <w:r w:rsidRPr="009B783C">
        <w:rPr>
          <w:lang w:eastAsia="en-AU"/>
        </w:rPr>
        <w:t>at the</w:t>
      </w:r>
      <w:r w:rsidR="00560851" w:rsidRPr="009B783C">
        <w:rPr>
          <w:lang w:eastAsia="en-AU"/>
        </w:rPr>
        <w:t xml:space="preserve"> ACT Medicare UCCs and remote NT Medicare UCCs had been granted exemptions to operate as nurse-led clinics, without vocationally registered GPs, due to the unique operating context in the NT and the existing Walk-in Centre infrastructure within the ACT.</w:t>
      </w:r>
    </w:p>
    <w:p w14:paraId="7FC89456" w14:textId="30300F77" w:rsidR="00DB237D" w:rsidRPr="009B783C" w:rsidRDefault="00DB237D" w:rsidP="00F5425B">
      <w:pPr>
        <w:rPr>
          <w:szCs w:val="21"/>
          <w:lang w:eastAsia="en-AU"/>
        </w:rPr>
      </w:pPr>
      <w:r w:rsidRPr="009B783C">
        <w:rPr>
          <w:szCs w:val="21"/>
          <w:lang w:eastAsia="en-AU"/>
        </w:rPr>
        <w:t>Commissioners reported that Medicare UCCs delivered by larger providers appeared to have benefited from central recruitment and rostering functions, which eased workforce pressures. These providers were able to cover gaps in their rosters with staff from across their network of clinics. Commissioners noted that in some communities, these larger providers have also been able to attract additional GP workforce into the region.</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16D97879" w14:textId="77777777">
        <w:trPr>
          <w:cantSplit/>
        </w:trPr>
        <w:tc>
          <w:tcPr>
            <w:tcW w:w="817" w:type="dxa"/>
            <w:shd w:val="clear" w:color="auto" w:fill="F2F2F2" w:themeFill="background1" w:themeFillShade="F2"/>
            <w:vAlign w:val="center"/>
          </w:tcPr>
          <w:p w14:paraId="71C7FCFF" w14:textId="77777777" w:rsidR="00E42C9C" w:rsidRPr="009B783C" w:rsidRDefault="00E42C9C" w:rsidP="00F5425B">
            <w:pPr>
              <w:spacing w:before="120"/>
              <w:rPr>
                <w:szCs w:val="21"/>
              </w:rPr>
            </w:pPr>
            <w:r w:rsidRPr="009B783C">
              <w:rPr>
                <w:noProof/>
                <w:szCs w:val="21"/>
              </w:rPr>
              <w:drawing>
                <wp:inline distT="0" distB="0" distL="0" distR="0" wp14:anchorId="2D037A53" wp14:editId="41EFC5DB">
                  <wp:extent cx="296915" cy="241300"/>
                  <wp:effectExtent l="0" t="0" r="8255" b="6350"/>
                  <wp:docPr id="20107333"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07333"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2041C96F" w14:textId="3620268E"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szCs w:val="21"/>
              </w:rPr>
              <w:t xml:space="preserve">“[Our providers are] quite large, they’ve got 31 clinics around the country, they’ve got a separate recruitment function recruiting GPs and other clinicians, nurses and receptionists too, so we didn’t really have to provide much support to them…a lot of it [recruitment] was national…and some of the GPs that were in their regular general practice transitioned to work in the UCC part of the clinic as well, so they’ve got that nice blend happening within the clinic.” </w:t>
            </w:r>
            <w:r w:rsidRPr="009B783C">
              <w:rPr>
                <w:rFonts w:asciiTheme="minorHAnsi" w:hAnsiTheme="minorHAnsi" w:cstheme="minorHAnsi"/>
                <w:szCs w:val="21"/>
              </w:rPr>
              <w:t>[Commissioner]</w:t>
            </w:r>
          </w:p>
        </w:tc>
      </w:tr>
    </w:tbl>
    <w:p w14:paraId="49AB36BA" w14:textId="77777777" w:rsidR="006C009E" w:rsidRPr="009B783C" w:rsidRDefault="006C009E" w:rsidP="00F5425B">
      <w:pPr>
        <w:rPr>
          <w:szCs w:val="21"/>
        </w:rPr>
        <w:sectPr w:rsidR="006C009E" w:rsidRPr="009B783C" w:rsidSect="007D389D">
          <w:type w:val="continuous"/>
          <w:pgSz w:w="11907" w:h="16839" w:code="9"/>
          <w:pgMar w:top="1247" w:right="1418" w:bottom="1276" w:left="1559" w:header="720" w:footer="720" w:gutter="0"/>
          <w:cols w:space="720"/>
          <w:docGrid w:linePitch="360"/>
        </w:sectPr>
      </w:pPr>
      <w:bookmarkStart w:id="140" w:name="_Toc179962838"/>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75138F" w:rsidRPr="009B783C" w14:paraId="743D112E" w14:textId="77777777" w:rsidTr="0031172E">
        <w:tc>
          <w:tcPr>
            <w:tcW w:w="8907" w:type="dxa"/>
          </w:tcPr>
          <w:p w14:paraId="1364FD89" w14:textId="655BB51F" w:rsidR="0075138F" w:rsidRPr="009B783C" w:rsidRDefault="00646FE9"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245F39E7" w14:textId="41896B0D" w:rsidR="0075138F" w:rsidRPr="009B783C" w:rsidRDefault="0075138F" w:rsidP="00F5425B">
            <w:pPr>
              <w:pStyle w:val="Longformcallout"/>
              <w:rPr>
                <w:szCs w:val="21"/>
                <w:lang w:val="en-US"/>
              </w:rPr>
            </w:pPr>
            <w:r w:rsidRPr="009B783C">
              <w:rPr>
                <w:szCs w:val="21"/>
              </w:rPr>
              <w:lastRenderedPageBreak/>
              <w:t xml:space="preserve">Recruitment of </w:t>
            </w:r>
            <w:r w:rsidR="004911A4" w:rsidRPr="009B783C">
              <w:rPr>
                <w:szCs w:val="21"/>
              </w:rPr>
              <w:t xml:space="preserve">vocationally registered </w:t>
            </w:r>
            <w:r w:rsidRPr="009B783C">
              <w:rPr>
                <w:szCs w:val="21"/>
              </w:rPr>
              <w:t xml:space="preserve">GPs to achieve the minimum workforce requirements </w:t>
            </w:r>
            <w:r w:rsidR="004911A4" w:rsidRPr="009B783C">
              <w:rPr>
                <w:szCs w:val="21"/>
              </w:rPr>
              <w:t xml:space="preserve">outlined in the Medicare UCC Operational Guidance </w:t>
            </w:r>
            <w:r w:rsidRPr="009B783C">
              <w:rPr>
                <w:szCs w:val="21"/>
              </w:rPr>
              <w:t xml:space="preserve">across extended hours is a significant and ongoing challenge for Medicare UCC providers, particularly in regional and rural areas. </w:t>
            </w:r>
          </w:p>
        </w:tc>
      </w:tr>
    </w:tbl>
    <w:p w14:paraId="08570F30" w14:textId="309719D8" w:rsidR="0075138F" w:rsidRPr="009B783C" w:rsidRDefault="0075138F" w:rsidP="000D706D">
      <w:pPr>
        <w:pStyle w:val="Heading3"/>
        <w:rPr>
          <w:b/>
        </w:rPr>
      </w:pPr>
      <w:r w:rsidRPr="009B783C">
        <w:lastRenderedPageBreak/>
        <w:t>Medicare UCC</w:t>
      </w:r>
      <w:r w:rsidR="00532148" w:rsidRPr="009B783C">
        <w:t>s</w:t>
      </w:r>
      <w:r w:rsidRPr="009B783C">
        <w:t xml:space="preserve"> are working with commissioners to address GP workforce challenges</w:t>
      </w:r>
      <w:bookmarkEnd w:id="140"/>
      <w:r w:rsidRPr="009B783C">
        <w:t xml:space="preserve"> </w:t>
      </w:r>
    </w:p>
    <w:p w14:paraId="0EEE50E0" w14:textId="63108467" w:rsidR="00424243" w:rsidRPr="009B783C" w:rsidRDefault="006B523F" w:rsidP="00F5425B">
      <w:pPr>
        <w:rPr>
          <w:szCs w:val="21"/>
        </w:rPr>
      </w:pPr>
      <w:r w:rsidRPr="009B783C">
        <w:rPr>
          <w:szCs w:val="21"/>
        </w:rPr>
        <w:t>Commissioners</w:t>
      </w:r>
      <w:r w:rsidR="00BE342E" w:rsidRPr="009B783C">
        <w:rPr>
          <w:szCs w:val="21"/>
        </w:rPr>
        <w:t xml:space="preserve"> are </w:t>
      </w:r>
      <w:r w:rsidR="00424243" w:rsidRPr="009B783C">
        <w:rPr>
          <w:szCs w:val="21"/>
        </w:rPr>
        <w:t xml:space="preserve">providing support and </w:t>
      </w:r>
      <w:r w:rsidR="00BE342E" w:rsidRPr="009B783C">
        <w:rPr>
          <w:szCs w:val="21"/>
        </w:rPr>
        <w:t xml:space="preserve">linking </w:t>
      </w:r>
      <w:r w:rsidR="00424243" w:rsidRPr="009B783C">
        <w:rPr>
          <w:szCs w:val="21"/>
        </w:rPr>
        <w:t xml:space="preserve">Medicare UCCs to other supports available for recruitment </w:t>
      </w:r>
      <w:r w:rsidR="005A12CF" w:rsidRPr="009B783C">
        <w:rPr>
          <w:szCs w:val="21"/>
        </w:rPr>
        <w:t xml:space="preserve">in a variety of ways </w:t>
      </w:r>
      <w:r w:rsidR="00424243" w:rsidRPr="009B783C">
        <w:rPr>
          <w:szCs w:val="21"/>
        </w:rPr>
        <w:t xml:space="preserve">including: </w:t>
      </w:r>
    </w:p>
    <w:p w14:paraId="67A149D6" w14:textId="77777777" w:rsidR="00424243" w:rsidRPr="009B783C" w:rsidRDefault="00B01111" w:rsidP="00F5425B">
      <w:pPr>
        <w:pStyle w:val="Bullet"/>
        <w:rPr>
          <w:szCs w:val="21"/>
        </w:rPr>
      </w:pPr>
      <w:r w:rsidRPr="009B783C">
        <w:rPr>
          <w:szCs w:val="21"/>
        </w:rPr>
        <w:t>advertising via PHN websites</w:t>
      </w:r>
    </w:p>
    <w:p w14:paraId="319A73E1" w14:textId="77777777" w:rsidR="005A12CF" w:rsidRPr="009B783C" w:rsidRDefault="005A12CF" w:rsidP="00F5425B">
      <w:pPr>
        <w:pStyle w:val="Bullet"/>
        <w:rPr>
          <w:szCs w:val="21"/>
        </w:rPr>
      </w:pPr>
      <w:r w:rsidRPr="009B783C">
        <w:rPr>
          <w:szCs w:val="21"/>
        </w:rPr>
        <w:t>hosting</w:t>
      </w:r>
      <w:r w:rsidR="000A6EC8" w:rsidRPr="009B783C">
        <w:rPr>
          <w:szCs w:val="21"/>
        </w:rPr>
        <w:t xml:space="preserve"> </w:t>
      </w:r>
      <w:r w:rsidR="006B1640" w:rsidRPr="009B783C">
        <w:rPr>
          <w:szCs w:val="21"/>
        </w:rPr>
        <w:t xml:space="preserve">GP </w:t>
      </w:r>
      <w:r w:rsidR="002F2459" w:rsidRPr="009B783C">
        <w:rPr>
          <w:szCs w:val="21"/>
        </w:rPr>
        <w:t>information evenings</w:t>
      </w:r>
    </w:p>
    <w:p w14:paraId="0D5C501D" w14:textId="77777777" w:rsidR="005A12CF" w:rsidRPr="009B783C" w:rsidRDefault="000A6EC8" w:rsidP="00F5425B">
      <w:pPr>
        <w:pStyle w:val="Bullet"/>
        <w:rPr>
          <w:szCs w:val="21"/>
        </w:rPr>
      </w:pPr>
      <w:r w:rsidRPr="009B783C">
        <w:rPr>
          <w:szCs w:val="21"/>
        </w:rPr>
        <w:t xml:space="preserve">arranging tours of the </w:t>
      </w:r>
      <w:r w:rsidR="00146FF9" w:rsidRPr="009B783C">
        <w:rPr>
          <w:szCs w:val="21"/>
        </w:rPr>
        <w:t xml:space="preserve">clinics </w:t>
      </w:r>
      <w:r w:rsidRPr="009B783C">
        <w:rPr>
          <w:szCs w:val="21"/>
        </w:rPr>
        <w:t>for local GPs</w:t>
      </w:r>
    </w:p>
    <w:p w14:paraId="297A260E" w14:textId="74DDF9CC" w:rsidR="008D2D75" w:rsidRPr="009B783C" w:rsidRDefault="00826336" w:rsidP="00F5425B">
      <w:pPr>
        <w:pStyle w:val="Bullet"/>
        <w:rPr>
          <w:szCs w:val="21"/>
        </w:rPr>
      </w:pPr>
      <w:r w:rsidRPr="009B783C">
        <w:rPr>
          <w:szCs w:val="21"/>
        </w:rPr>
        <w:t>offering relocation grants</w:t>
      </w:r>
      <w:r w:rsidR="00EC5334" w:rsidRPr="009B783C">
        <w:rPr>
          <w:szCs w:val="21"/>
        </w:rPr>
        <w:t xml:space="preserve"> in accordance with wider workforce strategies</w:t>
      </w:r>
    </w:p>
    <w:p w14:paraId="065C5226" w14:textId="4E596032" w:rsidR="00415AB6" w:rsidRPr="009B783C" w:rsidRDefault="00415AB6" w:rsidP="00F5425B">
      <w:pPr>
        <w:pStyle w:val="Bullet"/>
        <w:rPr>
          <w:szCs w:val="21"/>
        </w:rPr>
      </w:pPr>
      <w:r w:rsidRPr="009B783C">
        <w:rPr>
          <w:szCs w:val="21"/>
        </w:rPr>
        <w:t>accessing surge or locum health workforce providers to manage temporary or short-term rostering gaps.</w:t>
      </w:r>
    </w:p>
    <w:p w14:paraId="4E129F6E" w14:textId="6873595B" w:rsidR="008E5CCC" w:rsidRPr="009B783C" w:rsidRDefault="003E7B11" w:rsidP="00F5425B">
      <w:pPr>
        <w:rPr>
          <w:szCs w:val="21"/>
          <w:lang w:val="en-US"/>
        </w:rPr>
      </w:pPr>
      <w:r w:rsidRPr="009B783C">
        <w:rPr>
          <w:szCs w:val="21"/>
        </w:rPr>
        <w:t>Medicare UCCs</w:t>
      </w:r>
      <w:r w:rsidR="00D26D34" w:rsidRPr="009B783C">
        <w:rPr>
          <w:szCs w:val="21"/>
        </w:rPr>
        <w:t xml:space="preserve"> </w:t>
      </w:r>
      <w:r w:rsidR="00B772A2" w:rsidRPr="009B783C">
        <w:rPr>
          <w:szCs w:val="21"/>
        </w:rPr>
        <w:t xml:space="preserve">in </w:t>
      </w:r>
      <w:r w:rsidR="009B5BF2" w:rsidRPr="009B783C">
        <w:rPr>
          <w:szCs w:val="21"/>
        </w:rPr>
        <w:t xml:space="preserve">communities where </w:t>
      </w:r>
      <w:r w:rsidR="00826DDA" w:rsidRPr="009B783C">
        <w:rPr>
          <w:szCs w:val="21"/>
        </w:rPr>
        <w:t>the GP workforce is scarce</w:t>
      </w:r>
      <w:r w:rsidRPr="009B783C">
        <w:rPr>
          <w:szCs w:val="21"/>
        </w:rPr>
        <w:t xml:space="preserve"> have </w:t>
      </w:r>
      <w:r w:rsidR="00D26D34" w:rsidRPr="009B783C">
        <w:rPr>
          <w:szCs w:val="21"/>
        </w:rPr>
        <w:t>needed to approach local recruitment carefully</w:t>
      </w:r>
      <w:r w:rsidR="00D1794E" w:rsidRPr="009B783C">
        <w:rPr>
          <w:szCs w:val="21"/>
        </w:rPr>
        <w:t xml:space="preserve">. </w:t>
      </w:r>
      <w:r w:rsidR="0075138F" w:rsidRPr="009B783C">
        <w:rPr>
          <w:szCs w:val="21"/>
        </w:rPr>
        <w:t>One</w:t>
      </w:r>
      <w:r w:rsidR="0079067C" w:rsidRPr="009B783C">
        <w:rPr>
          <w:szCs w:val="21"/>
        </w:rPr>
        <w:t xml:space="preserve"> PHN </w:t>
      </w:r>
      <w:r w:rsidR="004E28AC" w:rsidRPr="009B783C">
        <w:rPr>
          <w:szCs w:val="21"/>
        </w:rPr>
        <w:t>report</w:t>
      </w:r>
      <w:r w:rsidR="00D1794E" w:rsidRPr="009B783C">
        <w:rPr>
          <w:szCs w:val="21"/>
        </w:rPr>
        <w:t>ed</w:t>
      </w:r>
      <w:r w:rsidR="004E28AC" w:rsidRPr="009B783C">
        <w:rPr>
          <w:szCs w:val="21"/>
        </w:rPr>
        <w:t xml:space="preserve"> </w:t>
      </w:r>
      <w:r w:rsidR="00967C0B" w:rsidRPr="009B783C">
        <w:rPr>
          <w:szCs w:val="21"/>
        </w:rPr>
        <w:t>receiv</w:t>
      </w:r>
      <w:r w:rsidR="00D1794E" w:rsidRPr="009B783C">
        <w:rPr>
          <w:szCs w:val="21"/>
        </w:rPr>
        <w:t>ing</w:t>
      </w:r>
      <w:r w:rsidR="00967C0B" w:rsidRPr="009B783C">
        <w:rPr>
          <w:szCs w:val="21"/>
        </w:rPr>
        <w:t xml:space="preserve"> </w:t>
      </w:r>
      <w:r w:rsidR="000119A0" w:rsidRPr="009B783C">
        <w:rPr>
          <w:szCs w:val="21"/>
        </w:rPr>
        <w:t>complaints</w:t>
      </w:r>
      <w:r w:rsidR="00967C0B" w:rsidRPr="009B783C">
        <w:rPr>
          <w:szCs w:val="21"/>
        </w:rPr>
        <w:t xml:space="preserve"> in response to recruitment campaigns</w:t>
      </w:r>
      <w:r w:rsidR="008363EF" w:rsidRPr="009B783C">
        <w:rPr>
          <w:szCs w:val="21"/>
        </w:rPr>
        <w:t xml:space="preserve"> </w:t>
      </w:r>
      <w:r w:rsidR="002A68A6" w:rsidRPr="009B783C">
        <w:rPr>
          <w:szCs w:val="21"/>
        </w:rPr>
        <w:t xml:space="preserve">targeting local GPs due to fears that the Medicare UCCs would impact </w:t>
      </w:r>
      <w:r w:rsidR="00CD1ED7" w:rsidRPr="009B783C">
        <w:rPr>
          <w:szCs w:val="21"/>
        </w:rPr>
        <w:t>their workforce availability</w:t>
      </w:r>
      <w:r w:rsidR="00183834" w:rsidRPr="009B783C">
        <w:rPr>
          <w:szCs w:val="21"/>
        </w:rPr>
        <w:t xml:space="preserve"> and practice capacity. </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605B1D97" w14:textId="77777777">
        <w:trPr>
          <w:cantSplit/>
        </w:trPr>
        <w:tc>
          <w:tcPr>
            <w:tcW w:w="817" w:type="dxa"/>
            <w:shd w:val="clear" w:color="auto" w:fill="F2F2F2" w:themeFill="background1" w:themeFillShade="F2"/>
            <w:vAlign w:val="center"/>
          </w:tcPr>
          <w:p w14:paraId="3B7B2F94" w14:textId="77777777"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noProof/>
                <w:szCs w:val="21"/>
              </w:rPr>
              <w:drawing>
                <wp:inline distT="0" distB="0" distL="0" distR="0" wp14:anchorId="21E5BDE1" wp14:editId="268648D6">
                  <wp:extent cx="296915" cy="241300"/>
                  <wp:effectExtent l="0" t="0" r="8255" b="6350"/>
                  <wp:docPr id="1752327532"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327532"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7FDD1AD3" w14:textId="1F6FFE53" w:rsidR="00E42C9C" w:rsidRPr="009B783C" w:rsidRDefault="00E42C9C" w:rsidP="00F5425B">
            <w:pPr>
              <w:spacing w:before="120"/>
              <w:rPr>
                <w:rFonts w:asciiTheme="majorHAnsi" w:hAnsiTheme="majorHAnsi" w:cstheme="majorBidi"/>
                <w:szCs w:val="21"/>
                <w:lang w:val="en-US"/>
              </w:rPr>
            </w:pPr>
            <w:r w:rsidRPr="009B783C">
              <w:rPr>
                <w:rFonts w:asciiTheme="majorHAnsi" w:hAnsiTheme="majorHAnsi" w:cstheme="majorBidi"/>
                <w:szCs w:val="21"/>
              </w:rPr>
              <w:t xml:space="preserve">“There’s a fear, not just of losing patients, but of losing doctors. When one of our UCCs put out a bit of publicity that there might be some time for GPs to pick up shifts we got some </w:t>
            </w:r>
            <w:proofErr w:type="gramStart"/>
            <w:r w:rsidRPr="009B783C">
              <w:rPr>
                <w:rFonts w:asciiTheme="majorHAnsi" w:hAnsiTheme="majorHAnsi" w:cstheme="majorBidi"/>
                <w:szCs w:val="21"/>
              </w:rPr>
              <w:t>really big</w:t>
            </w:r>
            <w:proofErr w:type="gramEnd"/>
            <w:r w:rsidRPr="009B783C">
              <w:rPr>
                <w:rFonts w:asciiTheme="majorHAnsi" w:hAnsiTheme="majorHAnsi" w:cstheme="majorBidi"/>
                <w:szCs w:val="21"/>
              </w:rPr>
              <w:t xml:space="preserve"> backlash…. [saying] that it’s a small GP pool up here and if they [the Medicare UCC] steal our GPs, then we’re going to be short and we’re not going to be able to support our own patients.” </w:t>
            </w:r>
            <w:r w:rsidRPr="009B783C">
              <w:rPr>
                <w:rFonts w:asciiTheme="minorHAnsi" w:hAnsiTheme="minorHAnsi"/>
                <w:szCs w:val="21"/>
              </w:rPr>
              <w:t>[Commissioner]</w:t>
            </w:r>
          </w:p>
        </w:tc>
      </w:tr>
    </w:tbl>
    <w:p w14:paraId="083C7B6A" w14:textId="3B0F1407" w:rsidR="0075138F" w:rsidRPr="009B783C" w:rsidRDefault="0075138F" w:rsidP="00F5425B">
      <w:pPr>
        <w:spacing w:before="240"/>
        <w:rPr>
          <w:szCs w:val="21"/>
          <w:lang w:val="en-US"/>
        </w:rPr>
      </w:pPr>
      <w:r w:rsidRPr="009B783C">
        <w:rPr>
          <w:szCs w:val="21"/>
        </w:rPr>
        <w:t>According to the Medicare UCC Operational Guidance,</w:t>
      </w:r>
      <w:r w:rsidRPr="35C5891D">
        <w:rPr>
          <w:rStyle w:val="FootnoteReference"/>
          <w:szCs w:val="21"/>
          <w:lang w:val="en-US"/>
        </w:rPr>
        <w:footnoteReference w:id="82"/>
      </w:r>
      <w:r w:rsidRPr="009B783C">
        <w:rPr>
          <w:szCs w:val="21"/>
        </w:rPr>
        <w:t xml:space="preserve"> Medicare UCCs may adopt flexible workforce models </w:t>
      </w:r>
      <w:r w:rsidR="00F24CB6" w:rsidRPr="009B783C">
        <w:rPr>
          <w:szCs w:val="21"/>
        </w:rPr>
        <w:t xml:space="preserve">in addition to the minimum </w:t>
      </w:r>
      <w:r w:rsidR="00317645" w:rsidRPr="009B783C">
        <w:rPr>
          <w:szCs w:val="21"/>
        </w:rPr>
        <w:t>workforce</w:t>
      </w:r>
      <w:r w:rsidR="008F20BF" w:rsidRPr="009B783C">
        <w:rPr>
          <w:szCs w:val="21"/>
        </w:rPr>
        <w:t xml:space="preserve"> </w:t>
      </w:r>
      <w:r w:rsidR="00F24CB6" w:rsidRPr="009B783C">
        <w:rPr>
          <w:szCs w:val="21"/>
        </w:rPr>
        <w:t>requirement</w:t>
      </w:r>
      <w:r w:rsidR="00EF5E7E" w:rsidRPr="009B783C">
        <w:rPr>
          <w:szCs w:val="21"/>
        </w:rPr>
        <w:t>s</w:t>
      </w:r>
      <w:r w:rsidR="00F24CB6" w:rsidRPr="009B783C">
        <w:rPr>
          <w:szCs w:val="21"/>
        </w:rPr>
        <w:t xml:space="preserve">, in response to local context and </w:t>
      </w:r>
      <w:r w:rsidRPr="009B783C">
        <w:rPr>
          <w:szCs w:val="21"/>
        </w:rPr>
        <w:t>to meet demand</w:t>
      </w:r>
      <w:r w:rsidR="00F24CB6" w:rsidRPr="009B783C">
        <w:rPr>
          <w:szCs w:val="21"/>
        </w:rPr>
        <w:t>.</w:t>
      </w:r>
      <w:r w:rsidR="008A611A" w:rsidRPr="009B783C">
        <w:rPr>
          <w:szCs w:val="21"/>
        </w:rPr>
        <w:t xml:space="preserve"> </w:t>
      </w:r>
      <w:r w:rsidRPr="009B783C">
        <w:rPr>
          <w:szCs w:val="21"/>
        </w:rPr>
        <w:t xml:space="preserve">This additional workforce may include, but is not limited to, administrative staff, other suitably qualified medical practitioners, nurse practitioners, paramedics, allied health and Aboriginal Health Practitioners. </w:t>
      </w:r>
    </w:p>
    <w:p w14:paraId="39F54860" w14:textId="474A89A5" w:rsidR="0075138F" w:rsidRPr="009B783C" w:rsidRDefault="0075138F" w:rsidP="00F5425B">
      <w:pPr>
        <w:rPr>
          <w:szCs w:val="21"/>
          <w:lang w:val="en-US"/>
        </w:rPr>
      </w:pPr>
      <w:r w:rsidRPr="009B783C">
        <w:rPr>
          <w:szCs w:val="21"/>
        </w:rPr>
        <w:t>Commissioners advocated for adoption of flexible workforce models in line with local service demand and workforce availability and identified a range of examples of flexible workforce models that Medicare UCCs have implemented or are exploring, detailed in</w:t>
      </w:r>
      <w:r w:rsidR="008469F9" w:rsidRPr="009B783C">
        <w:rPr>
          <w:szCs w:val="21"/>
        </w:rPr>
        <w:t xml:space="preserve"> </w:t>
      </w:r>
      <w:r w:rsidR="008469F9" w:rsidRPr="009B783C">
        <w:rPr>
          <w:szCs w:val="21"/>
        </w:rPr>
        <w:fldChar w:fldCharType="begin"/>
      </w:r>
      <w:r w:rsidR="008469F9" w:rsidRPr="009B783C">
        <w:rPr>
          <w:szCs w:val="21"/>
        </w:rPr>
        <w:instrText xml:space="preserve"> REF _Ref189647218 \h </w:instrText>
      </w:r>
      <w:r w:rsidR="008469F9" w:rsidRPr="009B783C">
        <w:rPr>
          <w:szCs w:val="21"/>
        </w:rPr>
      </w:r>
      <w:r w:rsidR="008469F9" w:rsidRPr="009B783C">
        <w:rPr>
          <w:szCs w:val="21"/>
        </w:rPr>
        <w:fldChar w:fldCharType="separate"/>
      </w:r>
      <w:r w:rsidR="005D1D88" w:rsidRPr="009B783C">
        <w:rPr>
          <w:szCs w:val="21"/>
        </w:rPr>
        <w:t xml:space="preserve">Table </w:t>
      </w:r>
      <w:r w:rsidR="005D1D88">
        <w:rPr>
          <w:noProof/>
          <w:szCs w:val="21"/>
        </w:rPr>
        <w:t>13</w:t>
      </w:r>
      <w:r w:rsidR="008469F9" w:rsidRPr="009B783C">
        <w:rPr>
          <w:szCs w:val="21"/>
        </w:rPr>
        <w:fldChar w:fldCharType="end"/>
      </w:r>
      <w:r w:rsidRPr="009B783C">
        <w:rPr>
          <w:szCs w:val="21"/>
        </w:rPr>
        <w:t xml:space="preserve">. </w:t>
      </w:r>
      <w:r w:rsidR="00D923E9" w:rsidRPr="009B783C">
        <w:rPr>
          <w:szCs w:val="21"/>
        </w:rPr>
        <w:t xml:space="preserve">However, employment by Medicare UCCs of other clinical staff types nationally has been limited, with just 15 Medicare UCCs employing a total of 15.6 FTE clinical staff other than medical practitioners, nurses and administration staff (see section </w:t>
      </w:r>
      <w:r w:rsidR="004628A7" w:rsidRPr="009B783C">
        <w:rPr>
          <w:szCs w:val="21"/>
        </w:rPr>
        <w:fldChar w:fldCharType="begin"/>
      </w:r>
      <w:r w:rsidR="004628A7" w:rsidRPr="009B783C">
        <w:rPr>
          <w:szCs w:val="21"/>
        </w:rPr>
        <w:instrText xml:space="preserve"> REF _Ref185508679 \n \h </w:instrText>
      </w:r>
      <w:r w:rsidR="00F5425B" w:rsidRPr="009B783C">
        <w:rPr>
          <w:szCs w:val="21"/>
        </w:rPr>
        <w:instrText xml:space="preserve"> \* MERGEFORMAT </w:instrText>
      </w:r>
      <w:r w:rsidR="004628A7" w:rsidRPr="009B783C">
        <w:rPr>
          <w:szCs w:val="21"/>
        </w:rPr>
      </w:r>
      <w:r w:rsidR="004628A7" w:rsidRPr="009B783C">
        <w:rPr>
          <w:szCs w:val="21"/>
        </w:rPr>
        <w:fldChar w:fldCharType="separate"/>
      </w:r>
      <w:r w:rsidR="0031172E" w:rsidRPr="009B783C">
        <w:rPr>
          <w:szCs w:val="21"/>
        </w:rPr>
        <w:t>4.4</w:t>
      </w:r>
      <w:r w:rsidR="004628A7" w:rsidRPr="009B783C">
        <w:rPr>
          <w:szCs w:val="21"/>
        </w:rPr>
        <w:fldChar w:fldCharType="end"/>
      </w:r>
      <w:r w:rsidR="00D923E9" w:rsidRPr="009B783C">
        <w:rPr>
          <w:szCs w:val="21"/>
        </w:rPr>
        <w:t xml:space="preserve">). There may be an opportunity to expand the use </w:t>
      </w:r>
      <w:r w:rsidR="00D923E9" w:rsidRPr="009B783C">
        <w:rPr>
          <w:szCs w:val="21"/>
        </w:rPr>
        <w:lastRenderedPageBreak/>
        <w:t>of flexible workforce models if benefits and sustainability can be established. This will be explored with commissioners and Medicare UCC providers in future stages of the evaluation</w:t>
      </w:r>
      <w:r w:rsidRPr="009B783C">
        <w:rPr>
          <w:szCs w:val="21"/>
        </w:rPr>
        <w:t>.</w:t>
      </w:r>
    </w:p>
    <w:p w14:paraId="53765F8D" w14:textId="11293F3F" w:rsidR="00EF1298" w:rsidRPr="009B783C" w:rsidRDefault="00EF1298" w:rsidP="00EF1298">
      <w:pPr>
        <w:pStyle w:val="Caption"/>
        <w:rPr>
          <w:szCs w:val="21"/>
        </w:rPr>
      </w:pPr>
      <w:bookmarkStart w:id="141" w:name="_Ref189647218"/>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46FE9">
        <w:rPr>
          <w:noProof/>
          <w:szCs w:val="21"/>
        </w:rPr>
        <w:t>13</w:t>
      </w:r>
      <w:r w:rsidRPr="009B783C">
        <w:rPr>
          <w:szCs w:val="21"/>
        </w:rPr>
        <w:fldChar w:fldCharType="end"/>
      </w:r>
      <w:bookmarkEnd w:id="141"/>
      <w:r w:rsidRPr="009B783C">
        <w:rPr>
          <w:szCs w:val="21"/>
        </w:rPr>
        <w:t xml:space="preserve"> | </w:t>
      </w:r>
      <w:r w:rsidR="008469F9" w:rsidRPr="009B783C">
        <w:rPr>
          <w:szCs w:val="21"/>
        </w:rPr>
        <w:t>Medicare UCCs have adopted or are currently exploring a variety of flexible workforce models to meet local demand. Examples include but are not limited to:</w:t>
      </w:r>
    </w:p>
    <w:tbl>
      <w:tblPr>
        <w:tblStyle w:val="TableGrid"/>
        <w:tblW w:w="0" w:type="auto"/>
        <w:tblLook w:val="04A0" w:firstRow="1" w:lastRow="0" w:firstColumn="1" w:lastColumn="0" w:noHBand="0" w:noVBand="1"/>
      </w:tblPr>
      <w:tblGrid>
        <w:gridCol w:w="1555"/>
        <w:gridCol w:w="7365"/>
      </w:tblGrid>
      <w:tr w:rsidR="00B01D95" w:rsidRPr="009B783C" w14:paraId="38D3156C" w14:textId="77777777" w:rsidTr="000C20F4">
        <w:trPr>
          <w:tblHeader/>
        </w:trPr>
        <w:tc>
          <w:tcPr>
            <w:tcW w:w="1555" w:type="dxa"/>
            <w:tcBorders>
              <w:right w:val="single" w:sz="4" w:space="0" w:color="FFFFFF" w:themeColor="background1"/>
            </w:tcBorders>
            <w:shd w:val="clear" w:color="auto" w:fill="00264D" w:themeFill="background2"/>
          </w:tcPr>
          <w:p w14:paraId="5F2093C7" w14:textId="19CEE0EC" w:rsidR="00B01D95" w:rsidRPr="009B783C" w:rsidRDefault="00B01D95" w:rsidP="0048530B">
            <w:pPr>
              <w:pStyle w:val="TableNheader"/>
              <w:rPr>
                <w:rFonts w:asciiTheme="majorHAnsi" w:hAnsiTheme="majorHAnsi" w:cstheme="majorHAnsi"/>
              </w:rPr>
            </w:pPr>
            <w:r w:rsidRPr="009B783C">
              <w:t>Location</w:t>
            </w:r>
          </w:p>
        </w:tc>
        <w:tc>
          <w:tcPr>
            <w:tcW w:w="7365" w:type="dxa"/>
            <w:tcBorders>
              <w:left w:val="single" w:sz="4" w:space="0" w:color="FFFFFF" w:themeColor="background1"/>
            </w:tcBorders>
            <w:shd w:val="clear" w:color="auto" w:fill="00264D" w:themeFill="background2"/>
          </w:tcPr>
          <w:p w14:paraId="7FD21095" w14:textId="171B0184" w:rsidR="00B01D95" w:rsidRPr="009B783C" w:rsidRDefault="00FA1389" w:rsidP="0048530B">
            <w:pPr>
              <w:pStyle w:val="TableNheader"/>
              <w:rPr>
                <w:rFonts w:asciiTheme="majorHAnsi" w:hAnsiTheme="majorHAnsi" w:cstheme="majorHAnsi"/>
              </w:rPr>
            </w:pPr>
            <w:r w:rsidRPr="009B783C">
              <w:t>Model</w:t>
            </w:r>
          </w:p>
        </w:tc>
      </w:tr>
      <w:tr w:rsidR="00B01D95" w:rsidRPr="009B783C" w14:paraId="446C00E9" w14:textId="77777777" w:rsidTr="00A74FCE">
        <w:tc>
          <w:tcPr>
            <w:tcW w:w="1555" w:type="dxa"/>
          </w:tcPr>
          <w:p w14:paraId="14E99C4A" w14:textId="1050687B" w:rsidR="00B01D95" w:rsidRPr="009B783C" w:rsidRDefault="00A74FCE" w:rsidP="00B01D95">
            <w:pPr>
              <w:rPr>
                <w:szCs w:val="21"/>
              </w:rPr>
            </w:pPr>
            <w:r w:rsidRPr="009B783C">
              <w:rPr>
                <w:szCs w:val="21"/>
              </w:rPr>
              <w:t>QLD</w:t>
            </w:r>
          </w:p>
        </w:tc>
        <w:tc>
          <w:tcPr>
            <w:tcW w:w="7365" w:type="dxa"/>
          </w:tcPr>
          <w:p w14:paraId="611D845E" w14:textId="45922C8F" w:rsidR="00B01D95" w:rsidRPr="009B783C" w:rsidRDefault="00EF1298" w:rsidP="00B01D95">
            <w:pPr>
              <w:rPr>
                <w:szCs w:val="21"/>
              </w:rPr>
            </w:pPr>
            <w:r w:rsidRPr="009B783C">
              <w:rPr>
                <w:szCs w:val="21"/>
              </w:rPr>
              <w:t>In QLD, a Medicare UCC is trialling a rapid nurse triage model involving one GP and two registered nurses, rather than a receptionist.</w:t>
            </w:r>
          </w:p>
        </w:tc>
      </w:tr>
      <w:tr w:rsidR="00B01D95" w:rsidRPr="009B783C" w14:paraId="34FE45E3" w14:textId="77777777" w:rsidTr="00A74FCE">
        <w:tc>
          <w:tcPr>
            <w:tcW w:w="1555" w:type="dxa"/>
          </w:tcPr>
          <w:p w14:paraId="7E6BC0A9" w14:textId="14389B16" w:rsidR="00B01D95" w:rsidRPr="009B783C" w:rsidRDefault="00A74FCE" w:rsidP="00B01D95">
            <w:pPr>
              <w:rPr>
                <w:szCs w:val="21"/>
              </w:rPr>
            </w:pPr>
            <w:r w:rsidRPr="009B783C">
              <w:rPr>
                <w:szCs w:val="21"/>
              </w:rPr>
              <w:t>SA</w:t>
            </w:r>
          </w:p>
        </w:tc>
        <w:tc>
          <w:tcPr>
            <w:tcW w:w="7365" w:type="dxa"/>
          </w:tcPr>
          <w:p w14:paraId="06CB0151" w14:textId="1BA75A59" w:rsidR="00B01D95" w:rsidRPr="009B783C" w:rsidRDefault="00EF1298" w:rsidP="00B01D95">
            <w:pPr>
              <w:rPr>
                <w:szCs w:val="21"/>
              </w:rPr>
            </w:pPr>
            <w:r w:rsidRPr="009B783C">
              <w:rPr>
                <w:szCs w:val="21"/>
              </w:rPr>
              <w:t>In SA, several clinics have incorporated nurse practitioners and non-vocationally registered GPs in addition to the minimum workforce requirements to meet demand during busy periods.</w:t>
            </w:r>
          </w:p>
        </w:tc>
      </w:tr>
      <w:tr w:rsidR="00B01D95" w:rsidRPr="009B783C" w14:paraId="2AA0E7C7" w14:textId="77777777" w:rsidTr="00A74FCE">
        <w:tc>
          <w:tcPr>
            <w:tcW w:w="1555" w:type="dxa"/>
          </w:tcPr>
          <w:p w14:paraId="19CBD78E" w14:textId="15B832AE" w:rsidR="00B01D95" w:rsidRPr="009B783C" w:rsidRDefault="00A74FCE" w:rsidP="00B01D95">
            <w:pPr>
              <w:rPr>
                <w:szCs w:val="21"/>
              </w:rPr>
            </w:pPr>
            <w:r w:rsidRPr="009B783C">
              <w:rPr>
                <w:szCs w:val="21"/>
              </w:rPr>
              <w:t>NSW and NT</w:t>
            </w:r>
          </w:p>
        </w:tc>
        <w:tc>
          <w:tcPr>
            <w:tcW w:w="7365" w:type="dxa"/>
          </w:tcPr>
          <w:p w14:paraId="3C191E01" w14:textId="32C74B28" w:rsidR="00B01D95" w:rsidRPr="009B783C" w:rsidRDefault="00EF1298" w:rsidP="00B01D95">
            <w:pPr>
              <w:rPr>
                <w:szCs w:val="21"/>
              </w:rPr>
            </w:pPr>
            <w:r w:rsidRPr="009B783C">
              <w:rPr>
                <w:szCs w:val="21"/>
              </w:rPr>
              <w:t>In NSW and the NT, some Medicare UCCs are exploring incorporating paramedics in addition to the minimum workforce requirements to meet demand during busy periods.</w:t>
            </w:r>
          </w:p>
        </w:tc>
      </w:tr>
      <w:tr w:rsidR="00B01D95" w:rsidRPr="009B783C" w14:paraId="5148EF06" w14:textId="77777777" w:rsidTr="00A74FCE">
        <w:tc>
          <w:tcPr>
            <w:tcW w:w="1555" w:type="dxa"/>
          </w:tcPr>
          <w:p w14:paraId="79E887D8" w14:textId="4942100B" w:rsidR="00B01D95" w:rsidRPr="009B783C" w:rsidRDefault="00A74FCE" w:rsidP="00B01D95">
            <w:pPr>
              <w:rPr>
                <w:szCs w:val="21"/>
              </w:rPr>
            </w:pPr>
            <w:r w:rsidRPr="009B783C">
              <w:rPr>
                <w:szCs w:val="21"/>
              </w:rPr>
              <w:t>ACT</w:t>
            </w:r>
          </w:p>
        </w:tc>
        <w:tc>
          <w:tcPr>
            <w:tcW w:w="7365" w:type="dxa"/>
          </w:tcPr>
          <w:p w14:paraId="68B05F67" w14:textId="09A08B6D" w:rsidR="00B01D95" w:rsidRPr="009B783C" w:rsidRDefault="00EF1298" w:rsidP="00B01D95">
            <w:pPr>
              <w:rPr>
                <w:szCs w:val="21"/>
              </w:rPr>
            </w:pPr>
            <w:r w:rsidRPr="009B783C">
              <w:rPr>
                <w:szCs w:val="21"/>
              </w:rPr>
              <w:t>In the ACT, the Medicare UCCs utilise a nurse-led model of care, agreed by Government, based out of the existing Walk-in Centre infrastructure. The workforce includes nurse practitioners, advanced practice nurses, clinical nurse educators, clinical nurse managers, receptionists and a GP advisor, who provides education, reviews treatment protocols and liaises with the local GP community. The ACT Medicare UCCs are also seeking to recruit a sonographer, radiographer and advanced musculoskeletal physiotherapist.</w:t>
            </w:r>
          </w:p>
        </w:tc>
      </w:tr>
      <w:tr w:rsidR="00B01D95" w:rsidRPr="009B783C" w14:paraId="38E4270C" w14:textId="77777777" w:rsidTr="00A74FCE">
        <w:tc>
          <w:tcPr>
            <w:tcW w:w="1555" w:type="dxa"/>
          </w:tcPr>
          <w:p w14:paraId="760695A3" w14:textId="4FEE4271" w:rsidR="00B01D95" w:rsidRPr="009B783C" w:rsidRDefault="00A74FCE" w:rsidP="00B01D95">
            <w:pPr>
              <w:rPr>
                <w:szCs w:val="21"/>
              </w:rPr>
            </w:pPr>
            <w:r w:rsidRPr="009B783C">
              <w:rPr>
                <w:szCs w:val="21"/>
              </w:rPr>
              <w:t>NT</w:t>
            </w:r>
          </w:p>
        </w:tc>
        <w:tc>
          <w:tcPr>
            <w:tcW w:w="7365" w:type="dxa"/>
          </w:tcPr>
          <w:p w14:paraId="75A793F5" w14:textId="7C5F64CD" w:rsidR="00B01D95" w:rsidRPr="009B783C" w:rsidRDefault="00EF1298" w:rsidP="00B01D95">
            <w:pPr>
              <w:rPr>
                <w:szCs w:val="21"/>
              </w:rPr>
            </w:pPr>
            <w:r w:rsidRPr="009B783C">
              <w:rPr>
                <w:szCs w:val="21"/>
              </w:rPr>
              <w:t xml:space="preserve">In the NT, the Remote Medicare UCCs utilise a remote area nurse (RAN)-led model of care, agreed by Government, in recognition of their unique local context. RANs can seek medical advice through the NT Health District Medical Officer (DMO) service via telephone or refer to GPs (where available).  </w:t>
            </w:r>
          </w:p>
        </w:tc>
      </w:tr>
    </w:tbl>
    <w:p w14:paraId="014B0035" w14:textId="1621F6CB" w:rsidR="00936C56" w:rsidRPr="00606C34" w:rsidRDefault="00936C56" w:rsidP="00606C34"/>
    <w:tbl>
      <w:tblPr>
        <w:tblStyle w:val="NousLongformcallout"/>
        <w:tblpPr w:leftFromText="180" w:rightFromText="180" w:vertAnchor="text" w:horzAnchor="margin" w:tblpY="332"/>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75138F" w:rsidRPr="009B783C" w14:paraId="376C6CB6" w14:textId="77777777" w:rsidTr="00E00EF9">
        <w:tc>
          <w:tcPr>
            <w:tcW w:w="8907" w:type="dxa"/>
            <w:tcBorders>
              <w:left w:val="single" w:sz="18" w:space="0" w:color="2D358E"/>
            </w:tcBorders>
          </w:tcPr>
          <w:p w14:paraId="5C5E7ACC" w14:textId="0A5B0DE4" w:rsidR="0075138F" w:rsidRPr="009B783C" w:rsidRDefault="00646FE9" w:rsidP="00F5425B">
            <w:pPr>
              <w:pStyle w:val="Longformcallout"/>
              <w:rPr>
                <w:rFonts w:asciiTheme="majorHAnsi" w:hAnsiTheme="majorHAnsi" w:cstheme="majorHAnsi"/>
                <w:color w:val="2D358E"/>
                <w:sz w:val="28"/>
                <w:szCs w:val="28"/>
              </w:rPr>
            </w:pPr>
            <w:r w:rsidRPr="009B783C">
              <w:rPr>
                <w:rFonts w:asciiTheme="majorHAnsi" w:hAnsiTheme="majorHAnsi" w:cstheme="majorHAnsi"/>
                <w:color w:val="2D358E"/>
                <w:sz w:val="28"/>
                <w:szCs w:val="28"/>
              </w:rPr>
              <w:t>Improvement opportunity</w:t>
            </w:r>
          </w:p>
          <w:p w14:paraId="2F99B974" w14:textId="2C242839" w:rsidR="0075138F" w:rsidRPr="009B783C" w:rsidRDefault="00C57977" w:rsidP="00F5425B">
            <w:pPr>
              <w:pStyle w:val="Longformcallout"/>
            </w:pPr>
            <w:r w:rsidRPr="009B783C">
              <w:rPr>
                <w:szCs w:val="21"/>
              </w:rPr>
              <w:t xml:space="preserve">There is opportunity for </w:t>
            </w:r>
            <w:r w:rsidR="00DB2C51" w:rsidRPr="009B783C">
              <w:rPr>
                <w:szCs w:val="21"/>
              </w:rPr>
              <w:t xml:space="preserve">more widespread exploration and </w:t>
            </w:r>
            <w:r w:rsidR="00F44DAD" w:rsidRPr="009B783C">
              <w:rPr>
                <w:szCs w:val="21"/>
              </w:rPr>
              <w:t>uptake</w:t>
            </w:r>
            <w:r w:rsidR="00DB2C51" w:rsidRPr="009B783C">
              <w:rPr>
                <w:szCs w:val="21"/>
              </w:rPr>
              <w:t xml:space="preserve"> </w:t>
            </w:r>
            <w:r w:rsidR="00EF0FE2" w:rsidRPr="009B783C">
              <w:rPr>
                <w:szCs w:val="21"/>
              </w:rPr>
              <w:t xml:space="preserve">of </w:t>
            </w:r>
            <w:r w:rsidR="0075138F" w:rsidRPr="009B783C">
              <w:rPr>
                <w:szCs w:val="21"/>
              </w:rPr>
              <w:t xml:space="preserve">flexible workforce models </w:t>
            </w:r>
            <w:r w:rsidR="00E1107A" w:rsidRPr="009B783C">
              <w:rPr>
                <w:szCs w:val="21"/>
              </w:rPr>
              <w:t>by Medicare UCC</w:t>
            </w:r>
            <w:r w:rsidR="00FA74B5" w:rsidRPr="009B783C">
              <w:rPr>
                <w:szCs w:val="21"/>
              </w:rPr>
              <w:t>s</w:t>
            </w:r>
            <w:r w:rsidR="00E1107A" w:rsidRPr="009B783C">
              <w:rPr>
                <w:szCs w:val="21"/>
              </w:rPr>
              <w:t xml:space="preserve"> </w:t>
            </w:r>
            <w:r w:rsidR="00FA74B5" w:rsidRPr="009B783C">
              <w:rPr>
                <w:szCs w:val="21"/>
              </w:rPr>
              <w:t>(</w:t>
            </w:r>
            <w:r w:rsidR="0075138F" w:rsidRPr="009B783C">
              <w:rPr>
                <w:szCs w:val="21"/>
              </w:rPr>
              <w:t xml:space="preserve">informed by learnings from </w:t>
            </w:r>
            <w:r w:rsidR="00533A42" w:rsidRPr="009B783C">
              <w:rPr>
                <w:szCs w:val="21"/>
              </w:rPr>
              <w:t>existing workforce trials</w:t>
            </w:r>
            <w:r w:rsidR="00FA74B5" w:rsidRPr="009B783C">
              <w:rPr>
                <w:szCs w:val="21"/>
              </w:rPr>
              <w:t>)</w:t>
            </w:r>
            <w:r w:rsidR="00E1107A" w:rsidRPr="009B783C">
              <w:rPr>
                <w:szCs w:val="21"/>
              </w:rPr>
              <w:t xml:space="preserve"> </w:t>
            </w:r>
            <w:r w:rsidR="0075138F" w:rsidRPr="009B783C">
              <w:rPr>
                <w:szCs w:val="21"/>
              </w:rPr>
              <w:t>to meet demand</w:t>
            </w:r>
            <w:r w:rsidR="00B3015F" w:rsidRPr="009B783C">
              <w:rPr>
                <w:szCs w:val="21"/>
              </w:rPr>
              <w:t xml:space="preserve"> whilst adhering to minimum program requirements</w:t>
            </w:r>
            <w:r w:rsidR="0075138F" w:rsidRPr="009B783C">
              <w:rPr>
                <w:szCs w:val="21"/>
              </w:rPr>
              <w:t>.</w:t>
            </w:r>
          </w:p>
        </w:tc>
      </w:tr>
    </w:tbl>
    <w:p w14:paraId="365300E1" w14:textId="060565E6" w:rsidR="00F12E03" w:rsidRPr="009B783C" w:rsidRDefault="00F12E03" w:rsidP="000D706D">
      <w:pPr>
        <w:pStyle w:val="Heading3"/>
      </w:pPr>
      <w:r w:rsidRPr="009B783C">
        <w:t>MBS items available to Medicare UCCs for prescribed medical practitioners have been expanded</w:t>
      </w:r>
    </w:p>
    <w:p w14:paraId="295584B1" w14:textId="5AA6F016" w:rsidR="00F12E03" w:rsidRPr="009B783C" w:rsidRDefault="00F12E03" w:rsidP="00F5425B">
      <w:pPr>
        <w:rPr>
          <w:szCs w:val="21"/>
        </w:rPr>
      </w:pPr>
      <w:r w:rsidRPr="009B783C">
        <w:rPr>
          <w:szCs w:val="21"/>
        </w:rPr>
        <w:t xml:space="preserve">As described previously section </w:t>
      </w:r>
      <w:r w:rsidR="003420A2" w:rsidRPr="009B783C">
        <w:rPr>
          <w:szCs w:val="21"/>
        </w:rPr>
        <w:fldChar w:fldCharType="begin"/>
      </w:r>
      <w:r w:rsidR="003420A2" w:rsidRPr="009B783C">
        <w:rPr>
          <w:szCs w:val="21"/>
        </w:rPr>
        <w:instrText xml:space="preserve"> REF _Ref185508811 \n \h </w:instrText>
      </w:r>
      <w:r w:rsidR="00F5425B" w:rsidRPr="009B783C">
        <w:rPr>
          <w:szCs w:val="21"/>
        </w:rPr>
        <w:instrText xml:space="preserve"> \* MERGEFORMAT </w:instrText>
      </w:r>
      <w:r w:rsidR="003420A2" w:rsidRPr="009B783C">
        <w:rPr>
          <w:szCs w:val="21"/>
        </w:rPr>
      </w:r>
      <w:r w:rsidR="003420A2" w:rsidRPr="009B783C">
        <w:rPr>
          <w:szCs w:val="21"/>
        </w:rPr>
        <w:fldChar w:fldCharType="separate"/>
      </w:r>
      <w:r w:rsidR="0031172E" w:rsidRPr="009B783C">
        <w:rPr>
          <w:szCs w:val="21"/>
        </w:rPr>
        <w:t>1.3</w:t>
      </w:r>
      <w:r w:rsidR="003420A2" w:rsidRPr="009B783C">
        <w:rPr>
          <w:szCs w:val="21"/>
        </w:rPr>
        <w:fldChar w:fldCharType="end"/>
      </w:r>
      <w:r w:rsidRPr="009B783C">
        <w:rPr>
          <w:szCs w:val="21"/>
        </w:rPr>
        <w:t xml:space="preserve">, Medicare UCCs have a hybrid funding model </w:t>
      </w:r>
      <w:r w:rsidR="002F47A8" w:rsidRPr="009B783C">
        <w:rPr>
          <w:szCs w:val="21"/>
        </w:rPr>
        <w:t xml:space="preserve">that </w:t>
      </w:r>
      <w:r w:rsidRPr="009B783C">
        <w:rPr>
          <w:szCs w:val="21"/>
        </w:rPr>
        <w:t>aims to support flexible workforce models. The funding model consists of:</w:t>
      </w:r>
    </w:p>
    <w:p w14:paraId="50D042AE" w14:textId="31F7D39C" w:rsidR="00F12E03" w:rsidRPr="009B783C" w:rsidRDefault="00F12E03" w:rsidP="00F5425B">
      <w:pPr>
        <w:pStyle w:val="Bullet"/>
        <w:rPr>
          <w:szCs w:val="21"/>
        </w:rPr>
      </w:pPr>
      <w:r w:rsidRPr="009B783C">
        <w:rPr>
          <w:szCs w:val="21"/>
        </w:rPr>
        <w:t>operational grants from the Australian Government</w:t>
      </w:r>
    </w:p>
    <w:p w14:paraId="609AF8E2" w14:textId="730733F1" w:rsidR="00F12E03" w:rsidRPr="009B783C" w:rsidRDefault="00F12E03" w:rsidP="00F5425B">
      <w:pPr>
        <w:pStyle w:val="Bullet"/>
        <w:rPr>
          <w:szCs w:val="21"/>
        </w:rPr>
      </w:pPr>
      <w:r w:rsidRPr="009B783C">
        <w:rPr>
          <w:szCs w:val="21"/>
        </w:rPr>
        <w:lastRenderedPageBreak/>
        <w:t xml:space="preserve">rebates for specific MBS items for provision of urgent care services, accessible through a sub-section 19(2) exemption to the </w:t>
      </w:r>
      <w:r w:rsidRPr="009B783C">
        <w:rPr>
          <w:i/>
          <w:szCs w:val="21"/>
        </w:rPr>
        <w:t>Health Insurance Act 1973</w:t>
      </w:r>
      <w:r w:rsidRPr="009B783C">
        <w:rPr>
          <w:szCs w:val="21"/>
        </w:rPr>
        <w:t>.</w:t>
      </w:r>
      <w:r w:rsidR="008A611A" w:rsidRPr="009B783C">
        <w:rPr>
          <w:szCs w:val="21"/>
        </w:rPr>
        <w:t xml:space="preserve"> </w:t>
      </w:r>
    </w:p>
    <w:p w14:paraId="344AD09E" w14:textId="28624665" w:rsidR="0075138F" w:rsidRPr="009B783C" w:rsidRDefault="0075138F" w:rsidP="00F5425B">
      <w:pPr>
        <w:rPr>
          <w:szCs w:val="21"/>
        </w:rPr>
      </w:pPr>
      <w:r w:rsidRPr="009B783C">
        <w:rPr>
          <w:szCs w:val="21"/>
        </w:rPr>
        <w:t>The Department advised that operational grant funding provided to Medicare UCCs may be used to support employment of health professionals</w:t>
      </w:r>
      <w:r w:rsidR="00F12E03" w:rsidRPr="009B783C">
        <w:rPr>
          <w:szCs w:val="21"/>
        </w:rPr>
        <w:t xml:space="preserve"> who are ineligible to bill MBS for services provided at Medicare UCCs. </w:t>
      </w:r>
      <w:r w:rsidRPr="009B783C">
        <w:rPr>
          <w:szCs w:val="21"/>
          <w:lang w:eastAsia="en-AU"/>
        </w:rPr>
        <w:t>Many commissioners reported that despite the grant funding provided, the main barrier to adopting flexible workforce models above the minimum</w:t>
      </w:r>
      <w:r w:rsidR="00862657" w:rsidRPr="009B783C">
        <w:rPr>
          <w:szCs w:val="21"/>
          <w:lang w:eastAsia="en-AU"/>
        </w:rPr>
        <w:t xml:space="preserve"> workforce</w:t>
      </w:r>
      <w:r w:rsidRPr="009B783C">
        <w:rPr>
          <w:szCs w:val="21"/>
          <w:lang w:eastAsia="en-AU"/>
        </w:rPr>
        <w:t xml:space="preserve"> requirements is that it is financially unviable for the Medicare UCCs to employ additional staff who have limited or no options to claim MBS rebates.</w:t>
      </w:r>
    </w:p>
    <w:p w14:paraId="3532010F" w14:textId="76AAE952" w:rsidR="0075138F" w:rsidRPr="009B783C" w:rsidRDefault="0075138F" w:rsidP="00F5425B">
      <w:pPr>
        <w:pStyle w:val="Bullet"/>
        <w:numPr>
          <w:ilvl w:val="0"/>
          <w:numId w:val="0"/>
        </w:numPr>
        <w:rPr>
          <w:szCs w:val="21"/>
        </w:rPr>
      </w:pPr>
      <w:r w:rsidRPr="009B783C">
        <w:rPr>
          <w:szCs w:val="21"/>
        </w:rPr>
        <w:t xml:space="preserve">MBS items available to Medicare UCCs through sub-section 19(2) </w:t>
      </w:r>
      <w:r w:rsidR="009859DA" w:rsidRPr="009B783C">
        <w:rPr>
          <w:szCs w:val="21"/>
        </w:rPr>
        <w:t>d</w:t>
      </w:r>
      <w:r w:rsidRPr="009B783C">
        <w:rPr>
          <w:szCs w:val="21"/>
        </w:rPr>
        <w:t xml:space="preserve">irections have been expanded to include selected MBS items for prescribed medical practitioners as of July 2024, to support further workforce to claim MBS for services provided. Some stakeholders advised that despite these changes, MBS billing available to non-vocationally registered GPs was still restricted and was not financially viable for some practices. </w:t>
      </w:r>
    </w:p>
    <w:p w14:paraId="5A5F771C" w14:textId="76D3A18F" w:rsidR="0075138F" w:rsidRPr="009B783C" w:rsidRDefault="00F12E03" w:rsidP="00F5425B">
      <w:pPr>
        <w:pStyle w:val="Bullet"/>
        <w:numPr>
          <w:ilvl w:val="0"/>
          <w:numId w:val="0"/>
        </w:numPr>
        <w:rPr>
          <w:szCs w:val="21"/>
        </w:rPr>
      </w:pPr>
      <w:r w:rsidRPr="009B783C">
        <w:rPr>
          <w:szCs w:val="21"/>
        </w:rPr>
        <w:t xml:space="preserve">Two Medicare UCCs in WA and </w:t>
      </w:r>
      <w:r w:rsidR="003420A2" w:rsidRPr="009B783C">
        <w:rPr>
          <w:szCs w:val="21"/>
        </w:rPr>
        <w:t>TAS</w:t>
      </w:r>
      <w:r w:rsidR="0075138F" w:rsidRPr="009B783C">
        <w:rPr>
          <w:szCs w:val="21"/>
        </w:rPr>
        <w:t xml:space="preserve"> were noted to have been granted exemptions to claim MBS telehealth items due to significant workforce scarcity</w:t>
      </w:r>
      <w:r w:rsidRPr="009B783C">
        <w:rPr>
          <w:szCs w:val="21"/>
        </w:rPr>
        <w:t>.</w:t>
      </w:r>
      <w:r w:rsidRPr="009B783C">
        <w:rPr>
          <w:rStyle w:val="FootnoteReference"/>
          <w:szCs w:val="21"/>
        </w:rPr>
        <w:footnoteReference w:id="83"/>
      </w:r>
      <w:r w:rsidR="0075138F" w:rsidRPr="009B783C">
        <w:rPr>
          <w:szCs w:val="21"/>
        </w:rPr>
        <w:t xml:space="preserve"> These exemptions allow them to claim MBS rebates when patients attend the Medicare UCC for care and are assessed remotely via a video call by a GP located elsewhere. Commissioners noted that despite having the exemption to claim MBS items for care provided in this way, this modality was yet to be utilised by the Medicare UCCs. </w:t>
      </w:r>
    </w:p>
    <w:p w14:paraId="1B696522" w14:textId="2ADE2F5D" w:rsidR="0075138F" w:rsidRPr="009B783C" w:rsidRDefault="0075138F" w:rsidP="000D706D">
      <w:pPr>
        <w:pStyle w:val="Heading3"/>
      </w:pPr>
      <w:r w:rsidRPr="009B783C">
        <w:t>Medicare UCCs are experiencing challenges with radiology workforce shortages and after-hours radiology service availability</w:t>
      </w:r>
    </w:p>
    <w:p w14:paraId="35599BC6" w14:textId="46661CAC" w:rsidR="0075138F" w:rsidRPr="009B783C" w:rsidRDefault="0075138F" w:rsidP="00F5425B">
      <w:pPr>
        <w:spacing w:before="120"/>
        <w:rPr>
          <w:szCs w:val="21"/>
          <w:lang w:eastAsia="en-AU"/>
        </w:rPr>
      </w:pPr>
      <w:r w:rsidRPr="009B783C">
        <w:rPr>
          <w:szCs w:val="21"/>
          <w:lang w:eastAsia="en-AU"/>
        </w:rPr>
        <w:t xml:space="preserve">Medicare UCC Operational Guidance states that Medicare UCCs should have an X-ray facility onsite or easily accessible during all hours of operation, along with timely access to ultrasound and CT services across </w:t>
      </w:r>
      <w:proofErr w:type="gramStart"/>
      <w:r w:rsidRPr="009B783C">
        <w:rPr>
          <w:szCs w:val="21"/>
          <w:lang w:eastAsia="en-AU"/>
        </w:rPr>
        <w:t>the majority of</w:t>
      </w:r>
      <w:proofErr w:type="gramEnd"/>
      <w:r w:rsidRPr="009B783C">
        <w:rPr>
          <w:szCs w:val="21"/>
          <w:lang w:eastAsia="en-AU"/>
        </w:rPr>
        <w:t xml:space="preserve"> operating hours. Stakeholders reported experiencing challenges meeting this requirement, due to radiology workforce shortages in regional and rural areas (particularly in QLD, NT, ACT and </w:t>
      </w:r>
      <w:r w:rsidR="003420A2" w:rsidRPr="009B783C">
        <w:rPr>
          <w:szCs w:val="21"/>
          <w:lang w:eastAsia="en-AU"/>
        </w:rPr>
        <w:t>TAS</w:t>
      </w:r>
      <w:r w:rsidRPr="009B783C">
        <w:rPr>
          <w:szCs w:val="21"/>
          <w:lang w:eastAsia="en-AU"/>
        </w:rPr>
        <w:t>) and after-hours service availability more broadly</w:t>
      </w:r>
      <w:r w:rsidR="003420A2" w:rsidRPr="009B783C">
        <w:rPr>
          <w:szCs w:val="21"/>
          <w:lang w:eastAsia="en-AU"/>
        </w:rPr>
        <w:t>.</w:t>
      </w:r>
      <w:r w:rsidR="00F12E03" w:rsidRPr="009B783C">
        <w:rPr>
          <w:szCs w:val="21"/>
          <w:lang w:eastAsia="en-AU"/>
        </w:rPr>
        <w:t xml:space="preserve"> Analysis of opening hours for Medicare UCC affiliated diagnostic imaging services in provided in section </w:t>
      </w:r>
      <w:r w:rsidR="003420A2" w:rsidRPr="009B783C">
        <w:rPr>
          <w:szCs w:val="21"/>
          <w:lang w:eastAsia="en-AU"/>
        </w:rPr>
        <w:fldChar w:fldCharType="begin"/>
      </w:r>
      <w:r w:rsidR="003420A2" w:rsidRPr="009B783C">
        <w:rPr>
          <w:szCs w:val="21"/>
          <w:lang w:eastAsia="en-AU"/>
        </w:rPr>
        <w:instrText xml:space="preserve"> REF _Ref185508921 \n \h </w:instrText>
      </w:r>
      <w:r w:rsidR="00F5425B" w:rsidRPr="009B783C">
        <w:rPr>
          <w:szCs w:val="21"/>
          <w:lang w:eastAsia="en-AU"/>
        </w:rPr>
        <w:instrText xml:space="preserve"> \* MERGEFORMAT </w:instrText>
      </w:r>
      <w:r w:rsidR="003420A2" w:rsidRPr="009B783C">
        <w:rPr>
          <w:szCs w:val="21"/>
          <w:lang w:eastAsia="en-AU"/>
        </w:rPr>
      </w:r>
      <w:r w:rsidR="003420A2" w:rsidRPr="009B783C">
        <w:rPr>
          <w:szCs w:val="21"/>
          <w:lang w:eastAsia="en-AU"/>
        </w:rPr>
        <w:fldChar w:fldCharType="separate"/>
      </w:r>
      <w:r w:rsidR="0031172E" w:rsidRPr="009B783C">
        <w:rPr>
          <w:szCs w:val="21"/>
          <w:lang w:eastAsia="en-AU"/>
        </w:rPr>
        <w:t>4.3</w:t>
      </w:r>
      <w:r w:rsidR="003420A2" w:rsidRPr="009B783C">
        <w:rPr>
          <w:szCs w:val="21"/>
          <w:lang w:eastAsia="en-AU"/>
        </w:rPr>
        <w:fldChar w:fldCharType="end"/>
      </w:r>
      <w:r w:rsidR="00F12E03" w:rsidRPr="009B783C">
        <w:rPr>
          <w:szCs w:val="21"/>
          <w:lang w:eastAsia="en-AU"/>
        </w:rPr>
        <w:t>. Proximity of the diagnostic imaging services to the Medicare UCCs will be considered in future reports.</w:t>
      </w:r>
      <w:r w:rsidR="008A611A" w:rsidRPr="009B783C">
        <w:rPr>
          <w:szCs w:val="21"/>
          <w:lang w:eastAsia="en-AU"/>
        </w:rPr>
        <w:t xml:space="preserve"> </w:t>
      </w:r>
    </w:p>
    <w:p w14:paraId="49B9CD47" w14:textId="61F0BC36" w:rsidR="0075138F" w:rsidRPr="009B783C" w:rsidRDefault="0075138F" w:rsidP="00F5425B">
      <w:pPr>
        <w:spacing w:before="120"/>
        <w:rPr>
          <w:szCs w:val="21"/>
          <w:lang w:eastAsia="en-AU"/>
        </w:rPr>
      </w:pPr>
      <w:r w:rsidRPr="009B783C">
        <w:rPr>
          <w:szCs w:val="21"/>
          <w:lang w:eastAsia="en-AU"/>
        </w:rPr>
        <w:t>Expectations regarding access to bulk-billed radiology services was noted as a deterrent for some radiology providers. Commissioners reported that remaining open after hours was not financially viable for some providers, as MBS revenue alone could not offset the low patient volume.</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E42C9C" w:rsidRPr="009B783C" w14:paraId="50442604" w14:textId="77777777">
        <w:trPr>
          <w:cantSplit/>
        </w:trPr>
        <w:tc>
          <w:tcPr>
            <w:tcW w:w="817" w:type="dxa"/>
            <w:shd w:val="clear" w:color="auto" w:fill="F2F2F2" w:themeFill="background1" w:themeFillShade="F2"/>
            <w:vAlign w:val="center"/>
          </w:tcPr>
          <w:p w14:paraId="2DF70DBF" w14:textId="77777777" w:rsidR="00E42C9C" w:rsidRPr="009B783C" w:rsidRDefault="00E42C9C" w:rsidP="00F5425B">
            <w:pPr>
              <w:spacing w:before="120"/>
              <w:rPr>
                <w:szCs w:val="21"/>
              </w:rPr>
            </w:pPr>
            <w:r w:rsidRPr="009B783C">
              <w:rPr>
                <w:noProof/>
                <w:szCs w:val="21"/>
              </w:rPr>
              <w:drawing>
                <wp:inline distT="0" distB="0" distL="0" distR="0" wp14:anchorId="27DD64EB" wp14:editId="02B7207D">
                  <wp:extent cx="296915" cy="241300"/>
                  <wp:effectExtent l="0" t="0" r="8255" b="6350"/>
                  <wp:docPr id="957427758"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427758"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79D7361E" w14:textId="77777777" w:rsidR="00E42C9C" w:rsidRPr="009B783C" w:rsidRDefault="00E42C9C" w:rsidP="00F5425B">
            <w:pPr>
              <w:spacing w:before="120"/>
              <w:rPr>
                <w:rFonts w:asciiTheme="majorHAnsi" w:hAnsiTheme="majorHAnsi" w:cstheme="majorHAnsi"/>
                <w:szCs w:val="21"/>
              </w:rPr>
            </w:pPr>
            <w:r w:rsidRPr="009B783C">
              <w:rPr>
                <w:rFonts w:asciiTheme="majorHAnsi" w:hAnsiTheme="majorHAnsi" w:cstheme="majorHAnsi"/>
                <w:szCs w:val="21"/>
              </w:rPr>
              <w:t xml:space="preserve">“There are no private providers that are willing to stay open and no extra radiographers around that want to pick up hours.” </w:t>
            </w:r>
            <w:r w:rsidRPr="009B783C">
              <w:rPr>
                <w:rFonts w:asciiTheme="minorHAnsi" w:hAnsiTheme="minorHAnsi" w:cstheme="minorHAnsi"/>
                <w:szCs w:val="21"/>
              </w:rPr>
              <w:t>[Commissioner]</w:t>
            </w:r>
          </w:p>
        </w:tc>
      </w:tr>
    </w:tbl>
    <w:p w14:paraId="6E1DCD5C" w14:textId="7F1E4BCB" w:rsidR="00793770" w:rsidRPr="009B783C" w:rsidRDefault="00793770" w:rsidP="00F5425B">
      <w:pPr>
        <w:spacing w:before="240"/>
        <w:rPr>
          <w:szCs w:val="21"/>
        </w:rPr>
      </w:pPr>
      <w:r w:rsidRPr="009B783C">
        <w:rPr>
          <w:szCs w:val="21"/>
        </w:rPr>
        <w:lastRenderedPageBreak/>
        <w:t>Several Medicare UCCs have arrangements for local health services to provide access to diagnostic imaging services, in the absence of available and interested private providers, and/or when their existing providers are closed after hours.</w:t>
      </w:r>
      <w:r w:rsidR="008A611A" w:rsidRPr="009B783C">
        <w:rPr>
          <w:szCs w:val="21"/>
        </w:rPr>
        <w:t xml:space="preserve"> </w:t>
      </w:r>
    </w:p>
    <w:p w14:paraId="5477FCD6" w14:textId="65E9D411" w:rsidR="00793770" w:rsidRPr="009B783C" w:rsidRDefault="0075138F" w:rsidP="00F5425B">
      <w:pPr>
        <w:rPr>
          <w:szCs w:val="21"/>
          <w:lang w:val="en-US"/>
        </w:rPr>
      </w:pPr>
      <w:r w:rsidRPr="009B783C">
        <w:rPr>
          <w:szCs w:val="21"/>
        </w:rPr>
        <w:t>Outside of these arrangements, stakeholders reported that after</w:t>
      </w:r>
      <w:r w:rsidR="000203DF" w:rsidRPr="009B783C">
        <w:rPr>
          <w:szCs w:val="21"/>
        </w:rPr>
        <w:t xml:space="preserve"> </w:t>
      </w:r>
      <w:r w:rsidRPr="009B783C">
        <w:rPr>
          <w:szCs w:val="21"/>
        </w:rPr>
        <w:t>hours patients are either referred to ED</w:t>
      </w:r>
      <w:r w:rsidR="00793770" w:rsidRPr="009B783C">
        <w:rPr>
          <w:szCs w:val="21"/>
        </w:rPr>
        <w:t xml:space="preserve"> or</w:t>
      </w:r>
      <w:r w:rsidR="00AE4C66" w:rsidRPr="009B783C">
        <w:rPr>
          <w:szCs w:val="21"/>
        </w:rPr>
        <w:t>, where appropriate,</w:t>
      </w:r>
      <w:r w:rsidR="00793770" w:rsidRPr="009B783C">
        <w:rPr>
          <w:szCs w:val="21"/>
        </w:rPr>
        <w:t xml:space="preserve"> </w:t>
      </w:r>
      <w:r w:rsidRPr="009B783C">
        <w:rPr>
          <w:szCs w:val="21"/>
        </w:rPr>
        <w:t>advised to return during business hours</w:t>
      </w:r>
      <w:r w:rsidR="007209C4" w:rsidRPr="009B783C">
        <w:rPr>
          <w:szCs w:val="21"/>
        </w:rPr>
        <w:t>, noting</w:t>
      </w:r>
      <w:r w:rsidR="00793770" w:rsidRPr="009B783C">
        <w:rPr>
          <w:szCs w:val="21"/>
        </w:rPr>
        <w:t xml:space="preserve"> literature suggests </w:t>
      </w:r>
      <w:r w:rsidRPr="009B783C">
        <w:rPr>
          <w:szCs w:val="21"/>
        </w:rPr>
        <w:t>after-hours diagnostic imaging should only occur if there is reasonable probability of changing the patient’s after</w:t>
      </w:r>
      <w:r w:rsidR="00453265" w:rsidRPr="009B783C">
        <w:rPr>
          <w:szCs w:val="21"/>
        </w:rPr>
        <w:t>-hours</w:t>
      </w:r>
      <w:r w:rsidRPr="009B783C">
        <w:rPr>
          <w:szCs w:val="21"/>
        </w:rPr>
        <w:t xml:space="preserve"> management</w:t>
      </w:r>
      <w:r w:rsidR="00793770" w:rsidRPr="009B783C">
        <w:rPr>
          <w:szCs w:val="21"/>
        </w:rPr>
        <w:t>.</w:t>
      </w:r>
      <w:r w:rsidR="00793770" w:rsidRPr="35C5891D">
        <w:rPr>
          <w:rStyle w:val="FootnoteReference"/>
          <w:szCs w:val="21"/>
          <w:lang w:val="en-US"/>
        </w:rPr>
        <w:footnoteReference w:id="84"/>
      </w:r>
      <w:r w:rsidR="00793770" w:rsidRPr="009B783C">
        <w:rPr>
          <w:szCs w:val="21"/>
        </w:rPr>
        <w:t xml:space="preserve"> </w:t>
      </w:r>
    </w:p>
    <w:p w14:paraId="12B0E89F" w14:textId="7B7E9424" w:rsidR="0075138F" w:rsidRPr="009B783C" w:rsidRDefault="0075138F" w:rsidP="00F5425B">
      <w:pPr>
        <w:rPr>
          <w:szCs w:val="21"/>
          <w:lang w:val="en-US"/>
        </w:rPr>
      </w:pPr>
      <w:r w:rsidRPr="009B783C">
        <w:rPr>
          <w:szCs w:val="21"/>
        </w:rPr>
        <w:t xml:space="preserve">Stakeholders in WA and </w:t>
      </w:r>
      <w:r w:rsidR="00453265" w:rsidRPr="009B783C">
        <w:rPr>
          <w:szCs w:val="21"/>
        </w:rPr>
        <w:t>TAS</w:t>
      </w:r>
      <w:r w:rsidRPr="009B783C">
        <w:rPr>
          <w:szCs w:val="21"/>
        </w:rPr>
        <w:t xml:space="preserve"> reported that they had explored flexible workforce models to address radiology workforce shortages, for example, training other staff to operate diagnostic imaging equipment after hours when radiology staff are unavailable as per arrangements in the NT. However, local regulatory barriers (independent of the state health departments) prevented implementation of these alternatives.</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75138F" w:rsidRPr="009B783C" w14:paraId="0EC72DA4" w14:textId="77777777" w:rsidTr="007C0618">
        <w:trPr>
          <w:cantSplit/>
        </w:trPr>
        <w:tc>
          <w:tcPr>
            <w:tcW w:w="8907" w:type="dxa"/>
          </w:tcPr>
          <w:p w14:paraId="7812D7FA" w14:textId="7B85AFE3" w:rsidR="0075138F" w:rsidRPr="00646FE9" w:rsidRDefault="00646FE9" w:rsidP="00F5425B">
            <w:pPr>
              <w:pStyle w:val="Longformcallout"/>
              <w:rPr>
                <w:rFonts w:asciiTheme="majorHAnsi" w:hAnsiTheme="majorHAnsi" w:cstheme="majorHAnsi"/>
                <w:sz w:val="28"/>
                <w:szCs w:val="28"/>
              </w:rPr>
            </w:pPr>
            <w:r w:rsidRPr="00646FE9">
              <w:rPr>
                <w:rFonts w:asciiTheme="majorHAnsi" w:hAnsiTheme="majorHAnsi" w:cstheme="majorHAnsi"/>
                <w:sz w:val="28"/>
                <w:szCs w:val="28"/>
              </w:rPr>
              <w:t>Interim finding</w:t>
            </w:r>
          </w:p>
          <w:p w14:paraId="05F478B3" w14:textId="2EB57C74" w:rsidR="0075138F" w:rsidRPr="009B783C" w:rsidRDefault="0075138F" w:rsidP="00F5425B">
            <w:pPr>
              <w:pStyle w:val="Longformcallout"/>
              <w:rPr>
                <w:szCs w:val="21"/>
                <w:lang w:val="en-US"/>
              </w:rPr>
            </w:pPr>
            <w:r w:rsidRPr="009B783C">
              <w:rPr>
                <w:szCs w:val="21"/>
              </w:rPr>
              <w:t>Medicare UCCs face ongoing challenges with offering access to X-ray services across all hours of operation and ultrasound</w:t>
            </w:r>
            <w:r w:rsidR="00243C2C" w:rsidRPr="009B783C">
              <w:rPr>
                <w:szCs w:val="21"/>
              </w:rPr>
              <w:t>/</w:t>
            </w:r>
            <w:r w:rsidRPr="009B783C">
              <w:rPr>
                <w:szCs w:val="21"/>
              </w:rPr>
              <w:t xml:space="preserve">CT services across </w:t>
            </w:r>
            <w:proofErr w:type="gramStart"/>
            <w:r w:rsidRPr="009B783C">
              <w:rPr>
                <w:szCs w:val="21"/>
              </w:rPr>
              <w:t>the majority of</w:t>
            </w:r>
            <w:proofErr w:type="gramEnd"/>
            <w:r w:rsidRPr="009B783C">
              <w:rPr>
                <w:szCs w:val="21"/>
              </w:rPr>
              <w:t xml:space="preserve"> hours of operation </w:t>
            </w:r>
            <w:r w:rsidR="00243C2C" w:rsidRPr="009B783C">
              <w:rPr>
                <w:szCs w:val="21"/>
              </w:rPr>
              <w:t xml:space="preserve">(as per the Medicare UCC Operational Guidance) </w:t>
            </w:r>
            <w:r w:rsidRPr="009B783C">
              <w:rPr>
                <w:szCs w:val="21"/>
              </w:rPr>
              <w:t>due to radiology workforce shortages and after-hours service availability.</w:t>
            </w:r>
          </w:p>
        </w:tc>
      </w:tr>
    </w:tbl>
    <w:p w14:paraId="48B5E8D9" w14:textId="77777777" w:rsidR="006C009E" w:rsidRPr="009B783C" w:rsidRDefault="006C009E" w:rsidP="00F5425B">
      <w:pPr>
        <w:rPr>
          <w:szCs w:val="21"/>
          <w:lang w:eastAsia="en-AU"/>
        </w:rPr>
        <w:sectPr w:rsidR="006C009E" w:rsidRPr="009B783C" w:rsidSect="007D389D">
          <w:type w:val="continuous"/>
          <w:pgSz w:w="11907" w:h="16839" w:code="9"/>
          <w:pgMar w:top="1247" w:right="1418" w:bottom="1276" w:left="1559" w:header="720" w:footer="720" w:gutter="0"/>
          <w:cols w:space="720"/>
          <w:docGrid w:linePitch="360"/>
        </w:sectPr>
      </w:pPr>
      <w:bookmarkStart w:id="142" w:name="_Toc179962840"/>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75138F" w:rsidRPr="009B783C" w14:paraId="31B40D8D" w14:textId="77777777" w:rsidTr="000A4171">
        <w:tc>
          <w:tcPr>
            <w:tcW w:w="8907" w:type="dxa"/>
            <w:tcBorders>
              <w:left w:val="single" w:sz="18" w:space="0" w:color="2D358E"/>
            </w:tcBorders>
          </w:tcPr>
          <w:p w14:paraId="3C7F4B13" w14:textId="40C13FAF" w:rsidR="0075138F" w:rsidRPr="005D1D88" w:rsidRDefault="005D1D88" w:rsidP="00F5425B">
            <w:pPr>
              <w:pStyle w:val="Longformcallout"/>
              <w:rPr>
                <w:rFonts w:asciiTheme="majorHAnsi" w:hAnsiTheme="majorHAnsi" w:cstheme="majorHAnsi"/>
                <w:color w:val="2D358E"/>
                <w:sz w:val="28"/>
                <w:szCs w:val="28"/>
              </w:rPr>
            </w:pPr>
            <w:r w:rsidRPr="005D1D88">
              <w:rPr>
                <w:rFonts w:asciiTheme="majorHAnsi" w:hAnsiTheme="majorHAnsi" w:cstheme="majorHAnsi"/>
                <w:color w:val="2D358E"/>
                <w:sz w:val="28"/>
                <w:szCs w:val="28"/>
              </w:rPr>
              <w:t>Improvement opportunity</w:t>
            </w:r>
          </w:p>
          <w:p w14:paraId="7A6FE513" w14:textId="6351F055" w:rsidR="0075138F" w:rsidRPr="009B783C" w:rsidRDefault="000F79BC" w:rsidP="00F5425B">
            <w:pPr>
              <w:pStyle w:val="Longformcallout"/>
              <w:rPr>
                <w:szCs w:val="21"/>
              </w:rPr>
            </w:pPr>
            <w:r w:rsidRPr="009B783C">
              <w:rPr>
                <w:color w:val="2D358E"/>
                <w:szCs w:val="21"/>
              </w:rPr>
              <w:t xml:space="preserve">More </w:t>
            </w:r>
            <w:r w:rsidR="0075138F" w:rsidRPr="009B783C">
              <w:rPr>
                <w:color w:val="2D358E"/>
                <w:szCs w:val="21"/>
              </w:rPr>
              <w:t>Medicare UCCs could consider developing pathways with local hospital services for Medicare UCC patients to bypass ED if diagnostic imaging is required after-hours</w:t>
            </w:r>
            <w:r w:rsidR="00CC4563" w:rsidRPr="009B783C">
              <w:rPr>
                <w:color w:val="2D358E"/>
                <w:szCs w:val="21"/>
              </w:rPr>
              <w:t>, using learnings from Medicare UCCs that already have these pathways in place.</w:t>
            </w:r>
          </w:p>
        </w:tc>
      </w:tr>
    </w:tbl>
    <w:bookmarkEnd w:id="142"/>
    <w:p w14:paraId="1FE2F861" w14:textId="1A9FC005" w:rsidR="0073654B" w:rsidRPr="00950D18" w:rsidRDefault="0073654B" w:rsidP="000D706D">
      <w:pPr>
        <w:pStyle w:val="Heading3"/>
      </w:pPr>
      <w:r w:rsidRPr="00950D18">
        <w:t>Next steps</w:t>
      </w:r>
    </w:p>
    <w:p w14:paraId="61BD5224" w14:textId="2897DE34" w:rsidR="0075138F" w:rsidRPr="009B783C" w:rsidRDefault="0075138F" w:rsidP="00F5425B">
      <w:pPr>
        <w:spacing w:after="240"/>
        <w:rPr>
          <w:szCs w:val="21"/>
          <w:lang w:eastAsia="en-AU"/>
        </w:rPr>
      </w:pPr>
      <w:r w:rsidRPr="009B783C">
        <w:rPr>
          <w:szCs w:val="21"/>
        </w:rPr>
        <w:t xml:space="preserve">For subsequent evaluation phases, stakeholders will be engaged more widely about their experiences of services provided by Medicare UCCs and the impact of Medicare UCCs on local GP practices and workforce availability. Medicare UCCs will be </w:t>
      </w:r>
      <w:r w:rsidRPr="009B783C">
        <w:rPr>
          <w:szCs w:val="21"/>
          <w:lang w:eastAsia="en-AU"/>
        </w:rPr>
        <w:t xml:space="preserve">surveyed to provide further insights on provider experience as well as barriers and enablers to adopting flexible workforce models. </w:t>
      </w:r>
    </w:p>
    <w:p w14:paraId="6534402A" w14:textId="77777777" w:rsidR="0048530B" w:rsidRDefault="0048530B">
      <w:pPr>
        <w:spacing w:after="160" w:line="259" w:lineRule="auto"/>
        <w:rPr>
          <w:szCs w:val="21"/>
          <w:lang w:eastAsia="en-AU"/>
        </w:rPr>
      </w:pPr>
      <w:r>
        <w:rPr>
          <w:szCs w:val="21"/>
          <w:lang w:eastAsia="en-AU"/>
        </w:rPr>
        <w:br w:type="page"/>
      </w:r>
    </w:p>
    <w:tbl>
      <w:tblPr>
        <w:tblStyle w:val="TableGrid"/>
        <w:tblW w:w="0" w:type="auto"/>
        <w:tblLook w:val="04A0" w:firstRow="1" w:lastRow="0" w:firstColumn="1" w:lastColumn="0" w:noHBand="0" w:noVBand="1"/>
      </w:tblPr>
      <w:tblGrid>
        <w:gridCol w:w="8920"/>
      </w:tblGrid>
      <w:tr w:rsidR="009711A2" w:rsidRPr="009B783C" w14:paraId="22331E1B" w14:textId="77777777">
        <w:trPr>
          <w:trHeight w:val="215"/>
        </w:trPr>
        <w:tc>
          <w:tcPr>
            <w:tcW w:w="8920" w:type="dxa"/>
            <w:tcBorders>
              <w:top w:val="nil"/>
              <w:left w:val="nil"/>
              <w:bottom w:val="nil"/>
              <w:right w:val="nil"/>
            </w:tcBorders>
            <w:shd w:val="clear" w:color="auto" w:fill="25B3E0" w:themeFill="accent6"/>
          </w:tcPr>
          <w:p w14:paraId="0B82563D" w14:textId="657ED4EB" w:rsidR="009711A2" w:rsidRPr="0048530B" w:rsidRDefault="00B56EA0">
            <w:pPr>
              <w:pStyle w:val="TableNheader"/>
              <w:rPr>
                <w:color w:val="00264D" w:themeColor="background2"/>
              </w:rPr>
            </w:pPr>
            <w:r w:rsidRPr="0048530B">
              <w:rPr>
                <w:color w:val="00264D" w:themeColor="background2"/>
              </w:rPr>
              <w:lastRenderedPageBreak/>
              <w:t>Measure Of Success 6</w:t>
            </w:r>
          </w:p>
        </w:tc>
      </w:tr>
    </w:tbl>
    <w:p w14:paraId="74479D59" w14:textId="47DA0345" w:rsidR="00380347" w:rsidRPr="009B783C" w:rsidRDefault="00380347" w:rsidP="00B76B6B">
      <w:pPr>
        <w:pStyle w:val="Heading2"/>
      </w:pPr>
      <w:bookmarkStart w:id="143" w:name="_Toc183874255"/>
      <w:bookmarkStart w:id="144" w:name="_Ref185323061"/>
      <w:bookmarkStart w:id="145" w:name="_Ref185522428"/>
      <w:bookmarkStart w:id="146" w:name="_Ref185522471"/>
      <w:bookmarkStart w:id="147" w:name="_Toc189639232"/>
      <w:bookmarkStart w:id="148" w:name="_Ref189770792"/>
      <w:bookmarkStart w:id="149" w:name="_Toc189772032"/>
      <w:r w:rsidRPr="009B783C">
        <w:t>ED presentations at partner hospitals</w:t>
      </w:r>
      <w:bookmarkEnd w:id="143"/>
      <w:bookmarkEnd w:id="144"/>
      <w:bookmarkEnd w:id="145"/>
      <w:bookmarkEnd w:id="146"/>
      <w:bookmarkEnd w:id="147"/>
      <w:bookmarkEnd w:id="148"/>
      <w:bookmarkEnd w:id="149"/>
    </w:p>
    <w:p w14:paraId="5DB91D89" w14:textId="2BC7CD40" w:rsidR="00E057DF" w:rsidRPr="009B783C" w:rsidRDefault="00E057DF" w:rsidP="00F5425B">
      <w:pPr>
        <w:rPr>
          <w:szCs w:val="21"/>
          <w:lang w:eastAsia="en-AU"/>
        </w:rPr>
      </w:pPr>
      <w:r w:rsidRPr="009B783C">
        <w:rPr>
          <w:szCs w:val="21"/>
          <w:lang w:eastAsia="en-AU"/>
        </w:rPr>
        <w:t xml:space="preserve">Measure of Success 6 agreed by the Australian, state and territory </w:t>
      </w:r>
      <w:r w:rsidR="00370E08" w:rsidRPr="009B783C">
        <w:rPr>
          <w:szCs w:val="21"/>
          <w:lang w:eastAsia="en-AU"/>
        </w:rPr>
        <w:t xml:space="preserve">governments </w:t>
      </w:r>
      <w:r w:rsidRPr="009B783C">
        <w:rPr>
          <w:szCs w:val="21"/>
          <w:lang w:eastAsia="en-AU"/>
        </w:rPr>
        <w:t>is:</w:t>
      </w:r>
    </w:p>
    <w:p w14:paraId="044CF846" w14:textId="26695C50" w:rsidR="00E057DF" w:rsidRPr="009B783C" w:rsidRDefault="00E057DF" w:rsidP="00F5425B">
      <w:pPr>
        <w:pStyle w:val="Caption"/>
        <w:spacing w:line="276" w:lineRule="auto"/>
        <w:rPr>
          <w:szCs w:val="21"/>
        </w:rPr>
      </w:pPr>
      <w:r w:rsidRPr="009B783C">
        <w:rPr>
          <w:szCs w:val="21"/>
        </w:rPr>
        <w:t>“Medicare UCCs reduce pressure on hospital ED presentations at partner hospitals.”</w:t>
      </w:r>
    </w:p>
    <w:p w14:paraId="7A6C6154" w14:textId="4310271B" w:rsidR="00ED38B8" w:rsidRPr="009B783C" w:rsidRDefault="00ED38B8" w:rsidP="00F5425B">
      <w:pPr>
        <w:rPr>
          <w:szCs w:val="21"/>
          <w:lang w:eastAsia="en-AU"/>
        </w:rPr>
      </w:pPr>
      <w:r w:rsidRPr="009B783C">
        <w:rPr>
          <w:szCs w:val="21"/>
          <w:lang w:eastAsia="en-AU"/>
        </w:rPr>
        <w:t>In this Interim Evaluation Report 1, Measure of Success 6 is assessed through:</w:t>
      </w:r>
    </w:p>
    <w:p w14:paraId="2ADED96A" w14:textId="0739DB23" w:rsidR="00ED38B8" w:rsidRPr="009B783C" w:rsidRDefault="00ED38B8" w:rsidP="00F5425B">
      <w:pPr>
        <w:pStyle w:val="Bullet"/>
        <w:rPr>
          <w:szCs w:val="21"/>
        </w:rPr>
      </w:pPr>
      <w:r w:rsidRPr="009B783C">
        <w:rPr>
          <w:szCs w:val="21"/>
        </w:rPr>
        <w:t>Analysis of reported responses to “Where patient would have gone otherwise”</w:t>
      </w:r>
      <w:r w:rsidR="00334601" w:rsidRPr="009B783C">
        <w:rPr>
          <w:szCs w:val="21"/>
        </w:rPr>
        <w:t>,</w:t>
      </w:r>
      <w:r w:rsidRPr="009B783C">
        <w:rPr>
          <w:szCs w:val="21"/>
        </w:rPr>
        <w:t xml:space="preserve"> </w:t>
      </w:r>
      <w:r w:rsidR="0013390B" w:rsidRPr="009B783C">
        <w:rPr>
          <w:szCs w:val="21"/>
        </w:rPr>
        <w:t xml:space="preserve">captured </w:t>
      </w:r>
      <w:r w:rsidR="00012026" w:rsidRPr="009B783C">
        <w:rPr>
          <w:szCs w:val="21"/>
        </w:rPr>
        <w:t>through the</w:t>
      </w:r>
      <w:r w:rsidR="00380347" w:rsidRPr="009B783C">
        <w:rPr>
          <w:szCs w:val="21"/>
        </w:rPr>
        <w:t xml:space="preserve"> Medicare UCC </w:t>
      </w:r>
      <w:r w:rsidR="004E7366" w:rsidRPr="009B783C">
        <w:rPr>
          <w:szCs w:val="21"/>
        </w:rPr>
        <w:t>Module</w:t>
      </w:r>
      <w:r w:rsidR="00B11D2B" w:rsidRPr="009B783C">
        <w:rPr>
          <w:szCs w:val="21"/>
        </w:rPr>
        <w:t xml:space="preserve"> data</w:t>
      </w:r>
      <w:r w:rsidR="00380347" w:rsidRPr="009B783C">
        <w:rPr>
          <w:szCs w:val="21"/>
        </w:rPr>
        <w:t>.</w:t>
      </w:r>
      <w:r w:rsidR="00007290" w:rsidRPr="009B783C" w:rsidDel="00007290">
        <w:rPr>
          <w:szCs w:val="21"/>
        </w:rPr>
        <w:t xml:space="preserve"> </w:t>
      </w:r>
    </w:p>
    <w:p w14:paraId="424781C3" w14:textId="190436E6" w:rsidR="003E6A4A" w:rsidRPr="009B783C" w:rsidRDefault="003E6A4A" w:rsidP="00F5425B">
      <w:pPr>
        <w:pStyle w:val="Bullet"/>
        <w:rPr>
          <w:szCs w:val="21"/>
        </w:rPr>
      </w:pPr>
      <w:r w:rsidRPr="009B783C">
        <w:rPr>
          <w:szCs w:val="21"/>
        </w:rPr>
        <w:t>Early indications of the impact of Medicare UCCs on partner hospital ED presentations</w:t>
      </w:r>
      <w:r w:rsidR="00333BBB" w:rsidRPr="009B783C">
        <w:rPr>
          <w:szCs w:val="21"/>
        </w:rPr>
        <w:t xml:space="preserve"> in triage</w:t>
      </w:r>
      <w:r w:rsidRPr="009B783C">
        <w:rPr>
          <w:szCs w:val="21"/>
        </w:rPr>
        <w:t xml:space="preserve"> </w:t>
      </w:r>
      <w:r w:rsidR="00333BBB" w:rsidRPr="009B783C">
        <w:rPr>
          <w:szCs w:val="21"/>
        </w:rPr>
        <w:t xml:space="preserve">categories four and five </w:t>
      </w:r>
      <w:r w:rsidRPr="009B783C">
        <w:rPr>
          <w:szCs w:val="21"/>
        </w:rPr>
        <w:t xml:space="preserve">and the proportion of patients seen on time. </w:t>
      </w:r>
    </w:p>
    <w:p w14:paraId="33C8B4E8" w14:textId="4CCE8D9F" w:rsidR="00ED38B8" w:rsidRPr="009B783C" w:rsidRDefault="00ED38B8" w:rsidP="00F5425B">
      <w:pPr>
        <w:rPr>
          <w:szCs w:val="21"/>
          <w:lang w:val="en-US" w:eastAsia="en-AU"/>
        </w:rPr>
      </w:pPr>
      <w:r w:rsidRPr="009B783C">
        <w:rPr>
          <w:szCs w:val="21"/>
          <w:lang w:eastAsia="en-AU"/>
        </w:rPr>
        <w:t>Insights are based on Medicare UCC data and publicly available partner hospital</w:t>
      </w:r>
      <w:r w:rsidR="00333BBB" w:rsidRPr="009B783C">
        <w:rPr>
          <w:szCs w:val="21"/>
          <w:lang w:eastAsia="en-AU"/>
        </w:rPr>
        <w:t xml:space="preserve"> ED</w:t>
      </w:r>
      <w:r w:rsidRPr="009B783C">
        <w:rPr>
          <w:szCs w:val="21"/>
          <w:lang w:eastAsia="en-AU"/>
        </w:rPr>
        <w:t xml:space="preserve"> data </w:t>
      </w:r>
      <w:r w:rsidR="006B6FB7" w:rsidRPr="009B783C">
        <w:rPr>
          <w:szCs w:val="21"/>
          <w:lang w:eastAsia="en-AU"/>
        </w:rPr>
        <w:t>from the AIHW and</w:t>
      </w:r>
      <w:r w:rsidR="008A611A" w:rsidRPr="009B783C">
        <w:rPr>
          <w:szCs w:val="21"/>
          <w:lang w:eastAsia="en-AU"/>
        </w:rPr>
        <w:t xml:space="preserve"> </w:t>
      </w:r>
      <w:r w:rsidRPr="009B783C">
        <w:rPr>
          <w:szCs w:val="21"/>
          <w:lang w:eastAsia="en-AU"/>
        </w:rPr>
        <w:t>jurisdictions</w:t>
      </w:r>
      <w:r w:rsidR="00556824" w:rsidRPr="009B783C">
        <w:rPr>
          <w:szCs w:val="21"/>
          <w:lang w:eastAsia="en-AU"/>
        </w:rPr>
        <w:t xml:space="preserve"> (where </w:t>
      </w:r>
      <w:r w:rsidR="00130F7F" w:rsidRPr="009B783C">
        <w:rPr>
          <w:szCs w:val="21"/>
          <w:lang w:eastAsia="en-AU"/>
        </w:rPr>
        <w:t>such data</w:t>
      </w:r>
      <w:r w:rsidR="0018486E" w:rsidRPr="009B783C">
        <w:rPr>
          <w:szCs w:val="21"/>
          <w:lang w:eastAsia="en-AU"/>
        </w:rPr>
        <w:t xml:space="preserve"> have been released publicly)</w:t>
      </w:r>
      <w:r w:rsidRPr="009B783C">
        <w:rPr>
          <w:szCs w:val="21"/>
          <w:lang w:eastAsia="en-AU"/>
        </w:rPr>
        <w:t>.</w:t>
      </w:r>
      <w:r w:rsidR="008A611A" w:rsidRPr="009B783C">
        <w:rPr>
          <w:szCs w:val="21"/>
          <w:lang w:eastAsia="en-AU"/>
        </w:rPr>
        <w:t xml:space="preserve"> </w:t>
      </w:r>
    </w:p>
    <w:p w14:paraId="4C49EFE7" w14:textId="06157D6E" w:rsidR="00380347" w:rsidRPr="009B783C" w:rsidRDefault="00025C00" w:rsidP="00F5425B">
      <w:pPr>
        <w:rPr>
          <w:szCs w:val="21"/>
          <w:lang w:eastAsia="en-AU"/>
        </w:rPr>
      </w:pPr>
      <w:r w:rsidRPr="009B783C">
        <w:rPr>
          <w:szCs w:val="21"/>
          <w:lang w:eastAsia="en-AU"/>
        </w:rPr>
        <w:t>For the Interim Evaluation Report</w:t>
      </w:r>
      <w:r w:rsidR="00F4678B" w:rsidRPr="009B783C">
        <w:rPr>
          <w:szCs w:val="21"/>
          <w:lang w:eastAsia="en-AU"/>
        </w:rPr>
        <w:t xml:space="preserve"> 2</w:t>
      </w:r>
      <w:r w:rsidRPr="009B783C">
        <w:rPr>
          <w:szCs w:val="21"/>
          <w:lang w:eastAsia="en-AU"/>
        </w:rPr>
        <w:t xml:space="preserve">, </w:t>
      </w:r>
      <w:proofErr w:type="spellStart"/>
      <w:r w:rsidRPr="009B783C">
        <w:rPr>
          <w:szCs w:val="21"/>
          <w:lang w:eastAsia="en-AU"/>
        </w:rPr>
        <w:t>an</w:t>
      </w:r>
      <w:proofErr w:type="spellEnd"/>
      <w:r w:rsidRPr="009B783C">
        <w:rPr>
          <w:szCs w:val="21"/>
          <w:lang w:eastAsia="en-AU"/>
        </w:rPr>
        <w:t xml:space="preserve"> ITS analysis will be undertaken</w:t>
      </w:r>
      <w:r w:rsidR="00AB02A2" w:rsidRPr="009B783C">
        <w:rPr>
          <w:szCs w:val="21"/>
          <w:lang w:eastAsia="en-AU"/>
        </w:rPr>
        <w:t xml:space="preserve"> with more comprehensive data </w:t>
      </w:r>
      <w:r w:rsidRPr="009B783C">
        <w:rPr>
          <w:szCs w:val="21"/>
          <w:lang w:eastAsia="en-AU"/>
        </w:rPr>
        <w:t xml:space="preserve">to determine if Medicare UCCs impact the underlying trend in ED presentations at partner hospitals. For the Final Evaluation Report, </w:t>
      </w:r>
      <w:proofErr w:type="spellStart"/>
      <w:r w:rsidRPr="009B783C">
        <w:rPr>
          <w:szCs w:val="21"/>
          <w:lang w:eastAsia="en-AU"/>
        </w:rPr>
        <w:t>a</w:t>
      </w:r>
      <w:proofErr w:type="spellEnd"/>
      <w:r w:rsidRPr="009B783C">
        <w:rPr>
          <w:szCs w:val="21"/>
          <w:lang w:eastAsia="en-AU"/>
        </w:rPr>
        <w:t xml:space="preserve"> </w:t>
      </w:r>
      <w:proofErr w:type="spellStart"/>
      <w:r w:rsidRPr="009B783C">
        <w:rPr>
          <w:szCs w:val="21"/>
          <w:lang w:eastAsia="en-AU"/>
        </w:rPr>
        <w:t>DiD</w:t>
      </w:r>
      <w:proofErr w:type="spellEnd"/>
      <w:r w:rsidRPr="009B783C">
        <w:rPr>
          <w:szCs w:val="21"/>
          <w:lang w:eastAsia="en-AU"/>
        </w:rPr>
        <w:t xml:space="preserve"> analysis will be applied. These analytical approaches are phased across the three reporting periods of the evaluation based on data availability.</w:t>
      </w:r>
      <w:r w:rsidR="004E47FE" w:rsidRPr="009B783C">
        <w:rPr>
          <w:szCs w:val="21"/>
          <w:lang w:eastAsia="en-AU"/>
        </w:rPr>
        <w:t xml:space="preserve"> </w:t>
      </w:r>
      <w:r w:rsidR="00A252F1" w:rsidRPr="009B783C">
        <w:rPr>
          <w:szCs w:val="21"/>
          <w:lang w:eastAsia="en-AU"/>
        </w:rPr>
        <w:t>D</w:t>
      </w:r>
      <w:r w:rsidR="00F6054D" w:rsidRPr="009B783C">
        <w:rPr>
          <w:szCs w:val="21"/>
        </w:rPr>
        <w:t>ata linkage would</w:t>
      </w:r>
      <w:r w:rsidR="00AB492C" w:rsidRPr="009B783C">
        <w:rPr>
          <w:szCs w:val="21"/>
        </w:rPr>
        <w:t xml:space="preserve"> also</w:t>
      </w:r>
      <w:r w:rsidR="00F6054D" w:rsidRPr="009B783C">
        <w:rPr>
          <w:szCs w:val="21"/>
        </w:rPr>
        <w:t xml:space="preserve"> allow more robust program monitoring and assessment in the futur</w:t>
      </w:r>
      <w:r w:rsidR="00574583" w:rsidRPr="009B783C">
        <w:rPr>
          <w:szCs w:val="21"/>
        </w:rPr>
        <w:t>e</w:t>
      </w:r>
      <w:r w:rsidR="00F6054D" w:rsidRPr="009B783C">
        <w:rPr>
          <w:szCs w:val="21"/>
        </w:rPr>
        <w:t xml:space="preserve"> but is not in scope for this evaluation.</w:t>
      </w:r>
    </w:p>
    <w:p w14:paraId="4B85577F" w14:textId="045401FE" w:rsidR="00ED38B8" w:rsidRPr="009B783C" w:rsidRDefault="00ED38B8" w:rsidP="000D706D">
      <w:pPr>
        <w:pStyle w:val="Heading3"/>
      </w:pPr>
      <w:bookmarkStart w:id="150" w:name="_Toc179962843"/>
      <w:r w:rsidRPr="009B783C">
        <w:t>Forty-six per cent of patients would have sought ED care if the Medicare UCC was not available</w:t>
      </w:r>
      <w:bookmarkEnd w:id="150"/>
    </w:p>
    <w:bookmarkStart w:id="151" w:name="_Ref179970166"/>
    <w:p w14:paraId="7B0DFE79" w14:textId="50E82539" w:rsidR="007B4B2F" w:rsidRPr="009B783C" w:rsidRDefault="00ED38B8" w:rsidP="00F5425B">
      <w:pPr>
        <w:rPr>
          <w:szCs w:val="21"/>
        </w:rPr>
      </w:pPr>
      <w:r w:rsidRPr="009B783C">
        <w:rPr>
          <w:szCs w:val="21"/>
        </w:rPr>
        <w:fldChar w:fldCharType="begin"/>
      </w:r>
      <w:r w:rsidRPr="009B783C">
        <w:rPr>
          <w:szCs w:val="21"/>
        </w:rPr>
        <w:instrText xml:space="preserve"> REF _Ref184700402 \h </w:instrText>
      </w:r>
      <w:r w:rsidR="00F5425B" w:rsidRPr="009B783C">
        <w:rPr>
          <w:szCs w:val="21"/>
        </w:rPr>
        <w:instrText xml:space="preserve"> \* MERGEFORMAT </w:instrText>
      </w:r>
      <w:r w:rsidRPr="009B783C">
        <w:rPr>
          <w:szCs w:val="21"/>
        </w:rPr>
      </w:r>
      <w:r w:rsidRPr="009B783C">
        <w:rPr>
          <w:szCs w:val="21"/>
        </w:rPr>
        <w:fldChar w:fldCharType="separate"/>
      </w:r>
      <w:r w:rsidR="00646FE9" w:rsidRPr="009B783C">
        <w:rPr>
          <w:szCs w:val="21"/>
        </w:rPr>
        <w:t xml:space="preserve">Table </w:t>
      </w:r>
      <w:r w:rsidR="00646FE9">
        <w:rPr>
          <w:szCs w:val="21"/>
        </w:rPr>
        <w:t>14</w:t>
      </w:r>
      <w:r w:rsidRPr="009B783C">
        <w:rPr>
          <w:szCs w:val="21"/>
        </w:rPr>
        <w:fldChar w:fldCharType="end"/>
      </w:r>
      <w:r w:rsidR="00380347" w:rsidRPr="009B783C">
        <w:rPr>
          <w:szCs w:val="21"/>
        </w:rPr>
        <w:t xml:space="preserve"> shows that if the Medicare UCCs were not available, most patients would have sought care from a GP (50 per cent) or a local ED (46 per cent), based on the Medicare UCC data.</w:t>
      </w:r>
      <w:r w:rsidR="00574583" w:rsidRPr="009B783C">
        <w:rPr>
          <w:szCs w:val="21"/>
        </w:rPr>
        <w:t xml:space="preserve"> </w:t>
      </w:r>
      <w:r w:rsidR="00380347" w:rsidRPr="009B783C">
        <w:rPr>
          <w:szCs w:val="21"/>
        </w:rPr>
        <w:t>After hours,</w:t>
      </w:r>
      <w:r w:rsidR="00380347" w:rsidRPr="009B783C">
        <w:rPr>
          <w:rStyle w:val="FootnoteReference"/>
          <w:szCs w:val="21"/>
        </w:rPr>
        <w:footnoteReference w:id="85"/>
      </w:r>
      <w:r w:rsidR="00380347" w:rsidRPr="009B783C">
        <w:rPr>
          <w:szCs w:val="21"/>
        </w:rPr>
        <w:t xml:space="preserve"> the proportion of patients reporting they would have sought care from a </w:t>
      </w:r>
      <w:proofErr w:type="gramStart"/>
      <w:r w:rsidR="00380347" w:rsidRPr="009B783C">
        <w:rPr>
          <w:szCs w:val="21"/>
        </w:rPr>
        <w:t>GP decreases</w:t>
      </w:r>
      <w:proofErr w:type="gramEnd"/>
      <w:r w:rsidR="00380347" w:rsidRPr="009B783C">
        <w:rPr>
          <w:szCs w:val="21"/>
        </w:rPr>
        <w:t xml:space="preserve"> from 50 to 47 per cent, while the proportion indicating they would have sought care at a local ED increases from 46 to 49 per cent. This shift likely reflects </w:t>
      </w:r>
      <w:r w:rsidR="009B5DEC" w:rsidRPr="009B783C">
        <w:rPr>
          <w:szCs w:val="21"/>
        </w:rPr>
        <w:t xml:space="preserve">the </w:t>
      </w:r>
      <w:r w:rsidR="00380347" w:rsidRPr="009B783C">
        <w:rPr>
          <w:szCs w:val="21"/>
        </w:rPr>
        <w:t>limited alternative service options during these times.</w:t>
      </w:r>
      <w:r w:rsidR="003A498D" w:rsidRPr="009B783C">
        <w:rPr>
          <w:szCs w:val="21"/>
        </w:rPr>
        <w:t xml:space="preserve"> </w:t>
      </w:r>
    </w:p>
    <w:p w14:paraId="552DCA9B" w14:textId="5F4938C2" w:rsidR="00380347" w:rsidRPr="009B783C" w:rsidRDefault="003A498D" w:rsidP="00F5425B">
      <w:pPr>
        <w:rPr>
          <w:szCs w:val="21"/>
        </w:rPr>
      </w:pPr>
      <w:r w:rsidRPr="009B783C">
        <w:rPr>
          <w:szCs w:val="21"/>
        </w:rPr>
        <w:t xml:space="preserve">Using this variable, it was estimated that </w:t>
      </w:r>
      <w:r w:rsidR="00497266" w:rsidRPr="009B783C">
        <w:rPr>
          <w:szCs w:val="21"/>
        </w:rPr>
        <w:t xml:space="preserve">up to </w:t>
      </w:r>
      <w:r w:rsidR="00C14301" w:rsidRPr="009B783C">
        <w:rPr>
          <w:szCs w:val="21"/>
        </w:rPr>
        <w:t>30</w:t>
      </w:r>
      <w:r w:rsidR="00497266" w:rsidRPr="009B783C">
        <w:rPr>
          <w:szCs w:val="21"/>
        </w:rPr>
        <w:t xml:space="preserve"> September 2024, 183,507</w:t>
      </w:r>
      <w:r w:rsidRPr="009B783C">
        <w:rPr>
          <w:szCs w:val="21"/>
        </w:rPr>
        <w:t xml:space="preserve"> </w:t>
      </w:r>
      <w:r w:rsidR="00252E99" w:rsidRPr="009B783C">
        <w:rPr>
          <w:szCs w:val="21"/>
        </w:rPr>
        <w:t xml:space="preserve">of 400,564 </w:t>
      </w:r>
      <w:r w:rsidR="0006030A" w:rsidRPr="009B783C">
        <w:rPr>
          <w:szCs w:val="21"/>
        </w:rPr>
        <w:t>presentations for which there was data, potentially</w:t>
      </w:r>
      <w:r w:rsidRPr="009B783C">
        <w:rPr>
          <w:szCs w:val="21"/>
        </w:rPr>
        <w:t xml:space="preserve"> avoided</w:t>
      </w:r>
      <w:r w:rsidR="00F433EB" w:rsidRPr="009B783C">
        <w:rPr>
          <w:szCs w:val="21"/>
        </w:rPr>
        <w:t xml:space="preserve"> </w:t>
      </w:r>
      <w:r w:rsidR="00A471B6" w:rsidRPr="009B783C">
        <w:rPr>
          <w:szCs w:val="21"/>
        </w:rPr>
        <w:t xml:space="preserve">an </w:t>
      </w:r>
      <w:r w:rsidRPr="009B783C">
        <w:rPr>
          <w:szCs w:val="21"/>
        </w:rPr>
        <w:t>ED</w:t>
      </w:r>
      <w:r w:rsidR="00A471B6" w:rsidRPr="009B783C">
        <w:rPr>
          <w:szCs w:val="21"/>
        </w:rPr>
        <w:t xml:space="preserve"> visit</w:t>
      </w:r>
      <w:r w:rsidR="00F433EB" w:rsidRPr="009B783C">
        <w:rPr>
          <w:szCs w:val="21"/>
        </w:rPr>
        <w:t xml:space="preserve"> (</w:t>
      </w:r>
      <w:r w:rsidR="00E836EA" w:rsidRPr="009B783C">
        <w:rPr>
          <w:szCs w:val="21"/>
        </w:rPr>
        <w:fldChar w:fldCharType="begin"/>
      </w:r>
      <w:r w:rsidR="00E836EA" w:rsidRPr="009B783C">
        <w:rPr>
          <w:szCs w:val="21"/>
        </w:rPr>
        <w:instrText xml:space="preserve"> REF _Ref184700402 \h </w:instrText>
      </w:r>
      <w:r w:rsidR="00F5425B" w:rsidRPr="009B783C">
        <w:rPr>
          <w:szCs w:val="21"/>
        </w:rPr>
        <w:instrText xml:space="preserve"> \* MERGEFORMAT </w:instrText>
      </w:r>
      <w:r w:rsidR="00E836EA" w:rsidRPr="009B783C">
        <w:rPr>
          <w:szCs w:val="21"/>
        </w:rPr>
      </w:r>
      <w:r w:rsidR="00E836EA" w:rsidRPr="009B783C">
        <w:rPr>
          <w:szCs w:val="21"/>
        </w:rPr>
        <w:fldChar w:fldCharType="separate"/>
      </w:r>
      <w:r w:rsidR="00646FE9" w:rsidRPr="009B783C">
        <w:rPr>
          <w:szCs w:val="21"/>
        </w:rPr>
        <w:t xml:space="preserve">Table </w:t>
      </w:r>
      <w:r w:rsidR="00646FE9">
        <w:rPr>
          <w:szCs w:val="21"/>
        </w:rPr>
        <w:t>14</w:t>
      </w:r>
      <w:r w:rsidR="00E836EA" w:rsidRPr="009B783C">
        <w:rPr>
          <w:szCs w:val="21"/>
        </w:rPr>
        <w:fldChar w:fldCharType="end"/>
      </w:r>
      <w:r w:rsidR="00F433EB" w:rsidRPr="009B783C">
        <w:rPr>
          <w:szCs w:val="21"/>
        </w:rPr>
        <w:t>)</w:t>
      </w:r>
      <w:r w:rsidR="00497266" w:rsidRPr="009B783C">
        <w:rPr>
          <w:szCs w:val="21"/>
        </w:rPr>
        <w:t>. Annualised</w:t>
      </w:r>
      <w:r w:rsidRPr="009B783C">
        <w:rPr>
          <w:szCs w:val="21"/>
        </w:rPr>
        <w:t>, the number of avoided ED visits is estimated to be 33</w:t>
      </w:r>
      <w:r w:rsidR="0012427D" w:rsidRPr="009B783C">
        <w:rPr>
          <w:szCs w:val="21"/>
        </w:rPr>
        <w:t>4</w:t>
      </w:r>
      <w:r w:rsidRPr="009B783C">
        <w:rPr>
          <w:szCs w:val="21"/>
        </w:rPr>
        <w:t xml:space="preserve">,000. The methods for deriving </w:t>
      </w:r>
      <w:r w:rsidR="00497266" w:rsidRPr="009B783C">
        <w:rPr>
          <w:szCs w:val="21"/>
        </w:rPr>
        <w:t>the</w:t>
      </w:r>
      <w:r w:rsidRPr="009B783C">
        <w:rPr>
          <w:szCs w:val="21"/>
        </w:rPr>
        <w:t xml:space="preserve"> annualised estimates are discussed under Measure of Success 9 (section </w:t>
      </w:r>
      <w:r w:rsidR="00BA24B9" w:rsidRPr="009B783C">
        <w:rPr>
          <w:szCs w:val="21"/>
        </w:rPr>
        <w:fldChar w:fldCharType="begin"/>
      </w:r>
      <w:r w:rsidR="00BA24B9" w:rsidRPr="009B783C">
        <w:rPr>
          <w:szCs w:val="21"/>
        </w:rPr>
        <w:instrText xml:space="preserve"> REF _Ref185400248 \n \h </w:instrText>
      </w:r>
      <w:r w:rsidR="00F5425B" w:rsidRPr="009B783C">
        <w:rPr>
          <w:szCs w:val="21"/>
        </w:rPr>
        <w:instrText xml:space="preserve"> \* MERGEFORMAT </w:instrText>
      </w:r>
      <w:r w:rsidR="00BA24B9" w:rsidRPr="009B783C">
        <w:rPr>
          <w:szCs w:val="21"/>
        </w:rPr>
      </w:r>
      <w:r w:rsidR="00BA24B9" w:rsidRPr="009B783C">
        <w:rPr>
          <w:szCs w:val="21"/>
        </w:rPr>
        <w:fldChar w:fldCharType="separate"/>
      </w:r>
      <w:r w:rsidR="0031172E" w:rsidRPr="009B783C">
        <w:rPr>
          <w:szCs w:val="21"/>
        </w:rPr>
        <w:t>5.9</w:t>
      </w:r>
      <w:r w:rsidR="00BA24B9" w:rsidRPr="009B783C">
        <w:rPr>
          <w:szCs w:val="21"/>
        </w:rPr>
        <w:fldChar w:fldCharType="end"/>
      </w:r>
      <w:r w:rsidRPr="009B783C">
        <w:rPr>
          <w:szCs w:val="21"/>
        </w:rPr>
        <w:t xml:space="preserve">) and </w:t>
      </w:r>
      <w:r w:rsidR="00BA24B9" w:rsidRPr="009B783C">
        <w:rPr>
          <w:szCs w:val="21"/>
        </w:rPr>
        <w:fldChar w:fldCharType="begin"/>
      </w:r>
      <w:r w:rsidR="00BA24B9" w:rsidRPr="009B783C">
        <w:rPr>
          <w:szCs w:val="21"/>
        </w:rPr>
        <w:instrText xml:space="preserve"> REF _Ref185400257 \n \h </w:instrText>
      </w:r>
      <w:r w:rsidR="00F5425B" w:rsidRPr="009B783C">
        <w:rPr>
          <w:szCs w:val="21"/>
        </w:rPr>
        <w:instrText xml:space="preserve"> \* MERGEFORMAT </w:instrText>
      </w:r>
      <w:r w:rsidR="00BA24B9" w:rsidRPr="009B783C">
        <w:rPr>
          <w:szCs w:val="21"/>
        </w:rPr>
      </w:r>
      <w:r w:rsidR="00BA24B9" w:rsidRPr="009B783C">
        <w:rPr>
          <w:szCs w:val="21"/>
        </w:rPr>
        <w:fldChar w:fldCharType="separate"/>
      </w:r>
      <w:r w:rsidR="0031172E" w:rsidRPr="009B783C">
        <w:rPr>
          <w:szCs w:val="21"/>
        </w:rPr>
        <w:t>Appendix D</w:t>
      </w:r>
      <w:r w:rsidR="00BA24B9" w:rsidRPr="009B783C">
        <w:rPr>
          <w:szCs w:val="21"/>
        </w:rPr>
        <w:fldChar w:fldCharType="end"/>
      </w:r>
      <w:r w:rsidRPr="009B783C">
        <w:rPr>
          <w:szCs w:val="21"/>
        </w:rPr>
        <w:t>.</w:t>
      </w:r>
    </w:p>
    <w:p w14:paraId="584F36DC" w14:textId="3C6D91C4" w:rsidR="00ED38B8" w:rsidRPr="009B783C" w:rsidRDefault="00ED38B8" w:rsidP="00ED38B8">
      <w:pPr>
        <w:pStyle w:val="Caption"/>
        <w:rPr>
          <w:szCs w:val="21"/>
        </w:rPr>
      </w:pPr>
      <w:bookmarkStart w:id="152" w:name="_Ref184700402"/>
      <w:bookmarkStart w:id="153" w:name="_Ref185270088"/>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46FE9">
        <w:rPr>
          <w:noProof/>
          <w:szCs w:val="21"/>
        </w:rPr>
        <w:t>14</w:t>
      </w:r>
      <w:r w:rsidRPr="009B783C">
        <w:rPr>
          <w:szCs w:val="21"/>
        </w:rPr>
        <w:fldChar w:fldCharType="end"/>
      </w:r>
      <w:bookmarkEnd w:id="152"/>
      <w:bookmarkEnd w:id="153"/>
      <w:r w:rsidRPr="009B783C">
        <w:rPr>
          <w:szCs w:val="21"/>
        </w:rPr>
        <w:t xml:space="preserve"> | Where patient would have gone otherwise, including when presentation was after hours</w:t>
      </w:r>
    </w:p>
    <w:tbl>
      <w:tblPr>
        <w:tblW w:w="5000" w:type="pct"/>
        <w:jc w:val="center"/>
        <w:tblLayout w:type="fixed"/>
        <w:tblLook w:val="0420" w:firstRow="1" w:lastRow="0" w:firstColumn="0" w:lastColumn="0" w:noHBand="0" w:noVBand="1"/>
      </w:tblPr>
      <w:tblGrid>
        <w:gridCol w:w="3118"/>
        <w:gridCol w:w="1843"/>
        <w:gridCol w:w="2125"/>
        <w:gridCol w:w="871"/>
        <w:gridCol w:w="963"/>
      </w:tblGrid>
      <w:tr w:rsidR="00562956" w:rsidRPr="009B783C" w14:paraId="16B6BE2F" w14:textId="77777777" w:rsidTr="005A78EE">
        <w:trPr>
          <w:trHeight w:val="130"/>
          <w:tblHeader/>
          <w:jc w:val="center"/>
        </w:trPr>
        <w:tc>
          <w:tcPr>
            <w:tcW w:w="1748" w:type="pct"/>
            <w:tcBorders>
              <w:bottom w:val="single" w:sz="4" w:space="0" w:color="00264D" w:themeColor="background2"/>
              <w:right w:val="single" w:sz="2" w:space="0" w:color="FFFFFF" w:themeColor="background1"/>
            </w:tcBorders>
            <w:shd w:val="clear" w:color="auto" w:fill="00264D" w:themeFill="background2"/>
            <w:tcMar>
              <w:top w:w="80" w:type="dxa"/>
              <w:left w:w="140" w:type="dxa"/>
              <w:bottom w:w="80" w:type="dxa"/>
              <w:right w:w="140" w:type="dxa"/>
            </w:tcMar>
            <w:vAlign w:val="center"/>
          </w:tcPr>
          <w:p w14:paraId="161E2E9A" w14:textId="6E2954FA" w:rsidR="00562956" w:rsidRPr="009B783C" w:rsidRDefault="00562956" w:rsidP="00562956">
            <w:pPr>
              <w:pStyle w:val="TableNheader"/>
            </w:pPr>
            <w:r w:rsidRPr="009B783C">
              <w:t>Where patient would have gone otherwise</w:t>
            </w:r>
          </w:p>
        </w:tc>
        <w:tc>
          <w:tcPr>
            <w:tcW w:w="1033" w:type="pct"/>
            <w:tcBorders>
              <w:left w:val="single" w:sz="2" w:space="0" w:color="FFFFFF" w:themeColor="background1"/>
              <w:bottom w:val="single" w:sz="4" w:space="0" w:color="00264D" w:themeColor="background2"/>
              <w:right w:val="single" w:sz="2" w:space="0" w:color="FFFFFF" w:themeColor="background1"/>
            </w:tcBorders>
            <w:shd w:val="clear" w:color="auto" w:fill="00264D" w:themeFill="background2"/>
            <w:tcMar>
              <w:top w:w="80" w:type="dxa"/>
              <w:left w:w="140" w:type="dxa"/>
              <w:bottom w:w="80" w:type="dxa"/>
              <w:right w:w="140" w:type="dxa"/>
            </w:tcMar>
            <w:vAlign w:val="center"/>
          </w:tcPr>
          <w:p w14:paraId="1EEE7CAD" w14:textId="2F0433F9" w:rsidR="00562956" w:rsidRPr="009B783C" w:rsidRDefault="00562956" w:rsidP="00786482">
            <w:pPr>
              <w:pStyle w:val="TableNheader"/>
            </w:pPr>
            <w:r w:rsidRPr="009B783C">
              <w:t>Presentations</w:t>
            </w:r>
          </w:p>
        </w:tc>
        <w:tc>
          <w:tcPr>
            <w:tcW w:w="1191" w:type="pct"/>
            <w:tcBorders>
              <w:left w:val="single" w:sz="2" w:space="0" w:color="FFFFFF" w:themeColor="background1"/>
              <w:bottom w:val="single" w:sz="4" w:space="0" w:color="00264D" w:themeColor="background2"/>
            </w:tcBorders>
            <w:shd w:val="clear" w:color="auto" w:fill="00264D" w:themeFill="background2"/>
            <w:tcMar>
              <w:top w:w="80" w:type="dxa"/>
              <w:left w:w="140" w:type="dxa"/>
              <w:bottom w:w="80" w:type="dxa"/>
              <w:right w:w="140" w:type="dxa"/>
            </w:tcMar>
            <w:vAlign w:val="center"/>
          </w:tcPr>
          <w:p w14:paraId="3E31AB33" w14:textId="4F4A938D" w:rsidR="00562956" w:rsidRPr="009B783C" w:rsidRDefault="00562956" w:rsidP="00786482">
            <w:pPr>
              <w:pStyle w:val="TableNheader"/>
            </w:pPr>
            <w:r w:rsidRPr="009B783C">
              <w:rPr>
                <w:rFonts w:eastAsia="Segoe UI Semibold"/>
              </w:rPr>
              <w:t>Percentage of p</w:t>
            </w:r>
            <w:r w:rsidRPr="009B783C">
              <w:t>resentations with this response</w:t>
            </w:r>
          </w:p>
        </w:tc>
        <w:tc>
          <w:tcPr>
            <w:tcW w:w="488" w:type="pct"/>
            <w:tcBorders>
              <w:top w:val="single" w:sz="8" w:space="0" w:color="FFFFFF" w:themeColor="background1"/>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12819FC4" w14:textId="02DA3494" w:rsidR="00562956" w:rsidRPr="009B783C" w:rsidRDefault="00562956" w:rsidP="00786482">
            <w:pPr>
              <w:pStyle w:val="TableNheader"/>
            </w:pPr>
            <w:r w:rsidRPr="009B783C">
              <w:t>After hours (a), No</w:t>
            </w:r>
          </w:p>
        </w:tc>
        <w:tc>
          <w:tcPr>
            <w:tcW w:w="540" w:type="pct"/>
            <w:tcBorders>
              <w:top w:val="single" w:sz="8" w:space="0" w:color="FFFFFF" w:themeColor="background1"/>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11DAECAF" w14:textId="4B9AB994" w:rsidR="00562956" w:rsidRPr="009B783C" w:rsidRDefault="00562956" w:rsidP="00786482">
            <w:pPr>
              <w:pStyle w:val="TableNheader"/>
            </w:pPr>
            <w:r w:rsidRPr="009B783C">
              <w:t>After hours (a), Yes</w:t>
            </w:r>
          </w:p>
        </w:tc>
      </w:tr>
      <w:tr w:rsidR="00537302" w:rsidRPr="009B783C" w14:paraId="14ED1647"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BAAC4EC" w14:textId="77777777" w:rsidR="00537302" w:rsidRPr="009B783C" w:rsidRDefault="00537302" w:rsidP="009B0888">
            <w:pPr>
              <w:pStyle w:val="TableNText"/>
              <w:rPr>
                <w:sz w:val="21"/>
                <w:szCs w:val="21"/>
              </w:rPr>
            </w:pPr>
            <w:r w:rsidRPr="009B783C">
              <w:rPr>
                <w:sz w:val="21"/>
                <w:szCs w:val="21"/>
              </w:rPr>
              <w:t>Would not have sought medical care</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151863F" w14:textId="77777777" w:rsidR="00537302" w:rsidRPr="009B783C" w:rsidRDefault="00537302" w:rsidP="00AB7572">
            <w:pPr>
              <w:pStyle w:val="TableNText"/>
              <w:jc w:val="center"/>
              <w:rPr>
                <w:sz w:val="21"/>
                <w:szCs w:val="21"/>
              </w:rPr>
            </w:pPr>
            <w:r w:rsidRPr="009B783C">
              <w:rPr>
                <w:sz w:val="21"/>
                <w:szCs w:val="21"/>
              </w:rPr>
              <w:t>4,601</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F980A1D" w14:textId="77777777" w:rsidR="00537302" w:rsidRPr="009B783C" w:rsidRDefault="00537302" w:rsidP="00AB7572">
            <w:pPr>
              <w:pStyle w:val="TableNText"/>
              <w:jc w:val="center"/>
              <w:rPr>
                <w:sz w:val="21"/>
                <w:szCs w:val="21"/>
              </w:rPr>
            </w:pPr>
            <w:r w:rsidRPr="009B783C">
              <w:rPr>
                <w:sz w:val="21"/>
                <w:szCs w:val="21"/>
              </w:rPr>
              <w:t>1.1%</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6C8AB3D" w14:textId="77777777" w:rsidR="00537302" w:rsidRPr="009B783C" w:rsidRDefault="00537302" w:rsidP="00AB7572">
            <w:pPr>
              <w:pStyle w:val="TableNText"/>
              <w:jc w:val="center"/>
              <w:rPr>
                <w:sz w:val="21"/>
                <w:szCs w:val="21"/>
              </w:rPr>
            </w:pPr>
            <w:r w:rsidRPr="009B783C">
              <w:rPr>
                <w:sz w:val="21"/>
                <w:szCs w:val="21"/>
              </w:rPr>
              <w:t>1.1%</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B5E1F8B" w14:textId="77777777" w:rsidR="00537302" w:rsidRPr="009B783C" w:rsidRDefault="00537302" w:rsidP="00AB7572">
            <w:pPr>
              <w:pStyle w:val="TableNText"/>
              <w:jc w:val="center"/>
              <w:rPr>
                <w:sz w:val="21"/>
                <w:szCs w:val="21"/>
              </w:rPr>
            </w:pPr>
            <w:r w:rsidRPr="009B783C">
              <w:rPr>
                <w:sz w:val="21"/>
                <w:szCs w:val="21"/>
              </w:rPr>
              <w:t>1.4%</w:t>
            </w:r>
          </w:p>
        </w:tc>
      </w:tr>
      <w:tr w:rsidR="00537302" w:rsidRPr="009B783C" w14:paraId="2BB085CB"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67C6228" w14:textId="77777777" w:rsidR="00537302" w:rsidRPr="009B783C" w:rsidRDefault="00537302" w:rsidP="009B0888">
            <w:pPr>
              <w:pStyle w:val="TableNText"/>
              <w:rPr>
                <w:sz w:val="21"/>
                <w:szCs w:val="21"/>
              </w:rPr>
            </w:pPr>
            <w:r w:rsidRPr="009B783C">
              <w:rPr>
                <w:sz w:val="21"/>
                <w:szCs w:val="21"/>
              </w:rPr>
              <w:t>GP</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CCE737E" w14:textId="77777777" w:rsidR="00537302" w:rsidRPr="009B783C" w:rsidRDefault="00537302" w:rsidP="00AB7572">
            <w:pPr>
              <w:pStyle w:val="TableNText"/>
              <w:jc w:val="center"/>
              <w:rPr>
                <w:sz w:val="21"/>
                <w:szCs w:val="21"/>
              </w:rPr>
            </w:pPr>
            <w:r w:rsidRPr="009B783C">
              <w:rPr>
                <w:sz w:val="21"/>
                <w:szCs w:val="21"/>
              </w:rPr>
              <w:t>201,363</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731963F" w14:textId="77777777" w:rsidR="00537302" w:rsidRPr="009B783C" w:rsidRDefault="00537302" w:rsidP="00AB7572">
            <w:pPr>
              <w:pStyle w:val="TableNText"/>
              <w:jc w:val="center"/>
              <w:rPr>
                <w:sz w:val="21"/>
                <w:szCs w:val="21"/>
              </w:rPr>
            </w:pPr>
            <w:r w:rsidRPr="009B783C">
              <w:rPr>
                <w:sz w:val="21"/>
                <w:szCs w:val="21"/>
              </w:rPr>
              <w:t>50.3%</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45DB0D3" w14:textId="77777777" w:rsidR="00537302" w:rsidRPr="009B783C" w:rsidRDefault="00537302" w:rsidP="00AB7572">
            <w:pPr>
              <w:pStyle w:val="TableNText"/>
              <w:jc w:val="center"/>
              <w:rPr>
                <w:sz w:val="21"/>
                <w:szCs w:val="21"/>
              </w:rPr>
            </w:pPr>
            <w:r w:rsidRPr="009B783C">
              <w:rPr>
                <w:sz w:val="21"/>
                <w:szCs w:val="21"/>
              </w:rPr>
              <w:t>52.4%</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9556280" w14:textId="6C3CCC4D" w:rsidR="00537302" w:rsidRPr="009B783C" w:rsidRDefault="00537302" w:rsidP="00AB7572">
            <w:pPr>
              <w:pStyle w:val="TableNText"/>
              <w:jc w:val="center"/>
              <w:rPr>
                <w:sz w:val="21"/>
                <w:szCs w:val="21"/>
              </w:rPr>
            </w:pPr>
            <w:r w:rsidRPr="009B783C">
              <w:rPr>
                <w:sz w:val="21"/>
                <w:szCs w:val="21"/>
              </w:rPr>
              <w:t>4</w:t>
            </w:r>
            <w:r w:rsidR="009F18B2" w:rsidRPr="009B783C">
              <w:rPr>
                <w:sz w:val="21"/>
                <w:szCs w:val="21"/>
              </w:rPr>
              <w:t>7</w:t>
            </w:r>
            <w:r w:rsidRPr="009B783C">
              <w:rPr>
                <w:sz w:val="21"/>
                <w:szCs w:val="21"/>
              </w:rPr>
              <w:t>.</w:t>
            </w:r>
            <w:r w:rsidR="009F18B2" w:rsidRPr="009B783C">
              <w:rPr>
                <w:sz w:val="21"/>
                <w:szCs w:val="21"/>
              </w:rPr>
              <w:t>0</w:t>
            </w:r>
            <w:r w:rsidRPr="009B783C">
              <w:rPr>
                <w:sz w:val="21"/>
                <w:szCs w:val="21"/>
              </w:rPr>
              <w:t>%</w:t>
            </w:r>
          </w:p>
        </w:tc>
      </w:tr>
      <w:tr w:rsidR="00537302" w:rsidRPr="009B783C" w14:paraId="714A97E4"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E09868D" w14:textId="236ED706" w:rsidR="00537302" w:rsidRPr="009B783C" w:rsidRDefault="00537302" w:rsidP="009B0888">
            <w:pPr>
              <w:pStyle w:val="TableNText"/>
              <w:rPr>
                <w:sz w:val="21"/>
                <w:szCs w:val="21"/>
              </w:rPr>
            </w:pPr>
            <w:r w:rsidRPr="009B783C">
              <w:rPr>
                <w:sz w:val="21"/>
                <w:szCs w:val="21"/>
              </w:rPr>
              <w:t xml:space="preserve">Telephone or </w:t>
            </w:r>
            <w:r w:rsidR="00EC588C" w:rsidRPr="009B783C">
              <w:rPr>
                <w:sz w:val="21"/>
                <w:szCs w:val="21"/>
              </w:rPr>
              <w:t>virtual triage service</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E7BA5D7" w14:textId="77777777" w:rsidR="00537302" w:rsidRPr="009B783C" w:rsidRDefault="00537302" w:rsidP="00AB7572">
            <w:pPr>
              <w:pStyle w:val="TableNText"/>
              <w:jc w:val="center"/>
              <w:rPr>
                <w:sz w:val="21"/>
                <w:szCs w:val="21"/>
              </w:rPr>
            </w:pPr>
            <w:r w:rsidRPr="009B783C">
              <w:rPr>
                <w:sz w:val="21"/>
                <w:szCs w:val="21"/>
              </w:rPr>
              <w:t>2,690</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896020C" w14:textId="77777777" w:rsidR="00537302" w:rsidRPr="009B783C" w:rsidRDefault="00537302" w:rsidP="00AB7572">
            <w:pPr>
              <w:pStyle w:val="TableNText"/>
              <w:jc w:val="center"/>
              <w:rPr>
                <w:sz w:val="21"/>
                <w:szCs w:val="21"/>
              </w:rPr>
            </w:pPr>
            <w:r w:rsidRPr="009B783C">
              <w:rPr>
                <w:sz w:val="21"/>
                <w:szCs w:val="21"/>
              </w:rPr>
              <w:t>0.7%</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DD95124" w14:textId="77777777" w:rsidR="00537302" w:rsidRPr="009B783C" w:rsidRDefault="00537302" w:rsidP="00AB7572">
            <w:pPr>
              <w:pStyle w:val="TableNText"/>
              <w:jc w:val="center"/>
              <w:rPr>
                <w:sz w:val="21"/>
                <w:szCs w:val="21"/>
              </w:rPr>
            </w:pPr>
            <w:r w:rsidRPr="009B783C">
              <w:rPr>
                <w:sz w:val="21"/>
                <w:szCs w:val="21"/>
              </w:rPr>
              <w:t>0.6%</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50A9032" w14:textId="77777777" w:rsidR="00537302" w:rsidRPr="009B783C" w:rsidRDefault="00537302" w:rsidP="00AB7572">
            <w:pPr>
              <w:pStyle w:val="TableNText"/>
              <w:jc w:val="center"/>
              <w:rPr>
                <w:sz w:val="21"/>
                <w:szCs w:val="21"/>
              </w:rPr>
            </w:pPr>
            <w:r w:rsidRPr="009B783C">
              <w:rPr>
                <w:sz w:val="21"/>
                <w:szCs w:val="21"/>
              </w:rPr>
              <w:t>0.9%</w:t>
            </w:r>
          </w:p>
        </w:tc>
      </w:tr>
      <w:tr w:rsidR="00537302" w:rsidRPr="009B783C" w14:paraId="2156B682"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5B1FBD7" w14:textId="6657DFCE" w:rsidR="00537302" w:rsidRPr="009B783C" w:rsidRDefault="00537302" w:rsidP="009B0888">
            <w:pPr>
              <w:pStyle w:val="TableNText"/>
              <w:rPr>
                <w:sz w:val="21"/>
                <w:szCs w:val="21"/>
              </w:rPr>
            </w:pPr>
            <w:r w:rsidRPr="009B783C">
              <w:rPr>
                <w:sz w:val="21"/>
                <w:szCs w:val="21"/>
              </w:rPr>
              <w:t xml:space="preserve">Other </w:t>
            </w:r>
            <w:r w:rsidR="00EC588C" w:rsidRPr="009B783C">
              <w:rPr>
                <w:sz w:val="21"/>
                <w:szCs w:val="21"/>
              </w:rPr>
              <w:t>health professional</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817443E" w14:textId="77777777" w:rsidR="00537302" w:rsidRPr="009B783C" w:rsidRDefault="00537302" w:rsidP="00AB7572">
            <w:pPr>
              <w:pStyle w:val="TableNText"/>
              <w:jc w:val="center"/>
              <w:rPr>
                <w:sz w:val="21"/>
                <w:szCs w:val="21"/>
              </w:rPr>
            </w:pPr>
            <w:r w:rsidRPr="009B783C">
              <w:rPr>
                <w:sz w:val="21"/>
                <w:szCs w:val="21"/>
              </w:rPr>
              <w:t>5,960</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FA1CFE6" w14:textId="77777777" w:rsidR="00537302" w:rsidRPr="009B783C" w:rsidRDefault="00537302" w:rsidP="00AB7572">
            <w:pPr>
              <w:pStyle w:val="TableNText"/>
              <w:jc w:val="center"/>
              <w:rPr>
                <w:sz w:val="21"/>
                <w:szCs w:val="21"/>
              </w:rPr>
            </w:pPr>
            <w:r w:rsidRPr="009B783C">
              <w:rPr>
                <w:sz w:val="21"/>
                <w:szCs w:val="21"/>
              </w:rPr>
              <w:t>1.5%</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DB16813" w14:textId="77777777" w:rsidR="00537302" w:rsidRPr="009B783C" w:rsidRDefault="00537302" w:rsidP="00AB7572">
            <w:pPr>
              <w:pStyle w:val="TableNText"/>
              <w:jc w:val="center"/>
              <w:rPr>
                <w:sz w:val="21"/>
                <w:szCs w:val="21"/>
              </w:rPr>
            </w:pPr>
            <w:r w:rsidRPr="009B783C">
              <w:rPr>
                <w:sz w:val="21"/>
                <w:szCs w:val="21"/>
              </w:rPr>
              <w:t>1.5%</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9F25940" w14:textId="77777777" w:rsidR="00537302" w:rsidRPr="009B783C" w:rsidRDefault="00537302" w:rsidP="00AB7572">
            <w:pPr>
              <w:pStyle w:val="TableNText"/>
              <w:jc w:val="center"/>
              <w:rPr>
                <w:sz w:val="21"/>
                <w:szCs w:val="21"/>
              </w:rPr>
            </w:pPr>
            <w:r w:rsidRPr="009B783C">
              <w:rPr>
                <w:sz w:val="21"/>
                <w:szCs w:val="21"/>
              </w:rPr>
              <w:t>1.5%</w:t>
            </w:r>
          </w:p>
        </w:tc>
      </w:tr>
      <w:tr w:rsidR="00537302" w:rsidRPr="009B783C" w14:paraId="2B58D03D"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6A44CEE" w14:textId="77777777" w:rsidR="00537302" w:rsidRPr="009B783C" w:rsidRDefault="00537302" w:rsidP="009B0888">
            <w:pPr>
              <w:pStyle w:val="TableNText"/>
              <w:rPr>
                <w:sz w:val="21"/>
                <w:szCs w:val="21"/>
              </w:rPr>
            </w:pPr>
            <w:r w:rsidRPr="009B783C">
              <w:rPr>
                <w:sz w:val="21"/>
                <w:szCs w:val="21"/>
              </w:rPr>
              <w:t>Ambulance</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82806AD" w14:textId="77777777" w:rsidR="00537302" w:rsidRPr="009B783C" w:rsidRDefault="00537302" w:rsidP="00AB7572">
            <w:pPr>
              <w:pStyle w:val="TableNText"/>
              <w:jc w:val="center"/>
              <w:rPr>
                <w:sz w:val="21"/>
                <w:szCs w:val="21"/>
              </w:rPr>
            </w:pPr>
            <w:r w:rsidRPr="009B783C">
              <w:rPr>
                <w:sz w:val="21"/>
                <w:szCs w:val="21"/>
              </w:rPr>
              <w:t>1,076</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294E7DF" w14:textId="77777777" w:rsidR="00537302" w:rsidRPr="009B783C" w:rsidRDefault="00537302" w:rsidP="00AB7572">
            <w:pPr>
              <w:pStyle w:val="TableNText"/>
              <w:jc w:val="center"/>
              <w:rPr>
                <w:sz w:val="21"/>
                <w:szCs w:val="21"/>
              </w:rPr>
            </w:pPr>
            <w:r w:rsidRPr="009B783C">
              <w:rPr>
                <w:sz w:val="21"/>
                <w:szCs w:val="21"/>
              </w:rPr>
              <w:t>0.3%</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5904BB9" w14:textId="77777777" w:rsidR="00537302" w:rsidRPr="009B783C" w:rsidRDefault="00537302" w:rsidP="00AB7572">
            <w:pPr>
              <w:pStyle w:val="TableNText"/>
              <w:jc w:val="center"/>
              <w:rPr>
                <w:sz w:val="21"/>
                <w:szCs w:val="21"/>
              </w:rPr>
            </w:pPr>
            <w:r w:rsidRPr="009B783C">
              <w:rPr>
                <w:sz w:val="21"/>
                <w:szCs w:val="21"/>
              </w:rPr>
              <w:t>0.3%</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BB5DFD6" w14:textId="77777777" w:rsidR="00537302" w:rsidRPr="009B783C" w:rsidRDefault="00537302" w:rsidP="00AB7572">
            <w:pPr>
              <w:pStyle w:val="TableNText"/>
              <w:jc w:val="center"/>
              <w:rPr>
                <w:sz w:val="21"/>
                <w:szCs w:val="21"/>
              </w:rPr>
            </w:pPr>
            <w:r w:rsidRPr="009B783C">
              <w:rPr>
                <w:sz w:val="21"/>
                <w:szCs w:val="21"/>
              </w:rPr>
              <w:t>0.3%</w:t>
            </w:r>
          </w:p>
        </w:tc>
      </w:tr>
      <w:tr w:rsidR="00537302" w:rsidRPr="009B783C" w14:paraId="0F36D023"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939702E" w14:textId="77777777" w:rsidR="00537302" w:rsidRPr="009B783C" w:rsidRDefault="00537302" w:rsidP="009B0888">
            <w:pPr>
              <w:pStyle w:val="TableNText"/>
              <w:rPr>
                <w:sz w:val="21"/>
                <w:szCs w:val="21"/>
              </w:rPr>
            </w:pPr>
            <w:r w:rsidRPr="009B783C">
              <w:rPr>
                <w:sz w:val="21"/>
                <w:szCs w:val="21"/>
              </w:rPr>
              <w:t>Local ED</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B915B24" w14:textId="77777777" w:rsidR="00537302" w:rsidRPr="009B783C" w:rsidRDefault="00537302" w:rsidP="00AB7572">
            <w:pPr>
              <w:pStyle w:val="TableNText"/>
              <w:jc w:val="center"/>
              <w:rPr>
                <w:sz w:val="21"/>
                <w:szCs w:val="21"/>
              </w:rPr>
            </w:pPr>
            <w:r w:rsidRPr="009B783C">
              <w:rPr>
                <w:sz w:val="21"/>
                <w:szCs w:val="21"/>
              </w:rPr>
              <w:t>183,507</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2626A65" w14:textId="77777777" w:rsidR="00537302" w:rsidRPr="009B783C" w:rsidRDefault="00537302" w:rsidP="00AB7572">
            <w:pPr>
              <w:pStyle w:val="TableNText"/>
              <w:jc w:val="center"/>
              <w:rPr>
                <w:sz w:val="21"/>
                <w:szCs w:val="21"/>
              </w:rPr>
            </w:pPr>
            <w:r w:rsidRPr="009B783C">
              <w:rPr>
                <w:sz w:val="21"/>
                <w:szCs w:val="21"/>
              </w:rPr>
              <w:t>45.8%</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49850F9" w14:textId="77777777" w:rsidR="00537302" w:rsidRPr="009B783C" w:rsidRDefault="00537302" w:rsidP="00AB7572">
            <w:pPr>
              <w:pStyle w:val="TableNText"/>
              <w:jc w:val="center"/>
              <w:rPr>
                <w:sz w:val="21"/>
                <w:szCs w:val="21"/>
              </w:rPr>
            </w:pPr>
            <w:r w:rsidRPr="009B783C">
              <w:rPr>
                <w:sz w:val="21"/>
                <w:szCs w:val="21"/>
              </w:rPr>
              <w:t>43.9%</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26747B5" w14:textId="304E653A" w:rsidR="00537302" w:rsidRPr="009B783C" w:rsidRDefault="00537302" w:rsidP="00AB7572">
            <w:pPr>
              <w:pStyle w:val="TableNText"/>
              <w:jc w:val="center"/>
              <w:rPr>
                <w:sz w:val="21"/>
                <w:szCs w:val="21"/>
              </w:rPr>
            </w:pPr>
            <w:r w:rsidRPr="009B783C">
              <w:rPr>
                <w:sz w:val="21"/>
                <w:szCs w:val="21"/>
              </w:rPr>
              <w:t>48.</w:t>
            </w:r>
            <w:r w:rsidR="00403642" w:rsidRPr="009B783C">
              <w:rPr>
                <w:sz w:val="21"/>
                <w:szCs w:val="21"/>
              </w:rPr>
              <w:t>6</w:t>
            </w:r>
            <w:r w:rsidRPr="009B783C">
              <w:rPr>
                <w:sz w:val="21"/>
                <w:szCs w:val="21"/>
              </w:rPr>
              <w:t>%</w:t>
            </w:r>
          </w:p>
        </w:tc>
      </w:tr>
      <w:tr w:rsidR="00537302" w:rsidRPr="009B783C" w14:paraId="755B52DF"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4DB78F9" w14:textId="77777777" w:rsidR="00537302" w:rsidRPr="009B783C" w:rsidRDefault="00537302" w:rsidP="009B0888">
            <w:pPr>
              <w:pStyle w:val="TableNText"/>
              <w:rPr>
                <w:sz w:val="21"/>
                <w:szCs w:val="21"/>
              </w:rPr>
            </w:pPr>
            <w:r w:rsidRPr="009B783C">
              <w:rPr>
                <w:sz w:val="21"/>
                <w:szCs w:val="21"/>
              </w:rPr>
              <w:t>Other</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2BCD361" w14:textId="77777777" w:rsidR="00537302" w:rsidRPr="009B783C" w:rsidRDefault="00537302" w:rsidP="00AB7572">
            <w:pPr>
              <w:pStyle w:val="TableNText"/>
              <w:jc w:val="center"/>
              <w:rPr>
                <w:sz w:val="21"/>
                <w:szCs w:val="21"/>
              </w:rPr>
            </w:pPr>
            <w:r w:rsidRPr="009B783C">
              <w:rPr>
                <w:sz w:val="21"/>
                <w:szCs w:val="21"/>
              </w:rPr>
              <w:t>1,367</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10611CC" w14:textId="77777777" w:rsidR="00537302" w:rsidRPr="009B783C" w:rsidRDefault="00537302" w:rsidP="00AB7572">
            <w:pPr>
              <w:pStyle w:val="TableNText"/>
              <w:jc w:val="center"/>
              <w:rPr>
                <w:sz w:val="21"/>
                <w:szCs w:val="21"/>
              </w:rPr>
            </w:pPr>
            <w:r w:rsidRPr="009B783C">
              <w:rPr>
                <w:sz w:val="21"/>
                <w:szCs w:val="21"/>
              </w:rPr>
              <w:t>0.3%</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0E5859E" w14:textId="77777777" w:rsidR="00537302" w:rsidRPr="009B783C" w:rsidRDefault="00537302" w:rsidP="00AB7572">
            <w:pPr>
              <w:pStyle w:val="TableNText"/>
              <w:jc w:val="center"/>
              <w:rPr>
                <w:sz w:val="21"/>
                <w:szCs w:val="21"/>
              </w:rPr>
            </w:pPr>
            <w:r w:rsidRPr="009B783C">
              <w:rPr>
                <w:sz w:val="21"/>
                <w:szCs w:val="21"/>
              </w:rPr>
              <w:t>0.3%</w:t>
            </w: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043D550" w14:textId="77777777" w:rsidR="00537302" w:rsidRPr="009B783C" w:rsidRDefault="00537302" w:rsidP="00AB7572">
            <w:pPr>
              <w:pStyle w:val="TableNText"/>
              <w:jc w:val="center"/>
              <w:rPr>
                <w:sz w:val="21"/>
                <w:szCs w:val="21"/>
              </w:rPr>
            </w:pPr>
            <w:r w:rsidRPr="009B783C">
              <w:rPr>
                <w:sz w:val="21"/>
                <w:szCs w:val="21"/>
              </w:rPr>
              <w:t>0.4%</w:t>
            </w:r>
          </w:p>
        </w:tc>
      </w:tr>
      <w:tr w:rsidR="00767689" w:rsidRPr="009B783C" w14:paraId="320CCA61"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19DAD8A" w14:textId="4247004C" w:rsidR="00767689" w:rsidRPr="009B783C" w:rsidRDefault="00767689" w:rsidP="009B0888">
            <w:pPr>
              <w:pStyle w:val="TableNText"/>
              <w:rPr>
                <w:sz w:val="21"/>
                <w:szCs w:val="21"/>
              </w:rPr>
            </w:pPr>
            <w:r w:rsidRPr="009B783C">
              <w:rPr>
                <w:sz w:val="21"/>
                <w:szCs w:val="21"/>
              </w:rPr>
              <w:t xml:space="preserve">Total excluding </w:t>
            </w:r>
            <w:r w:rsidR="00EC588C" w:rsidRPr="009B783C">
              <w:rPr>
                <w:sz w:val="21"/>
                <w:szCs w:val="21"/>
              </w:rPr>
              <w:t>“</w:t>
            </w:r>
            <w:r w:rsidRPr="009B783C">
              <w:rPr>
                <w:sz w:val="21"/>
                <w:szCs w:val="21"/>
              </w:rPr>
              <w:t>Not recorded</w:t>
            </w:r>
            <w:r w:rsidR="00EC588C" w:rsidRPr="009B783C">
              <w:rPr>
                <w:sz w:val="21"/>
                <w:szCs w:val="21"/>
              </w:rPr>
              <w:t>”</w:t>
            </w:r>
            <w:r w:rsidRPr="009B783C">
              <w:rPr>
                <w:sz w:val="21"/>
                <w:szCs w:val="21"/>
              </w:rPr>
              <w:t xml:space="preserve"> (from 63 Medicare UCCs)</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91771E7" w14:textId="0F49C8FE" w:rsidR="00767689" w:rsidRPr="009B783C" w:rsidRDefault="00767689" w:rsidP="00AB7572">
            <w:pPr>
              <w:pStyle w:val="TableNText"/>
              <w:jc w:val="center"/>
              <w:rPr>
                <w:sz w:val="21"/>
                <w:szCs w:val="21"/>
              </w:rPr>
            </w:pPr>
            <w:r w:rsidRPr="009B783C">
              <w:rPr>
                <w:sz w:val="21"/>
                <w:szCs w:val="21"/>
              </w:rPr>
              <w:t>400,564</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379A4E7" w14:textId="1CB05F3D" w:rsidR="00767689" w:rsidRPr="009B783C" w:rsidRDefault="00767689" w:rsidP="00AB7572">
            <w:pPr>
              <w:pStyle w:val="TableNText"/>
              <w:jc w:val="center"/>
              <w:rPr>
                <w:sz w:val="21"/>
                <w:szCs w:val="21"/>
              </w:rPr>
            </w:pPr>
            <w:r w:rsidRPr="009B783C">
              <w:rPr>
                <w:sz w:val="21"/>
                <w:szCs w:val="21"/>
              </w:rPr>
              <w:t>100.0%</w:t>
            </w: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CB800AB" w14:textId="77777777" w:rsidR="00767689" w:rsidRPr="009B783C" w:rsidRDefault="00767689" w:rsidP="00AB7572">
            <w:pPr>
              <w:pStyle w:val="TableNText"/>
              <w:jc w:val="center"/>
              <w:rPr>
                <w:sz w:val="21"/>
                <w:szCs w:val="21"/>
              </w:rPr>
            </w:pP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9FE7649" w14:textId="77777777" w:rsidR="00767689" w:rsidRPr="009B783C" w:rsidRDefault="00767689" w:rsidP="00AB7572">
            <w:pPr>
              <w:pStyle w:val="TableNText"/>
              <w:jc w:val="center"/>
              <w:rPr>
                <w:sz w:val="21"/>
                <w:szCs w:val="21"/>
              </w:rPr>
            </w:pPr>
          </w:p>
        </w:tc>
      </w:tr>
      <w:tr w:rsidR="00537302" w:rsidRPr="009B783C" w14:paraId="425F7FAF"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B873C1B" w14:textId="77777777" w:rsidR="00537302" w:rsidRPr="009B783C" w:rsidRDefault="00537302" w:rsidP="009B0888">
            <w:pPr>
              <w:pStyle w:val="TableNText"/>
              <w:rPr>
                <w:sz w:val="21"/>
                <w:szCs w:val="21"/>
              </w:rPr>
            </w:pPr>
            <w:r w:rsidRPr="009B783C">
              <w:rPr>
                <w:sz w:val="21"/>
                <w:szCs w:val="21"/>
              </w:rPr>
              <w:t>Not recorded</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E19C4D5" w14:textId="77777777" w:rsidR="00537302" w:rsidRPr="009B783C" w:rsidRDefault="00537302" w:rsidP="00AB7572">
            <w:pPr>
              <w:pStyle w:val="TableNText"/>
              <w:jc w:val="center"/>
              <w:rPr>
                <w:sz w:val="21"/>
                <w:szCs w:val="21"/>
              </w:rPr>
            </w:pPr>
            <w:r w:rsidRPr="009B783C">
              <w:rPr>
                <w:sz w:val="21"/>
                <w:szCs w:val="21"/>
              </w:rPr>
              <w:t>25,915</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5DA0DDDE" w14:textId="77777777" w:rsidR="00537302" w:rsidRPr="009B783C" w:rsidRDefault="00537302" w:rsidP="00AB7572">
            <w:pPr>
              <w:pStyle w:val="TableNText"/>
              <w:jc w:val="center"/>
              <w:rPr>
                <w:sz w:val="21"/>
                <w:szCs w:val="21"/>
              </w:rPr>
            </w:pP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F6C7A37" w14:textId="77777777" w:rsidR="00537302" w:rsidRPr="009B783C" w:rsidRDefault="00537302" w:rsidP="00AB7572">
            <w:pPr>
              <w:pStyle w:val="TableNText"/>
              <w:jc w:val="center"/>
              <w:rPr>
                <w:sz w:val="21"/>
                <w:szCs w:val="21"/>
              </w:rPr>
            </w:pP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F9997BF" w14:textId="77777777" w:rsidR="00537302" w:rsidRPr="009B783C" w:rsidRDefault="00537302" w:rsidP="00AB7572">
            <w:pPr>
              <w:pStyle w:val="TableNText"/>
              <w:jc w:val="center"/>
              <w:rPr>
                <w:sz w:val="21"/>
                <w:szCs w:val="21"/>
              </w:rPr>
            </w:pPr>
          </w:p>
        </w:tc>
      </w:tr>
      <w:tr w:rsidR="00537302" w:rsidRPr="009B783C" w14:paraId="53E4CD97"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285883B8" w14:textId="4201D8C3" w:rsidR="00537302" w:rsidRPr="009B783C" w:rsidRDefault="00537302" w:rsidP="009B0888">
            <w:pPr>
              <w:pStyle w:val="TableNText"/>
              <w:rPr>
                <w:sz w:val="21"/>
                <w:szCs w:val="21"/>
              </w:rPr>
            </w:pPr>
            <w:r w:rsidRPr="009B783C">
              <w:rPr>
                <w:sz w:val="21"/>
                <w:szCs w:val="21"/>
              </w:rPr>
              <w:t xml:space="preserve">Total including </w:t>
            </w:r>
            <w:r w:rsidR="00EC588C" w:rsidRPr="009B783C">
              <w:rPr>
                <w:sz w:val="21"/>
                <w:szCs w:val="21"/>
              </w:rPr>
              <w:t>“</w:t>
            </w:r>
            <w:r w:rsidRPr="009B783C">
              <w:rPr>
                <w:sz w:val="21"/>
                <w:szCs w:val="21"/>
              </w:rPr>
              <w:t>Not recorded</w:t>
            </w:r>
            <w:r w:rsidR="00EC588C" w:rsidRPr="009B783C">
              <w:rPr>
                <w:sz w:val="21"/>
                <w:szCs w:val="21"/>
              </w:rPr>
              <w:t>”</w:t>
            </w:r>
            <w:r w:rsidRPr="009B783C">
              <w:rPr>
                <w:sz w:val="21"/>
                <w:szCs w:val="21"/>
              </w:rPr>
              <w:t xml:space="preserve"> (from 63 Medicare UCCs)</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6C1FC90" w14:textId="77777777" w:rsidR="00537302" w:rsidRPr="009B783C" w:rsidRDefault="00537302" w:rsidP="00AB7572">
            <w:pPr>
              <w:pStyle w:val="TableNText"/>
              <w:jc w:val="center"/>
              <w:rPr>
                <w:sz w:val="21"/>
                <w:szCs w:val="21"/>
              </w:rPr>
            </w:pPr>
            <w:r w:rsidRPr="009B783C">
              <w:rPr>
                <w:sz w:val="21"/>
                <w:szCs w:val="21"/>
              </w:rPr>
              <w:t>426,479</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B030E88" w14:textId="77777777" w:rsidR="00537302" w:rsidRPr="009B783C" w:rsidRDefault="00537302" w:rsidP="00AB7572">
            <w:pPr>
              <w:pStyle w:val="TableNText"/>
              <w:jc w:val="center"/>
              <w:rPr>
                <w:sz w:val="21"/>
                <w:szCs w:val="21"/>
              </w:rPr>
            </w:pP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F5158A9" w14:textId="77777777" w:rsidR="00537302" w:rsidRPr="009B783C" w:rsidRDefault="00537302" w:rsidP="00AB7572">
            <w:pPr>
              <w:pStyle w:val="TableNText"/>
              <w:jc w:val="center"/>
              <w:rPr>
                <w:sz w:val="21"/>
                <w:szCs w:val="21"/>
              </w:rPr>
            </w:pP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6EC342C1" w14:textId="77777777" w:rsidR="00537302" w:rsidRPr="009B783C" w:rsidRDefault="00537302" w:rsidP="00AB7572">
            <w:pPr>
              <w:pStyle w:val="TableNText"/>
              <w:jc w:val="center"/>
              <w:rPr>
                <w:sz w:val="21"/>
                <w:szCs w:val="21"/>
              </w:rPr>
            </w:pPr>
          </w:p>
        </w:tc>
      </w:tr>
      <w:tr w:rsidR="00537302" w:rsidRPr="009B783C" w14:paraId="1A514FFC"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0BAFEDDB" w14:textId="77777777" w:rsidR="00537302" w:rsidRPr="009B783C" w:rsidRDefault="00537302" w:rsidP="009B0888">
            <w:pPr>
              <w:pStyle w:val="TableNText"/>
              <w:rPr>
                <w:sz w:val="21"/>
                <w:szCs w:val="21"/>
              </w:rPr>
            </w:pPr>
            <w:r w:rsidRPr="009B783C">
              <w:rPr>
                <w:sz w:val="21"/>
                <w:szCs w:val="21"/>
              </w:rPr>
              <w:t>Aggregate and other unit record counts</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7448F6C" w14:textId="19E34E2C" w:rsidR="00537302" w:rsidRPr="009B783C" w:rsidRDefault="00537302" w:rsidP="00AB7572">
            <w:pPr>
              <w:pStyle w:val="TableNText"/>
              <w:jc w:val="center"/>
              <w:rPr>
                <w:sz w:val="21"/>
                <w:szCs w:val="21"/>
              </w:rPr>
            </w:pPr>
            <w:r w:rsidRPr="009B783C">
              <w:rPr>
                <w:sz w:val="21"/>
                <w:szCs w:val="21"/>
              </w:rPr>
              <w:t>357,5</w:t>
            </w:r>
            <w:r w:rsidR="0029123B" w:rsidRPr="009B783C">
              <w:rPr>
                <w:sz w:val="21"/>
                <w:szCs w:val="21"/>
              </w:rPr>
              <w:t>92</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C3F0A2A" w14:textId="77777777" w:rsidR="00537302" w:rsidRPr="009B783C" w:rsidRDefault="00537302" w:rsidP="00AB7572">
            <w:pPr>
              <w:pStyle w:val="TableNText"/>
              <w:jc w:val="center"/>
              <w:rPr>
                <w:sz w:val="21"/>
                <w:szCs w:val="21"/>
              </w:rPr>
            </w:pP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9759E56" w14:textId="77777777" w:rsidR="00537302" w:rsidRPr="009B783C" w:rsidRDefault="00537302" w:rsidP="00AB7572">
            <w:pPr>
              <w:pStyle w:val="TableNText"/>
              <w:jc w:val="center"/>
              <w:rPr>
                <w:sz w:val="21"/>
                <w:szCs w:val="21"/>
              </w:rPr>
            </w:pP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048221B" w14:textId="77777777" w:rsidR="00537302" w:rsidRPr="009B783C" w:rsidRDefault="00537302" w:rsidP="00AB7572">
            <w:pPr>
              <w:pStyle w:val="TableNText"/>
              <w:jc w:val="center"/>
              <w:rPr>
                <w:sz w:val="21"/>
                <w:szCs w:val="21"/>
              </w:rPr>
            </w:pPr>
          </w:p>
        </w:tc>
      </w:tr>
      <w:tr w:rsidR="00537302" w:rsidRPr="009B783C" w14:paraId="32C90409" w14:textId="77777777" w:rsidTr="005A78EE">
        <w:trPr>
          <w:jc w:val="center"/>
        </w:trPr>
        <w:tc>
          <w:tcPr>
            <w:tcW w:w="174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3C7638DC" w14:textId="77777777" w:rsidR="00537302" w:rsidRPr="009B783C" w:rsidRDefault="00537302" w:rsidP="009B0888">
            <w:pPr>
              <w:pStyle w:val="TableNText"/>
              <w:rPr>
                <w:rFonts w:asciiTheme="majorHAnsi" w:hAnsiTheme="majorHAnsi" w:cstheme="majorHAnsi"/>
                <w:sz w:val="21"/>
                <w:szCs w:val="21"/>
              </w:rPr>
            </w:pPr>
            <w:r w:rsidRPr="009B783C">
              <w:rPr>
                <w:rFonts w:asciiTheme="majorHAnsi" w:hAnsiTheme="majorHAnsi" w:cstheme="majorHAnsi"/>
                <w:sz w:val="21"/>
                <w:szCs w:val="21"/>
              </w:rPr>
              <w:t>Total presentations (from 75 Medicare UCCs)</w:t>
            </w:r>
          </w:p>
        </w:tc>
        <w:tc>
          <w:tcPr>
            <w:tcW w:w="103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1E70203F" w14:textId="1E375EA9" w:rsidR="00537302" w:rsidRPr="009B783C" w:rsidRDefault="00537302" w:rsidP="00AB7572">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784,0</w:t>
            </w:r>
            <w:r w:rsidR="0029123B" w:rsidRPr="009B783C">
              <w:rPr>
                <w:rFonts w:asciiTheme="majorHAnsi" w:hAnsiTheme="majorHAnsi" w:cstheme="majorHAnsi"/>
                <w:sz w:val="21"/>
                <w:szCs w:val="21"/>
              </w:rPr>
              <w:t>71</w:t>
            </w:r>
          </w:p>
        </w:tc>
        <w:tc>
          <w:tcPr>
            <w:tcW w:w="119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E91DFEF" w14:textId="77777777" w:rsidR="00537302" w:rsidRPr="009B783C" w:rsidRDefault="00537302" w:rsidP="00AB7572">
            <w:pPr>
              <w:pStyle w:val="TableNText"/>
              <w:jc w:val="center"/>
              <w:rPr>
                <w:sz w:val="21"/>
                <w:szCs w:val="21"/>
              </w:rPr>
            </w:pPr>
          </w:p>
        </w:tc>
        <w:tc>
          <w:tcPr>
            <w:tcW w:w="48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4D48C5DD" w14:textId="77777777" w:rsidR="00537302" w:rsidRPr="009B783C" w:rsidRDefault="00537302" w:rsidP="00AB7572">
            <w:pPr>
              <w:pStyle w:val="TableNText"/>
              <w:jc w:val="center"/>
              <w:rPr>
                <w:sz w:val="21"/>
                <w:szCs w:val="21"/>
              </w:rPr>
            </w:pPr>
          </w:p>
        </w:tc>
        <w:tc>
          <w:tcPr>
            <w:tcW w:w="54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vAlign w:val="center"/>
          </w:tcPr>
          <w:p w14:paraId="7BDB9AA7" w14:textId="77777777" w:rsidR="00537302" w:rsidRPr="009B783C" w:rsidRDefault="00537302" w:rsidP="00AB7572">
            <w:pPr>
              <w:pStyle w:val="TableNText"/>
              <w:jc w:val="center"/>
              <w:rPr>
                <w:sz w:val="21"/>
                <w:szCs w:val="21"/>
              </w:rPr>
            </w:pPr>
          </w:p>
        </w:tc>
      </w:tr>
    </w:tbl>
    <w:p w14:paraId="4C6C64FA" w14:textId="1A8ACC9C" w:rsidR="00F5425B" w:rsidRPr="00ED1544" w:rsidRDefault="00F5425B" w:rsidP="00ED1544">
      <w:bookmarkStart w:id="154" w:name="Caution_re_where_patient_would_have_gone"/>
      <w:bookmarkStart w:id="155" w:name="Limitwherepatientgone"/>
      <w:r w:rsidRPr="00ED1544">
        <w:t xml:space="preserve">Notes: Table reflects data from 30 June 2023 to 30 September 2024 and extracted on 6 November 2024. (a) After hours is defined as presentation time before 8:00 am or after 6:00 pm Monday to Friday, before 8:00 am or after 12:00 pm Saturday, any time Sunday or Public Holidays. See section </w:t>
      </w:r>
      <w:r w:rsidRPr="00ED1544">
        <w:fldChar w:fldCharType="begin"/>
      </w:r>
      <w:r w:rsidRPr="00ED1544">
        <w:instrText xml:space="preserve"> REF _Ref185478021 \n \h </w:instrText>
      </w:r>
      <w:r w:rsidR="00764B0A" w:rsidRPr="00ED1544">
        <w:instrText xml:space="preserve"> \* MERGEFORMAT </w:instrText>
      </w:r>
      <w:r w:rsidRPr="00ED1544">
        <w:fldChar w:fldCharType="separate"/>
      </w:r>
      <w:r w:rsidRPr="00ED1544">
        <w:t>3.4</w:t>
      </w:r>
      <w:r w:rsidRPr="00ED1544">
        <w:fldChar w:fldCharType="end"/>
      </w:r>
      <w:r w:rsidRPr="00ED1544">
        <w:t xml:space="preserve"> for an overview of limitations related to the Medicare UCC data.</w:t>
      </w:r>
    </w:p>
    <w:p w14:paraId="64FACF56" w14:textId="7B998ABD" w:rsidR="00C91507" w:rsidRPr="009B783C" w:rsidRDefault="00707230" w:rsidP="00F5425B">
      <w:pPr>
        <w:spacing w:before="240"/>
        <w:rPr>
          <w:szCs w:val="21"/>
        </w:rPr>
      </w:pPr>
      <w:r w:rsidRPr="009B783C">
        <w:rPr>
          <w:szCs w:val="21"/>
          <w:lang w:eastAsia="en-AU"/>
        </w:rPr>
        <w:t xml:space="preserve">Caution should be applied when considering </w:t>
      </w:r>
      <w:r w:rsidR="00C91507" w:rsidRPr="009B783C">
        <w:rPr>
          <w:szCs w:val="21"/>
        </w:rPr>
        <w:t>responses captured under the variable "where would the patient have gone otherwise?"</w:t>
      </w:r>
      <w:r w:rsidR="00EC588C" w:rsidRPr="009B783C">
        <w:rPr>
          <w:szCs w:val="21"/>
        </w:rPr>
        <w:t>,</w:t>
      </w:r>
      <w:r w:rsidR="00C91507" w:rsidRPr="009B783C">
        <w:rPr>
          <w:szCs w:val="21"/>
        </w:rPr>
        <w:t xml:space="preserve"> </w:t>
      </w:r>
      <w:r w:rsidR="002F6579" w:rsidRPr="009B783C">
        <w:rPr>
          <w:szCs w:val="21"/>
        </w:rPr>
        <w:t xml:space="preserve">for a range of reasons, </w:t>
      </w:r>
      <w:r w:rsidR="00C91507" w:rsidRPr="009B783C">
        <w:rPr>
          <w:szCs w:val="21"/>
        </w:rPr>
        <w:t xml:space="preserve">including: </w:t>
      </w:r>
    </w:p>
    <w:bookmarkEnd w:id="154"/>
    <w:p w14:paraId="6E0EB4F1" w14:textId="77777777" w:rsidR="00556B6B" w:rsidRPr="009B783C" w:rsidRDefault="00C91507" w:rsidP="00F5425B">
      <w:pPr>
        <w:pStyle w:val="Bullet"/>
        <w:rPr>
          <w:szCs w:val="21"/>
        </w:rPr>
      </w:pPr>
      <w:r w:rsidRPr="009B783C">
        <w:rPr>
          <w:szCs w:val="21"/>
        </w:rPr>
        <w:lastRenderedPageBreak/>
        <w:t xml:space="preserve">Responses may be overstated or understated depending on how the question was phrased for patients and how they interpreted it. </w:t>
      </w:r>
    </w:p>
    <w:p w14:paraId="04F11600" w14:textId="67E83209" w:rsidR="00C91507" w:rsidRPr="009B783C" w:rsidRDefault="00C91507" w:rsidP="00F5425B">
      <w:pPr>
        <w:pStyle w:val="Bullet"/>
        <w:rPr>
          <w:szCs w:val="21"/>
        </w:rPr>
      </w:pPr>
      <w:r w:rsidRPr="009B783C">
        <w:rPr>
          <w:szCs w:val="21"/>
        </w:rPr>
        <w:t xml:space="preserve">Although this variable is intended to be collected by asking patients </w:t>
      </w:r>
      <w:r w:rsidRPr="009B783C">
        <w:rPr>
          <w:i/>
          <w:szCs w:val="21"/>
        </w:rPr>
        <w:t>where they would have gone or sought advice from</w:t>
      </w:r>
      <w:r w:rsidRPr="009B783C">
        <w:rPr>
          <w:szCs w:val="21"/>
        </w:rPr>
        <w:t xml:space="preserve"> if a Medicare UCC was not available, </w:t>
      </w:r>
      <w:r w:rsidR="001871DE" w:rsidRPr="009B783C">
        <w:rPr>
          <w:szCs w:val="21"/>
        </w:rPr>
        <w:t xml:space="preserve">some commissioners </w:t>
      </w:r>
      <w:r w:rsidRPr="009B783C">
        <w:rPr>
          <w:szCs w:val="21"/>
        </w:rPr>
        <w:t>reported that clinic staff sometimes make this assessment on behalf of the patient.</w:t>
      </w:r>
    </w:p>
    <w:p w14:paraId="2FE5A5DD" w14:textId="64D13164" w:rsidR="00C91507" w:rsidRPr="009B783C" w:rsidRDefault="00C91507" w:rsidP="00F5425B">
      <w:pPr>
        <w:pStyle w:val="Bullet"/>
        <w:rPr>
          <w:szCs w:val="21"/>
        </w:rPr>
      </w:pPr>
      <w:r w:rsidRPr="009B783C">
        <w:rPr>
          <w:szCs w:val="21"/>
        </w:rPr>
        <w:t>Some patients who reported they would have gone to an ED might still attend or be referred to one following their Medicare UCC visit. As noted in Measure of Success 2 (</w:t>
      </w:r>
      <w:r w:rsidRPr="009B783C">
        <w:rPr>
          <w:szCs w:val="21"/>
          <w:highlight w:val="green"/>
        </w:rPr>
        <w:fldChar w:fldCharType="begin"/>
      </w:r>
      <w:r w:rsidRPr="009B783C">
        <w:rPr>
          <w:szCs w:val="21"/>
        </w:rPr>
        <w:instrText xml:space="preserve"> REF _Ref184125905 \h </w:instrText>
      </w:r>
      <w:r w:rsidRPr="009B783C">
        <w:rPr>
          <w:szCs w:val="21"/>
          <w:highlight w:val="green"/>
        </w:rPr>
        <w:instrText xml:space="preserve"> \* MERGEFORMAT </w:instrText>
      </w:r>
      <w:r w:rsidRPr="009B783C">
        <w:rPr>
          <w:szCs w:val="21"/>
          <w:highlight w:val="green"/>
        </w:rPr>
      </w:r>
      <w:r w:rsidRPr="009B783C">
        <w:rPr>
          <w:szCs w:val="21"/>
          <w:highlight w:val="green"/>
        </w:rPr>
        <w:fldChar w:fldCharType="separate"/>
      </w:r>
      <w:r w:rsidR="0031172E" w:rsidRPr="009B783C">
        <w:rPr>
          <w:szCs w:val="21"/>
        </w:rPr>
        <w:t>Table 10</w:t>
      </w:r>
      <w:r w:rsidRPr="009B783C">
        <w:rPr>
          <w:szCs w:val="21"/>
          <w:highlight w:val="green"/>
        </w:rPr>
        <w:fldChar w:fldCharType="end"/>
      </w:r>
      <w:r w:rsidRPr="009B783C">
        <w:rPr>
          <w:szCs w:val="21"/>
        </w:rPr>
        <w:t xml:space="preserve">), </w:t>
      </w:r>
      <w:r w:rsidR="004B75FF" w:rsidRPr="009B783C">
        <w:rPr>
          <w:szCs w:val="21"/>
        </w:rPr>
        <w:t>5</w:t>
      </w:r>
      <w:r w:rsidRPr="009B783C">
        <w:rPr>
          <w:szCs w:val="21"/>
        </w:rPr>
        <w:t xml:space="preserve"> per cent of patients at Medicare UCCs were referred to </w:t>
      </w:r>
      <w:proofErr w:type="spellStart"/>
      <w:r w:rsidRPr="009B783C">
        <w:rPr>
          <w:szCs w:val="21"/>
        </w:rPr>
        <w:t>EDs.</w:t>
      </w:r>
      <w:proofErr w:type="spellEnd"/>
    </w:p>
    <w:p w14:paraId="1818DB0A" w14:textId="13400B22" w:rsidR="00C91507" w:rsidRPr="009B783C" w:rsidRDefault="00C91507" w:rsidP="00F5425B">
      <w:pPr>
        <w:pStyle w:val="Bullet"/>
        <w:rPr>
          <w:szCs w:val="21"/>
        </w:rPr>
      </w:pPr>
      <w:r w:rsidRPr="009B783C">
        <w:rPr>
          <w:szCs w:val="21"/>
        </w:rPr>
        <w:t>Similarly, some patients who reported they would have sought care from a GP might also be referred (or self-present) to an ED.</w:t>
      </w:r>
    </w:p>
    <w:p w14:paraId="0C97DA9D" w14:textId="6E240184" w:rsidR="00C91507" w:rsidRPr="009B783C" w:rsidRDefault="00C91507" w:rsidP="00F5425B">
      <w:pPr>
        <w:pStyle w:val="Bullet"/>
        <w:rPr>
          <w:szCs w:val="21"/>
        </w:rPr>
      </w:pPr>
      <w:r w:rsidRPr="009B783C">
        <w:rPr>
          <w:szCs w:val="21"/>
        </w:rPr>
        <w:t xml:space="preserve">There is no alternative data source against which the rates reported in the Medicare UCC context can be verified. This limitation makes it difficult to assess whether the self-reported intentions of patients regarding where they would have sought care align with actual patterns or </w:t>
      </w:r>
      <w:r w:rsidR="004E1886" w:rsidRPr="009B783C">
        <w:rPr>
          <w:szCs w:val="21"/>
        </w:rPr>
        <w:t>behaviours</w:t>
      </w:r>
      <w:r w:rsidRPr="009B783C">
        <w:rPr>
          <w:szCs w:val="21"/>
        </w:rPr>
        <w:t xml:space="preserve"> observed in other settings.</w:t>
      </w:r>
    </w:p>
    <w:p w14:paraId="76FC9192" w14:textId="6E92D66D" w:rsidR="00ED38B8" w:rsidRPr="009B783C" w:rsidRDefault="00C91507" w:rsidP="00F5425B">
      <w:pPr>
        <w:pStyle w:val="Bullet"/>
        <w:rPr>
          <w:rFonts w:eastAsia="Segoe UI"/>
          <w:szCs w:val="21"/>
        </w:rPr>
      </w:pPr>
      <w:r w:rsidRPr="009B783C">
        <w:rPr>
          <w:szCs w:val="21"/>
        </w:rPr>
        <w:t>Data is incomplete, covering only 400,564 of 784,0</w:t>
      </w:r>
      <w:r w:rsidR="008042F5" w:rsidRPr="009B783C">
        <w:rPr>
          <w:szCs w:val="21"/>
        </w:rPr>
        <w:t>71</w:t>
      </w:r>
      <w:r w:rsidRPr="009B783C">
        <w:rPr>
          <w:szCs w:val="21"/>
        </w:rPr>
        <w:t xml:space="preserve"> presentations. Detailed data is unavailable for the three small remote clinics in the NT, five ACT Medicare UCCs and four Medicare UCCs that opened after 1 September 2024. Some clinics only provided aggregate counts of activity prior to implementation of the Medicare UCC </w:t>
      </w:r>
      <w:r w:rsidR="004E7366" w:rsidRPr="009B783C">
        <w:rPr>
          <w:szCs w:val="21"/>
        </w:rPr>
        <w:t>Module</w:t>
      </w:r>
      <w:r w:rsidR="00217004" w:rsidRPr="009B783C">
        <w:rPr>
          <w:szCs w:val="21"/>
        </w:rPr>
        <w:t xml:space="preserve"> data</w:t>
      </w:r>
      <w:r w:rsidRPr="009B783C">
        <w:rPr>
          <w:szCs w:val="21"/>
        </w:rPr>
        <w:t xml:space="preserve">. Additionally, aggregate counts are provided where the patient specifically requested that data not be released through the Medicare UCC </w:t>
      </w:r>
      <w:r w:rsidR="004E7366" w:rsidRPr="009B783C">
        <w:rPr>
          <w:szCs w:val="21"/>
        </w:rPr>
        <w:t>Module</w:t>
      </w:r>
      <w:r w:rsidRPr="009B783C">
        <w:rPr>
          <w:szCs w:val="21"/>
        </w:rPr>
        <w:t xml:space="preserve">. See section </w:t>
      </w:r>
      <w:r w:rsidR="001B616E" w:rsidRPr="009B783C">
        <w:rPr>
          <w:szCs w:val="21"/>
        </w:rPr>
        <w:fldChar w:fldCharType="begin"/>
      </w:r>
      <w:r w:rsidR="001B616E" w:rsidRPr="009B783C">
        <w:rPr>
          <w:szCs w:val="21"/>
        </w:rPr>
        <w:instrText xml:space="preserve"> REF _Ref185478021 \n \h </w:instrText>
      </w:r>
      <w:r w:rsidR="00F5425B" w:rsidRPr="009B783C">
        <w:rPr>
          <w:szCs w:val="21"/>
        </w:rPr>
        <w:instrText xml:space="preserve"> \* MERGEFORMAT </w:instrText>
      </w:r>
      <w:r w:rsidR="001B616E" w:rsidRPr="009B783C">
        <w:rPr>
          <w:szCs w:val="21"/>
        </w:rPr>
      </w:r>
      <w:r w:rsidR="001B616E" w:rsidRPr="009B783C">
        <w:rPr>
          <w:szCs w:val="21"/>
        </w:rPr>
        <w:fldChar w:fldCharType="separate"/>
      </w:r>
      <w:r w:rsidR="0031172E" w:rsidRPr="009B783C">
        <w:rPr>
          <w:szCs w:val="21"/>
        </w:rPr>
        <w:t>3.4</w:t>
      </w:r>
      <w:r w:rsidR="001B616E" w:rsidRPr="009B783C">
        <w:rPr>
          <w:szCs w:val="21"/>
        </w:rPr>
        <w:fldChar w:fldCharType="end"/>
      </w:r>
      <w:r w:rsidRPr="009B783C">
        <w:rPr>
          <w:szCs w:val="21"/>
        </w:rPr>
        <w:t xml:space="preserve"> for further information regarding data issues.</w:t>
      </w:r>
      <w:r w:rsidR="008A611A" w:rsidRPr="009B783C">
        <w:rPr>
          <w:szCs w:val="21"/>
        </w:rPr>
        <w:t xml:space="preserve"> </w:t>
      </w:r>
      <w:bookmarkEnd w:id="155"/>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ED38B8" w:rsidRPr="009B783C" w14:paraId="02DF513A" w14:textId="77777777" w:rsidTr="003E79FA">
        <w:tc>
          <w:tcPr>
            <w:tcW w:w="8908" w:type="dxa"/>
          </w:tcPr>
          <w:bookmarkEnd w:id="151"/>
          <w:p w14:paraId="526972F7" w14:textId="561F7BE1" w:rsidR="00ED38B8" w:rsidRPr="009B783C" w:rsidRDefault="006D5275"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326C6159" w14:textId="3ED8C3B4" w:rsidR="00ED38B8" w:rsidRPr="009B783C" w:rsidRDefault="00ED38B8" w:rsidP="00F5425B">
            <w:pPr>
              <w:pStyle w:val="Longformcallout"/>
              <w:rPr>
                <w:szCs w:val="21"/>
              </w:rPr>
            </w:pPr>
            <w:r w:rsidRPr="009B783C">
              <w:rPr>
                <w:szCs w:val="21"/>
              </w:rPr>
              <w:t>In the period to 30 September 2024</w:t>
            </w:r>
            <w:r w:rsidR="003E6A4A" w:rsidRPr="009B783C">
              <w:rPr>
                <w:szCs w:val="21"/>
              </w:rPr>
              <w:t>,</w:t>
            </w:r>
            <w:r w:rsidRPr="009B783C">
              <w:rPr>
                <w:szCs w:val="21"/>
              </w:rPr>
              <w:t xml:space="preserve"> it was reported that </w:t>
            </w:r>
            <w:r w:rsidR="003C10D7" w:rsidRPr="009B783C">
              <w:rPr>
                <w:szCs w:val="21"/>
              </w:rPr>
              <w:t xml:space="preserve">46 per cent of </w:t>
            </w:r>
            <w:r w:rsidR="0080031E" w:rsidRPr="009B783C">
              <w:rPr>
                <w:szCs w:val="21"/>
              </w:rPr>
              <w:t>p</w:t>
            </w:r>
            <w:r w:rsidR="00735885" w:rsidRPr="009B783C">
              <w:rPr>
                <w:szCs w:val="21"/>
              </w:rPr>
              <w:t>atients</w:t>
            </w:r>
            <w:r w:rsidR="0080031E" w:rsidRPr="009B783C">
              <w:rPr>
                <w:szCs w:val="21"/>
              </w:rPr>
              <w:t xml:space="preserve"> </w:t>
            </w:r>
            <w:r w:rsidR="008017EB" w:rsidRPr="009B783C">
              <w:rPr>
                <w:szCs w:val="21"/>
              </w:rPr>
              <w:t>(</w:t>
            </w:r>
            <w:r w:rsidR="00CC6183" w:rsidRPr="009B783C">
              <w:rPr>
                <w:szCs w:val="21"/>
              </w:rPr>
              <w:t xml:space="preserve">183,507 </w:t>
            </w:r>
            <w:r w:rsidRPr="009B783C">
              <w:rPr>
                <w:szCs w:val="21"/>
              </w:rPr>
              <w:t xml:space="preserve">of </w:t>
            </w:r>
            <w:r w:rsidR="0081184A" w:rsidRPr="009B783C">
              <w:rPr>
                <w:szCs w:val="21"/>
              </w:rPr>
              <w:t>400,564 presentation</w:t>
            </w:r>
            <w:r w:rsidR="00CF5900" w:rsidRPr="009B783C">
              <w:rPr>
                <w:szCs w:val="21"/>
              </w:rPr>
              <w:t>s</w:t>
            </w:r>
            <w:r w:rsidR="00F144E1" w:rsidRPr="009B783C">
              <w:rPr>
                <w:szCs w:val="21"/>
              </w:rPr>
              <w:t xml:space="preserve"> for which there was data</w:t>
            </w:r>
            <w:r w:rsidR="00541091" w:rsidRPr="009B783C">
              <w:rPr>
                <w:szCs w:val="21"/>
              </w:rPr>
              <w:t>)</w:t>
            </w:r>
            <w:r w:rsidR="0081184A" w:rsidRPr="009B783C">
              <w:rPr>
                <w:szCs w:val="21"/>
              </w:rPr>
              <w:t xml:space="preserve"> </w:t>
            </w:r>
            <w:r w:rsidRPr="009B783C">
              <w:rPr>
                <w:szCs w:val="21"/>
              </w:rPr>
              <w:t>would have sought care at an ED if the Medicare UCC was unavailable</w:t>
            </w:r>
            <w:r w:rsidR="004B2D7B" w:rsidRPr="009B783C">
              <w:rPr>
                <w:szCs w:val="21"/>
              </w:rPr>
              <w:t>. T</w:t>
            </w:r>
            <w:r w:rsidRPr="009B783C">
              <w:rPr>
                <w:szCs w:val="21"/>
              </w:rPr>
              <w:t>his increased to 49 per</w:t>
            </w:r>
            <w:r w:rsidR="00B83FE5" w:rsidRPr="009B783C">
              <w:rPr>
                <w:szCs w:val="21"/>
              </w:rPr>
              <w:t xml:space="preserve"> </w:t>
            </w:r>
            <w:r w:rsidRPr="009B783C">
              <w:rPr>
                <w:szCs w:val="21"/>
              </w:rPr>
              <w:t xml:space="preserve">cent after hours, presumably due to </w:t>
            </w:r>
            <w:proofErr w:type="gramStart"/>
            <w:r w:rsidR="00304A3D" w:rsidRPr="009B783C">
              <w:rPr>
                <w:szCs w:val="21"/>
              </w:rPr>
              <w:t>limited</w:t>
            </w:r>
            <w:r w:rsidR="00752A39" w:rsidRPr="009B783C">
              <w:rPr>
                <w:szCs w:val="21"/>
              </w:rPr>
              <w:t xml:space="preserve"> </w:t>
            </w:r>
            <w:r w:rsidRPr="009B783C">
              <w:rPr>
                <w:szCs w:val="21"/>
              </w:rPr>
              <w:t>service</w:t>
            </w:r>
            <w:proofErr w:type="gramEnd"/>
            <w:r w:rsidRPr="009B783C">
              <w:rPr>
                <w:szCs w:val="21"/>
              </w:rPr>
              <w:t xml:space="preserve"> availability. </w:t>
            </w:r>
            <w:r w:rsidR="00580A5C" w:rsidRPr="009B783C">
              <w:rPr>
                <w:szCs w:val="21"/>
              </w:rPr>
              <w:t xml:space="preserve">The evaluation estimates </w:t>
            </w:r>
            <w:r w:rsidR="003134F1" w:rsidRPr="009B783C">
              <w:rPr>
                <w:szCs w:val="21"/>
              </w:rPr>
              <w:t>that 33</w:t>
            </w:r>
            <w:r w:rsidR="002E39C0" w:rsidRPr="009B783C">
              <w:rPr>
                <w:szCs w:val="21"/>
              </w:rPr>
              <w:t>4</w:t>
            </w:r>
            <w:r w:rsidR="003134F1" w:rsidRPr="009B783C">
              <w:rPr>
                <w:szCs w:val="21"/>
              </w:rPr>
              <w:t xml:space="preserve">,000 </w:t>
            </w:r>
            <w:r w:rsidR="00AA113D" w:rsidRPr="009B783C">
              <w:rPr>
                <w:szCs w:val="21"/>
              </w:rPr>
              <w:t xml:space="preserve">presentations </w:t>
            </w:r>
            <w:r w:rsidR="00C03F4F" w:rsidRPr="009B783C">
              <w:rPr>
                <w:szCs w:val="21"/>
              </w:rPr>
              <w:t xml:space="preserve">to partner </w:t>
            </w:r>
            <w:r w:rsidR="0059403C" w:rsidRPr="009B783C">
              <w:rPr>
                <w:szCs w:val="21"/>
              </w:rPr>
              <w:t xml:space="preserve">hospital </w:t>
            </w:r>
            <w:r w:rsidR="00AA113D" w:rsidRPr="009B783C">
              <w:rPr>
                <w:szCs w:val="21"/>
              </w:rPr>
              <w:t>ED</w:t>
            </w:r>
            <w:r w:rsidR="0059403C" w:rsidRPr="009B783C">
              <w:rPr>
                <w:szCs w:val="21"/>
              </w:rPr>
              <w:t>s</w:t>
            </w:r>
            <w:r w:rsidR="00C03F4F" w:rsidRPr="009B783C">
              <w:rPr>
                <w:szCs w:val="21"/>
              </w:rPr>
              <w:t xml:space="preserve"> </w:t>
            </w:r>
            <w:r w:rsidR="005D0E5F" w:rsidRPr="009B783C">
              <w:rPr>
                <w:szCs w:val="21"/>
              </w:rPr>
              <w:t>would have been</w:t>
            </w:r>
            <w:r w:rsidR="00C03F4F" w:rsidRPr="009B783C">
              <w:rPr>
                <w:szCs w:val="21"/>
              </w:rPr>
              <w:t xml:space="preserve"> avoided </w:t>
            </w:r>
            <w:r w:rsidR="005D0E5F" w:rsidRPr="009B783C">
              <w:rPr>
                <w:szCs w:val="21"/>
              </w:rPr>
              <w:t>across a year</w:t>
            </w:r>
            <w:r w:rsidR="00C03F4F" w:rsidRPr="009B783C">
              <w:rPr>
                <w:szCs w:val="21"/>
              </w:rPr>
              <w:t xml:space="preserve"> due to the Medicare UCC</w:t>
            </w:r>
            <w:r w:rsidR="009E4A39" w:rsidRPr="009B783C">
              <w:rPr>
                <w:szCs w:val="21"/>
              </w:rPr>
              <w:t>s</w:t>
            </w:r>
            <w:r w:rsidR="00C03F4F" w:rsidRPr="009B783C">
              <w:rPr>
                <w:szCs w:val="21"/>
              </w:rPr>
              <w:t>.</w:t>
            </w:r>
          </w:p>
        </w:tc>
      </w:tr>
    </w:tbl>
    <w:p w14:paraId="2EE7F8D5" w14:textId="4649804D" w:rsidR="00ED38B8" w:rsidRPr="009B783C" w:rsidRDefault="00ED38B8" w:rsidP="00F5425B">
      <w:pPr>
        <w:spacing w:before="240"/>
        <w:rPr>
          <w:szCs w:val="21"/>
        </w:rPr>
      </w:pPr>
      <w:r w:rsidRPr="009B783C">
        <w:rPr>
          <w:szCs w:val="21"/>
        </w:rPr>
        <w:fldChar w:fldCharType="begin"/>
      </w:r>
      <w:r w:rsidRPr="009B783C">
        <w:rPr>
          <w:szCs w:val="21"/>
        </w:rPr>
        <w:instrText xml:space="preserve"> REF _Ref184648346 \h </w:instrText>
      </w:r>
      <w:r w:rsidR="00F5425B" w:rsidRPr="009B783C">
        <w:rPr>
          <w:szCs w:val="21"/>
        </w:rPr>
        <w:instrText xml:space="preserve"> \* MERGEFORMAT </w:instrText>
      </w:r>
      <w:r w:rsidRPr="009B783C">
        <w:rPr>
          <w:szCs w:val="21"/>
        </w:rPr>
      </w:r>
      <w:r w:rsidRPr="009B783C">
        <w:rPr>
          <w:szCs w:val="21"/>
        </w:rPr>
        <w:fldChar w:fldCharType="separate"/>
      </w:r>
      <w:r w:rsidR="006D5275" w:rsidRPr="009B783C">
        <w:rPr>
          <w:szCs w:val="21"/>
        </w:rPr>
        <w:t xml:space="preserve">Figure </w:t>
      </w:r>
      <w:r w:rsidR="006D5275">
        <w:rPr>
          <w:szCs w:val="21"/>
        </w:rPr>
        <w:t>12</w:t>
      </w:r>
      <w:r w:rsidRPr="009B783C">
        <w:rPr>
          <w:szCs w:val="21"/>
        </w:rPr>
        <w:fldChar w:fldCharType="end"/>
      </w:r>
      <w:r w:rsidR="009346EF" w:rsidRPr="009B783C">
        <w:rPr>
          <w:szCs w:val="21"/>
        </w:rPr>
        <w:t xml:space="preserve"> </w:t>
      </w:r>
      <w:r w:rsidR="00427F0B" w:rsidRPr="009B783C">
        <w:rPr>
          <w:szCs w:val="21"/>
        </w:rPr>
        <w:t>shows where patients would have otherwise gone based on a measure of relative socio-economic disadvantage</w:t>
      </w:r>
      <w:r w:rsidR="00211B35" w:rsidRPr="009B783C">
        <w:rPr>
          <w:szCs w:val="21"/>
        </w:rPr>
        <w:t>,</w:t>
      </w:r>
      <w:r w:rsidR="00427F0B" w:rsidRPr="009B783C">
        <w:rPr>
          <w:szCs w:val="21"/>
        </w:rPr>
        <w:t xml:space="preserve"> using the quintiles of the ABS IRS</w:t>
      </w:r>
      <w:r w:rsidR="008D3B48" w:rsidRPr="009B783C">
        <w:rPr>
          <w:szCs w:val="21"/>
        </w:rPr>
        <w:t>D</w:t>
      </w:r>
      <w:r w:rsidR="00427F0B" w:rsidRPr="009B783C">
        <w:rPr>
          <w:szCs w:val="21"/>
        </w:rPr>
        <w:t xml:space="preserve">. This shows that the option of attending an ED was slightly higher for patients living in </w:t>
      </w:r>
      <w:r w:rsidR="004D397E" w:rsidRPr="009B783C">
        <w:rPr>
          <w:szCs w:val="21"/>
        </w:rPr>
        <w:t>Q</w:t>
      </w:r>
      <w:r w:rsidR="00427F0B" w:rsidRPr="009B783C">
        <w:rPr>
          <w:szCs w:val="21"/>
        </w:rPr>
        <w:t xml:space="preserve">uintile </w:t>
      </w:r>
      <w:r w:rsidR="004D397E" w:rsidRPr="009B783C">
        <w:rPr>
          <w:szCs w:val="21"/>
        </w:rPr>
        <w:t>3</w:t>
      </w:r>
      <w:r w:rsidR="00055EEB" w:rsidRPr="009B783C">
        <w:rPr>
          <w:szCs w:val="21"/>
        </w:rPr>
        <w:t xml:space="preserve"> </w:t>
      </w:r>
      <w:r w:rsidR="00427F0B" w:rsidRPr="009B783C">
        <w:rPr>
          <w:szCs w:val="21"/>
        </w:rPr>
        <w:t xml:space="preserve">areas, but lower for patients living in </w:t>
      </w:r>
      <w:r w:rsidR="004D397E" w:rsidRPr="009B783C">
        <w:rPr>
          <w:szCs w:val="21"/>
        </w:rPr>
        <w:t>Q</w:t>
      </w:r>
      <w:r w:rsidR="00427F0B" w:rsidRPr="009B783C">
        <w:rPr>
          <w:szCs w:val="21"/>
        </w:rPr>
        <w:t xml:space="preserve">uintiles </w:t>
      </w:r>
      <w:r w:rsidR="004D397E" w:rsidRPr="009B783C">
        <w:rPr>
          <w:szCs w:val="21"/>
        </w:rPr>
        <w:t>4</w:t>
      </w:r>
      <w:r w:rsidR="00055EEB" w:rsidRPr="009B783C">
        <w:rPr>
          <w:szCs w:val="21"/>
        </w:rPr>
        <w:t xml:space="preserve"> and </w:t>
      </w:r>
      <w:r w:rsidR="004D397E" w:rsidRPr="009B783C">
        <w:rPr>
          <w:szCs w:val="21"/>
        </w:rPr>
        <w:t>5</w:t>
      </w:r>
      <w:r w:rsidR="00427F0B" w:rsidRPr="009B783C">
        <w:rPr>
          <w:szCs w:val="21"/>
        </w:rPr>
        <w:t xml:space="preserve"> (least disadvantaged) areas. This suggests that for people living in less disadvantaged areas requiring urgent care, there may be greater access to alternatives other than </w:t>
      </w:r>
      <w:proofErr w:type="spellStart"/>
      <w:r w:rsidR="00427F0B" w:rsidRPr="009B783C">
        <w:rPr>
          <w:szCs w:val="21"/>
        </w:rPr>
        <w:t>EDs.</w:t>
      </w:r>
      <w:proofErr w:type="spellEnd"/>
      <w:r w:rsidR="00427F0B" w:rsidRPr="009B783C">
        <w:rPr>
          <w:szCs w:val="21"/>
        </w:rPr>
        <w:t xml:space="preserve"> This pattern may also reflect a slightly different pattern of urgent care needs among people attending Medicare UCCs in less disadvantaged areas.</w:t>
      </w:r>
    </w:p>
    <w:p w14:paraId="1441CF49" w14:textId="5625A35B" w:rsidR="00ED38B8" w:rsidRPr="009B783C" w:rsidRDefault="00ED38B8" w:rsidP="00ED38B8">
      <w:pPr>
        <w:pStyle w:val="Caption"/>
        <w:rPr>
          <w:szCs w:val="21"/>
        </w:rPr>
      </w:pPr>
      <w:bookmarkStart w:id="156" w:name="_Ref184648346"/>
      <w:r w:rsidRPr="009B783C">
        <w:rPr>
          <w:szCs w:val="21"/>
        </w:rPr>
        <w:lastRenderedPageBreak/>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D5275">
        <w:rPr>
          <w:noProof/>
          <w:szCs w:val="21"/>
        </w:rPr>
        <w:t>12</w:t>
      </w:r>
      <w:r w:rsidRPr="009B783C">
        <w:rPr>
          <w:szCs w:val="21"/>
        </w:rPr>
        <w:fldChar w:fldCharType="end"/>
      </w:r>
      <w:bookmarkEnd w:id="156"/>
      <w:r w:rsidRPr="009B783C">
        <w:rPr>
          <w:szCs w:val="21"/>
        </w:rPr>
        <w:t xml:space="preserve"> | Where patient would have gone if the Medicare UCC were not available: </w:t>
      </w:r>
      <w:r w:rsidR="00B37B52" w:rsidRPr="009B783C">
        <w:rPr>
          <w:szCs w:val="21"/>
        </w:rPr>
        <w:t xml:space="preserve">comparison </w:t>
      </w:r>
      <w:r w:rsidRPr="009B783C">
        <w:rPr>
          <w:szCs w:val="21"/>
        </w:rPr>
        <w:t xml:space="preserve">across grouped quintiles of the </w:t>
      </w:r>
      <w:bookmarkStart w:id="157" w:name="_Hlk184759960"/>
      <w:r w:rsidRPr="009B783C">
        <w:rPr>
          <w:szCs w:val="21"/>
        </w:rPr>
        <w:t xml:space="preserve">ABS </w:t>
      </w:r>
      <w:bookmarkEnd w:id="157"/>
      <w:r w:rsidR="005227F4" w:rsidRPr="009B783C">
        <w:rPr>
          <w:szCs w:val="21"/>
        </w:rPr>
        <w:t>IRSD</w:t>
      </w:r>
    </w:p>
    <w:p w14:paraId="3BB9D712" w14:textId="62E0A0EF" w:rsidR="00ED38B8" w:rsidRPr="009B783C" w:rsidRDefault="0024495F" w:rsidP="00C372CD">
      <w:pPr>
        <w:rPr>
          <w:szCs w:val="21"/>
        </w:rPr>
      </w:pPr>
      <w:r>
        <w:rPr>
          <w:noProof/>
        </w:rPr>
        <w:drawing>
          <wp:inline distT="0" distB="0" distL="0" distR="0" wp14:anchorId="2A24E902" wp14:editId="7D7F75DE">
            <wp:extent cx="5669598" cy="2207623"/>
            <wp:effectExtent l="0" t="0" r="7620" b="2540"/>
            <wp:docPr id="17" name="Picture 17" descr="This image presents three horizontal bars which visualise where a patient would have otherwise gone split by ABS IRSD quintil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This image presents three horizontal bars which visualise where a patient would have otherwise gone split by ABS IRSD quintiles ."/>
                    <pic:cNvPicPr>
                      <a:picLocks noChangeAspect="1" noChangeArrowheads="1"/>
                    </pic:cNvPicPr>
                  </pic:nvPicPr>
                  <pic:blipFill rotWithShape="1">
                    <a:blip r:embed="rId42" cstate="print"/>
                    <a:srcRect b="31859"/>
                    <a:stretch/>
                  </pic:blipFill>
                  <pic:spPr bwMode="auto">
                    <a:xfrm>
                      <a:off x="0" y="0"/>
                      <a:ext cx="5670550" cy="2207994"/>
                    </a:xfrm>
                    <a:prstGeom prst="rect">
                      <a:avLst/>
                    </a:prstGeom>
                    <a:noFill/>
                    <a:ln>
                      <a:noFill/>
                    </a:ln>
                    <a:extLst>
                      <a:ext uri="{53640926-AAD7-44D8-BBD7-CCE9431645EC}">
                        <a14:shadowObscured xmlns:a14="http://schemas.microsoft.com/office/drawing/2010/main"/>
                      </a:ext>
                    </a:extLst>
                  </pic:spPr>
                </pic:pic>
              </a:graphicData>
            </a:graphic>
          </wp:inline>
        </w:drawing>
      </w:r>
    </w:p>
    <w:p w14:paraId="653594DC" w14:textId="54F105DA" w:rsidR="00C372CD" w:rsidRPr="009B783C" w:rsidRDefault="000D706D" w:rsidP="00C372CD">
      <w:pPr>
        <w:rPr>
          <w:szCs w:val="21"/>
        </w:rPr>
      </w:pPr>
      <w:r>
        <w:rPr>
          <w:szCs w:val="21"/>
        </w:rPr>
        <w:t xml:space="preserve">Detailed </w:t>
      </w:r>
      <w:r w:rsidR="00C372CD" w:rsidRPr="009B783C">
        <w:rPr>
          <w:szCs w:val="21"/>
        </w:rPr>
        <w:t>description:</w:t>
      </w:r>
    </w:p>
    <w:p w14:paraId="2A986AD2" w14:textId="2558FF49" w:rsidR="003C73D1" w:rsidRPr="009B783C" w:rsidRDefault="00954684" w:rsidP="00C372CD">
      <w:pPr>
        <w:rPr>
          <w:szCs w:val="21"/>
        </w:rPr>
      </w:pPr>
      <w:r w:rsidRPr="009B783C">
        <w:rPr>
          <w:szCs w:val="21"/>
        </w:rPr>
        <w:t xml:space="preserve">Three horizontal bar charts split by </w:t>
      </w:r>
      <w:r w:rsidR="00AD569D">
        <w:rPr>
          <w:szCs w:val="21"/>
        </w:rPr>
        <w:t>ABS IRSD quintiles</w:t>
      </w:r>
      <w:r w:rsidRPr="009B783C">
        <w:rPr>
          <w:szCs w:val="21"/>
        </w:rPr>
        <w:t xml:space="preserve"> visualising the percentage of presentations which would have go</w:t>
      </w:r>
      <w:r w:rsidR="008B1A58" w:rsidRPr="009B783C">
        <w:rPr>
          <w:szCs w:val="21"/>
        </w:rPr>
        <w:t>ne to a GP, ED, or other health service</w:t>
      </w:r>
      <w:r w:rsidR="001A3848">
        <w:rPr>
          <w:szCs w:val="21"/>
        </w:rPr>
        <w:t xml:space="preserve"> if the Medicare UCC was not available</w:t>
      </w:r>
      <w:r w:rsidRPr="009B783C">
        <w:rPr>
          <w:szCs w:val="21"/>
        </w:rPr>
        <w:t>. 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3964"/>
        <w:gridCol w:w="2977"/>
        <w:gridCol w:w="1979"/>
      </w:tblGrid>
      <w:tr w:rsidR="006950D9" w:rsidRPr="009B783C" w14:paraId="3B7BD633" w14:textId="77777777" w:rsidTr="000C20F4">
        <w:trPr>
          <w:tblHeader/>
        </w:trPr>
        <w:tc>
          <w:tcPr>
            <w:tcW w:w="3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0487FE5A" w14:textId="1DC23DFA" w:rsidR="006950D9" w:rsidRPr="009B783C" w:rsidRDefault="006950D9" w:rsidP="00C372CD">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Socio-economic quintile</w:t>
            </w:r>
          </w:p>
        </w:tc>
        <w:tc>
          <w:tcPr>
            <w:tcW w:w="29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70357DF6" w14:textId="044566E9" w:rsidR="006950D9" w:rsidRPr="009B783C" w:rsidRDefault="00B264E5" w:rsidP="00C372CD">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Where the patient would have gone otherwise</w:t>
            </w:r>
          </w:p>
        </w:tc>
        <w:tc>
          <w:tcPr>
            <w:tcW w:w="19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F2E3A35" w14:textId="57573F77" w:rsidR="006950D9" w:rsidRPr="009B783C" w:rsidRDefault="00B264E5" w:rsidP="00C372CD">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Presentation (%)</w:t>
            </w:r>
          </w:p>
        </w:tc>
      </w:tr>
      <w:tr w:rsidR="00071052" w:rsidRPr="009B783C" w14:paraId="139B1159" w14:textId="77777777" w:rsidTr="00071052">
        <w:tc>
          <w:tcPr>
            <w:tcW w:w="3964" w:type="dxa"/>
            <w:tcBorders>
              <w:top w:val="single" w:sz="4" w:space="0" w:color="FFFFFF" w:themeColor="background1"/>
            </w:tcBorders>
            <w:vAlign w:val="bottom"/>
          </w:tcPr>
          <w:p w14:paraId="18D53F4B" w14:textId="4CF7A0B0"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1 &amp; 2: Most disadvantaged</w:t>
            </w:r>
          </w:p>
        </w:tc>
        <w:tc>
          <w:tcPr>
            <w:tcW w:w="2977" w:type="dxa"/>
            <w:tcBorders>
              <w:top w:val="single" w:sz="4" w:space="0" w:color="FFFFFF" w:themeColor="background1"/>
            </w:tcBorders>
            <w:vAlign w:val="bottom"/>
          </w:tcPr>
          <w:p w14:paraId="47E9CEC7" w14:textId="7590C0FB"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tcBorders>
              <w:top w:val="single" w:sz="4" w:space="0" w:color="FFFFFF" w:themeColor="background1"/>
            </w:tcBorders>
            <w:vAlign w:val="bottom"/>
          </w:tcPr>
          <w:p w14:paraId="6FAE7A69" w14:textId="326856E9"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50.6</w:t>
            </w:r>
          </w:p>
        </w:tc>
      </w:tr>
      <w:tr w:rsidR="00071052" w:rsidRPr="009B783C" w14:paraId="60BECB52" w14:textId="77777777" w:rsidTr="00071052">
        <w:tc>
          <w:tcPr>
            <w:tcW w:w="3964" w:type="dxa"/>
            <w:vAlign w:val="bottom"/>
          </w:tcPr>
          <w:p w14:paraId="3EF538E8" w14:textId="44A25495"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1 &amp; 2: Most disadvantaged</w:t>
            </w:r>
          </w:p>
        </w:tc>
        <w:tc>
          <w:tcPr>
            <w:tcW w:w="2977" w:type="dxa"/>
            <w:vAlign w:val="bottom"/>
          </w:tcPr>
          <w:p w14:paraId="6094F140" w14:textId="4D4850CC"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4CF7FD57" w14:textId="67DAFF42"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45.2</w:t>
            </w:r>
          </w:p>
        </w:tc>
      </w:tr>
      <w:tr w:rsidR="00071052" w:rsidRPr="009B783C" w14:paraId="064AC4E5" w14:textId="77777777" w:rsidTr="00071052">
        <w:tc>
          <w:tcPr>
            <w:tcW w:w="3964" w:type="dxa"/>
            <w:vAlign w:val="bottom"/>
          </w:tcPr>
          <w:p w14:paraId="6118C168" w14:textId="16E2EB7C"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1 &amp; 2: Most disadvantaged</w:t>
            </w:r>
          </w:p>
        </w:tc>
        <w:tc>
          <w:tcPr>
            <w:tcW w:w="2977" w:type="dxa"/>
            <w:vAlign w:val="bottom"/>
          </w:tcPr>
          <w:p w14:paraId="0DC098D6" w14:textId="6A508670"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30B40C5B" w14:textId="577F8647"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4.3</w:t>
            </w:r>
          </w:p>
        </w:tc>
      </w:tr>
      <w:tr w:rsidR="00071052" w:rsidRPr="009B783C" w14:paraId="03EB468C" w14:textId="77777777" w:rsidTr="00071052">
        <w:tc>
          <w:tcPr>
            <w:tcW w:w="3964" w:type="dxa"/>
            <w:vAlign w:val="bottom"/>
          </w:tcPr>
          <w:p w14:paraId="16B90CB2" w14:textId="6919896B"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 3</w:t>
            </w:r>
          </w:p>
        </w:tc>
        <w:tc>
          <w:tcPr>
            <w:tcW w:w="2977" w:type="dxa"/>
            <w:vAlign w:val="bottom"/>
          </w:tcPr>
          <w:p w14:paraId="5428B5B2" w14:textId="2E4258D8"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vAlign w:val="bottom"/>
          </w:tcPr>
          <w:p w14:paraId="38CF4DDF" w14:textId="524F42EF"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46.9</w:t>
            </w:r>
          </w:p>
        </w:tc>
      </w:tr>
      <w:tr w:rsidR="00071052" w:rsidRPr="009B783C" w14:paraId="285A08F1" w14:textId="77777777" w:rsidTr="00071052">
        <w:tc>
          <w:tcPr>
            <w:tcW w:w="3964" w:type="dxa"/>
            <w:vAlign w:val="bottom"/>
          </w:tcPr>
          <w:p w14:paraId="1268FA6D" w14:textId="13B9CED3"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 3</w:t>
            </w:r>
          </w:p>
        </w:tc>
        <w:tc>
          <w:tcPr>
            <w:tcW w:w="2977" w:type="dxa"/>
            <w:vAlign w:val="bottom"/>
          </w:tcPr>
          <w:p w14:paraId="605BEABB" w14:textId="42572E5C"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4148FE8C" w14:textId="45C7AF4E"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50.6</w:t>
            </w:r>
          </w:p>
        </w:tc>
      </w:tr>
      <w:tr w:rsidR="00071052" w:rsidRPr="009B783C" w14:paraId="7E8E844F" w14:textId="77777777" w:rsidTr="00071052">
        <w:tc>
          <w:tcPr>
            <w:tcW w:w="3964" w:type="dxa"/>
            <w:vAlign w:val="bottom"/>
          </w:tcPr>
          <w:p w14:paraId="279ABD62" w14:textId="5A403F48"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 3</w:t>
            </w:r>
          </w:p>
        </w:tc>
        <w:tc>
          <w:tcPr>
            <w:tcW w:w="2977" w:type="dxa"/>
            <w:vAlign w:val="bottom"/>
          </w:tcPr>
          <w:p w14:paraId="76602FE4" w14:textId="259A5BBC"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631A2F1E" w14:textId="189D0D11"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2.4</w:t>
            </w:r>
          </w:p>
        </w:tc>
      </w:tr>
      <w:tr w:rsidR="00071052" w:rsidRPr="009B783C" w14:paraId="742E774E" w14:textId="77777777" w:rsidTr="00071052">
        <w:tc>
          <w:tcPr>
            <w:tcW w:w="3964" w:type="dxa"/>
          </w:tcPr>
          <w:p w14:paraId="128AE507" w14:textId="1CEC5B30"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4 &amp; 5: Least disadvantaged</w:t>
            </w:r>
          </w:p>
        </w:tc>
        <w:tc>
          <w:tcPr>
            <w:tcW w:w="2977" w:type="dxa"/>
            <w:vAlign w:val="bottom"/>
          </w:tcPr>
          <w:p w14:paraId="75810805" w14:textId="2DBE0CBF"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vAlign w:val="bottom"/>
          </w:tcPr>
          <w:p w14:paraId="721D96C8" w14:textId="389F5D49"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55</w:t>
            </w:r>
            <w:r w:rsidR="003A205F">
              <w:rPr>
                <w:rFonts w:asciiTheme="minorHAnsi" w:hAnsiTheme="minorHAnsi" w:cstheme="minorHAnsi"/>
                <w:color w:val="000000"/>
                <w:szCs w:val="21"/>
              </w:rPr>
              <w:t>.0</w:t>
            </w:r>
          </w:p>
        </w:tc>
      </w:tr>
      <w:tr w:rsidR="00071052" w:rsidRPr="009B783C" w14:paraId="2EEDA29E" w14:textId="77777777" w:rsidTr="00071052">
        <w:tc>
          <w:tcPr>
            <w:tcW w:w="3964" w:type="dxa"/>
          </w:tcPr>
          <w:p w14:paraId="35A3E6E5" w14:textId="7F8E2378"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4 &amp; 5: Least disadvantaged</w:t>
            </w:r>
          </w:p>
        </w:tc>
        <w:tc>
          <w:tcPr>
            <w:tcW w:w="2977" w:type="dxa"/>
            <w:vAlign w:val="bottom"/>
          </w:tcPr>
          <w:p w14:paraId="6BDDA6E5" w14:textId="6EFBBFDE"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315898E0" w14:textId="302ABFB7"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39.7</w:t>
            </w:r>
          </w:p>
        </w:tc>
      </w:tr>
      <w:tr w:rsidR="00071052" w:rsidRPr="009B783C" w14:paraId="025DD486" w14:textId="77777777" w:rsidTr="00071052">
        <w:tc>
          <w:tcPr>
            <w:tcW w:w="3964" w:type="dxa"/>
          </w:tcPr>
          <w:p w14:paraId="6D8447AF" w14:textId="4127D8FA"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Quintiles 4 &amp; 5: Least disadvantaged</w:t>
            </w:r>
          </w:p>
        </w:tc>
        <w:tc>
          <w:tcPr>
            <w:tcW w:w="2977" w:type="dxa"/>
            <w:vAlign w:val="bottom"/>
          </w:tcPr>
          <w:p w14:paraId="06BEFEF0" w14:textId="4AFCA89A" w:rsidR="00071052" w:rsidRPr="009B783C" w:rsidRDefault="00071052" w:rsidP="00071052">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6846E220" w14:textId="730999E2" w:rsidR="00071052" w:rsidRPr="009B783C" w:rsidRDefault="00071052" w:rsidP="001A3848">
            <w:pPr>
              <w:jc w:val="center"/>
              <w:rPr>
                <w:rFonts w:asciiTheme="minorHAnsi" w:hAnsiTheme="minorHAnsi" w:cstheme="minorHAnsi"/>
                <w:szCs w:val="21"/>
              </w:rPr>
            </w:pPr>
            <w:r w:rsidRPr="009B783C">
              <w:rPr>
                <w:rFonts w:asciiTheme="minorHAnsi" w:hAnsiTheme="minorHAnsi" w:cstheme="minorHAnsi"/>
                <w:color w:val="000000"/>
                <w:szCs w:val="21"/>
              </w:rPr>
              <w:t>5.3</w:t>
            </w:r>
          </w:p>
        </w:tc>
      </w:tr>
    </w:tbl>
    <w:p w14:paraId="3E321B8D" w14:textId="1143CDA0" w:rsidR="00AB5D15" w:rsidRPr="009B783C" w:rsidRDefault="00ED38B8" w:rsidP="00606C34">
      <w:pPr>
        <w:rPr>
          <w:rFonts w:eastAsia="Segoe UI" w:cs="Segoe UI"/>
          <w:color w:val="000000"/>
        </w:rPr>
      </w:pPr>
      <w:r w:rsidRPr="009B783C">
        <w:t xml:space="preserve">Notes: Comparison is across </w:t>
      </w:r>
      <w:r w:rsidR="00055EEB" w:rsidRPr="009B783C">
        <w:t>q</w:t>
      </w:r>
      <w:r w:rsidR="003E6A4A" w:rsidRPr="009B783C">
        <w:t>uintiles</w:t>
      </w:r>
      <w:r w:rsidRPr="009B783C">
        <w:t xml:space="preserve"> of IRSD based on the location of the Medicare UCC. </w:t>
      </w:r>
      <w:r w:rsidR="00A43507" w:rsidRPr="009B783C">
        <w:t>Chart</w:t>
      </w:r>
      <w:r w:rsidRPr="009B783C">
        <w:t xml:space="preserve"> reflects data from 30 June 2023 to 30 September 2024 and extracted on 6 November 2024. </w:t>
      </w:r>
      <w:r w:rsidR="00055EEB" w:rsidRPr="009B783C">
        <w:t>“</w:t>
      </w:r>
      <w:r w:rsidRPr="009B783C">
        <w:t xml:space="preserve">Not </w:t>
      </w:r>
      <w:r w:rsidR="00055EEB" w:rsidRPr="009B783C">
        <w:t>recorded”</w:t>
      </w:r>
      <w:r w:rsidRPr="009B783C">
        <w:t xml:space="preserve"> presentations were excluded when calculating percentages. The variable </w:t>
      </w:r>
      <w:r w:rsidR="00055EEB" w:rsidRPr="009B783C">
        <w:t>”</w:t>
      </w:r>
      <w:r w:rsidRPr="009B783C">
        <w:t xml:space="preserve">where the patient would have </w:t>
      </w:r>
      <w:r w:rsidR="00055EEB" w:rsidRPr="009B783C">
        <w:t>gone”</w:t>
      </w:r>
      <w:r w:rsidRPr="009B783C">
        <w:t xml:space="preserve"> was not recorded for: 23.8</w:t>
      </w:r>
      <w:r w:rsidR="003D1F51" w:rsidRPr="009B783C">
        <w:t xml:space="preserve"> per cent</w:t>
      </w:r>
      <w:r w:rsidRPr="009B783C">
        <w:t xml:space="preserve"> of presentations (14,154) in </w:t>
      </w:r>
      <w:r w:rsidR="00B8668C" w:rsidRPr="009B783C">
        <w:t>Q</w:t>
      </w:r>
      <w:r w:rsidR="003E6A4A" w:rsidRPr="009B783C">
        <w:t xml:space="preserve">uintiles </w:t>
      </w:r>
      <w:r w:rsidR="00B8668C" w:rsidRPr="009B783C">
        <w:t>1</w:t>
      </w:r>
      <w:r w:rsidR="00055EEB" w:rsidRPr="009B783C">
        <w:t xml:space="preserve"> and </w:t>
      </w:r>
      <w:r w:rsidR="00B8668C" w:rsidRPr="009B783C">
        <w:t>2</w:t>
      </w:r>
      <w:r w:rsidRPr="009B783C">
        <w:t>; 23.3</w:t>
      </w:r>
      <w:r w:rsidR="003D1F51" w:rsidRPr="009B783C">
        <w:t xml:space="preserve"> per cent</w:t>
      </w:r>
      <w:r w:rsidRPr="009B783C">
        <w:t xml:space="preserve"> of presentations (5,170) in </w:t>
      </w:r>
      <w:r w:rsidR="00B8668C" w:rsidRPr="009B783C">
        <w:t>Q</w:t>
      </w:r>
      <w:r w:rsidR="003E6A4A" w:rsidRPr="009B783C">
        <w:t xml:space="preserve">uintile </w:t>
      </w:r>
      <w:r w:rsidR="00B8668C" w:rsidRPr="009B783C">
        <w:t>3</w:t>
      </w:r>
      <w:r w:rsidRPr="009B783C">
        <w:t>; 24.8</w:t>
      </w:r>
      <w:r w:rsidR="003D1F51" w:rsidRPr="009B783C">
        <w:t xml:space="preserve"> per cent</w:t>
      </w:r>
      <w:r w:rsidRPr="009B783C">
        <w:t xml:space="preserve"> of presentations (6,591) in </w:t>
      </w:r>
      <w:r w:rsidR="00B8668C" w:rsidRPr="009B783C">
        <w:t>Q</w:t>
      </w:r>
      <w:r w:rsidR="003E6A4A" w:rsidRPr="009B783C">
        <w:t xml:space="preserve">uintiles </w:t>
      </w:r>
      <w:r w:rsidR="00B8668C" w:rsidRPr="009B783C">
        <w:t>4</w:t>
      </w:r>
      <w:r w:rsidR="00055EEB" w:rsidRPr="009B783C">
        <w:t xml:space="preserve"> and </w:t>
      </w:r>
      <w:r w:rsidR="00B8668C" w:rsidRPr="009B783C">
        <w:t>5</w:t>
      </w:r>
      <w:r w:rsidR="003E6A4A" w:rsidRPr="009B783C">
        <w:t>.</w:t>
      </w:r>
      <w:r w:rsidR="00AB5D15" w:rsidRPr="009B783C">
        <w:t xml:space="preserve"> </w:t>
      </w:r>
      <w:r w:rsidR="00AB5D15" w:rsidRPr="009B783C">
        <w:rPr>
          <w:rFonts w:eastAsia="Segoe UI" w:cs="Segoe UI"/>
          <w:color w:val="000000"/>
        </w:rPr>
        <w:t xml:space="preserve">See </w:t>
      </w:r>
      <w:r w:rsidR="00916BFF" w:rsidRPr="009B783C">
        <w:rPr>
          <w:rFonts w:eastAsia="Segoe UI" w:cs="Segoe UI"/>
          <w:color w:val="000000"/>
        </w:rPr>
        <w:t>section</w:t>
      </w:r>
      <w:r w:rsidR="001371B8" w:rsidRPr="009B783C">
        <w:rPr>
          <w:rFonts w:eastAsia="Segoe UI" w:cs="Segoe UI"/>
          <w:color w:val="000000"/>
        </w:rPr>
        <w:t xml:space="preserve"> </w:t>
      </w:r>
      <w:r w:rsidR="001B616E" w:rsidRPr="009B783C">
        <w:rPr>
          <w:rFonts w:eastAsia="Segoe UI" w:cs="Segoe UI"/>
          <w:color w:val="000000"/>
        </w:rPr>
        <w:fldChar w:fldCharType="begin"/>
      </w:r>
      <w:r w:rsidR="001B616E" w:rsidRPr="009B783C">
        <w:rPr>
          <w:rFonts w:eastAsia="Segoe UI" w:cs="Segoe UI"/>
          <w:color w:val="000000"/>
        </w:rPr>
        <w:instrText xml:space="preserve"> REF _Ref185478021 \n \h </w:instrText>
      </w:r>
      <w:r w:rsidR="009B0888" w:rsidRPr="009B783C">
        <w:rPr>
          <w:rFonts w:eastAsia="Segoe UI" w:cs="Segoe UI"/>
          <w:color w:val="000000"/>
        </w:rPr>
        <w:instrText xml:space="preserve"> \* MERGEFORMAT </w:instrText>
      </w:r>
      <w:r w:rsidR="001B616E" w:rsidRPr="009B783C">
        <w:rPr>
          <w:rFonts w:eastAsia="Segoe UI" w:cs="Segoe UI"/>
          <w:color w:val="000000"/>
        </w:rPr>
      </w:r>
      <w:r w:rsidR="001B616E" w:rsidRPr="009B783C">
        <w:rPr>
          <w:rFonts w:eastAsia="Segoe UI" w:cs="Segoe UI"/>
          <w:color w:val="000000"/>
        </w:rPr>
        <w:fldChar w:fldCharType="separate"/>
      </w:r>
      <w:r w:rsidR="0031172E" w:rsidRPr="009B783C">
        <w:rPr>
          <w:rFonts w:eastAsia="Segoe UI" w:cs="Segoe UI"/>
          <w:color w:val="000000"/>
        </w:rPr>
        <w:t>3.4</w:t>
      </w:r>
      <w:r w:rsidR="001B616E" w:rsidRPr="009B783C">
        <w:rPr>
          <w:rFonts w:eastAsia="Segoe UI" w:cs="Segoe UI"/>
          <w:color w:val="000000"/>
        </w:rPr>
        <w:fldChar w:fldCharType="end"/>
      </w:r>
      <w:r w:rsidR="00AB5D15" w:rsidRPr="009B783C">
        <w:rPr>
          <w:rFonts w:eastAsia="Segoe UI" w:cs="Segoe UI"/>
          <w:color w:val="000000"/>
        </w:rPr>
        <w:fldChar w:fldCharType="begin"/>
      </w:r>
      <w:r w:rsidR="00AB5D15" w:rsidRPr="009B783C">
        <w:rPr>
          <w:rFonts w:eastAsia="Segoe UI" w:cs="Segoe UI"/>
          <w:color w:val="000000"/>
        </w:rPr>
        <w:fldChar w:fldCharType="separate"/>
      </w:r>
      <w:r w:rsidR="00AB5D15" w:rsidRPr="009B783C">
        <w:rPr>
          <w:rFonts w:eastAsia="Segoe UI" w:cs="Segoe UI"/>
          <w:color w:val="000000"/>
        </w:rPr>
        <w:fldChar w:fldCharType="end"/>
      </w:r>
      <w:r w:rsidR="00AB5D15" w:rsidRPr="009B783C">
        <w:rPr>
          <w:rFonts w:eastAsia="Segoe UI" w:cs="Segoe UI"/>
          <w:color w:val="000000"/>
        </w:rPr>
        <w:t xml:space="preserve"> for an overview of </w:t>
      </w:r>
      <w:r w:rsidR="00B1089F" w:rsidRPr="009B783C">
        <w:rPr>
          <w:rFonts w:eastAsia="Segoe UI" w:cs="Segoe UI"/>
          <w:color w:val="000000"/>
        </w:rPr>
        <w:t>limitations</w:t>
      </w:r>
      <w:r w:rsidR="00AB5D15" w:rsidRPr="009B783C">
        <w:rPr>
          <w:rFonts w:eastAsia="Segoe UI" w:cs="Segoe UI"/>
          <w:color w:val="000000"/>
        </w:rPr>
        <w:t xml:space="preserve"> related to the Medicare UCC data. </w:t>
      </w:r>
    </w:p>
    <w:p w14:paraId="5C3EF6C8" w14:textId="7D38A7B0" w:rsidR="00ED38B8" w:rsidRPr="009B783C" w:rsidRDefault="00ED38B8" w:rsidP="00F5425B">
      <w:pPr>
        <w:spacing w:before="240"/>
        <w:rPr>
          <w:szCs w:val="21"/>
        </w:rPr>
      </w:pPr>
      <w:r w:rsidRPr="009B783C">
        <w:rPr>
          <w:szCs w:val="21"/>
        </w:rPr>
        <w:lastRenderedPageBreak/>
        <w:fldChar w:fldCharType="begin"/>
      </w:r>
      <w:r w:rsidRPr="009B783C">
        <w:rPr>
          <w:szCs w:val="21"/>
        </w:rPr>
        <w:instrText xml:space="preserve"> REF _Ref184648440 \h </w:instrText>
      </w:r>
      <w:r w:rsidR="00F5425B" w:rsidRPr="009B783C">
        <w:rPr>
          <w:szCs w:val="21"/>
        </w:rPr>
        <w:instrText xml:space="preserve"> \* MERGEFORMAT </w:instrText>
      </w:r>
      <w:r w:rsidRPr="009B783C">
        <w:rPr>
          <w:szCs w:val="21"/>
        </w:rPr>
      </w:r>
      <w:r w:rsidRPr="009B783C">
        <w:rPr>
          <w:szCs w:val="21"/>
        </w:rPr>
        <w:fldChar w:fldCharType="separate"/>
      </w:r>
      <w:r w:rsidR="006D5275" w:rsidRPr="009B783C">
        <w:rPr>
          <w:szCs w:val="21"/>
        </w:rPr>
        <w:t xml:space="preserve">Figure </w:t>
      </w:r>
      <w:r w:rsidR="006D5275">
        <w:rPr>
          <w:szCs w:val="21"/>
        </w:rPr>
        <w:t>13</w:t>
      </w:r>
      <w:r w:rsidRPr="009B783C">
        <w:rPr>
          <w:szCs w:val="21"/>
        </w:rPr>
        <w:fldChar w:fldCharType="end"/>
      </w:r>
      <w:r w:rsidRPr="009B783C">
        <w:rPr>
          <w:szCs w:val="21"/>
        </w:rPr>
        <w:t xml:space="preserve"> shows where it was reported patients would have gone based on metro/regional/rural and remote using the </w:t>
      </w:r>
      <w:r w:rsidR="003E6A4A" w:rsidRPr="009B783C">
        <w:rPr>
          <w:szCs w:val="21"/>
        </w:rPr>
        <w:t>MM</w:t>
      </w:r>
      <w:r w:rsidR="00055EEB" w:rsidRPr="009B783C">
        <w:rPr>
          <w:szCs w:val="21"/>
        </w:rPr>
        <w:t>M</w:t>
      </w:r>
      <w:r w:rsidRPr="009B783C">
        <w:rPr>
          <w:szCs w:val="21"/>
        </w:rPr>
        <w:t xml:space="preserve"> categories. It was reported that 44 per cent of patients living in MM1 </w:t>
      </w:r>
      <w:r w:rsidR="00F600E3" w:rsidRPr="009B783C">
        <w:rPr>
          <w:szCs w:val="21"/>
        </w:rPr>
        <w:t>(</w:t>
      </w:r>
      <w:r w:rsidRPr="009B783C">
        <w:rPr>
          <w:szCs w:val="21"/>
        </w:rPr>
        <w:t>Metropolitan areas</w:t>
      </w:r>
      <w:r w:rsidR="00F600E3" w:rsidRPr="009B783C">
        <w:rPr>
          <w:szCs w:val="21"/>
        </w:rPr>
        <w:t>)</w:t>
      </w:r>
      <w:r w:rsidRPr="009B783C">
        <w:rPr>
          <w:szCs w:val="21"/>
        </w:rPr>
        <w:t xml:space="preserve"> would have attended a local ED if the Medicare UCC was not available. This increased to </w:t>
      </w:r>
      <w:r w:rsidR="003E6A4A" w:rsidRPr="009B783C">
        <w:rPr>
          <w:szCs w:val="21"/>
        </w:rPr>
        <w:t>4</w:t>
      </w:r>
      <w:r w:rsidR="00494853" w:rsidRPr="009B783C">
        <w:rPr>
          <w:szCs w:val="21"/>
        </w:rPr>
        <w:t>8</w:t>
      </w:r>
      <w:r w:rsidRPr="009B783C">
        <w:rPr>
          <w:szCs w:val="21"/>
        </w:rPr>
        <w:t xml:space="preserve"> per cent for MM2 </w:t>
      </w:r>
      <w:r w:rsidR="00F600E3" w:rsidRPr="009B783C">
        <w:rPr>
          <w:szCs w:val="21"/>
        </w:rPr>
        <w:t>(</w:t>
      </w:r>
      <w:r w:rsidRPr="009B783C">
        <w:rPr>
          <w:szCs w:val="21"/>
        </w:rPr>
        <w:t xml:space="preserve">Regional </w:t>
      </w:r>
      <w:r w:rsidR="003D1F51" w:rsidRPr="009B783C">
        <w:rPr>
          <w:szCs w:val="21"/>
        </w:rPr>
        <w:t>centres</w:t>
      </w:r>
      <w:r w:rsidR="00F600E3" w:rsidRPr="009B783C">
        <w:rPr>
          <w:szCs w:val="21"/>
        </w:rPr>
        <w:t>)</w:t>
      </w:r>
      <w:r w:rsidR="003E6A4A" w:rsidRPr="009B783C">
        <w:rPr>
          <w:szCs w:val="21"/>
        </w:rPr>
        <w:t>,</w:t>
      </w:r>
      <w:r w:rsidRPr="009B783C">
        <w:rPr>
          <w:szCs w:val="21"/>
        </w:rPr>
        <w:t xml:space="preserve"> </w:t>
      </w:r>
      <w:r w:rsidR="000B6334" w:rsidRPr="009B783C">
        <w:rPr>
          <w:szCs w:val="21"/>
        </w:rPr>
        <w:t>51</w:t>
      </w:r>
      <w:r w:rsidRPr="009B783C">
        <w:rPr>
          <w:szCs w:val="21"/>
        </w:rPr>
        <w:t xml:space="preserve"> per cent for MM3</w:t>
      </w:r>
      <w:r w:rsidR="00F600E3" w:rsidRPr="009B783C">
        <w:rPr>
          <w:szCs w:val="21"/>
        </w:rPr>
        <w:t>-</w:t>
      </w:r>
      <w:r w:rsidR="000B6334" w:rsidRPr="009B783C">
        <w:rPr>
          <w:szCs w:val="21"/>
        </w:rPr>
        <w:t>7</w:t>
      </w:r>
      <w:r w:rsidRPr="009B783C">
        <w:rPr>
          <w:szCs w:val="21"/>
        </w:rPr>
        <w:t xml:space="preserve"> </w:t>
      </w:r>
      <w:r w:rsidR="00F600E3" w:rsidRPr="009B783C">
        <w:rPr>
          <w:szCs w:val="21"/>
        </w:rPr>
        <w:t>(</w:t>
      </w:r>
      <w:r w:rsidR="00F73A4C" w:rsidRPr="009B783C">
        <w:rPr>
          <w:szCs w:val="21"/>
        </w:rPr>
        <w:t>Rural</w:t>
      </w:r>
      <w:r w:rsidRPr="009B783C">
        <w:rPr>
          <w:szCs w:val="21"/>
        </w:rPr>
        <w:t xml:space="preserve"> and remote </w:t>
      </w:r>
      <w:r w:rsidR="00EC404B" w:rsidRPr="009B783C">
        <w:rPr>
          <w:szCs w:val="21"/>
        </w:rPr>
        <w:t>areas</w:t>
      </w:r>
      <w:r w:rsidR="00F600E3" w:rsidRPr="009B783C">
        <w:rPr>
          <w:szCs w:val="21"/>
        </w:rPr>
        <w:t>)</w:t>
      </w:r>
      <w:r w:rsidR="003E6A4A" w:rsidRPr="009B783C">
        <w:rPr>
          <w:szCs w:val="21"/>
        </w:rPr>
        <w:t>.</w:t>
      </w:r>
      <w:r w:rsidRPr="009B783C">
        <w:rPr>
          <w:szCs w:val="21"/>
        </w:rPr>
        <w:t xml:space="preserve"> This suggests that for people living in metropolitan areas requiring urgent care, there may be greater access to alternatives other than EDs, such as a local GP, while for regional, rural and remote areas, the local ED is often the default option for urgent care needs.</w:t>
      </w:r>
      <w:r w:rsidR="008A611A" w:rsidRPr="009B783C">
        <w:rPr>
          <w:szCs w:val="21"/>
        </w:rPr>
        <w:t xml:space="preserve"> </w:t>
      </w:r>
    </w:p>
    <w:p w14:paraId="768E453F" w14:textId="7831D736" w:rsidR="00ED38B8" w:rsidRPr="009B783C" w:rsidRDefault="00ED38B8" w:rsidP="00ED38B8">
      <w:pPr>
        <w:pStyle w:val="Caption"/>
        <w:rPr>
          <w:szCs w:val="21"/>
        </w:rPr>
      </w:pPr>
      <w:bookmarkStart w:id="158" w:name="_Ref184648440"/>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6D5275">
        <w:rPr>
          <w:noProof/>
          <w:szCs w:val="21"/>
        </w:rPr>
        <w:t>13</w:t>
      </w:r>
      <w:r w:rsidRPr="009B783C">
        <w:rPr>
          <w:szCs w:val="21"/>
        </w:rPr>
        <w:fldChar w:fldCharType="end"/>
      </w:r>
      <w:bookmarkEnd w:id="158"/>
      <w:r w:rsidRPr="009B783C">
        <w:rPr>
          <w:szCs w:val="21"/>
        </w:rPr>
        <w:t xml:space="preserve"> | Where patient would have gone if the Medicare UCC were not available: </w:t>
      </w:r>
      <w:r w:rsidR="00B37B52" w:rsidRPr="009B783C">
        <w:rPr>
          <w:szCs w:val="21"/>
        </w:rPr>
        <w:t xml:space="preserve">comparison </w:t>
      </w:r>
      <w:r w:rsidRPr="009B783C">
        <w:rPr>
          <w:szCs w:val="21"/>
        </w:rPr>
        <w:t xml:space="preserve">by </w:t>
      </w:r>
      <w:r w:rsidR="002A4EAE" w:rsidRPr="009B783C">
        <w:rPr>
          <w:szCs w:val="21"/>
        </w:rPr>
        <w:t>MMM</w:t>
      </w:r>
      <w:r w:rsidRPr="009B783C">
        <w:rPr>
          <w:szCs w:val="21"/>
        </w:rPr>
        <w:t xml:space="preserve"> grouped categories</w:t>
      </w:r>
    </w:p>
    <w:p w14:paraId="4B0385FC" w14:textId="1ED8D14F" w:rsidR="00ED38B8" w:rsidRPr="009B783C" w:rsidRDefault="006D2C40" w:rsidP="00ED38B8">
      <w:pPr>
        <w:spacing w:after="0"/>
        <w:rPr>
          <w:color w:val="000000" w:themeColor="text1"/>
          <w:sz w:val="15"/>
          <w:szCs w:val="15"/>
          <w:lang w:eastAsia="en-AU"/>
        </w:rPr>
      </w:pPr>
      <w:r>
        <w:rPr>
          <w:noProof/>
        </w:rPr>
        <w:drawing>
          <wp:inline distT="0" distB="0" distL="0" distR="0" wp14:anchorId="2BD00947" wp14:editId="168B27B7">
            <wp:extent cx="5669844" cy="2690948"/>
            <wp:effectExtent l="0" t="0" r="7620" b="0"/>
            <wp:docPr id="19" name="Picture 19" descr="This image presents three horizontal bars which visualise where a patient would have otherwise gone split by MMM categ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This image presents three horizontal bars which visualise where a patient would have otherwise gone split by MMM categories."/>
                    <pic:cNvPicPr>
                      <a:picLocks noChangeAspect="1" noChangeArrowheads="1"/>
                    </pic:cNvPicPr>
                  </pic:nvPicPr>
                  <pic:blipFill rotWithShape="1">
                    <a:blip r:embed="rId43" cstate="print"/>
                    <a:srcRect b="26172"/>
                    <a:stretch/>
                  </pic:blipFill>
                  <pic:spPr bwMode="auto">
                    <a:xfrm>
                      <a:off x="0" y="0"/>
                      <a:ext cx="5670550" cy="2691283"/>
                    </a:xfrm>
                    <a:prstGeom prst="rect">
                      <a:avLst/>
                    </a:prstGeom>
                    <a:noFill/>
                    <a:ln>
                      <a:noFill/>
                    </a:ln>
                    <a:extLst>
                      <a:ext uri="{53640926-AAD7-44D8-BBD7-CCE9431645EC}">
                        <a14:shadowObscured xmlns:a14="http://schemas.microsoft.com/office/drawing/2010/main"/>
                      </a:ext>
                    </a:extLst>
                  </pic:spPr>
                </pic:pic>
              </a:graphicData>
            </a:graphic>
          </wp:inline>
        </w:drawing>
      </w:r>
    </w:p>
    <w:p w14:paraId="1D5273C9" w14:textId="1CD85FB0" w:rsidR="00A90C76" w:rsidRPr="009B783C" w:rsidRDefault="000D706D" w:rsidP="00A90C76">
      <w:pPr>
        <w:rPr>
          <w:szCs w:val="21"/>
        </w:rPr>
      </w:pPr>
      <w:r>
        <w:rPr>
          <w:szCs w:val="21"/>
        </w:rPr>
        <w:t xml:space="preserve">Detailed </w:t>
      </w:r>
      <w:r w:rsidR="00A90C76" w:rsidRPr="009B783C">
        <w:rPr>
          <w:szCs w:val="21"/>
        </w:rPr>
        <w:t>description:</w:t>
      </w:r>
    </w:p>
    <w:p w14:paraId="7F30A003" w14:textId="03300E51" w:rsidR="00A90C76" w:rsidRPr="009B783C" w:rsidRDefault="00A90C76" w:rsidP="00A90C76">
      <w:pPr>
        <w:rPr>
          <w:szCs w:val="21"/>
        </w:rPr>
      </w:pPr>
      <w:r w:rsidRPr="009B783C">
        <w:rPr>
          <w:szCs w:val="21"/>
        </w:rPr>
        <w:t xml:space="preserve">Three horizontal bar charts split by a </w:t>
      </w:r>
      <w:r w:rsidR="00B91EFA">
        <w:rPr>
          <w:szCs w:val="21"/>
        </w:rPr>
        <w:t>MMM category</w:t>
      </w:r>
      <w:r w:rsidRPr="009B783C">
        <w:rPr>
          <w:szCs w:val="21"/>
        </w:rPr>
        <w:t xml:space="preserve"> measure visualising the percentage of presentations which would have gone to a GP, ED, or other health service </w:t>
      </w:r>
      <w:r w:rsidR="00886335">
        <w:rPr>
          <w:szCs w:val="21"/>
        </w:rPr>
        <w:t>if the Medicare UCC was not available</w:t>
      </w:r>
      <w:r w:rsidRPr="009B783C">
        <w:rPr>
          <w:szCs w:val="21"/>
        </w:rPr>
        <w:t>. 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3964"/>
        <w:gridCol w:w="2977"/>
        <w:gridCol w:w="1979"/>
      </w:tblGrid>
      <w:tr w:rsidR="00A90C76" w:rsidRPr="009B783C" w14:paraId="6EE6C214" w14:textId="77777777" w:rsidTr="000C20F4">
        <w:trPr>
          <w:tblHeader/>
        </w:trPr>
        <w:tc>
          <w:tcPr>
            <w:tcW w:w="39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24CF0ED" w14:textId="1AA400D2" w:rsidR="00A90C76" w:rsidRPr="009B783C" w:rsidRDefault="006024C8" w:rsidP="0048530B">
            <w:pPr>
              <w:pStyle w:val="TableNheader"/>
              <w:rPr>
                <w:rFonts w:asciiTheme="majorHAnsi" w:hAnsiTheme="majorHAnsi" w:cstheme="majorHAnsi"/>
              </w:rPr>
            </w:pPr>
            <w:r w:rsidRPr="009B783C">
              <w:t>MMM category</w:t>
            </w:r>
          </w:p>
        </w:tc>
        <w:tc>
          <w:tcPr>
            <w:tcW w:w="297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CC39236" w14:textId="77777777" w:rsidR="00A90C76" w:rsidRPr="009B783C" w:rsidRDefault="00A90C76" w:rsidP="0048530B">
            <w:pPr>
              <w:pStyle w:val="TableNheader"/>
              <w:rPr>
                <w:rFonts w:asciiTheme="majorHAnsi" w:hAnsiTheme="majorHAnsi" w:cstheme="majorHAnsi"/>
              </w:rPr>
            </w:pPr>
            <w:r w:rsidRPr="009B783C">
              <w:t>Where the patient would have gone otherwise</w:t>
            </w:r>
          </w:p>
        </w:tc>
        <w:tc>
          <w:tcPr>
            <w:tcW w:w="19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5CCDA7E" w14:textId="77777777" w:rsidR="00A90C76" w:rsidRPr="009B783C" w:rsidRDefault="00A90C76" w:rsidP="0048530B">
            <w:pPr>
              <w:pStyle w:val="TableNheader"/>
              <w:rPr>
                <w:rFonts w:asciiTheme="majorHAnsi" w:hAnsiTheme="majorHAnsi" w:cstheme="majorHAnsi"/>
              </w:rPr>
            </w:pPr>
            <w:r w:rsidRPr="009B783C">
              <w:t>Presentation (%)</w:t>
            </w:r>
          </w:p>
        </w:tc>
      </w:tr>
      <w:tr w:rsidR="006024C8" w:rsidRPr="009B783C" w14:paraId="31D41761" w14:textId="77777777" w:rsidTr="00E40022">
        <w:tc>
          <w:tcPr>
            <w:tcW w:w="3964" w:type="dxa"/>
            <w:tcBorders>
              <w:top w:val="single" w:sz="4" w:space="0" w:color="FFFFFF" w:themeColor="background1"/>
            </w:tcBorders>
            <w:vAlign w:val="bottom"/>
          </w:tcPr>
          <w:p w14:paraId="25B05CD9" w14:textId="7C73D8BB"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MM 1 Metropolitan area</w:t>
            </w:r>
          </w:p>
        </w:tc>
        <w:tc>
          <w:tcPr>
            <w:tcW w:w="2977" w:type="dxa"/>
            <w:tcBorders>
              <w:top w:val="single" w:sz="4" w:space="0" w:color="FFFFFF" w:themeColor="background1"/>
            </w:tcBorders>
            <w:vAlign w:val="bottom"/>
          </w:tcPr>
          <w:p w14:paraId="79E6B3BD"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tcBorders>
              <w:top w:val="single" w:sz="4" w:space="0" w:color="FFFFFF" w:themeColor="background1"/>
            </w:tcBorders>
            <w:vAlign w:val="bottom"/>
          </w:tcPr>
          <w:p w14:paraId="228A61BB" w14:textId="04BA869C"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53.3</w:t>
            </w:r>
          </w:p>
        </w:tc>
      </w:tr>
      <w:tr w:rsidR="006024C8" w:rsidRPr="009B783C" w14:paraId="5496E3C7" w14:textId="77777777" w:rsidTr="00E40022">
        <w:tc>
          <w:tcPr>
            <w:tcW w:w="3964" w:type="dxa"/>
            <w:vAlign w:val="bottom"/>
          </w:tcPr>
          <w:p w14:paraId="3091B2EA" w14:textId="72A654C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MM 1 Metropolitan area</w:t>
            </w:r>
          </w:p>
        </w:tc>
        <w:tc>
          <w:tcPr>
            <w:tcW w:w="2977" w:type="dxa"/>
            <w:vAlign w:val="bottom"/>
          </w:tcPr>
          <w:p w14:paraId="60898A35"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1787ECDF" w14:textId="3958A887"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43.6</w:t>
            </w:r>
          </w:p>
        </w:tc>
      </w:tr>
      <w:tr w:rsidR="006024C8" w:rsidRPr="009B783C" w14:paraId="5D6D4B81" w14:textId="77777777" w:rsidTr="00E40022">
        <w:tc>
          <w:tcPr>
            <w:tcW w:w="3964" w:type="dxa"/>
            <w:vAlign w:val="bottom"/>
          </w:tcPr>
          <w:p w14:paraId="3BAD2F0C" w14:textId="4D0C81B6"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MM 1 Metropolitan area</w:t>
            </w:r>
          </w:p>
        </w:tc>
        <w:tc>
          <w:tcPr>
            <w:tcW w:w="2977" w:type="dxa"/>
            <w:vAlign w:val="bottom"/>
          </w:tcPr>
          <w:p w14:paraId="7DF2AC75"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61CF012F" w14:textId="2F6D8E32"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3.1</w:t>
            </w:r>
          </w:p>
        </w:tc>
      </w:tr>
      <w:tr w:rsidR="006024C8" w:rsidRPr="009B783C" w14:paraId="4EB7F3F8" w14:textId="77777777" w:rsidTr="00E40022">
        <w:tc>
          <w:tcPr>
            <w:tcW w:w="3964" w:type="dxa"/>
            <w:vAlign w:val="bottom"/>
          </w:tcPr>
          <w:p w14:paraId="44F66F20" w14:textId="2282FEC4" w:rsidR="006024C8" w:rsidRPr="009B783C" w:rsidRDefault="006024C8" w:rsidP="006024C8">
            <w:pPr>
              <w:rPr>
                <w:rFonts w:asciiTheme="minorHAnsi" w:hAnsiTheme="minorHAnsi"/>
                <w:szCs w:val="21"/>
                <w:lang w:val="en-US"/>
              </w:rPr>
            </w:pPr>
            <w:r w:rsidRPr="35C5891D">
              <w:rPr>
                <w:rFonts w:asciiTheme="minorHAnsi" w:hAnsiTheme="minorHAnsi"/>
                <w:color w:val="000000" w:themeColor="text1"/>
                <w:szCs w:val="21"/>
              </w:rPr>
              <w:t>MM 2 Regional centre</w:t>
            </w:r>
          </w:p>
        </w:tc>
        <w:tc>
          <w:tcPr>
            <w:tcW w:w="2977" w:type="dxa"/>
            <w:vAlign w:val="bottom"/>
          </w:tcPr>
          <w:p w14:paraId="3D12019B"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vAlign w:val="bottom"/>
          </w:tcPr>
          <w:p w14:paraId="76D46F1F" w14:textId="04A0ED77"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46.3</w:t>
            </w:r>
          </w:p>
        </w:tc>
      </w:tr>
      <w:tr w:rsidR="006024C8" w:rsidRPr="009B783C" w14:paraId="5177F5EA" w14:textId="77777777" w:rsidTr="00E40022">
        <w:tc>
          <w:tcPr>
            <w:tcW w:w="3964" w:type="dxa"/>
            <w:vAlign w:val="bottom"/>
          </w:tcPr>
          <w:p w14:paraId="021746BE" w14:textId="255754DC" w:rsidR="006024C8" w:rsidRPr="009B783C" w:rsidRDefault="006024C8" w:rsidP="006024C8">
            <w:pPr>
              <w:rPr>
                <w:rFonts w:asciiTheme="minorHAnsi" w:hAnsiTheme="minorHAnsi"/>
                <w:szCs w:val="21"/>
                <w:lang w:val="en-US"/>
              </w:rPr>
            </w:pPr>
            <w:r w:rsidRPr="35C5891D">
              <w:rPr>
                <w:rFonts w:asciiTheme="minorHAnsi" w:hAnsiTheme="minorHAnsi"/>
                <w:color w:val="000000" w:themeColor="text1"/>
                <w:szCs w:val="21"/>
              </w:rPr>
              <w:t>MM 2 Regional centre</w:t>
            </w:r>
          </w:p>
        </w:tc>
        <w:tc>
          <w:tcPr>
            <w:tcW w:w="2977" w:type="dxa"/>
            <w:vAlign w:val="bottom"/>
          </w:tcPr>
          <w:p w14:paraId="52018BBD"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205AABA7" w14:textId="42498859"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47.6</w:t>
            </w:r>
          </w:p>
        </w:tc>
      </w:tr>
      <w:tr w:rsidR="006024C8" w:rsidRPr="009B783C" w14:paraId="7BED9DAC" w14:textId="77777777" w:rsidTr="00E40022">
        <w:tc>
          <w:tcPr>
            <w:tcW w:w="3964" w:type="dxa"/>
            <w:vAlign w:val="bottom"/>
          </w:tcPr>
          <w:p w14:paraId="02220075" w14:textId="6575936A" w:rsidR="006024C8" w:rsidRPr="009B783C" w:rsidRDefault="006024C8" w:rsidP="006024C8">
            <w:pPr>
              <w:rPr>
                <w:rFonts w:asciiTheme="minorHAnsi" w:hAnsiTheme="minorHAnsi"/>
                <w:szCs w:val="21"/>
                <w:lang w:val="en-US"/>
              </w:rPr>
            </w:pPr>
            <w:r w:rsidRPr="35C5891D">
              <w:rPr>
                <w:rFonts w:asciiTheme="minorHAnsi" w:hAnsiTheme="minorHAnsi"/>
                <w:color w:val="000000" w:themeColor="text1"/>
                <w:szCs w:val="21"/>
              </w:rPr>
              <w:t>MM 2 Regional centre</w:t>
            </w:r>
          </w:p>
        </w:tc>
        <w:tc>
          <w:tcPr>
            <w:tcW w:w="2977" w:type="dxa"/>
            <w:vAlign w:val="bottom"/>
          </w:tcPr>
          <w:p w14:paraId="6D7831F0"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3720AF30" w14:textId="238185AB"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6.2</w:t>
            </w:r>
          </w:p>
        </w:tc>
      </w:tr>
      <w:tr w:rsidR="006024C8" w:rsidRPr="009B783C" w14:paraId="23E7307E" w14:textId="77777777" w:rsidTr="00E40022">
        <w:tc>
          <w:tcPr>
            <w:tcW w:w="3964" w:type="dxa"/>
            <w:vAlign w:val="bottom"/>
          </w:tcPr>
          <w:p w14:paraId="65C6DC7F" w14:textId="67133881"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MM 3-7 Rural &amp; remote</w:t>
            </w:r>
          </w:p>
        </w:tc>
        <w:tc>
          <w:tcPr>
            <w:tcW w:w="2977" w:type="dxa"/>
            <w:vAlign w:val="bottom"/>
          </w:tcPr>
          <w:p w14:paraId="1905EEA6"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GP</w:t>
            </w:r>
          </w:p>
        </w:tc>
        <w:tc>
          <w:tcPr>
            <w:tcW w:w="1979" w:type="dxa"/>
            <w:vAlign w:val="bottom"/>
          </w:tcPr>
          <w:p w14:paraId="13A1091C" w14:textId="6518DE2C"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45.3</w:t>
            </w:r>
          </w:p>
        </w:tc>
      </w:tr>
      <w:tr w:rsidR="006024C8" w:rsidRPr="009B783C" w14:paraId="2EFB68E0" w14:textId="77777777" w:rsidTr="00886335">
        <w:trPr>
          <w:trHeight w:val="19"/>
        </w:trPr>
        <w:tc>
          <w:tcPr>
            <w:tcW w:w="3964" w:type="dxa"/>
            <w:vAlign w:val="bottom"/>
          </w:tcPr>
          <w:p w14:paraId="773C29E3" w14:textId="25885D21"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lastRenderedPageBreak/>
              <w:t>MM 3-7 Rural &amp; remote</w:t>
            </w:r>
          </w:p>
        </w:tc>
        <w:tc>
          <w:tcPr>
            <w:tcW w:w="2977" w:type="dxa"/>
            <w:vAlign w:val="bottom"/>
          </w:tcPr>
          <w:p w14:paraId="5A1FDAAE"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Local ED</w:t>
            </w:r>
          </w:p>
        </w:tc>
        <w:tc>
          <w:tcPr>
            <w:tcW w:w="1979" w:type="dxa"/>
            <w:vAlign w:val="bottom"/>
          </w:tcPr>
          <w:p w14:paraId="131530BC" w14:textId="352F0BA4"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51.2</w:t>
            </w:r>
          </w:p>
        </w:tc>
      </w:tr>
      <w:tr w:rsidR="006024C8" w:rsidRPr="009B783C" w14:paraId="30D2EE09" w14:textId="77777777" w:rsidTr="00E40022">
        <w:tc>
          <w:tcPr>
            <w:tcW w:w="3964" w:type="dxa"/>
            <w:vAlign w:val="bottom"/>
          </w:tcPr>
          <w:p w14:paraId="7DF32546" w14:textId="1B4328EA"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MM 3-7 Rural &amp; remote</w:t>
            </w:r>
          </w:p>
        </w:tc>
        <w:tc>
          <w:tcPr>
            <w:tcW w:w="2977" w:type="dxa"/>
            <w:vAlign w:val="bottom"/>
          </w:tcPr>
          <w:p w14:paraId="73E9EEB4" w14:textId="77777777" w:rsidR="006024C8" w:rsidRPr="009B783C" w:rsidRDefault="006024C8" w:rsidP="006024C8">
            <w:pPr>
              <w:rPr>
                <w:rFonts w:asciiTheme="minorHAnsi" w:hAnsiTheme="minorHAnsi" w:cstheme="minorHAnsi"/>
                <w:szCs w:val="21"/>
              </w:rPr>
            </w:pPr>
            <w:r w:rsidRPr="009B783C">
              <w:rPr>
                <w:rFonts w:asciiTheme="minorHAnsi" w:hAnsiTheme="minorHAnsi" w:cstheme="minorHAnsi"/>
                <w:color w:val="000000"/>
                <w:szCs w:val="21"/>
              </w:rPr>
              <w:t>Other</w:t>
            </w:r>
          </w:p>
        </w:tc>
        <w:tc>
          <w:tcPr>
            <w:tcW w:w="1979" w:type="dxa"/>
            <w:vAlign w:val="bottom"/>
          </w:tcPr>
          <w:p w14:paraId="70776E64" w14:textId="360C4C66" w:rsidR="006024C8" w:rsidRPr="009B783C" w:rsidRDefault="006024C8" w:rsidP="00886335">
            <w:pPr>
              <w:jc w:val="center"/>
              <w:rPr>
                <w:rFonts w:asciiTheme="minorHAnsi" w:hAnsiTheme="minorHAnsi" w:cstheme="minorHAnsi"/>
                <w:szCs w:val="21"/>
              </w:rPr>
            </w:pPr>
            <w:r w:rsidRPr="009B783C">
              <w:rPr>
                <w:rFonts w:asciiTheme="minorHAnsi" w:hAnsiTheme="minorHAnsi" w:cstheme="minorHAnsi"/>
                <w:color w:val="000000"/>
                <w:szCs w:val="21"/>
              </w:rPr>
              <w:t>3.5</w:t>
            </w:r>
          </w:p>
        </w:tc>
      </w:tr>
    </w:tbl>
    <w:p w14:paraId="3A5E1535" w14:textId="336E346E" w:rsidR="00F556FB" w:rsidRPr="009B783C" w:rsidRDefault="00ED38B8" w:rsidP="00606C34">
      <w:pPr>
        <w:rPr>
          <w:rFonts w:eastAsia="Segoe UI" w:cs="Segoe UI"/>
          <w:color w:val="000000"/>
          <w:sz w:val="20"/>
          <w:szCs w:val="20"/>
        </w:rPr>
      </w:pPr>
      <w:r w:rsidRPr="009B783C">
        <w:rPr>
          <w:color w:val="000000" w:themeColor="text1"/>
          <w:sz w:val="20"/>
          <w:szCs w:val="20"/>
          <w:lang w:eastAsia="en-AU"/>
        </w:rPr>
        <w:t xml:space="preserve">Notes: </w:t>
      </w:r>
      <w:r w:rsidR="00A43507" w:rsidRPr="009B783C">
        <w:rPr>
          <w:color w:val="000000" w:themeColor="text1"/>
          <w:sz w:val="20"/>
          <w:szCs w:val="20"/>
          <w:lang w:eastAsia="en-AU"/>
        </w:rPr>
        <w:t>Chart</w:t>
      </w:r>
      <w:r w:rsidRPr="009B783C">
        <w:rPr>
          <w:color w:val="000000" w:themeColor="text1"/>
          <w:sz w:val="20"/>
          <w:szCs w:val="20"/>
          <w:lang w:eastAsia="en-AU"/>
        </w:rPr>
        <w:t xml:space="preserve"> reflects data from 30 June 2023 to 30 September 2024 and extracted 6 November 2024. Comparison is across </w:t>
      </w:r>
      <w:r w:rsidR="002A4EAE" w:rsidRPr="009B783C">
        <w:rPr>
          <w:color w:val="000000" w:themeColor="text1"/>
          <w:sz w:val="20"/>
          <w:szCs w:val="20"/>
          <w:lang w:eastAsia="en-AU"/>
        </w:rPr>
        <w:t>MMM</w:t>
      </w:r>
      <w:r w:rsidRPr="009B783C">
        <w:rPr>
          <w:color w:val="000000" w:themeColor="text1"/>
          <w:sz w:val="20"/>
          <w:szCs w:val="20"/>
          <w:lang w:eastAsia="en-AU"/>
        </w:rPr>
        <w:t xml:space="preserve"> categories based on the location of Medicare UCC. </w:t>
      </w:r>
      <w:r w:rsidR="00055EEB" w:rsidRPr="009B783C">
        <w:rPr>
          <w:color w:val="000000" w:themeColor="text1"/>
          <w:sz w:val="20"/>
          <w:szCs w:val="20"/>
          <w:lang w:eastAsia="en-AU"/>
        </w:rPr>
        <w:t>“</w:t>
      </w:r>
      <w:r w:rsidRPr="009B783C">
        <w:rPr>
          <w:color w:val="000000" w:themeColor="text1"/>
          <w:sz w:val="20"/>
          <w:szCs w:val="20"/>
          <w:lang w:eastAsia="en-AU"/>
        </w:rPr>
        <w:t xml:space="preserve">Not </w:t>
      </w:r>
      <w:r w:rsidR="00055EEB" w:rsidRPr="009B783C">
        <w:rPr>
          <w:color w:val="000000" w:themeColor="text1"/>
          <w:sz w:val="20"/>
          <w:szCs w:val="20"/>
          <w:lang w:eastAsia="en-AU"/>
        </w:rPr>
        <w:t>recorded”</w:t>
      </w:r>
      <w:r w:rsidRPr="009B783C">
        <w:rPr>
          <w:color w:val="000000" w:themeColor="text1"/>
          <w:sz w:val="20"/>
          <w:szCs w:val="20"/>
          <w:lang w:eastAsia="en-AU"/>
        </w:rPr>
        <w:t xml:space="preserve"> presentations were excluded when calculating percentages. The variable </w:t>
      </w:r>
      <w:r w:rsidR="007A546C" w:rsidRPr="009B783C">
        <w:rPr>
          <w:color w:val="000000" w:themeColor="text1"/>
          <w:sz w:val="20"/>
          <w:szCs w:val="20"/>
          <w:lang w:eastAsia="en-AU"/>
        </w:rPr>
        <w:t>“</w:t>
      </w:r>
      <w:r w:rsidRPr="009B783C">
        <w:rPr>
          <w:color w:val="000000" w:themeColor="text1"/>
          <w:sz w:val="20"/>
          <w:szCs w:val="20"/>
          <w:lang w:eastAsia="en-AU"/>
        </w:rPr>
        <w:t>where patient would have gone</w:t>
      </w:r>
      <w:r w:rsidR="007A546C" w:rsidRPr="009B783C">
        <w:rPr>
          <w:color w:val="000000" w:themeColor="text1"/>
          <w:sz w:val="20"/>
          <w:szCs w:val="20"/>
          <w:lang w:eastAsia="en-AU"/>
        </w:rPr>
        <w:t>”</w:t>
      </w:r>
      <w:r w:rsidRPr="009B783C">
        <w:rPr>
          <w:color w:val="000000" w:themeColor="text1"/>
          <w:sz w:val="20"/>
          <w:szCs w:val="20"/>
          <w:lang w:eastAsia="en-AU"/>
        </w:rPr>
        <w:t xml:space="preserve"> was not recorded for 26.6</w:t>
      </w:r>
      <w:r w:rsidR="007A546C" w:rsidRPr="009B783C">
        <w:rPr>
          <w:color w:val="000000" w:themeColor="text1"/>
          <w:sz w:val="20"/>
          <w:szCs w:val="20"/>
          <w:lang w:eastAsia="en-AU"/>
        </w:rPr>
        <w:t xml:space="preserve"> per cent</w:t>
      </w:r>
      <w:r w:rsidRPr="009B783C">
        <w:rPr>
          <w:color w:val="000000" w:themeColor="text1"/>
          <w:sz w:val="20"/>
          <w:szCs w:val="20"/>
          <w:lang w:eastAsia="en-AU"/>
        </w:rPr>
        <w:t xml:space="preserve"> of presentations (19,076) in MM1; 20.6</w:t>
      </w:r>
      <w:r w:rsidR="007A546C" w:rsidRPr="009B783C">
        <w:rPr>
          <w:color w:val="000000" w:themeColor="text1"/>
          <w:sz w:val="20"/>
          <w:szCs w:val="20"/>
          <w:lang w:eastAsia="en-AU"/>
        </w:rPr>
        <w:t xml:space="preserve"> per cent</w:t>
      </w:r>
      <w:r w:rsidRPr="009B783C">
        <w:rPr>
          <w:color w:val="000000" w:themeColor="text1"/>
          <w:sz w:val="20"/>
          <w:szCs w:val="20"/>
          <w:lang w:eastAsia="en-AU"/>
        </w:rPr>
        <w:t xml:space="preserve"> of presentations (5,937) in MM2; 18</w:t>
      </w:r>
      <w:r w:rsidR="007A546C" w:rsidRPr="009B783C">
        <w:rPr>
          <w:color w:val="000000" w:themeColor="text1"/>
          <w:sz w:val="20"/>
          <w:szCs w:val="20"/>
          <w:lang w:eastAsia="en-AU"/>
        </w:rPr>
        <w:t xml:space="preserve"> per cent</w:t>
      </w:r>
      <w:r w:rsidRPr="009B783C">
        <w:rPr>
          <w:color w:val="000000" w:themeColor="text1"/>
          <w:sz w:val="20"/>
          <w:szCs w:val="20"/>
          <w:lang w:eastAsia="en-AU"/>
        </w:rPr>
        <w:t xml:space="preserve"> of presentations (902) in MM3</w:t>
      </w:r>
      <w:r w:rsidR="00F600E3" w:rsidRPr="009B783C">
        <w:rPr>
          <w:color w:val="000000" w:themeColor="text1"/>
          <w:sz w:val="20"/>
          <w:szCs w:val="20"/>
          <w:lang w:eastAsia="en-AU"/>
        </w:rPr>
        <w:t>-</w:t>
      </w:r>
      <w:r w:rsidR="00F556FB" w:rsidRPr="009B783C">
        <w:rPr>
          <w:color w:val="000000" w:themeColor="text1"/>
          <w:sz w:val="20"/>
          <w:szCs w:val="20"/>
          <w:lang w:eastAsia="en-AU"/>
        </w:rPr>
        <w:t xml:space="preserve">7. </w:t>
      </w:r>
      <w:r w:rsidR="00F556FB" w:rsidRPr="009B783C">
        <w:rPr>
          <w:rFonts w:eastAsia="Segoe UI" w:cs="Segoe UI"/>
          <w:color w:val="000000"/>
          <w:sz w:val="20"/>
          <w:szCs w:val="20"/>
        </w:rPr>
        <w:t xml:space="preserve">See </w:t>
      </w:r>
      <w:r w:rsidR="007A546C" w:rsidRPr="009B783C">
        <w:rPr>
          <w:rFonts w:eastAsia="Segoe UI" w:cs="Segoe UI"/>
          <w:color w:val="000000"/>
          <w:sz w:val="20"/>
          <w:szCs w:val="20"/>
        </w:rPr>
        <w:t>section</w:t>
      </w:r>
      <w:r w:rsidR="00F556FB" w:rsidRPr="009B783C">
        <w:rPr>
          <w:rFonts w:eastAsia="Segoe UI" w:cs="Segoe UI"/>
          <w:color w:val="000000"/>
          <w:sz w:val="20"/>
          <w:szCs w:val="20"/>
        </w:rPr>
        <w:t xml:space="preserve"> </w:t>
      </w:r>
      <w:r w:rsidR="001B616E" w:rsidRPr="009B783C">
        <w:rPr>
          <w:rFonts w:eastAsia="Segoe UI" w:cs="Segoe UI"/>
          <w:color w:val="000000"/>
          <w:sz w:val="20"/>
          <w:szCs w:val="20"/>
        </w:rPr>
        <w:fldChar w:fldCharType="begin"/>
      </w:r>
      <w:r w:rsidR="001B616E" w:rsidRPr="009B783C">
        <w:rPr>
          <w:rFonts w:eastAsia="Segoe UI" w:cs="Segoe UI"/>
          <w:color w:val="000000"/>
          <w:sz w:val="20"/>
          <w:szCs w:val="20"/>
        </w:rPr>
        <w:instrText xml:space="preserve"> REF _Ref185478021 \n \h </w:instrText>
      </w:r>
      <w:r w:rsidR="001B790C" w:rsidRPr="009B783C">
        <w:rPr>
          <w:rFonts w:eastAsia="Segoe UI" w:cs="Segoe UI"/>
          <w:color w:val="000000"/>
          <w:sz w:val="20"/>
          <w:szCs w:val="20"/>
        </w:rPr>
        <w:instrText xml:space="preserve"> \* MERGEFORMAT </w:instrText>
      </w:r>
      <w:r w:rsidR="001B616E" w:rsidRPr="009B783C">
        <w:rPr>
          <w:rFonts w:eastAsia="Segoe UI" w:cs="Segoe UI"/>
          <w:color w:val="000000"/>
          <w:sz w:val="20"/>
          <w:szCs w:val="20"/>
        </w:rPr>
      </w:r>
      <w:r w:rsidR="001B616E" w:rsidRPr="009B783C">
        <w:rPr>
          <w:rFonts w:eastAsia="Segoe UI" w:cs="Segoe UI"/>
          <w:color w:val="000000"/>
          <w:sz w:val="20"/>
          <w:szCs w:val="20"/>
        </w:rPr>
        <w:fldChar w:fldCharType="separate"/>
      </w:r>
      <w:r w:rsidR="0031172E" w:rsidRPr="009B783C">
        <w:rPr>
          <w:rFonts w:eastAsia="Segoe UI" w:cs="Segoe UI"/>
          <w:color w:val="000000"/>
          <w:sz w:val="20"/>
          <w:szCs w:val="20"/>
        </w:rPr>
        <w:t>3.4</w:t>
      </w:r>
      <w:r w:rsidR="001B616E" w:rsidRPr="009B783C">
        <w:rPr>
          <w:rFonts w:eastAsia="Segoe UI" w:cs="Segoe UI"/>
          <w:color w:val="000000"/>
          <w:sz w:val="20"/>
          <w:szCs w:val="20"/>
        </w:rPr>
        <w:fldChar w:fldCharType="end"/>
      </w:r>
      <w:r w:rsidR="00F556FB" w:rsidRPr="009B783C">
        <w:rPr>
          <w:rFonts w:eastAsia="Segoe UI" w:cs="Segoe UI"/>
          <w:color w:val="000000"/>
          <w:sz w:val="20"/>
          <w:szCs w:val="20"/>
        </w:rPr>
        <w:t xml:space="preserve"> for an overview of </w:t>
      </w:r>
      <w:r w:rsidR="00B1089F" w:rsidRPr="009B783C">
        <w:rPr>
          <w:rFonts w:eastAsia="Segoe UI" w:cs="Segoe UI"/>
          <w:color w:val="000000"/>
          <w:sz w:val="20"/>
          <w:szCs w:val="20"/>
        </w:rPr>
        <w:t>limitations</w:t>
      </w:r>
      <w:r w:rsidR="00F556FB" w:rsidRPr="009B783C">
        <w:rPr>
          <w:rFonts w:eastAsia="Segoe UI" w:cs="Segoe UI"/>
          <w:color w:val="000000"/>
          <w:sz w:val="20"/>
          <w:szCs w:val="20"/>
        </w:rPr>
        <w:t xml:space="preserve"> related to the Medicare UCC data.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3E6A4A" w:rsidRPr="009B783C" w14:paraId="0B22D274" w14:textId="77777777" w:rsidTr="009B0888">
        <w:tc>
          <w:tcPr>
            <w:tcW w:w="8907" w:type="dxa"/>
          </w:tcPr>
          <w:p w14:paraId="719C727B" w14:textId="0B6F57F8" w:rsidR="003E6A4A" w:rsidRPr="009B783C" w:rsidRDefault="006D5275"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0F35C292" w14:textId="6F971054" w:rsidR="009F23C5" w:rsidRPr="009B783C" w:rsidRDefault="009F23C5" w:rsidP="00F5425B">
            <w:pPr>
              <w:pStyle w:val="Longformcallout"/>
              <w:rPr>
                <w:szCs w:val="21"/>
              </w:rPr>
            </w:pPr>
            <w:r w:rsidRPr="009B783C">
              <w:rPr>
                <w:szCs w:val="21"/>
              </w:rPr>
              <w:t xml:space="preserve">In the period to 30 September 2024, </w:t>
            </w:r>
            <w:r w:rsidR="00AB3894" w:rsidRPr="009B783C">
              <w:rPr>
                <w:szCs w:val="21"/>
              </w:rPr>
              <w:t xml:space="preserve">based on available data, </w:t>
            </w:r>
            <w:r w:rsidRPr="009B783C">
              <w:rPr>
                <w:szCs w:val="21"/>
              </w:rPr>
              <w:t>the proportion of patients who would have attended an ED if the Medicare UCC was not available was higher in:</w:t>
            </w:r>
          </w:p>
          <w:p w14:paraId="1C760D05" w14:textId="6EDFC5C6" w:rsidR="009F23C5" w:rsidRPr="009B783C" w:rsidRDefault="009F23C5" w:rsidP="00F5425B">
            <w:pPr>
              <w:pStyle w:val="longformcalloutbullet"/>
              <w:rPr>
                <w:szCs w:val="21"/>
              </w:rPr>
            </w:pPr>
            <w:r w:rsidRPr="009B783C" w:rsidDel="006B5665">
              <w:rPr>
                <w:szCs w:val="21"/>
              </w:rPr>
              <w:t xml:space="preserve">Areas of median socio-economic disadvantage </w:t>
            </w:r>
            <w:r w:rsidR="000268C0" w:rsidRPr="009B783C">
              <w:rPr>
                <w:szCs w:val="21"/>
              </w:rPr>
              <w:t>(ABS IRSD Quintile 3)</w:t>
            </w:r>
            <w:r w:rsidRPr="009B783C">
              <w:rPr>
                <w:szCs w:val="21"/>
              </w:rPr>
              <w:t xml:space="preserve"> (51 per cent) and </w:t>
            </w:r>
            <w:r w:rsidRPr="009B783C" w:rsidDel="001A0E89">
              <w:rPr>
                <w:szCs w:val="21"/>
              </w:rPr>
              <w:t>high socio-economic disadvantage</w:t>
            </w:r>
            <w:r w:rsidR="000268C0" w:rsidRPr="009B783C">
              <w:rPr>
                <w:szCs w:val="21"/>
              </w:rPr>
              <w:t xml:space="preserve"> (</w:t>
            </w:r>
            <w:r w:rsidR="001A0E89" w:rsidRPr="009B783C">
              <w:rPr>
                <w:szCs w:val="21"/>
              </w:rPr>
              <w:t>Quintiles 1 and 2</w:t>
            </w:r>
            <w:r w:rsidR="000268C0" w:rsidRPr="009B783C">
              <w:rPr>
                <w:szCs w:val="21"/>
              </w:rPr>
              <w:t>)</w:t>
            </w:r>
            <w:r w:rsidRPr="009B783C">
              <w:rPr>
                <w:szCs w:val="21"/>
              </w:rPr>
              <w:t xml:space="preserve"> (45 per cent) compared with </w:t>
            </w:r>
            <w:r w:rsidRPr="009B783C" w:rsidDel="001A0E89">
              <w:rPr>
                <w:szCs w:val="21"/>
              </w:rPr>
              <w:t>areas of low socio-economic disadvantage</w:t>
            </w:r>
            <w:r w:rsidR="000268C0" w:rsidRPr="009B783C">
              <w:rPr>
                <w:szCs w:val="21"/>
              </w:rPr>
              <w:t xml:space="preserve"> (</w:t>
            </w:r>
            <w:r w:rsidR="001A0E89" w:rsidRPr="009B783C">
              <w:rPr>
                <w:szCs w:val="21"/>
              </w:rPr>
              <w:t>Quintiles 4 and 5</w:t>
            </w:r>
            <w:r w:rsidR="000268C0" w:rsidRPr="009B783C">
              <w:rPr>
                <w:szCs w:val="21"/>
              </w:rPr>
              <w:t>)</w:t>
            </w:r>
            <w:r w:rsidRPr="009B783C">
              <w:rPr>
                <w:szCs w:val="21"/>
              </w:rPr>
              <w:t xml:space="preserve"> (40</w:t>
            </w:r>
            <w:r w:rsidR="003D1F51" w:rsidRPr="009B783C">
              <w:rPr>
                <w:szCs w:val="21"/>
              </w:rPr>
              <w:t xml:space="preserve"> per cent</w:t>
            </w:r>
            <w:r w:rsidRPr="009B783C">
              <w:rPr>
                <w:szCs w:val="21"/>
              </w:rPr>
              <w:t>).</w:t>
            </w:r>
          </w:p>
          <w:p w14:paraId="0B6DB76F" w14:textId="77DE3235" w:rsidR="003E6A4A" w:rsidRPr="009B783C" w:rsidRDefault="003E6A4A" w:rsidP="00F5425B">
            <w:pPr>
              <w:pStyle w:val="longformcalloutbullet"/>
            </w:pPr>
            <w:r w:rsidRPr="009B783C">
              <w:rPr>
                <w:szCs w:val="21"/>
              </w:rPr>
              <w:t>Rural and remote areas (51 per cent), compared with regional centres (48 per cent) and metropolitan areas (44 per cent).</w:t>
            </w:r>
          </w:p>
        </w:tc>
      </w:tr>
    </w:tbl>
    <w:p w14:paraId="0C51F06E" w14:textId="3EAAFF6D" w:rsidR="00ED38B8" w:rsidRPr="009B783C" w:rsidRDefault="00ED38B8" w:rsidP="000D706D">
      <w:pPr>
        <w:pStyle w:val="Heading3"/>
      </w:pPr>
      <w:bookmarkStart w:id="159" w:name="_Ref185413367"/>
      <w:r w:rsidRPr="009B783C">
        <w:t xml:space="preserve">The early impact of Medicare UCCs on triage </w:t>
      </w:r>
      <w:r w:rsidR="002374A2" w:rsidRPr="009B783C">
        <w:t>categories four</w:t>
      </w:r>
      <w:r w:rsidRPr="009B783C">
        <w:t xml:space="preserve"> and </w:t>
      </w:r>
      <w:r w:rsidR="002374A2" w:rsidRPr="009B783C">
        <w:t>five</w:t>
      </w:r>
      <w:r w:rsidRPr="009B783C">
        <w:t xml:space="preserve"> presentations and waiting times at partner hospital EDs is variable</w:t>
      </w:r>
      <w:bookmarkEnd w:id="159"/>
    </w:p>
    <w:p w14:paraId="3E815C11" w14:textId="250C38B2" w:rsidR="00ED38B8" w:rsidRPr="009B783C" w:rsidRDefault="00ED38B8" w:rsidP="00F5425B">
      <w:pPr>
        <w:rPr>
          <w:szCs w:val="21"/>
          <w:lang w:eastAsia="en-AU"/>
        </w:rPr>
      </w:pPr>
      <w:r w:rsidRPr="009B783C">
        <w:rPr>
          <w:szCs w:val="21"/>
          <w:lang w:eastAsia="en-AU"/>
        </w:rPr>
        <w:t xml:space="preserve">Publicly available </w:t>
      </w:r>
      <w:r w:rsidR="00F600E3" w:rsidRPr="009B783C">
        <w:rPr>
          <w:szCs w:val="21"/>
          <w:lang w:eastAsia="en-AU"/>
        </w:rPr>
        <w:t xml:space="preserve">data </w:t>
      </w:r>
      <w:r w:rsidRPr="009B783C">
        <w:rPr>
          <w:szCs w:val="21"/>
          <w:lang w:eastAsia="en-AU"/>
        </w:rPr>
        <w:t>has been used to explore the early impact of Medicare UCCs on ED presentations and waiting times.</w:t>
      </w:r>
      <w:r w:rsidR="00114250" w:rsidRPr="009B783C">
        <w:rPr>
          <w:szCs w:val="21"/>
          <w:lang w:eastAsia="en-AU"/>
        </w:rPr>
        <w:t xml:space="preserve"> </w:t>
      </w:r>
      <w:r w:rsidR="00F1077D" w:rsidRPr="009B783C">
        <w:rPr>
          <w:szCs w:val="21"/>
          <w:lang w:eastAsia="en-AU"/>
        </w:rPr>
        <w:t>These sources include d</w:t>
      </w:r>
      <w:r w:rsidR="003E6A4A" w:rsidRPr="009B783C">
        <w:rPr>
          <w:szCs w:val="21"/>
          <w:lang w:eastAsia="en-AU"/>
        </w:rPr>
        <w:t xml:space="preserve">ata </w:t>
      </w:r>
      <w:r w:rsidR="0087713C" w:rsidRPr="009B783C">
        <w:rPr>
          <w:szCs w:val="21"/>
          <w:lang w:eastAsia="en-AU"/>
        </w:rPr>
        <w:t xml:space="preserve">recently released by the AIHW </w:t>
      </w:r>
      <w:r w:rsidR="00231F53" w:rsidRPr="009B783C">
        <w:rPr>
          <w:szCs w:val="21"/>
          <w:lang w:eastAsia="en-AU"/>
        </w:rPr>
        <w:t xml:space="preserve">for </w:t>
      </w:r>
      <w:r w:rsidR="007F7556" w:rsidRPr="009B783C">
        <w:rPr>
          <w:szCs w:val="21"/>
          <w:lang w:eastAsia="en-AU"/>
        </w:rPr>
        <w:t>ED</w:t>
      </w:r>
      <w:r w:rsidR="00231F53" w:rsidRPr="009B783C">
        <w:rPr>
          <w:szCs w:val="21"/>
          <w:lang w:eastAsia="en-AU"/>
        </w:rPr>
        <w:t xml:space="preserve"> measures by financial year </w:t>
      </w:r>
      <w:r w:rsidR="0087713C" w:rsidRPr="009B783C">
        <w:rPr>
          <w:szCs w:val="21"/>
          <w:lang w:eastAsia="en-AU"/>
        </w:rPr>
        <w:t xml:space="preserve">and publicly released </w:t>
      </w:r>
      <w:r w:rsidR="00A3379C" w:rsidRPr="009B783C">
        <w:rPr>
          <w:szCs w:val="21"/>
          <w:lang w:eastAsia="en-AU"/>
        </w:rPr>
        <w:t xml:space="preserve">data </w:t>
      </w:r>
      <w:r w:rsidR="0087713C" w:rsidRPr="009B783C">
        <w:rPr>
          <w:szCs w:val="21"/>
          <w:lang w:eastAsia="en-AU"/>
        </w:rPr>
        <w:t>by health agencies from</w:t>
      </w:r>
      <w:r w:rsidR="003E6A4A" w:rsidRPr="009B783C">
        <w:rPr>
          <w:szCs w:val="21"/>
          <w:lang w:eastAsia="en-AU"/>
        </w:rPr>
        <w:t xml:space="preserve"> NSW, </w:t>
      </w:r>
      <w:r w:rsidR="00B61B2A" w:rsidRPr="009B783C">
        <w:rPr>
          <w:szCs w:val="21"/>
          <w:lang w:eastAsia="en-AU"/>
        </w:rPr>
        <w:t>VIC</w:t>
      </w:r>
      <w:r w:rsidR="00931DB4" w:rsidRPr="009B783C">
        <w:rPr>
          <w:szCs w:val="21"/>
          <w:lang w:eastAsia="en-AU"/>
        </w:rPr>
        <w:t xml:space="preserve">, </w:t>
      </w:r>
      <w:r w:rsidR="000A172E" w:rsidRPr="009B783C">
        <w:rPr>
          <w:szCs w:val="21"/>
          <w:lang w:eastAsia="en-AU"/>
        </w:rPr>
        <w:t>QLD</w:t>
      </w:r>
      <w:r w:rsidR="00931DB4" w:rsidRPr="009B783C">
        <w:rPr>
          <w:szCs w:val="21"/>
          <w:lang w:eastAsia="en-AU"/>
        </w:rPr>
        <w:t xml:space="preserve">, </w:t>
      </w:r>
      <w:r w:rsidR="00120D01" w:rsidRPr="009B783C">
        <w:rPr>
          <w:szCs w:val="21"/>
          <w:lang w:eastAsia="en-AU"/>
        </w:rPr>
        <w:t>TAS</w:t>
      </w:r>
      <w:r w:rsidR="00931DB4" w:rsidRPr="009B783C">
        <w:rPr>
          <w:szCs w:val="21"/>
          <w:lang w:eastAsia="en-AU"/>
        </w:rPr>
        <w:t xml:space="preserve"> and WA</w:t>
      </w:r>
      <w:r w:rsidR="003E6A4A" w:rsidRPr="009B783C">
        <w:rPr>
          <w:szCs w:val="21"/>
          <w:lang w:eastAsia="en-AU"/>
        </w:rPr>
        <w:t>.</w:t>
      </w:r>
      <w:r w:rsidR="003E6A4A" w:rsidRPr="009B783C">
        <w:rPr>
          <w:rStyle w:val="FootnoteReference"/>
          <w:szCs w:val="21"/>
          <w:lang w:eastAsia="en-AU"/>
        </w:rPr>
        <w:footnoteReference w:id="86"/>
      </w:r>
      <w:r w:rsidR="003E6A4A" w:rsidRPr="009B783C">
        <w:rPr>
          <w:szCs w:val="21"/>
          <w:lang w:eastAsia="en-AU"/>
        </w:rPr>
        <w:t xml:space="preserve"> </w:t>
      </w:r>
    </w:p>
    <w:p w14:paraId="5344E58A" w14:textId="0D28DF02" w:rsidR="00825E53" w:rsidRPr="009B783C" w:rsidRDefault="00DC5D75" w:rsidP="00F5425B">
      <w:pPr>
        <w:rPr>
          <w:szCs w:val="21"/>
          <w:lang w:eastAsia="en-AU"/>
        </w:rPr>
      </w:pPr>
      <w:r>
        <w:rPr>
          <w:szCs w:val="21"/>
          <w:lang w:eastAsia="en-AU"/>
        </w:rPr>
        <w:fldChar w:fldCharType="begin"/>
      </w:r>
      <w:r>
        <w:rPr>
          <w:szCs w:val="21"/>
          <w:lang w:eastAsia="en-AU"/>
        </w:rPr>
        <w:instrText xml:space="preserve"> REF _Ref185493581 \h </w:instrText>
      </w:r>
      <w:r>
        <w:rPr>
          <w:szCs w:val="21"/>
          <w:lang w:eastAsia="en-AU"/>
        </w:rPr>
      </w:r>
      <w:r>
        <w:rPr>
          <w:szCs w:val="21"/>
          <w:lang w:eastAsia="en-AU"/>
        </w:rPr>
        <w:fldChar w:fldCharType="separate"/>
      </w:r>
      <w:r w:rsidRPr="009B783C">
        <w:rPr>
          <w:szCs w:val="21"/>
        </w:rPr>
        <w:t>Table 31</w:t>
      </w:r>
      <w:r>
        <w:rPr>
          <w:szCs w:val="21"/>
          <w:lang w:eastAsia="en-AU"/>
        </w:rPr>
        <w:fldChar w:fldCharType="end"/>
      </w:r>
      <w:r>
        <w:rPr>
          <w:szCs w:val="21"/>
          <w:lang w:eastAsia="en-AU"/>
        </w:rPr>
        <w:t xml:space="preserve"> to </w:t>
      </w:r>
      <w:r w:rsidR="006F68DE">
        <w:rPr>
          <w:szCs w:val="21"/>
          <w:lang w:eastAsia="en-AU"/>
        </w:rPr>
        <w:fldChar w:fldCharType="begin"/>
      </w:r>
      <w:r w:rsidR="006F68DE">
        <w:rPr>
          <w:szCs w:val="21"/>
          <w:lang w:eastAsia="en-AU"/>
        </w:rPr>
        <w:instrText xml:space="preserve"> REF _Ref189769645 \h </w:instrText>
      </w:r>
      <w:r w:rsidR="006F68DE">
        <w:rPr>
          <w:szCs w:val="21"/>
          <w:lang w:eastAsia="en-AU"/>
        </w:rPr>
      </w:r>
      <w:r w:rsidR="006F68DE">
        <w:rPr>
          <w:szCs w:val="21"/>
          <w:lang w:eastAsia="en-AU"/>
        </w:rPr>
        <w:fldChar w:fldCharType="separate"/>
      </w:r>
      <w:r w:rsidR="006F68DE" w:rsidRPr="009B783C">
        <w:rPr>
          <w:szCs w:val="21"/>
        </w:rPr>
        <w:t>Table 35</w:t>
      </w:r>
      <w:r w:rsidR="006F68DE">
        <w:rPr>
          <w:szCs w:val="21"/>
          <w:lang w:eastAsia="en-AU"/>
        </w:rPr>
        <w:fldChar w:fldCharType="end"/>
      </w:r>
      <w:r w:rsidR="006F68DE">
        <w:rPr>
          <w:szCs w:val="21"/>
          <w:lang w:eastAsia="en-AU"/>
        </w:rPr>
        <w:t xml:space="preserve"> </w:t>
      </w:r>
      <w:r>
        <w:rPr>
          <w:szCs w:val="21"/>
          <w:lang w:eastAsia="en-AU"/>
        </w:rPr>
        <w:t>(</w:t>
      </w:r>
      <w:r w:rsidR="001C33C9">
        <w:rPr>
          <w:szCs w:val="21"/>
          <w:lang w:eastAsia="en-AU"/>
        </w:rPr>
        <w:fldChar w:fldCharType="begin"/>
      </w:r>
      <w:r w:rsidR="001C33C9">
        <w:rPr>
          <w:szCs w:val="21"/>
          <w:lang w:eastAsia="en-AU"/>
        </w:rPr>
        <w:instrText xml:space="preserve"> REF _Ref185402337 \r \h </w:instrText>
      </w:r>
      <w:r w:rsidR="001C33C9">
        <w:rPr>
          <w:szCs w:val="21"/>
          <w:lang w:eastAsia="en-AU"/>
        </w:rPr>
      </w:r>
      <w:r w:rsidR="001C33C9">
        <w:rPr>
          <w:szCs w:val="21"/>
          <w:lang w:eastAsia="en-AU"/>
        </w:rPr>
        <w:fldChar w:fldCharType="separate"/>
      </w:r>
      <w:r w:rsidR="001C33C9">
        <w:rPr>
          <w:szCs w:val="21"/>
          <w:lang w:eastAsia="en-AU"/>
        </w:rPr>
        <w:t>Appendix E</w:t>
      </w:r>
      <w:r w:rsidR="001C33C9">
        <w:rPr>
          <w:szCs w:val="21"/>
          <w:lang w:eastAsia="en-AU"/>
        </w:rPr>
        <w:fldChar w:fldCharType="end"/>
      </w:r>
      <w:r>
        <w:rPr>
          <w:szCs w:val="21"/>
          <w:lang w:eastAsia="en-AU"/>
        </w:rPr>
        <w:t>)</w:t>
      </w:r>
      <w:r w:rsidR="001C33C9">
        <w:rPr>
          <w:szCs w:val="21"/>
          <w:lang w:eastAsia="en-AU"/>
        </w:rPr>
        <w:t xml:space="preserve"> </w:t>
      </w:r>
      <w:r w:rsidR="00416363" w:rsidRPr="009B783C">
        <w:rPr>
          <w:szCs w:val="21"/>
          <w:lang w:eastAsia="en-AU"/>
        </w:rPr>
        <w:t xml:space="preserve">summarises trends for </w:t>
      </w:r>
      <w:r w:rsidR="007F7556" w:rsidRPr="009B783C">
        <w:rPr>
          <w:szCs w:val="21"/>
          <w:lang w:eastAsia="en-AU"/>
        </w:rPr>
        <w:t>ED</w:t>
      </w:r>
      <w:r w:rsidR="00C71CFC" w:rsidRPr="009B783C">
        <w:rPr>
          <w:szCs w:val="21"/>
          <w:lang w:eastAsia="en-AU"/>
        </w:rPr>
        <w:t xml:space="preserve"> activity for triage categories </w:t>
      </w:r>
      <w:r w:rsidR="00AE4620" w:rsidRPr="009B783C">
        <w:rPr>
          <w:szCs w:val="21"/>
          <w:lang w:eastAsia="en-AU"/>
        </w:rPr>
        <w:t>four</w:t>
      </w:r>
      <w:r w:rsidR="00C71CFC" w:rsidRPr="009B783C">
        <w:rPr>
          <w:szCs w:val="21"/>
          <w:lang w:eastAsia="en-AU"/>
        </w:rPr>
        <w:t xml:space="preserve"> and </w:t>
      </w:r>
      <w:r w:rsidR="00AE4620" w:rsidRPr="009B783C">
        <w:rPr>
          <w:szCs w:val="21"/>
          <w:lang w:eastAsia="en-AU"/>
        </w:rPr>
        <w:t>five</w:t>
      </w:r>
      <w:r w:rsidR="00C71CFC" w:rsidRPr="009B783C">
        <w:rPr>
          <w:szCs w:val="21"/>
          <w:lang w:eastAsia="en-AU"/>
        </w:rPr>
        <w:t xml:space="preserve"> in</w:t>
      </w:r>
      <w:r w:rsidR="008A387A" w:rsidRPr="009B783C">
        <w:rPr>
          <w:szCs w:val="21"/>
          <w:lang w:eastAsia="en-AU"/>
        </w:rPr>
        <w:t xml:space="preserve"> partner hospitals for the Medicare UCCs</w:t>
      </w:r>
      <w:r w:rsidR="00A25301" w:rsidRPr="009B783C">
        <w:rPr>
          <w:szCs w:val="21"/>
          <w:lang w:eastAsia="en-AU"/>
        </w:rPr>
        <w:t xml:space="preserve">, </w:t>
      </w:r>
      <w:r w:rsidR="00CA24F2" w:rsidRPr="009B783C">
        <w:rPr>
          <w:szCs w:val="21"/>
          <w:lang w:eastAsia="en-AU"/>
        </w:rPr>
        <w:t>and compares these with other hospitals</w:t>
      </w:r>
      <w:r w:rsidR="00BE28DE" w:rsidRPr="009B783C">
        <w:rPr>
          <w:szCs w:val="21"/>
          <w:lang w:eastAsia="en-AU"/>
        </w:rPr>
        <w:t>,</w:t>
      </w:r>
      <w:r w:rsidR="00CA24F2" w:rsidRPr="009B783C">
        <w:rPr>
          <w:szCs w:val="21"/>
          <w:lang w:eastAsia="en-AU"/>
        </w:rPr>
        <w:t xml:space="preserve"> </w:t>
      </w:r>
      <w:r w:rsidR="00A25301" w:rsidRPr="009B783C">
        <w:rPr>
          <w:szCs w:val="21"/>
          <w:lang w:eastAsia="en-AU"/>
        </w:rPr>
        <w:t xml:space="preserve">based on </w:t>
      </w:r>
      <w:r w:rsidR="00197115" w:rsidRPr="009B783C">
        <w:rPr>
          <w:szCs w:val="21"/>
          <w:lang w:eastAsia="en-AU"/>
        </w:rPr>
        <w:t xml:space="preserve">data reported by the </w:t>
      </w:r>
      <w:r w:rsidR="00A25301" w:rsidRPr="009B783C">
        <w:rPr>
          <w:szCs w:val="21"/>
          <w:lang w:eastAsia="en-AU"/>
        </w:rPr>
        <w:t>AIHW</w:t>
      </w:r>
      <w:r w:rsidR="00CD1CD4" w:rsidRPr="009B783C">
        <w:rPr>
          <w:szCs w:val="21"/>
          <w:lang w:eastAsia="en-AU"/>
        </w:rPr>
        <w:t>.</w:t>
      </w:r>
      <w:r w:rsidR="005E336A" w:rsidRPr="009B783C">
        <w:rPr>
          <w:rStyle w:val="FootnoteReference"/>
          <w:szCs w:val="21"/>
          <w:lang w:eastAsia="en-AU"/>
        </w:rPr>
        <w:footnoteReference w:id="87"/>
      </w:r>
      <w:r w:rsidR="008A387A" w:rsidRPr="009B783C">
        <w:rPr>
          <w:szCs w:val="21"/>
          <w:lang w:eastAsia="en-AU"/>
        </w:rPr>
        <w:t xml:space="preserve"> </w:t>
      </w:r>
      <w:r w:rsidR="00B158EA" w:rsidRPr="009B783C">
        <w:rPr>
          <w:szCs w:val="21"/>
          <w:lang w:eastAsia="en-AU"/>
        </w:rPr>
        <w:t xml:space="preserve">Trends for these </w:t>
      </w:r>
      <w:r w:rsidR="00CE32B5" w:rsidRPr="009B783C">
        <w:rPr>
          <w:szCs w:val="21"/>
          <w:lang w:eastAsia="en-AU"/>
        </w:rPr>
        <w:t xml:space="preserve">data </w:t>
      </w:r>
      <w:r w:rsidR="004D6956" w:rsidRPr="009B783C">
        <w:rPr>
          <w:szCs w:val="21"/>
          <w:lang w:eastAsia="en-AU"/>
        </w:rPr>
        <w:t xml:space="preserve">together with data from state </w:t>
      </w:r>
      <w:r w:rsidR="004D6956" w:rsidRPr="009B783C">
        <w:rPr>
          <w:szCs w:val="21"/>
          <w:lang w:eastAsia="en-AU"/>
        </w:rPr>
        <w:lastRenderedPageBreak/>
        <w:t>sources</w:t>
      </w:r>
      <w:r w:rsidR="00CE32B5" w:rsidRPr="009B783C">
        <w:rPr>
          <w:szCs w:val="21"/>
          <w:lang w:eastAsia="en-AU"/>
        </w:rPr>
        <w:t xml:space="preserve"> </w:t>
      </w:r>
      <w:r w:rsidR="00ED492E" w:rsidRPr="009B783C">
        <w:rPr>
          <w:szCs w:val="21"/>
          <w:lang w:eastAsia="en-AU"/>
        </w:rPr>
        <w:t xml:space="preserve">– where these are available </w:t>
      </w:r>
      <w:r w:rsidR="003B08F9" w:rsidRPr="009B783C">
        <w:rPr>
          <w:szCs w:val="21"/>
          <w:lang w:eastAsia="en-AU"/>
        </w:rPr>
        <w:t xml:space="preserve">– </w:t>
      </w:r>
      <w:r w:rsidR="00CE32B5" w:rsidRPr="009B783C">
        <w:rPr>
          <w:szCs w:val="21"/>
          <w:lang w:eastAsia="en-AU"/>
        </w:rPr>
        <w:t xml:space="preserve">are </w:t>
      </w:r>
      <w:r w:rsidR="005B6C35" w:rsidRPr="009B783C">
        <w:rPr>
          <w:szCs w:val="21"/>
          <w:lang w:eastAsia="en-AU"/>
        </w:rPr>
        <w:t>summarised in</w:t>
      </w:r>
      <w:r w:rsidR="009D7804">
        <w:rPr>
          <w:szCs w:val="21"/>
          <w:lang w:eastAsia="en-AU"/>
        </w:rPr>
        <w:t xml:space="preserve"> </w:t>
      </w:r>
      <w:r w:rsidR="009D7804">
        <w:rPr>
          <w:szCs w:val="21"/>
          <w:lang w:eastAsia="en-AU"/>
        </w:rPr>
        <w:fldChar w:fldCharType="begin"/>
      </w:r>
      <w:r w:rsidR="009D7804">
        <w:rPr>
          <w:szCs w:val="21"/>
          <w:lang w:eastAsia="en-AU"/>
        </w:rPr>
        <w:instrText xml:space="preserve"> REF _Ref189768389 \h </w:instrText>
      </w:r>
      <w:r w:rsidR="009D7804">
        <w:rPr>
          <w:szCs w:val="21"/>
          <w:lang w:eastAsia="en-AU"/>
        </w:rPr>
      </w:r>
      <w:r w:rsidR="009D7804">
        <w:rPr>
          <w:szCs w:val="21"/>
          <w:lang w:eastAsia="en-AU"/>
        </w:rPr>
        <w:fldChar w:fldCharType="separate"/>
      </w:r>
      <w:r w:rsidR="009D7804" w:rsidRPr="009B783C">
        <w:rPr>
          <w:szCs w:val="21"/>
        </w:rPr>
        <w:t xml:space="preserve">Figure </w:t>
      </w:r>
      <w:r w:rsidR="009D7804">
        <w:rPr>
          <w:noProof/>
          <w:szCs w:val="21"/>
        </w:rPr>
        <w:t>14</w:t>
      </w:r>
      <w:r w:rsidR="009D7804">
        <w:rPr>
          <w:szCs w:val="21"/>
          <w:lang w:eastAsia="en-AU"/>
        </w:rPr>
        <w:fldChar w:fldCharType="end"/>
      </w:r>
      <w:r w:rsidR="009D7804">
        <w:rPr>
          <w:szCs w:val="21"/>
          <w:lang w:eastAsia="en-AU"/>
        </w:rPr>
        <w:t xml:space="preserve"> and </w:t>
      </w:r>
      <w:r w:rsidR="009D7804">
        <w:rPr>
          <w:szCs w:val="21"/>
          <w:lang w:eastAsia="en-AU"/>
        </w:rPr>
        <w:fldChar w:fldCharType="begin"/>
      </w:r>
      <w:r w:rsidR="009D7804">
        <w:rPr>
          <w:szCs w:val="21"/>
          <w:lang w:eastAsia="en-AU"/>
        </w:rPr>
        <w:instrText xml:space="preserve"> REF _Ref189768403 \h </w:instrText>
      </w:r>
      <w:r w:rsidR="009D7804">
        <w:rPr>
          <w:szCs w:val="21"/>
          <w:lang w:eastAsia="en-AU"/>
        </w:rPr>
      </w:r>
      <w:r w:rsidR="009D7804">
        <w:rPr>
          <w:szCs w:val="21"/>
          <w:lang w:eastAsia="en-AU"/>
        </w:rPr>
        <w:fldChar w:fldCharType="separate"/>
      </w:r>
      <w:r w:rsidR="009D7804" w:rsidRPr="009B783C">
        <w:rPr>
          <w:szCs w:val="21"/>
        </w:rPr>
        <w:t xml:space="preserve">Figure </w:t>
      </w:r>
      <w:r w:rsidR="009D7804">
        <w:rPr>
          <w:noProof/>
          <w:szCs w:val="21"/>
        </w:rPr>
        <w:t>15</w:t>
      </w:r>
      <w:r w:rsidR="009D7804">
        <w:rPr>
          <w:szCs w:val="21"/>
          <w:lang w:eastAsia="en-AU"/>
        </w:rPr>
        <w:fldChar w:fldCharType="end"/>
      </w:r>
      <w:r w:rsidR="00C47F41" w:rsidRPr="009B783C">
        <w:rPr>
          <w:szCs w:val="21"/>
          <w:lang w:eastAsia="en-AU"/>
        </w:rPr>
        <w:t>,</w:t>
      </w:r>
      <w:r w:rsidR="003E6A4A" w:rsidRPr="009B783C">
        <w:rPr>
          <w:szCs w:val="21"/>
          <w:lang w:eastAsia="en-AU"/>
        </w:rPr>
        <w:t xml:space="preserve"> </w:t>
      </w:r>
      <w:r w:rsidR="00FF05A6" w:rsidRPr="009B783C">
        <w:rPr>
          <w:szCs w:val="21"/>
          <w:lang w:eastAsia="en-AU"/>
        </w:rPr>
        <w:t xml:space="preserve">based on the </w:t>
      </w:r>
      <w:r w:rsidR="00825E53" w:rsidRPr="009B783C">
        <w:rPr>
          <w:szCs w:val="21"/>
          <w:lang w:eastAsia="en-AU"/>
        </w:rPr>
        <w:t>mean number of presentations per hospital</w:t>
      </w:r>
      <w:r w:rsidR="00FF05A6" w:rsidRPr="009B783C">
        <w:rPr>
          <w:szCs w:val="21"/>
          <w:lang w:eastAsia="en-AU"/>
        </w:rPr>
        <w:t xml:space="preserve"> per quarter</w:t>
      </w:r>
      <w:r w:rsidR="00135DE8" w:rsidRPr="009B783C">
        <w:rPr>
          <w:szCs w:val="21"/>
          <w:lang w:eastAsia="en-AU"/>
        </w:rPr>
        <w:t xml:space="preserve">. </w:t>
      </w:r>
      <w:r w:rsidR="00C3282E" w:rsidRPr="009B783C">
        <w:rPr>
          <w:szCs w:val="21"/>
          <w:lang w:eastAsia="en-AU"/>
        </w:rPr>
        <w:t xml:space="preserve">The charts </w:t>
      </w:r>
      <w:r w:rsidR="00EF1CE4" w:rsidRPr="009B783C">
        <w:rPr>
          <w:szCs w:val="21"/>
          <w:lang w:eastAsia="en-AU"/>
        </w:rPr>
        <w:t xml:space="preserve">have </w:t>
      </w:r>
      <w:r w:rsidR="00F63348" w:rsidRPr="009B783C">
        <w:rPr>
          <w:szCs w:val="21"/>
          <w:lang w:eastAsia="en-AU"/>
        </w:rPr>
        <w:t>been</w:t>
      </w:r>
      <w:r w:rsidR="00EF1CE4" w:rsidRPr="009B783C">
        <w:rPr>
          <w:szCs w:val="21"/>
          <w:lang w:eastAsia="en-AU"/>
        </w:rPr>
        <w:t xml:space="preserve"> </w:t>
      </w:r>
      <w:r w:rsidR="00141B55" w:rsidRPr="009B783C">
        <w:rPr>
          <w:szCs w:val="21"/>
          <w:lang w:eastAsia="en-AU"/>
        </w:rPr>
        <w:t xml:space="preserve">broken </w:t>
      </w:r>
      <w:r w:rsidR="00A06D85" w:rsidRPr="009B783C">
        <w:rPr>
          <w:szCs w:val="21"/>
          <w:lang w:eastAsia="en-AU"/>
        </w:rPr>
        <w:t>into panels</w:t>
      </w:r>
      <w:r w:rsidR="00141B55" w:rsidRPr="009B783C">
        <w:rPr>
          <w:szCs w:val="21"/>
          <w:lang w:eastAsia="en-AU"/>
        </w:rPr>
        <w:t xml:space="preserve"> to shows trends by </w:t>
      </w:r>
      <w:r w:rsidR="00A1644D" w:rsidRPr="009B783C">
        <w:rPr>
          <w:szCs w:val="21"/>
          <w:lang w:eastAsia="en-AU"/>
        </w:rPr>
        <w:t xml:space="preserve">triage category, </w:t>
      </w:r>
      <w:r w:rsidR="002374A2" w:rsidRPr="009B783C">
        <w:rPr>
          <w:szCs w:val="21"/>
          <w:lang w:eastAsia="en-AU"/>
        </w:rPr>
        <w:t>state/terr</w:t>
      </w:r>
      <w:r w:rsidR="00E94897" w:rsidRPr="009B783C">
        <w:rPr>
          <w:szCs w:val="21"/>
          <w:lang w:eastAsia="en-AU"/>
        </w:rPr>
        <w:t>itory</w:t>
      </w:r>
      <w:r w:rsidR="00756B07" w:rsidRPr="009B783C">
        <w:rPr>
          <w:szCs w:val="21"/>
          <w:lang w:eastAsia="en-AU"/>
        </w:rPr>
        <w:t xml:space="preserve"> </w:t>
      </w:r>
      <w:r w:rsidR="00A1644D" w:rsidRPr="009B783C">
        <w:rPr>
          <w:szCs w:val="21"/>
          <w:lang w:eastAsia="en-AU"/>
        </w:rPr>
        <w:t xml:space="preserve">and </w:t>
      </w:r>
      <w:r w:rsidR="00FE2F7E" w:rsidRPr="009B783C">
        <w:rPr>
          <w:szCs w:val="21"/>
          <w:lang w:eastAsia="en-AU"/>
        </w:rPr>
        <w:t xml:space="preserve">whether the Medicare UCC </w:t>
      </w:r>
      <w:r w:rsidR="0041645C" w:rsidRPr="009B783C">
        <w:rPr>
          <w:szCs w:val="21"/>
          <w:lang w:eastAsia="en-AU"/>
        </w:rPr>
        <w:t xml:space="preserve">transitioned from a </w:t>
      </w:r>
      <w:r w:rsidR="00EB2A6C" w:rsidRPr="009B783C">
        <w:rPr>
          <w:szCs w:val="21"/>
          <w:lang w:eastAsia="en-AU"/>
        </w:rPr>
        <w:t>prior program</w:t>
      </w:r>
      <w:r w:rsidR="00561A00" w:rsidRPr="009B783C">
        <w:rPr>
          <w:szCs w:val="21"/>
          <w:lang w:eastAsia="en-AU"/>
        </w:rPr>
        <w:t>.</w:t>
      </w:r>
      <w:r w:rsidR="00A1644D" w:rsidRPr="009B783C">
        <w:rPr>
          <w:szCs w:val="21"/>
          <w:lang w:eastAsia="en-AU"/>
        </w:rPr>
        <w:t xml:space="preserve"> </w:t>
      </w:r>
      <w:r w:rsidR="0067672F" w:rsidRPr="009B783C">
        <w:rPr>
          <w:szCs w:val="21"/>
          <w:lang w:eastAsia="en-AU"/>
        </w:rPr>
        <w:t xml:space="preserve">Partner hospitals for Medicare UCC </w:t>
      </w:r>
      <w:r w:rsidR="00561A00" w:rsidRPr="009B783C">
        <w:rPr>
          <w:szCs w:val="21"/>
          <w:lang w:eastAsia="en-AU"/>
        </w:rPr>
        <w:t xml:space="preserve">commencing </w:t>
      </w:r>
      <w:r w:rsidR="00B459A8" w:rsidRPr="009B783C">
        <w:rPr>
          <w:szCs w:val="21"/>
          <w:lang w:eastAsia="en-AU"/>
        </w:rPr>
        <w:t>after 1 July 2024 have been ex</w:t>
      </w:r>
      <w:r w:rsidR="00F63348" w:rsidRPr="009B783C">
        <w:rPr>
          <w:szCs w:val="21"/>
          <w:lang w:eastAsia="en-AU"/>
        </w:rPr>
        <w:t>cluded from the cha</w:t>
      </w:r>
      <w:r w:rsidR="00605E0A" w:rsidRPr="009B783C">
        <w:rPr>
          <w:szCs w:val="21"/>
          <w:lang w:eastAsia="en-AU"/>
        </w:rPr>
        <w:t>r</w:t>
      </w:r>
      <w:r w:rsidR="00F63348" w:rsidRPr="009B783C">
        <w:rPr>
          <w:szCs w:val="21"/>
          <w:lang w:eastAsia="en-AU"/>
        </w:rPr>
        <w:t>ts.</w:t>
      </w:r>
    </w:p>
    <w:p w14:paraId="0368E138" w14:textId="0E73B324" w:rsidR="00964915" w:rsidRPr="009B783C" w:rsidRDefault="005A3F94" w:rsidP="00F5425B">
      <w:pPr>
        <w:rPr>
          <w:szCs w:val="21"/>
          <w:lang w:val="en-US" w:eastAsia="en-AU"/>
        </w:rPr>
      </w:pPr>
      <w:r w:rsidRPr="009B783C">
        <w:rPr>
          <w:szCs w:val="21"/>
          <w:lang w:eastAsia="en-AU"/>
        </w:rPr>
        <w:t>The</w:t>
      </w:r>
      <w:r w:rsidR="00223BD1" w:rsidRPr="009B783C">
        <w:rPr>
          <w:szCs w:val="21"/>
          <w:lang w:eastAsia="en-AU"/>
        </w:rPr>
        <w:t xml:space="preserve"> number of </w:t>
      </w:r>
      <w:r w:rsidR="00C3282E" w:rsidRPr="009B783C">
        <w:rPr>
          <w:szCs w:val="21"/>
          <w:lang w:eastAsia="en-AU"/>
        </w:rPr>
        <w:t xml:space="preserve">ED presentations for triage categories </w:t>
      </w:r>
      <w:r w:rsidR="00AE4620" w:rsidRPr="009B783C">
        <w:rPr>
          <w:szCs w:val="21"/>
          <w:lang w:eastAsia="en-AU"/>
        </w:rPr>
        <w:t>four</w:t>
      </w:r>
      <w:r w:rsidR="00C3282E" w:rsidRPr="009B783C">
        <w:rPr>
          <w:szCs w:val="21"/>
          <w:lang w:eastAsia="en-AU"/>
        </w:rPr>
        <w:t xml:space="preserve"> and </w:t>
      </w:r>
      <w:r w:rsidR="00AE4620" w:rsidRPr="009B783C">
        <w:rPr>
          <w:szCs w:val="21"/>
          <w:lang w:eastAsia="en-AU"/>
        </w:rPr>
        <w:t>five</w:t>
      </w:r>
      <w:r w:rsidR="00C3282E" w:rsidRPr="009B783C">
        <w:rPr>
          <w:szCs w:val="21"/>
          <w:lang w:eastAsia="en-AU"/>
        </w:rPr>
        <w:t xml:space="preserve"> </w:t>
      </w:r>
      <w:r w:rsidR="00D7495E" w:rsidRPr="009B783C">
        <w:rPr>
          <w:szCs w:val="21"/>
          <w:lang w:eastAsia="en-AU"/>
        </w:rPr>
        <w:t xml:space="preserve">generally </w:t>
      </w:r>
      <w:r w:rsidR="00E5443A" w:rsidRPr="009B783C">
        <w:rPr>
          <w:szCs w:val="21"/>
          <w:lang w:eastAsia="en-AU"/>
        </w:rPr>
        <w:t>declined</w:t>
      </w:r>
      <w:r w:rsidR="00C3282E" w:rsidRPr="009B783C">
        <w:rPr>
          <w:szCs w:val="21"/>
          <w:lang w:eastAsia="en-AU"/>
        </w:rPr>
        <w:t xml:space="preserve"> </w:t>
      </w:r>
      <w:r w:rsidR="00BA7315" w:rsidRPr="009B783C">
        <w:rPr>
          <w:szCs w:val="21"/>
          <w:lang w:eastAsia="en-AU"/>
        </w:rPr>
        <w:t xml:space="preserve">between </w:t>
      </w:r>
      <w:r w:rsidR="00223BD1" w:rsidRPr="009B783C">
        <w:rPr>
          <w:szCs w:val="21"/>
          <w:lang w:eastAsia="en-AU"/>
        </w:rPr>
        <w:t>2020</w:t>
      </w:r>
      <w:r w:rsidR="00583A93" w:rsidRPr="009B783C">
        <w:rPr>
          <w:szCs w:val="21"/>
          <w:lang w:eastAsia="en-AU"/>
        </w:rPr>
        <w:t>-</w:t>
      </w:r>
      <w:r w:rsidR="00223BD1" w:rsidRPr="009B783C">
        <w:rPr>
          <w:szCs w:val="21"/>
          <w:lang w:eastAsia="en-AU"/>
        </w:rPr>
        <w:t>21 and 202</w:t>
      </w:r>
      <w:r w:rsidR="00687DC8" w:rsidRPr="009B783C">
        <w:rPr>
          <w:szCs w:val="21"/>
          <w:lang w:eastAsia="en-AU"/>
        </w:rPr>
        <w:t>2</w:t>
      </w:r>
      <w:r w:rsidR="00583A93" w:rsidRPr="009B783C">
        <w:rPr>
          <w:szCs w:val="21"/>
          <w:lang w:eastAsia="en-AU"/>
        </w:rPr>
        <w:t>-</w:t>
      </w:r>
      <w:r w:rsidR="00223BD1" w:rsidRPr="009B783C">
        <w:rPr>
          <w:szCs w:val="21"/>
          <w:lang w:eastAsia="en-AU"/>
        </w:rPr>
        <w:t>2</w:t>
      </w:r>
      <w:r w:rsidR="00687DC8" w:rsidRPr="009B783C">
        <w:rPr>
          <w:szCs w:val="21"/>
          <w:lang w:eastAsia="en-AU"/>
        </w:rPr>
        <w:t xml:space="preserve">3, </w:t>
      </w:r>
      <w:r w:rsidR="00E5443A" w:rsidRPr="009B783C">
        <w:rPr>
          <w:szCs w:val="21"/>
          <w:lang w:eastAsia="en-AU"/>
        </w:rPr>
        <w:t xml:space="preserve">and </w:t>
      </w:r>
      <w:r w:rsidR="00687DC8" w:rsidRPr="009B783C">
        <w:rPr>
          <w:szCs w:val="21"/>
          <w:lang w:eastAsia="en-AU"/>
        </w:rPr>
        <w:t>this trend continued in 2023</w:t>
      </w:r>
      <w:r w:rsidR="00583A93" w:rsidRPr="009B783C">
        <w:rPr>
          <w:szCs w:val="21"/>
          <w:lang w:eastAsia="en-AU"/>
        </w:rPr>
        <w:t>-</w:t>
      </w:r>
      <w:r w:rsidR="00687DC8" w:rsidRPr="009B783C">
        <w:rPr>
          <w:szCs w:val="21"/>
          <w:lang w:eastAsia="en-AU"/>
        </w:rPr>
        <w:t>24</w:t>
      </w:r>
      <w:r w:rsidR="001B674B" w:rsidRPr="009B783C">
        <w:rPr>
          <w:szCs w:val="21"/>
          <w:lang w:eastAsia="en-AU"/>
        </w:rPr>
        <w:t>, although at a reduced rate</w:t>
      </w:r>
      <w:r w:rsidR="00F46F79" w:rsidRPr="009B783C">
        <w:rPr>
          <w:szCs w:val="21"/>
          <w:lang w:eastAsia="en-AU"/>
        </w:rPr>
        <w:t xml:space="preserve"> of decline</w:t>
      </w:r>
      <w:r w:rsidR="00223BD1" w:rsidRPr="009B783C">
        <w:rPr>
          <w:szCs w:val="21"/>
          <w:lang w:eastAsia="en-AU"/>
        </w:rPr>
        <w:t xml:space="preserve">. </w:t>
      </w:r>
      <w:r w:rsidR="00964915" w:rsidRPr="009B783C">
        <w:rPr>
          <w:szCs w:val="21"/>
          <w:lang w:eastAsia="en-AU"/>
        </w:rPr>
        <w:t xml:space="preserve">For the </w:t>
      </w:r>
      <w:r w:rsidR="007D25EA" w:rsidRPr="009B783C">
        <w:rPr>
          <w:szCs w:val="21"/>
          <w:lang w:eastAsia="en-AU"/>
        </w:rPr>
        <w:t>43</w:t>
      </w:r>
      <w:r w:rsidR="00964915" w:rsidRPr="009B783C">
        <w:rPr>
          <w:szCs w:val="21"/>
          <w:lang w:eastAsia="en-AU"/>
        </w:rPr>
        <w:t xml:space="preserve"> partner hospitals of Medicare UCCs that were newly established</w:t>
      </w:r>
      <w:r w:rsidR="001661EA" w:rsidRPr="009B783C">
        <w:rPr>
          <w:szCs w:val="21"/>
          <w:lang w:eastAsia="en-AU"/>
        </w:rPr>
        <w:t xml:space="preserve"> and operational prior to 31 December 2023</w:t>
      </w:r>
      <w:r w:rsidR="00964915" w:rsidRPr="009B783C">
        <w:rPr>
          <w:szCs w:val="21"/>
          <w:lang w:eastAsia="en-AU"/>
        </w:rPr>
        <w:t xml:space="preserve">, </w:t>
      </w:r>
      <w:r w:rsidR="00A736D7" w:rsidRPr="009B783C">
        <w:rPr>
          <w:szCs w:val="21"/>
          <w:lang w:eastAsia="en-AU"/>
        </w:rPr>
        <w:t xml:space="preserve">ED </w:t>
      </w:r>
      <w:r w:rsidR="00D626ED" w:rsidRPr="009B783C">
        <w:rPr>
          <w:szCs w:val="21"/>
          <w:lang w:eastAsia="en-AU"/>
        </w:rPr>
        <w:t xml:space="preserve">presentations </w:t>
      </w:r>
      <w:r w:rsidR="0014744A" w:rsidRPr="009B783C">
        <w:rPr>
          <w:szCs w:val="21"/>
          <w:lang w:eastAsia="en-AU"/>
        </w:rPr>
        <w:t>in 2023-</w:t>
      </w:r>
      <w:r w:rsidR="00A736D7" w:rsidRPr="009B783C">
        <w:rPr>
          <w:szCs w:val="21"/>
          <w:lang w:eastAsia="en-AU"/>
        </w:rPr>
        <w:t>2</w:t>
      </w:r>
      <w:r w:rsidR="0014744A" w:rsidRPr="009B783C">
        <w:rPr>
          <w:szCs w:val="21"/>
          <w:lang w:eastAsia="en-AU"/>
        </w:rPr>
        <w:t xml:space="preserve">4 </w:t>
      </w:r>
      <w:r w:rsidR="00D626ED" w:rsidRPr="009B783C">
        <w:rPr>
          <w:szCs w:val="21"/>
          <w:lang w:eastAsia="en-AU"/>
        </w:rPr>
        <w:t>declined by 2.</w:t>
      </w:r>
      <w:r w:rsidR="008601F2" w:rsidRPr="009B783C">
        <w:rPr>
          <w:szCs w:val="21"/>
          <w:lang w:eastAsia="en-AU"/>
        </w:rPr>
        <w:t>3</w:t>
      </w:r>
      <w:r w:rsidR="003D1F51" w:rsidRPr="009B783C">
        <w:rPr>
          <w:szCs w:val="21"/>
          <w:lang w:eastAsia="en-AU"/>
        </w:rPr>
        <w:t xml:space="preserve"> per cent</w:t>
      </w:r>
      <w:r w:rsidR="00D626ED" w:rsidRPr="009B783C">
        <w:rPr>
          <w:szCs w:val="21"/>
          <w:lang w:eastAsia="en-AU"/>
        </w:rPr>
        <w:t xml:space="preserve"> for triage category </w:t>
      </w:r>
      <w:r w:rsidR="002374A2" w:rsidRPr="009B783C">
        <w:rPr>
          <w:szCs w:val="21"/>
          <w:lang w:eastAsia="en-AU"/>
        </w:rPr>
        <w:t>four</w:t>
      </w:r>
      <w:r w:rsidR="00D626ED" w:rsidRPr="009B783C">
        <w:rPr>
          <w:szCs w:val="21"/>
          <w:lang w:eastAsia="en-AU"/>
        </w:rPr>
        <w:t xml:space="preserve"> and</w:t>
      </w:r>
      <w:r w:rsidR="00964915" w:rsidRPr="009B783C">
        <w:rPr>
          <w:szCs w:val="21"/>
          <w:lang w:eastAsia="en-AU"/>
        </w:rPr>
        <w:t xml:space="preserve"> </w:t>
      </w:r>
      <w:r w:rsidR="008601F2" w:rsidRPr="009B783C">
        <w:rPr>
          <w:szCs w:val="21"/>
          <w:lang w:eastAsia="en-AU"/>
        </w:rPr>
        <w:t>3.3</w:t>
      </w:r>
      <w:r w:rsidR="003D1F51" w:rsidRPr="009B783C">
        <w:rPr>
          <w:szCs w:val="21"/>
          <w:lang w:eastAsia="en-AU"/>
        </w:rPr>
        <w:t xml:space="preserve"> per cent</w:t>
      </w:r>
      <w:r w:rsidR="00B761FC" w:rsidRPr="009B783C">
        <w:rPr>
          <w:szCs w:val="21"/>
          <w:lang w:eastAsia="en-AU"/>
        </w:rPr>
        <w:t xml:space="preserve"> for </w:t>
      </w:r>
      <w:r w:rsidR="006E330F" w:rsidRPr="009B783C">
        <w:rPr>
          <w:szCs w:val="21"/>
          <w:lang w:eastAsia="en-AU"/>
        </w:rPr>
        <w:t xml:space="preserve">triage </w:t>
      </w:r>
      <w:r w:rsidR="00B761FC" w:rsidRPr="009B783C">
        <w:rPr>
          <w:szCs w:val="21"/>
          <w:lang w:eastAsia="en-AU"/>
        </w:rPr>
        <w:t xml:space="preserve">category </w:t>
      </w:r>
      <w:r w:rsidR="002374A2" w:rsidRPr="009B783C">
        <w:rPr>
          <w:szCs w:val="21"/>
          <w:lang w:eastAsia="en-AU"/>
        </w:rPr>
        <w:t>five</w:t>
      </w:r>
      <w:r w:rsidR="0014744A" w:rsidRPr="009B783C">
        <w:rPr>
          <w:szCs w:val="21"/>
          <w:lang w:eastAsia="en-AU"/>
        </w:rPr>
        <w:t>, compared with the previous year</w:t>
      </w:r>
      <w:r w:rsidR="00B761FC" w:rsidRPr="009B783C">
        <w:rPr>
          <w:szCs w:val="21"/>
          <w:lang w:eastAsia="en-AU"/>
        </w:rPr>
        <w:t xml:space="preserve">. </w:t>
      </w:r>
      <w:r w:rsidR="00145022" w:rsidRPr="009B783C">
        <w:rPr>
          <w:szCs w:val="21"/>
          <w:lang w:eastAsia="en-AU"/>
        </w:rPr>
        <w:t xml:space="preserve">For the partner hospitals of Medicare UCCs that had transitioned from previous programs, </w:t>
      </w:r>
      <w:r w:rsidR="00A736D7" w:rsidRPr="009B783C">
        <w:rPr>
          <w:szCs w:val="21"/>
          <w:lang w:eastAsia="en-AU"/>
        </w:rPr>
        <w:t xml:space="preserve">ED </w:t>
      </w:r>
      <w:r w:rsidR="00145022" w:rsidRPr="009B783C">
        <w:rPr>
          <w:szCs w:val="21"/>
          <w:lang w:eastAsia="en-AU"/>
        </w:rPr>
        <w:t xml:space="preserve">presentations </w:t>
      </w:r>
      <w:r w:rsidR="00CC7EDF" w:rsidRPr="009B783C">
        <w:rPr>
          <w:szCs w:val="21"/>
          <w:lang w:eastAsia="en-AU"/>
        </w:rPr>
        <w:t>increased</w:t>
      </w:r>
      <w:r w:rsidR="00145022" w:rsidRPr="009B783C">
        <w:rPr>
          <w:szCs w:val="21"/>
          <w:lang w:eastAsia="en-AU"/>
        </w:rPr>
        <w:t xml:space="preserve"> by 0.7</w:t>
      </w:r>
      <w:r w:rsidR="003D1F51" w:rsidRPr="009B783C">
        <w:rPr>
          <w:szCs w:val="21"/>
          <w:lang w:eastAsia="en-AU"/>
        </w:rPr>
        <w:t xml:space="preserve"> per cent</w:t>
      </w:r>
      <w:r w:rsidR="00145022" w:rsidRPr="009B783C">
        <w:rPr>
          <w:szCs w:val="21"/>
          <w:lang w:eastAsia="en-AU"/>
        </w:rPr>
        <w:t xml:space="preserve"> for triage category </w:t>
      </w:r>
      <w:r w:rsidR="002374A2" w:rsidRPr="009B783C">
        <w:rPr>
          <w:szCs w:val="21"/>
          <w:lang w:eastAsia="en-AU"/>
        </w:rPr>
        <w:t>four</w:t>
      </w:r>
      <w:r w:rsidR="00145022" w:rsidRPr="009B783C">
        <w:rPr>
          <w:szCs w:val="21"/>
          <w:lang w:eastAsia="en-AU"/>
        </w:rPr>
        <w:t xml:space="preserve"> and </w:t>
      </w:r>
      <w:r w:rsidR="00CC7EDF" w:rsidRPr="009B783C">
        <w:rPr>
          <w:szCs w:val="21"/>
          <w:lang w:eastAsia="en-AU"/>
        </w:rPr>
        <w:t xml:space="preserve">decreased by </w:t>
      </w:r>
      <w:r w:rsidR="006E330F" w:rsidRPr="009B783C">
        <w:rPr>
          <w:szCs w:val="21"/>
          <w:lang w:eastAsia="en-AU"/>
        </w:rPr>
        <w:t>8.3</w:t>
      </w:r>
      <w:r w:rsidR="003D1F51" w:rsidRPr="009B783C">
        <w:rPr>
          <w:szCs w:val="21"/>
          <w:lang w:eastAsia="en-AU"/>
        </w:rPr>
        <w:t xml:space="preserve"> per cent</w:t>
      </w:r>
      <w:r w:rsidR="00145022" w:rsidRPr="009B783C">
        <w:rPr>
          <w:szCs w:val="21"/>
          <w:lang w:eastAsia="en-AU"/>
        </w:rPr>
        <w:t xml:space="preserve"> for </w:t>
      </w:r>
      <w:r w:rsidR="006E330F" w:rsidRPr="009B783C">
        <w:rPr>
          <w:szCs w:val="21"/>
          <w:lang w:eastAsia="en-AU"/>
        </w:rPr>
        <w:t xml:space="preserve">triage </w:t>
      </w:r>
      <w:r w:rsidR="00145022" w:rsidRPr="009B783C">
        <w:rPr>
          <w:szCs w:val="21"/>
          <w:lang w:eastAsia="en-AU"/>
        </w:rPr>
        <w:t xml:space="preserve">category </w:t>
      </w:r>
      <w:r w:rsidR="002374A2" w:rsidRPr="009B783C">
        <w:rPr>
          <w:szCs w:val="21"/>
          <w:lang w:eastAsia="en-AU"/>
        </w:rPr>
        <w:t>five</w:t>
      </w:r>
      <w:r w:rsidR="00145022" w:rsidRPr="009B783C">
        <w:rPr>
          <w:szCs w:val="21"/>
          <w:lang w:eastAsia="en-AU"/>
        </w:rPr>
        <w:t xml:space="preserve">. </w:t>
      </w:r>
      <w:r w:rsidR="00465326" w:rsidRPr="009B783C">
        <w:rPr>
          <w:szCs w:val="21"/>
          <w:lang w:eastAsia="en-AU"/>
        </w:rPr>
        <w:t>For hospitals that are not partner hospitals</w:t>
      </w:r>
      <w:r w:rsidR="004A1150" w:rsidRPr="009B783C">
        <w:rPr>
          <w:szCs w:val="21"/>
          <w:lang w:eastAsia="en-AU"/>
        </w:rPr>
        <w:t>,</w:t>
      </w:r>
      <w:r w:rsidR="008D0F33" w:rsidRPr="009B783C">
        <w:rPr>
          <w:szCs w:val="21"/>
          <w:lang w:eastAsia="en-AU"/>
        </w:rPr>
        <w:t xml:space="preserve"> </w:t>
      </w:r>
      <w:r w:rsidR="00F93A29" w:rsidRPr="009B783C">
        <w:rPr>
          <w:szCs w:val="21"/>
          <w:lang w:eastAsia="en-AU"/>
        </w:rPr>
        <w:t xml:space="preserve">presentations increased by 0.3 per cent for triage category four and </w:t>
      </w:r>
      <w:r w:rsidR="00492F65" w:rsidRPr="009B783C">
        <w:rPr>
          <w:szCs w:val="21"/>
          <w:lang w:eastAsia="en-AU"/>
        </w:rPr>
        <w:t>increased</w:t>
      </w:r>
      <w:r w:rsidR="00F93A29" w:rsidRPr="009B783C">
        <w:rPr>
          <w:szCs w:val="21"/>
          <w:lang w:eastAsia="en-AU"/>
        </w:rPr>
        <w:t xml:space="preserve"> by </w:t>
      </w:r>
      <w:r w:rsidR="000C1E50" w:rsidRPr="009B783C">
        <w:rPr>
          <w:szCs w:val="21"/>
          <w:lang w:eastAsia="en-AU"/>
        </w:rPr>
        <w:t>1.1</w:t>
      </w:r>
      <w:r w:rsidR="00F93A29" w:rsidRPr="009B783C">
        <w:rPr>
          <w:szCs w:val="21"/>
          <w:lang w:eastAsia="en-AU"/>
        </w:rPr>
        <w:t xml:space="preserve"> per cent for triage category five</w:t>
      </w:r>
      <w:r w:rsidR="00A80412" w:rsidRPr="009B783C">
        <w:rPr>
          <w:szCs w:val="21"/>
          <w:lang w:eastAsia="en-AU"/>
        </w:rPr>
        <w:t>.</w:t>
      </w:r>
      <w:r w:rsidR="00465326" w:rsidRPr="009B783C">
        <w:rPr>
          <w:szCs w:val="21"/>
          <w:lang w:eastAsia="en-AU"/>
        </w:rPr>
        <w:t xml:space="preserve"> </w:t>
      </w:r>
    </w:p>
    <w:p w14:paraId="52C332B0" w14:textId="77777777" w:rsidR="006B20E0" w:rsidRDefault="006B20E0" w:rsidP="005060B8">
      <w:pPr>
        <w:pStyle w:val="Caption"/>
        <w:rPr>
          <w:szCs w:val="21"/>
        </w:rPr>
        <w:sectPr w:rsidR="006B20E0" w:rsidSect="007D389D">
          <w:type w:val="continuous"/>
          <w:pgSz w:w="11907" w:h="16839" w:code="9"/>
          <w:pgMar w:top="1247" w:right="1418" w:bottom="1276" w:left="1559" w:header="720" w:footer="720" w:gutter="0"/>
          <w:cols w:space="720"/>
          <w:docGrid w:linePitch="360"/>
        </w:sectPr>
      </w:pPr>
      <w:bookmarkStart w:id="160" w:name="_Ref185486142"/>
    </w:p>
    <w:p w14:paraId="4E8BBC8C" w14:textId="73FCBEFD" w:rsidR="00063FE5" w:rsidRPr="00202579" w:rsidRDefault="005060B8" w:rsidP="00202579">
      <w:pPr>
        <w:pStyle w:val="Caption"/>
        <w:rPr>
          <w:szCs w:val="21"/>
        </w:rPr>
      </w:pPr>
      <w:bookmarkStart w:id="161" w:name="_Ref189768389"/>
      <w:r w:rsidRPr="009B783C">
        <w:rPr>
          <w:szCs w:val="21"/>
        </w:rPr>
        <w:lastRenderedPageBreak/>
        <w:t xml:space="preserve">Figure </w:t>
      </w:r>
      <w:r w:rsidR="00E4498C" w:rsidRPr="009B783C">
        <w:rPr>
          <w:szCs w:val="21"/>
        </w:rPr>
        <w:fldChar w:fldCharType="begin"/>
      </w:r>
      <w:r w:rsidR="00E4498C" w:rsidRPr="009B783C">
        <w:rPr>
          <w:szCs w:val="21"/>
        </w:rPr>
        <w:instrText xml:space="preserve"> SEQ Figure \* ARABIC </w:instrText>
      </w:r>
      <w:r w:rsidR="00E4498C" w:rsidRPr="009B783C">
        <w:rPr>
          <w:szCs w:val="21"/>
        </w:rPr>
        <w:fldChar w:fldCharType="separate"/>
      </w:r>
      <w:r w:rsidR="00255871">
        <w:rPr>
          <w:noProof/>
          <w:szCs w:val="21"/>
        </w:rPr>
        <w:t>14</w:t>
      </w:r>
      <w:r w:rsidR="00E4498C" w:rsidRPr="009B783C">
        <w:rPr>
          <w:szCs w:val="21"/>
        </w:rPr>
        <w:fldChar w:fldCharType="end"/>
      </w:r>
      <w:bookmarkEnd w:id="160"/>
      <w:bookmarkEnd w:id="161"/>
      <w:r w:rsidRPr="009B783C">
        <w:rPr>
          <w:szCs w:val="21"/>
        </w:rPr>
        <w:t xml:space="preserve"> | Mean ED presentations per partner hospital triage categories four and five, NSW,</w:t>
      </w:r>
      <w:r w:rsidRPr="009B783C">
        <w:rPr>
          <w:rStyle w:val="FootnoteReference"/>
          <w:szCs w:val="21"/>
          <w:lang w:eastAsia="en-AU"/>
        </w:rPr>
        <w:footnoteReference w:id="88"/>
      </w:r>
      <w:r w:rsidRPr="009B783C">
        <w:rPr>
          <w:szCs w:val="21"/>
        </w:rPr>
        <w:t xml:space="preserve"> VIC</w:t>
      </w:r>
      <w:r w:rsidRPr="009B783C">
        <w:rPr>
          <w:rStyle w:val="FootnoteReference"/>
          <w:szCs w:val="21"/>
          <w:lang w:eastAsia="en-AU"/>
        </w:rPr>
        <w:footnoteReference w:id="89"/>
      </w:r>
      <w:r w:rsidRPr="009B783C">
        <w:rPr>
          <w:szCs w:val="21"/>
        </w:rPr>
        <w:t xml:space="preserve"> and QLD,</w:t>
      </w:r>
      <w:r w:rsidRPr="009B783C">
        <w:rPr>
          <w:rStyle w:val="FootnoteReference"/>
          <w:szCs w:val="21"/>
          <w:lang w:eastAsia="en-AU"/>
        </w:rPr>
        <w:footnoteReference w:id="90"/>
      </w:r>
      <w:r w:rsidRPr="009B783C">
        <w:rPr>
          <w:szCs w:val="21"/>
        </w:rPr>
        <w:t xml:space="preserve"> July 2021 to Ju</w:t>
      </w:r>
      <w:r w:rsidR="00296C55" w:rsidRPr="009B783C">
        <w:rPr>
          <w:szCs w:val="21"/>
        </w:rPr>
        <w:t>ne</w:t>
      </w:r>
      <w:r w:rsidRPr="009B783C">
        <w:rPr>
          <w:szCs w:val="21"/>
        </w:rPr>
        <w:t xml:space="preserve"> 2024</w:t>
      </w:r>
    </w:p>
    <w:p w14:paraId="275253A7" w14:textId="77777777" w:rsidR="005060B8" w:rsidRPr="009B783C" w:rsidRDefault="005060B8" w:rsidP="00542F46">
      <w:pPr>
        <w:spacing w:after="0"/>
      </w:pPr>
      <w:r w:rsidRPr="009B783C">
        <w:rPr>
          <w:noProof/>
        </w:rPr>
        <w:drawing>
          <wp:inline distT="0" distB="0" distL="0" distR="0" wp14:anchorId="16F0FA93" wp14:editId="4390A299">
            <wp:extent cx="6591300" cy="5126570"/>
            <wp:effectExtent l="0" t="0" r="0" b="0"/>
            <wp:docPr id="1134490338" name="Picture 1134490338" descr="This image presents eight scatter plots that visualise mean ED presentations for partner hospit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490338" name="Picture 1134490338" descr="This image presents eight scatter plots that visualise mean ED presentations for partner hospitals"/>
                    <pic:cNvPicPr>
                      <a:picLocks noChangeAspect="1" noChangeArrowheads="1"/>
                    </pic:cNvPicPr>
                  </pic:nvPicPr>
                  <pic:blipFill>
                    <a:blip r:embed="rId44" cstate="print"/>
                    <a:stretch>
                      <a:fillRect/>
                    </a:stretch>
                  </pic:blipFill>
                  <pic:spPr bwMode="auto">
                    <a:xfrm>
                      <a:off x="0" y="0"/>
                      <a:ext cx="6640316" cy="5164694"/>
                    </a:xfrm>
                    <a:prstGeom prst="rect">
                      <a:avLst/>
                    </a:prstGeom>
                    <a:noFill/>
                  </pic:spPr>
                </pic:pic>
              </a:graphicData>
            </a:graphic>
          </wp:inline>
        </w:drawing>
      </w:r>
    </w:p>
    <w:p w14:paraId="257C76A9" w14:textId="77777777" w:rsidR="006B20E0" w:rsidRDefault="006B20E0" w:rsidP="005060B8">
      <w:pPr>
        <w:rPr>
          <w:szCs w:val="21"/>
        </w:rPr>
        <w:sectPr w:rsidR="006B20E0" w:rsidSect="00C5600F">
          <w:pgSz w:w="16839" w:h="11907" w:orient="landscape" w:code="9"/>
          <w:pgMar w:top="993" w:right="1247" w:bottom="1135" w:left="1276" w:header="720" w:footer="720" w:gutter="0"/>
          <w:cols w:space="720"/>
          <w:docGrid w:linePitch="360"/>
        </w:sectPr>
      </w:pPr>
    </w:p>
    <w:p w14:paraId="08AE026F" w14:textId="0E4AE276" w:rsidR="00485B35" w:rsidRPr="009B783C" w:rsidRDefault="000D706D" w:rsidP="005060B8">
      <w:pPr>
        <w:rPr>
          <w:szCs w:val="21"/>
        </w:rPr>
      </w:pPr>
      <w:r>
        <w:rPr>
          <w:szCs w:val="21"/>
        </w:rPr>
        <w:lastRenderedPageBreak/>
        <w:t xml:space="preserve">Detailed </w:t>
      </w:r>
      <w:r w:rsidR="00485B35" w:rsidRPr="009B783C">
        <w:rPr>
          <w:szCs w:val="21"/>
        </w:rPr>
        <w:t>Description:</w:t>
      </w:r>
    </w:p>
    <w:p w14:paraId="28522AEE" w14:textId="35A3B70C" w:rsidR="008933EE" w:rsidRPr="009B783C" w:rsidRDefault="00485B35" w:rsidP="005060B8">
      <w:pPr>
        <w:rPr>
          <w:szCs w:val="21"/>
          <w:lang w:val="en-US"/>
        </w:rPr>
      </w:pPr>
      <w:r w:rsidRPr="009B783C">
        <w:rPr>
          <w:szCs w:val="21"/>
        </w:rPr>
        <w:t>The</w:t>
      </w:r>
      <w:r w:rsidR="006B34A2" w:rsidRPr="009B783C">
        <w:rPr>
          <w:szCs w:val="21"/>
        </w:rPr>
        <w:t xml:space="preserve"> eight scatter plots visualise mean ED presentations for partner hospitals</w:t>
      </w:r>
      <w:r w:rsidRPr="009B783C">
        <w:rPr>
          <w:szCs w:val="21"/>
        </w:rPr>
        <w:t xml:space="preserve">. They are split by triage category </w:t>
      </w:r>
      <w:r w:rsidR="00D936AD">
        <w:rPr>
          <w:szCs w:val="21"/>
        </w:rPr>
        <w:t>four</w:t>
      </w:r>
      <w:r w:rsidRPr="009B783C">
        <w:rPr>
          <w:szCs w:val="21"/>
        </w:rPr>
        <w:t xml:space="preserve"> or </w:t>
      </w:r>
      <w:r w:rsidR="00D936AD">
        <w:rPr>
          <w:szCs w:val="21"/>
        </w:rPr>
        <w:t>five</w:t>
      </w:r>
      <w:r w:rsidRPr="009B783C">
        <w:rPr>
          <w:szCs w:val="21"/>
        </w:rPr>
        <w:t xml:space="preserve"> and location</w:t>
      </w:r>
      <w:r w:rsidR="00AC7DAC" w:rsidRPr="009B783C">
        <w:rPr>
          <w:szCs w:val="21"/>
        </w:rPr>
        <w:t xml:space="preserve">. Then further split by newly established or transitioned Medicare UCCs. </w:t>
      </w:r>
      <w:r w:rsidR="00206BF4" w:rsidRPr="009B783C">
        <w:rPr>
          <w:szCs w:val="21"/>
        </w:rPr>
        <w:t>Each plot shows the</w:t>
      </w:r>
      <w:r w:rsidR="00C42885" w:rsidRPr="009B783C">
        <w:rPr>
          <w:szCs w:val="21"/>
        </w:rPr>
        <w:t xml:space="preserve"> AIHW annual presentations,</w:t>
      </w:r>
      <w:r w:rsidR="00206BF4" w:rsidRPr="009B783C">
        <w:rPr>
          <w:szCs w:val="21"/>
        </w:rPr>
        <w:t xml:space="preserve"> </w:t>
      </w:r>
      <w:r w:rsidR="003B7CF3" w:rsidRPr="009B783C">
        <w:rPr>
          <w:szCs w:val="21"/>
        </w:rPr>
        <w:t>quarterly mean presentations and trend</w:t>
      </w:r>
      <w:r w:rsidR="00FB29AB">
        <w:rPr>
          <w:szCs w:val="21"/>
        </w:rPr>
        <w:t>s</w:t>
      </w:r>
      <w:r w:rsidR="003B7CF3" w:rsidRPr="009B783C">
        <w:rPr>
          <w:szCs w:val="21"/>
        </w:rPr>
        <w:t xml:space="preserve">, </w:t>
      </w:r>
      <w:r w:rsidR="00C42885" w:rsidRPr="009B783C">
        <w:rPr>
          <w:szCs w:val="21"/>
        </w:rPr>
        <w:t xml:space="preserve">and the </w:t>
      </w:r>
      <w:r w:rsidR="003B7CF3" w:rsidRPr="009B783C">
        <w:rPr>
          <w:szCs w:val="21"/>
        </w:rPr>
        <w:t>Medicare UCCs opening</w:t>
      </w:r>
      <w:r w:rsidR="00486232">
        <w:rPr>
          <w:szCs w:val="21"/>
        </w:rPr>
        <w:t xml:space="preserve"> dates</w:t>
      </w:r>
      <w:r w:rsidR="00C42885" w:rsidRPr="009B783C">
        <w:rPr>
          <w:szCs w:val="21"/>
        </w:rPr>
        <w:t xml:space="preserve"> over the period from July 2020 to July 2024. </w:t>
      </w:r>
      <w:r w:rsidR="009D0B25" w:rsidRPr="009B783C">
        <w:rPr>
          <w:szCs w:val="21"/>
        </w:rPr>
        <w:t>The data is summarised in the following table</w:t>
      </w:r>
      <w:r w:rsidR="00135197" w:rsidRPr="009B783C">
        <w:rPr>
          <w:szCs w:val="21"/>
        </w:rPr>
        <w:t>s</w:t>
      </w:r>
      <w:r w:rsidR="009D0B25" w:rsidRPr="009B783C">
        <w:rPr>
          <w:szCs w:val="21"/>
        </w:rPr>
        <w:t>.</w:t>
      </w:r>
    </w:p>
    <w:p w14:paraId="73979B53" w14:textId="4E33CBB5" w:rsidR="00135197" w:rsidRPr="009B783C" w:rsidRDefault="00135197" w:rsidP="005060B8">
      <w:pPr>
        <w:rPr>
          <w:szCs w:val="21"/>
          <w:lang w:val="en-US"/>
        </w:rPr>
      </w:pPr>
      <w:r w:rsidRPr="009B783C">
        <w:rPr>
          <w:szCs w:val="21"/>
        </w:rPr>
        <w:t xml:space="preserve">Data for </w:t>
      </w:r>
      <w:r w:rsidR="00CC417F" w:rsidRPr="009B783C">
        <w:rPr>
          <w:szCs w:val="21"/>
        </w:rPr>
        <w:t xml:space="preserve">newly established Medicare UCCs in </w:t>
      </w:r>
      <w:r w:rsidR="007E3A72">
        <w:rPr>
          <w:szCs w:val="21"/>
        </w:rPr>
        <w:t>NSW</w:t>
      </w:r>
      <w:r w:rsidR="00CC417F" w:rsidRPr="009B783C">
        <w:rPr>
          <w:szCs w:val="21"/>
        </w:rPr>
        <w:t>.</w:t>
      </w:r>
      <w:r w:rsidR="00640F56" w:rsidRPr="009B783C">
        <w:rPr>
          <w:szCs w:val="21"/>
        </w:rPr>
        <w:t xml:space="preserve"> There were </w:t>
      </w:r>
      <w:r w:rsidR="000C7680" w:rsidRPr="009B783C">
        <w:rPr>
          <w:szCs w:val="21"/>
        </w:rPr>
        <w:t xml:space="preserve">10 Medicare UCCs established over the </w:t>
      </w:r>
      <w:proofErr w:type="gramStart"/>
      <w:r w:rsidR="000C7680" w:rsidRPr="009B783C">
        <w:rPr>
          <w:szCs w:val="21"/>
        </w:rPr>
        <w:t>time period</w:t>
      </w:r>
      <w:proofErr w:type="gramEnd"/>
      <w:r w:rsidR="000044DA" w:rsidRPr="009B783C">
        <w:rPr>
          <w:szCs w:val="21"/>
        </w:rPr>
        <w:t>.</w:t>
      </w:r>
      <w:r w:rsidR="001D1D90" w:rsidRPr="009B783C">
        <w:rPr>
          <w:szCs w:val="21"/>
        </w:rPr>
        <w:t xml:space="preserve"> </w:t>
      </w:r>
    </w:p>
    <w:tbl>
      <w:tblPr>
        <w:tblStyle w:val="TableGrid"/>
        <w:tblW w:w="0" w:type="auto"/>
        <w:tblLook w:val="04A0" w:firstRow="1" w:lastRow="0" w:firstColumn="1" w:lastColumn="0" w:noHBand="0" w:noVBand="1"/>
      </w:tblPr>
      <w:tblGrid>
        <w:gridCol w:w="1510"/>
        <w:gridCol w:w="1635"/>
        <w:gridCol w:w="1925"/>
        <w:gridCol w:w="1925"/>
        <w:gridCol w:w="1925"/>
      </w:tblGrid>
      <w:tr w:rsidR="0003573E" w:rsidRPr="009B783C" w14:paraId="10221285" w14:textId="10C9DC2F" w:rsidTr="00150F16">
        <w:trPr>
          <w:tblHeader/>
        </w:trPr>
        <w:tc>
          <w:tcPr>
            <w:tcW w:w="1555" w:type="dxa"/>
            <w:tcBorders>
              <w:right w:val="single" w:sz="4" w:space="0" w:color="FFFFFF" w:themeColor="background1"/>
            </w:tcBorders>
            <w:shd w:val="clear" w:color="auto" w:fill="00264D" w:themeFill="background2"/>
          </w:tcPr>
          <w:p w14:paraId="7A6585A7" w14:textId="5B4E0702" w:rsidR="0056567E" w:rsidRPr="009B783C" w:rsidRDefault="003B3148" w:rsidP="00372E8E">
            <w:pPr>
              <w:pStyle w:val="TableNheader"/>
              <w:rPr>
                <w:rFonts w:asciiTheme="majorHAnsi" w:hAnsiTheme="majorHAnsi" w:cstheme="majorHAnsi"/>
              </w:rPr>
            </w:pPr>
            <w:r>
              <w:t>Month</w:t>
            </w:r>
            <w:r w:rsidR="00850C17">
              <w:t xml:space="preserve"> and year</w:t>
            </w:r>
          </w:p>
        </w:tc>
        <w:tc>
          <w:tcPr>
            <w:tcW w:w="1521" w:type="dxa"/>
            <w:tcBorders>
              <w:left w:val="single" w:sz="4" w:space="0" w:color="FFFFFF" w:themeColor="background1"/>
              <w:right w:val="single" w:sz="4" w:space="0" w:color="FFFFFF" w:themeColor="background1"/>
            </w:tcBorders>
            <w:shd w:val="clear" w:color="auto" w:fill="00264D" w:themeFill="background2"/>
          </w:tcPr>
          <w:p w14:paraId="23C54F2E" w14:textId="4956E8E5" w:rsidR="0056567E" w:rsidRPr="009B783C" w:rsidRDefault="0056567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4.</w:t>
            </w:r>
          </w:p>
        </w:tc>
        <w:tc>
          <w:tcPr>
            <w:tcW w:w="1948" w:type="dxa"/>
            <w:tcBorders>
              <w:left w:val="single" w:sz="4" w:space="0" w:color="FFFFFF" w:themeColor="background1"/>
              <w:right w:val="single" w:sz="4" w:space="0" w:color="FFFFFF" w:themeColor="background1"/>
            </w:tcBorders>
            <w:shd w:val="clear" w:color="auto" w:fill="00264D" w:themeFill="background2"/>
          </w:tcPr>
          <w:p w14:paraId="637B66C2" w14:textId="405C022E" w:rsidR="0056567E" w:rsidRPr="009B783C" w:rsidRDefault="0056567E" w:rsidP="00372E8E">
            <w:pPr>
              <w:pStyle w:val="TableNheader"/>
              <w:rPr>
                <w:rFonts w:asciiTheme="majorHAnsi" w:hAnsiTheme="majorHAnsi" w:cstheme="majorHAnsi"/>
              </w:rPr>
            </w:pPr>
            <w:r w:rsidRPr="009B783C">
              <w:t>Mean p</w:t>
            </w:r>
            <w:r w:rsidRPr="009B783C">
              <w:rPr>
                <w:rFonts w:asciiTheme="majorHAnsi" w:hAnsiTheme="majorHAnsi" w:cstheme="majorHAnsi"/>
              </w:rPr>
              <w:t xml:space="preserve">resentations per quarter, AIHW data. Triage category 4. </w:t>
            </w:r>
          </w:p>
        </w:tc>
        <w:tc>
          <w:tcPr>
            <w:tcW w:w="1948" w:type="dxa"/>
            <w:tcBorders>
              <w:left w:val="single" w:sz="4" w:space="0" w:color="FFFFFF" w:themeColor="background1"/>
              <w:right w:val="single" w:sz="4" w:space="0" w:color="FFFFFF" w:themeColor="background1"/>
            </w:tcBorders>
            <w:shd w:val="clear" w:color="auto" w:fill="00264D" w:themeFill="background2"/>
          </w:tcPr>
          <w:p w14:paraId="5D841306" w14:textId="1236FEC8" w:rsidR="0056567E" w:rsidRPr="009B783C" w:rsidRDefault="0056567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5.</w:t>
            </w:r>
          </w:p>
        </w:tc>
        <w:tc>
          <w:tcPr>
            <w:tcW w:w="1948" w:type="dxa"/>
            <w:tcBorders>
              <w:left w:val="single" w:sz="4" w:space="0" w:color="FFFFFF" w:themeColor="background1"/>
            </w:tcBorders>
            <w:shd w:val="clear" w:color="auto" w:fill="00264D" w:themeFill="background2"/>
          </w:tcPr>
          <w:p w14:paraId="2B10B8CA" w14:textId="5328FE4E" w:rsidR="0056567E" w:rsidRPr="009B783C" w:rsidRDefault="0056567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AIHW data. Triage category 5.</w:t>
            </w:r>
          </w:p>
        </w:tc>
      </w:tr>
      <w:tr w:rsidR="00B76BE5" w:rsidRPr="009B783C" w14:paraId="5F57FE03" w14:textId="53993EE1" w:rsidTr="00150F16">
        <w:tc>
          <w:tcPr>
            <w:tcW w:w="1555" w:type="dxa"/>
            <w:vAlign w:val="bottom"/>
          </w:tcPr>
          <w:p w14:paraId="062D3D54" w14:textId="253A92F7"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Jul</w:t>
            </w:r>
            <w:r w:rsidR="00B76BE5" w:rsidRPr="009B783C">
              <w:rPr>
                <w:rFonts w:asciiTheme="minorHAnsi" w:hAnsiTheme="minorHAnsi" w:cstheme="minorHAnsi"/>
                <w:color w:val="000000"/>
                <w:szCs w:val="21"/>
              </w:rPr>
              <w:t xml:space="preserve">y </w:t>
            </w:r>
            <w:r w:rsidRPr="009B783C">
              <w:rPr>
                <w:rFonts w:asciiTheme="minorHAnsi" w:hAnsiTheme="minorHAnsi" w:cstheme="minorHAnsi"/>
                <w:color w:val="000000"/>
                <w:szCs w:val="21"/>
              </w:rPr>
              <w:t>2020</w:t>
            </w:r>
          </w:p>
        </w:tc>
        <w:tc>
          <w:tcPr>
            <w:tcW w:w="1521" w:type="dxa"/>
            <w:vAlign w:val="bottom"/>
          </w:tcPr>
          <w:p w14:paraId="10967E29" w14:textId="77777777" w:rsidR="00AA5AAA" w:rsidRPr="009B783C" w:rsidRDefault="00AA5AAA" w:rsidP="00645E43">
            <w:pPr>
              <w:jc w:val="center"/>
              <w:rPr>
                <w:rFonts w:asciiTheme="minorHAnsi" w:hAnsiTheme="minorHAnsi" w:cstheme="minorHAnsi"/>
                <w:szCs w:val="21"/>
              </w:rPr>
            </w:pPr>
          </w:p>
        </w:tc>
        <w:tc>
          <w:tcPr>
            <w:tcW w:w="1948" w:type="dxa"/>
            <w:vAlign w:val="bottom"/>
          </w:tcPr>
          <w:p w14:paraId="787298AC" w14:textId="42ADDC1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5694</w:t>
            </w:r>
          </w:p>
        </w:tc>
        <w:tc>
          <w:tcPr>
            <w:tcW w:w="1948" w:type="dxa"/>
            <w:vAlign w:val="bottom"/>
          </w:tcPr>
          <w:p w14:paraId="2064CA77" w14:textId="77777777" w:rsidR="00AA5AAA" w:rsidRPr="009B783C" w:rsidRDefault="00AA5AAA" w:rsidP="00645E43">
            <w:pPr>
              <w:jc w:val="center"/>
              <w:rPr>
                <w:rFonts w:asciiTheme="minorHAnsi" w:hAnsiTheme="minorHAnsi" w:cstheme="minorHAnsi"/>
                <w:szCs w:val="21"/>
              </w:rPr>
            </w:pPr>
          </w:p>
        </w:tc>
        <w:tc>
          <w:tcPr>
            <w:tcW w:w="1948" w:type="dxa"/>
            <w:vAlign w:val="bottom"/>
          </w:tcPr>
          <w:p w14:paraId="390E1EEC" w14:textId="7C2BFA6B"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1110</w:t>
            </w:r>
          </w:p>
        </w:tc>
      </w:tr>
      <w:tr w:rsidR="0003573E" w:rsidRPr="009B783C" w14:paraId="5BFEC0A1" w14:textId="77777777" w:rsidTr="00150F16">
        <w:tc>
          <w:tcPr>
            <w:tcW w:w="1555" w:type="dxa"/>
            <w:vAlign w:val="bottom"/>
          </w:tcPr>
          <w:p w14:paraId="5B94C303" w14:textId="6385A409"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Oct</w:t>
            </w:r>
            <w:r w:rsidR="00B76BE5" w:rsidRPr="009B783C">
              <w:rPr>
                <w:rFonts w:asciiTheme="minorHAnsi" w:hAnsiTheme="minorHAnsi" w:cstheme="minorHAnsi"/>
                <w:color w:val="000000"/>
                <w:szCs w:val="21"/>
              </w:rPr>
              <w:t xml:space="preserve">ober </w:t>
            </w:r>
            <w:r w:rsidRPr="009B783C">
              <w:rPr>
                <w:rFonts w:asciiTheme="minorHAnsi" w:hAnsiTheme="minorHAnsi" w:cstheme="minorHAnsi"/>
                <w:color w:val="000000"/>
                <w:szCs w:val="21"/>
              </w:rPr>
              <w:t>2020</w:t>
            </w:r>
          </w:p>
        </w:tc>
        <w:tc>
          <w:tcPr>
            <w:tcW w:w="1521" w:type="dxa"/>
            <w:vAlign w:val="bottom"/>
          </w:tcPr>
          <w:p w14:paraId="750A3250" w14:textId="7443CE8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5121</w:t>
            </w:r>
          </w:p>
        </w:tc>
        <w:tc>
          <w:tcPr>
            <w:tcW w:w="1948" w:type="dxa"/>
            <w:vAlign w:val="bottom"/>
          </w:tcPr>
          <w:p w14:paraId="23391A4E" w14:textId="1C1A490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5694</w:t>
            </w:r>
          </w:p>
        </w:tc>
        <w:tc>
          <w:tcPr>
            <w:tcW w:w="1948" w:type="dxa"/>
            <w:vAlign w:val="bottom"/>
          </w:tcPr>
          <w:p w14:paraId="60B2E3E6" w14:textId="037A123D"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990</w:t>
            </w:r>
          </w:p>
        </w:tc>
        <w:tc>
          <w:tcPr>
            <w:tcW w:w="1948" w:type="dxa"/>
            <w:vAlign w:val="bottom"/>
          </w:tcPr>
          <w:p w14:paraId="49DDC5EC" w14:textId="3E32D18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1110</w:t>
            </w:r>
          </w:p>
        </w:tc>
      </w:tr>
      <w:tr w:rsidR="0003573E" w:rsidRPr="009B783C" w14:paraId="5C1F5DF7" w14:textId="77777777" w:rsidTr="00150F16">
        <w:tc>
          <w:tcPr>
            <w:tcW w:w="1555" w:type="dxa"/>
            <w:vAlign w:val="bottom"/>
          </w:tcPr>
          <w:p w14:paraId="0C737E3B" w14:textId="1EDD7C6F"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Jan</w:t>
            </w:r>
            <w:r w:rsidR="0003573E" w:rsidRPr="009B783C">
              <w:rPr>
                <w:rFonts w:asciiTheme="minorHAnsi" w:hAnsiTheme="minorHAnsi" w:cstheme="minorHAnsi"/>
                <w:color w:val="000000"/>
                <w:szCs w:val="21"/>
              </w:rPr>
              <w:t xml:space="preserve">uary </w:t>
            </w:r>
            <w:r w:rsidRPr="009B783C">
              <w:rPr>
                <w:rFonts w:asciiTheme="minorHAnsi" w:hAnsiTheme="minorHAnsi" w:cstheme="minorHAnsi"/>
                <w:color w:val="000000"/>
                <w:szCs w:val="21"/>
              </w:rPr>
              <w:t>2021</w:t>
            </w:r>
          </w:p>
        </w:tc>
        <w:tc>
          <w:tcPr>
            <w:tcW w:w="1521" w:type="dxa"/>
            <w:vAlign w:val="bottom"/>
          </w:tcPr>
          <w:p w14:paraId="45BE649E" w14:textId="6857C20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5806</w:t>
            </w:r>
          </w:p>
        </w:tc>
        <w:tc>
          <w:tcPr>
            <w:tcW w:w="1948" w:type="dxa"/>
            <w:vAlign w:val="bottom"/>
          </w:tcPr>
          <w:p w14:paraId="3426CA4E" w14:textId="5323DF31"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5694</w:t>
            </w:r>
          </w:p>
        </w:tc>
        <w:tc>
          <w:tcPr>
            <w:tcW w:w="1948" w:type="dxa"/>
            <w:vAlign w:val="bottom"/>
          </w:tcPr>
          <w:p w14:paraId="4F2BE20F" w14:textId="7D1A6F0B"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1073</w:t>
            </w:r>
          </w:p>
        </w:tc>
        <w:tc>
          <w:tcPr>
            <w:tcW w:w="1948" w:type="dxa"/>
            <w:vAlign w:val="bottom"/>
          </w:tcPr>
          <w:p w14:paraId="618C3D7A" w14:textId="3E9E2A0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1110</w:t>
            </w:r>
          </w:p>
        </w:tc>
      </w:tr>
      <w:tr w:rsidR="0003573E" w:rsidRPr="009B783C" w14:paraId="56EDF61D" w14:textId="77777777" w:rsidTr="00150F16">
        <w:tc>
          <w:tcPr>
            <w:tcW w:w="1555" w:type="dxa"/>
            <w:vAlign w:val="bottom"/>
          </w:tcPr>
          <w:p w14:paraId="7D981604" w14:textId="76A403CA"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Apr</w:t>
            </w:r>
            <w:r w:rsidR="0003573E" w:rsidRPr="009B783C">
              <w:rPr>
                <w:rFonts w:asciiTheme="minorHAnsi" w:hAnsiTheme="minorHAnsi" w:cstheme="minorHAnsi"/>
                <w:color w:val="000000"/>
                <w:szCs w:val="21"/>
              </w:rPr>
              <w:t xml:space="preserve">il </w:t>
            </w:r>
            <w:r w:rsidRPr="009B783C">
              <w:rPr>
                <w:rFonts w:asciiTheme="minorHAnsi" w:hAnsiTheme="minorHAnsi" w:cstheme="minorHAnsi"/>
                <w:color w:val="000000"/>
                <w:szCs w:val="21"/>
              </w:rPr>
              <w:t>2021</w:t>
            </w:r>
          </w:p>
        </w:tc>
        <w:tc>
          <w:tcPr>
            <w:tcW w:w="1521" w:type="dxa"/>
            <w:vAlign w:val="bottom"/>
          </w:tcPr>
          <w:p w14:paraId="4E918A78" w14:textId="09BA5EA2"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5754</w:t>
            </w:r>
          </w:p>
        </w:tc>
        <w:tc>
          <w:tcPr>
            <w:tcW w:w="1948" w:type="dxa"/>
            <w:vAlign w:val="bottom"/>
          </w:tcPr>
          <w:p w14:paraId="4079F08A" w14:textId="13ED507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5694</w:t>
            </w:r>
          </w:p>
        </w:tc>
        <w:tc>
          <w:tcPr>
            <w:tcW w:w="1948" w:type="dxa"/>
            <w:vAlign w:val="bottom"/>
          </w:tcPr>
          <w:p w14:paraId="210DBAE5" w14:textId="7A2304B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1063</w:t>
            </w:r>
          </w:p>
        </w:tc>
        <w:tc>
          <w:tcPr>
            <w:tcW w:w="1948" w:type="dxa"/>
            <w:vAlign w:val="bottom"/>
          </w:tcPr>
          <w:p w14:paraId="26C7B816" w14:textId="54BE0DAD"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1110</w:t>
            </w:r>
          </w:p>
        </w:tc>
      </w:tr>
      <w:tr w:rsidR="0003573E" w:rsidRPr="009B783C" w14:paraId="5C9AE9D9" w14:textId="77777777" w:rsidTr="00150F16">
        <w:tc>
          <w:tcPr>
            <w:tcW w:w="1555" w:type="dxa"/>
            <w:vAlign w:val="bottom"/>
          </w:tcPr>
          <w:p w14:paraId="5C0E8E92" w14:textId="3534C78E"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Jul</w:t>
            </w:r>
            <w:r w:rsidR="0003573E" w:rsidRPr="009B783C">
              <w:rPr>
                <w:rFonts w:asciiTheme="minorHAnsi" w:hAnsiTheme="minorHAnsi" w:cstheme="minorHAnsi"/>
                <w:color w:val="000000"/>
                <w:szCs w:val="21"/>
              </w:rPr>
              <w:t xml:space="preserve">y </w:t>
            </w:r>
            <w:r w:rsidRPr="009B783C">
              <w:rPr>
                <w:rFonts w:asciiTheme="minorHAnsi" w:hAnsiTheme="minorHAnsi" w:cstheme="minorHAnsi"/>
                <w:color w:val="000000"/>
                <w:szCs w:val="21"/>
              </w:rPr>
              <w:t>2021</w:t>
            </w:r>
          </w:p>
        </w:tc>
        <w:tc>
          <w:tcPr>
            <w:tcW w:w="1521" w:type="dxa"/>
            <w:vAlign w:val="bottom"/>
          </w:tcPr>
          <w:p w14:paraId="3580560D" w14:textId="4DCD1E27"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5820</w:t>
            </w:r>
          </w:p>
        </w:tc>
        <w:tc>
          <w:tcPr>
            <w:tcW w:w="1948" w:type="dxa"/>
            <w:vAlign w:val="bottom"/>
          </w:tcPr>
          <w:p w14:paraId="1771F07D" w14:textId="34D6D77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5260</w:t>
            </w:r>
          </w:p>
        </w:tc>
        <w:tc>
          <w:tcPr>
            <w:tcW w:w="1948" w:type="dxa"/>
            <w:vAlign w:val="bottom"/>
          </w:tcPr>
          <w:p w14:paraId="0923B4FE" w14:textId="2C79975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1019</w:t>
            </w:r>
          </w:p>
        </w:tc>
        <w:tc>
          <w:tcPr>
            <w:tcW w:w="1948" w:type="dxa"/>
            <w:vAlign w:val="bottom"/>
          </w:tcPr>
          <w:p w14:paraId="39E335FC" w14:textId="1A1F9139"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1235</w:t>
            </w:r>
          </w:p>
        </w:tc>
      </w:tr>
      <w:tr w:rsidR="0003573E" w:rsidRPr="009B783C" w14:paraId="45B9FA34" w14:textId="77777777" w:rsidTr="00150F16">
        <w:tc>
          <w:tcPr>
            <w:tcW w:w="1555" w:type="dxa"/>
            <w:vAlign w:val="bottom"/>
          </w:tcPr>
          <w:p w14:paraId="0879078D" w14:textId="2BCCD71B"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Oct</w:t>
            </w:r>
            <w:r w:rsidR="0003573E" w:rsidRPr="009B783C">
              <w:rPr>
                <w:rFonts w:asciiTheme="minorHAnsi" w:hAnsiTheme="minorHAnsi" w:cstheme="minorHAnsi"/>
                <w:color w:val="000000"/>
                <w:szCs w:val="21"/>
              </w:rPr>
              <w:t xml:space="preserve">ober </w:t>
            </w:r>
            <w:r w:rsidRPr="009B783C">
              <w:rPr>
                <w:rFonts w:asciiTheme="minorHAnsi" w:hAnsiTheme="minorHAnsi" w:cstheme="minorHAnsi"/>
                <w:color w:val="000000"/>
                <w:szCs w:val="21"/>
              </w:rPr>
              <w:t>2021</w:t>
            </w:r>
          </w:p>
        </w:tc>
        <w:tc>
          <w:tcPr>
            <w:tcW w:w="1521" w:type="dxa"/>
            <w:vAlign w:val="bottom"/>
          </w:tcPr>
          <w:p w14:paraId="262351C3" w14:textId="510AABF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4600</w:t>
            </w:r>
          </w:p>
        </w:tc>
        <w:tc>
          <w:tcPr>
            <w:tcW w:w="1948" w:type="dxa"/>
            <w:vAlign w:val="bottom"/>
          </w:tcPr>
          <w:p w14:paraId="34047FC1" w14:textId="6D4C7E12"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5260</w:t>
            </w:r>
          </w:p>
        </w:tc>
        <w:tc>
          <w:tcPr>
            <w:tcW w:w="1948" w:type="dxa"/>
            <w:vAlign w:val="bottom"/>
          </w:tcPr>
          <w:p w14:paraId="2BA5E7C1" w14:textId="4FB07006"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1020</w:t>
            </w:r>
          </w:p>
        </w:tc>
        <w:tc>
          <w:tcPr>
            <w:tcW w:w="1948" w:type="dxa"/>
            <w:vAlign w:val="bottom"/>
          </w:tcPr>
          <w:p w14:paraId="16B8AC62" w14:textId="4812F659"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1235</w:t>
            </w:r>
          </w:p>
        </w:tc>
      </w:tr>
      <w:tr w:rsidR="0003573E" w:rsidRPr="009B783C" w14:paraId="190F1060" w14:textId="77777777" w:rsidTr="00150F16">
        <w:tc>
          <w:tcPr>
            <w:tcW w:w="1555" w:type="dxa"/>
            <w:vAlign w:val="bottom"/>
          </w:tcPr>
          <w:p w14:paraId="60F5C91D" w14:textId="0E0F1503"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Jan</w:t>
            </w:r>
            <w:r w:rsidR="0003573E" w:rsidRPr="009B783C">
              <w:rPr>
                <w:rFonts w:asciiTheme="minorHAnsi" w:hAnsiTheme="minorHAnsi" w:cstheme="minorHAnsi"/>
                <w:color w:val="000000"/>
                <w:szCs w:val="21"/>
              </w:rPr>
              <w:t xml:space="preserve">uary </w:t>
            </w:r>
            <w:r w:rsidRPr="009B783C">
              <w:rPr>
                <w:rFonts w:asciiTheme="minorHAnsi" w:hAnsiTheme="minorHAnsi" w:cstheme="minorHAnsi"/>
                <w:color w:val="000000"/>
                <w:szCs w:val="21"/>
              </w:rPr>
              <w:t>2022</w:t>
            </w:r>
          </w:p>
        </w:tc>
        <w:tc>
          <w:tcPr>
            <w:tcW w:w="1521" w:type="dxa"/>
            <w:vAlign w:val="bottom"/>
          </w:tcPr>
          <w:p w14:paraId="50314336" w14:textId="2172F40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5252</w:t>
            </w:r>
          </w:p>
        </w:tc>
        <w:tc>
          <w:tcPr>
            <w:tcW w:w="1948" w:type="dxa"/>
            <w:vAlign w:val="bottom"/>
          </w:tcPr>
          <w:p w14:paraId="0CEC5B1E" w14:textId="0D33473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5260</w:t>
            </w:r>
          </w:p>
        </w:tc>
        <w:tc>
          <w:tcPr>
            <w:tcW w:w="1948" w:type="dxa"/>
            <w:vAlign w:val="bottom"/>
          </w:tcPr>
          <w:p w14:paraId="627041F9" w14:textId="3EC67A96"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1311</w:t>
            </w:r>
          </w:p>
        </w:tc>
        <w:tc>
          <w:tcPr>
            <w:tcW w:w="1948" w:type="dxa"/>
            <w:vAlign w:val="bottom"/>
          </w:tcPr>
          <w:p w14:paraId="079FD084" w14:textId="1A81887B"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1235</w:t>
            </w:r>
          </w:p>
        </w:tc>
      </w:tr>
      <w:tr w:rsidR="0003573E" w:rsidRPr="009B783C" w14:paraId="6E645D43" w14:textId="77777777" w:rsidTr="00150F16">
        <w:tc>
          <w:tcPr>
            <w:tcW w:w="1555" w:type="dxa"/>
            <w:vAlign w:val="bottom"/>
          </w:tcPr>
          <w:p w14:paraId="2E607764" w14:textId="64391165"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Apr</w:t>
            </w:r>
            <w:r w:rsidR="0003573E" w:rsidRPr="009B783C">
              <w:rPr>
                <w:rFonts w:asciiTheme="minorHAnsi" w:hAnsiTheme="minorHAnsi" w:cstheme="minorHAnsi"/>
                <w:color w:val="000000"/>
                <w:szCs w:val="21"/>
              </w:rPr>
              <w:t xml:space="preserve">il </w:t>
            </w:r>
            <w:r w:rsidRPr="009B783C">
              <w:rPr>
                <w:rFonts w:asciiTheme="minorHAnsi" w:hAnsiTheme="minorHAnsi" w:cstheme="minorHAnsi"/>
                <w:color w:val="000000"/>
                <w:szCs w:val="21"/>
              </w:rPr>
              <w:t>2022</w:t>
            </w:r>
          </w:p>
        </w:tc>
        <w:tc>
          <w:tcPr>
            <w:tcW w:w="1521" w:type="dxa"/>
            <w:vAlign w:val="bottom"/>
          </w:tcPr>
          <w:p w14:paraId="45D0F405" w14:textId="5207675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5230</w:t>
            </w:r>
          </w:p>
        </w:tc>
        <w:tc>
          <w:tcPr>
            <w:tcW w:w="1948" w:type="dxa"/>
            <w:vAlign w:val="bottom"/>
          </w:tcPr>
          <w:p w14:paraId="7C2E4299" w14:textId="6A151805"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5260</w:t>
            </w:r>
          </w:p>
        </w:tc>
        <w:tc>
          <w:tcPr>
            <w:tcW w:w="1948" w:type="dxa"/>
            <w:vAlign w:val="bottom"/>
          </w:tcPr>
          <w:p w14:paraId="15BDDF2C" w14:textId="5F598F4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1222</w:t>
            </w:r>
          </w:p>
        </w:tc>
        <w:tc>
          <w:tcPr>
            <w:tcW w:w="1948" w:type="dxa"/>
            <w:vAlign w:val="bottom"/>
          </w:tcPr>
          <w:p w14:paraId="30274A91" w14:textId="765D897B"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1235</w:t>
            </w:r>
          </w:p>
        </w:tc>
      </w:tr>
      <w:tr w:rsidR="0003573E" w:rsidRPr="009B783C" w14:paraId="58001D22" w14:textId="77777777" w:rsidTr="00150F16">
        <w:tc>
          <w:tcPr>
            <w:tcW w:w="1555" w:type="dxa"/>
            <w:vAlign w:val="bottom"/>
          </w:tcPr>
          <w:p w14:paraId="56D1D574" w14:textId="0682BAB0"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Jul</w:t>
            </w:r>
            <w:r w:rsidR="0003573E" w:rsidRPr="009B783C">
              <w:rPr>
                <w:rFonts w:asciiTheme="minorHAnsi" w:hAnsiTheme="minorHAnsi" w:cstheme="minorHAnsi"/>
                <w:color w:val="000000"/>
                <w:szCs w:val="21"/>
              </w:rPr>
              <w:t xml:space="preserve">y </w:t>
            </w:r>
            <w:r w:rsidRPr="009B783C">
              <w:rPr>
                <w:rFonts w:asciiTheme="minorHAnsi" w:hAnsiTheme="minorHAnsi" w:cstheme="minorHAnsi"/>
                <w:color w:val="000000"/>
                <w:szCs w:val="21"/>
              </w:rPr>
              <w:t>2022</w:t>
            </w:r>
          </w:p>
        </w:tc>
        <w:tc>
          <w:tcPr>
            <w:tcW w:w="1521" w:type="dxa"/>
            <w:vAlign w:val="bottom"/>
          </w:tcPr>
          <w:p w14:paraId="4AF6BA5A" w14:textId="01151994"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5673</w:t>
            </w:r>
          </w:p>
        </w:tc>
        <w:tc>
          <w:tcPr>
            <w:tcW w:w="1948" w:type="dxa"/>
            <w:vAlign w:val="bottom"/>
          </w:tcPr>
          <w:p w14:paraId="7657E828" w14:textId="3C1F7FA9"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5234</w:t>
            </w:r>
          </w:p>
        </w:tc>
        <w:tc>
          <w:tcPr>
            <w:tcW w:w="1948" w:type="dxa"/>
            <w:vAlign w:val="bottom"/>
          </w:tcPr>
          <w:p w14:paraId="25724217" w14:textId="09D9846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1146</w:t>
            </w:r>
          </w:p>
        </w:tc>
        <w:tc>
          <w:tcPr>
            <w:tcW w:w="1948" w:type="dxa"/>
            <w:vAlign w:val="bottom"/>
          </w:tcPr>
          <w:p w14:paraId="2B5E3410" w14:textId="7D7039BA"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996</w:t>
            </w:r>
          </w:p>
        </w:tc>
      </w:tr>
      <w:tr w:rsidR="0003573E" w:rsidRPr="009B783C" w14:paraId="4E6D112D" w14:textId="77777777" w:rsidTr="00150F16">
        <w:tc>
          <w:tcPr>
            <w:tcW w:w="1555" w:type="dxa"/>
            <w:vAlign w:val="bottom"/>
          </w:tcPr>
          <w:p w14:paraId="14CA5003" w14:textId="72706817"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Oct</w:t>
            </w:r>
            <w:r w:rsidR="0003573E" w:rsidRPr="009B783C">
              <w:rPr>
                <w:rFonts w:asciiTheme="minorHAnsi" w:hAnsiTheme="minorHAnsi" w:cstheme="minorHAnsi"/>
                <w:color w:val="000000"/>
                <w:szCs w:val="21"/>
              </w:rPr>
              <w:t xml:space="preserve">ober </w:t>
            </w:r>
            <w:r w:rsidRPr="009B783C">
              <w:rPr>
                <w:rFonts w:asciiTheme="minorHAnsi" w:hAnsiTheme="minorHAnsi" w:cstheme="minorHAnsi"/>
                <w:color w:val="000000"/>
                <w:szCs w:val="21"/>
              </w:rPr>
              <w:t>2022</w:t>
            </w:r>
          </w:p>
        </w:tc>
        <w:tc>
          <w:tcPr>
            <w:tcW w:w="1521" w:type="dxa"/>
            <w:vAlign w:val="bottom"/>
          </w:tcPr>
          <w:p w14:paraId="306C2F13" w14:textId="2182FE7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4980</w:t>
            </w:r>
          </w:p>
        </w:tc>
        <w:tc>
          <w:tcPr>
            <w:tcW w:w="1948" w:type="dxa"/>
            <w:vAlign w:val="bottom"/>
          </w:tcPr>
          <w:p w14:paraId="4156B748" w14:textId="570EF74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5234</w:t>
            </w:r>
          </w:p>
        </w:tc>
        <w:tc>
          <w:tcPr>
            <w:tcW w:w="1948" w:type="dxa"/>
            <w:vAlign w:val="bottom"/>
          </w:tcPr>
          <w:p w14:paraId="36C214A8" w14:textId="78B88049"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966</w:t>
            </w:r>
          </w:p>
        </w:tc>
        <w:tc>
          <w:tcPr>
            <w:tcW w:w="1948" w:type="dxa"/>
            <w:vAlign w:val="bottom"/>
          </w:tcPr>
          <w:p w14:paraId="4E9F4028" w14:textId="5563932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996</w:t>
            </w:r>
          </w:p>
        </w:tc>
      </w:tr>
      <w:tr w:rsidR="0003573E" w:rsidRPr="009B783C" w14:paraId="157FF7A0" w14:textId="77777777" w:rsidTr="00150F16">
        <w:tc>
          <w:tcPr>
            <w:tcW w:w="1555" w:type="dxa"/>
            <w:vAlign w:val="bottom"/>
          </w:tcPr>
          <w:p w14:paraId="2DDA8AB2" w14:textId="03EB0FF3"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Jan</w:t>
            </w:r>
            <w:r w:rsidR="0003573E" w:rsidRPr="009B783C">
              <w:rPr>
                <w:rFonts w:asciiTheme="minorHAnsi" w:hAnsiTheme="minorHAnsi" w:cstheme="minorHAnsi"/>
                <w:color w:val="000000"/>
                <w:szCs w:val="21"/>
              </w:rPr>
              <w:t xml:space="preserve">uary </w:t>
            </w:r>
            <w:r w:rsidRPr="009B783C">
              <w:rPr>
                <w:rFonts w:asciiTheme="minorHAnsi" w:hAnsiTheme="minorHAnsi" w:cstheme="minorHAnsi"/>
                <w:color w:val="000000"/>
                <w:szCs w:val="21"/>
              </w:rPr>
              <w:t>2023</w:t>
            </w:r>
          </w:p>
        </w:tc>
        <w:tc>
          <w:tcPr>
            <w:tcW w:w="1521" w:type="dxa"/>
            <w:vAlign w:val="bottom"/>
          </w:tcPr>
          <w:p w14:paraId="3407A595" w14:textId="3969ABF9"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5364</w:t>
            </w:r>
          </w:p>
        </w:tc>
        <w:tc>
          <w:tcPr>
            <w:tcW w:w="1948" w:type="dxa"/>
            <w:vAlign w:val="bottom"/>
          </w:tcPr>
          <w:p w14:paraId="24681395" w14:textId="0CAD0777"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5234</w:t>
            </w:r>
          </w:p>
        </w:tc>
        <w:tc>
          <w:tcPr>
            <w:tcW w:w="1948" w:type="dxa"/>
            <w:vAlign w:val="bottom"/>
          </w:tcPr>
          <w:p w14:paraId="47C3F56C" w14:textId="591E64C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937</w:t>
            </w:r>
          </w:p>
        </w:tc>
        <w:tc>
          <w:tcPr>
            <w:tcW w:w="1948" w:type="dxa"/>
            <w:vAlign w:val="bottom"/>
          </w:tcPr>
          <w:p w14:paraId="43AB1636" w14:textId="68100485"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996</w:t>
            </w:r>
          </w:p>
        </w:tc>
      </w:tr>
      <w:tr w:rsidR="0003573E" w:rsidRPr="009B783C" w14:paraId="36FBDC18" w14:textId="77777777" w:rsidTr="00150F16">
        <w:tc>
          <w:tcPr>
            <w:tcW w:w="1555" w:type="dxa"/>
            <w:vAlign w:val="bottom"/>
          </w:tcPr>
          <w:p w14:paraId="437F4B82" w14:textId="52D41064"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Apr</w:t>
            </w:r>
            <w:r w:rsidR="0003573E" w:rsidRPr="009B783C">
              <w:rPr>
                <w:rFonts w:asciiTheme="minorHAnsi" w:hAnsiTheme="minorHAnsi" w:cstheme="minorHAnsi"/>
                <w:color w:val="000000"/>
                <w:szCs w:val="21"/>
              </w:rPr>
              <w:t xml:space="preserve">il </w:t>
            </w:r>
            <w:r w:rsidRPr="009B783C">
              <w:rPr>
                <w:rFonts w:asciiTheme="minorHAnsi" w:hAnsiTheme="minorHAnsi" w:cstheme="minorHAnsi"/>
                <w:color w:val="000000"/>
                <w:szCs w:val="21"/>
              </w:rPr>
              <w:t>2023</w:t>
            </w:r>
          </w:p>
        </w:tc>
        <w:tc>
          <w:tcPr>
            <w:tcW w:w="1521" w:type="dxa"/>
            <w:vAlign w:val="bottom"/>
          </w:tcPr>
          <w:p w14:paraId="05808DA1" w14:textId="25F73508"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5220</w:t>
            </w:r>
          </w:p>
        </w:tc>
        <w:tc>
          <w:tcPr>
            <w:tcW w:w="1948" w:type="dxa"/>
            <w:vAlign w:val="bottom"/>
          </w:tcPr>
          <w:p w14:paraId="2FC603F9" w14:textId="6B7735C4"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5234</w:t>
            </w:r>
          </w:p>
        </w:tc>
        <w:tc>
          <w:tcPr>
            <w:tcW w:w="1948" w:type="dxa"/>
            <w:vAlign w:val="bottom"/>
          </w:tcPr>
          <w:p w14:paraId="5A9340EC" w14:textId="7E0E2F7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966</w:t>
            </w:r>
          </w:p>
        </w:tc>
        <w:tc>
          <w:tcPr>
            <w:tcW w:w="1948" w:type="dxa"/>
            <w:vAlign w:val="bottom"/>
          </w:tcPr>
          <w:p w14:paraId="5E2E72ED" w14:textId="498A509C"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996</w:t>
            </w:r>
          </w:p>
        </w:tc>
      </w:tr>
      <w:tr w:rsidR="0003573E" w:rsidRPr="009B783C" w14:paraId="4FA206FA" w14:textId="77777777" w:rsidTr="00150F16">
        <w:tc>
          <w:tcPr>
            <w:tcW w:w="1555" w:type="dxa"/>
            <w:vAlign w:val="bottom"/>
          </w:tcPr>
          <w:p w14:paraId="17F318A4" w14:textId="44E530EE"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Jul</w:t>
            </w:r>
            <w:r w:rsidR="0003573E" w:rsidRPr="009B783C">
              <w:rPr>
                <w:rFonts w:asciiTheme="minorHAnsi" w:hAnsiTheme="minorHAnsi" w:cstheme="minorHAnsi"/>
                <w:color w:val="000000"/>
                <w:szCs w:val="21"/>
              </w:rPr>
              <w:t xml:space="preserve">y </w:t>
            </w:r>
            <w:r w:rsidRPr="009B783C">
              <w:rPr>
                <w:rFonts w:asciiTheme="minorHAnsi" w:hAnsiTheme="minorHAnsi" w:cstheme="minorHAnsi"/>
                <w:color w:val="000000"/>
                <w:szCs w:val="21"/>
              </w:rPr>
              <w:t>2023</w:t>
            </w:r>
          </w:p>
        </w:tc>
        <w:tc>
          <w:tcPr>
            <w:tcW w:w="1521" w:type="dxa"/>
            <w:vAlign w:val="bottom"/>
          </w:tcPr>
          <w:p w14:paraId="64050725" w14:textId="17BA2D4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5113</w:t>
            </w:r>
          </w:p>
        </w:tc>
        <w:tc>
          <w:tcPr>
            <w:tcW w:w="1948" w:type="dxa"/>
            <w:vAlign w:val="bottom"/>
          </w:tcPr>
          <w:p w14:paraId="2FEFFFCB" w14:textId="2CB9FC8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5054</w:t>
            </w:r>
          </w:p>
        </w:tc>
        <w:tc>
          <w:tcPr>
            <w:tcW w:w="1948" w:type="dxa"/>
            <w:vAlign w:val="bottom"/>
          </w:tcPr>
          <w:p w14:paraId="2534D10F" w14:textId="013EDE84"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898</w:t>
            </w:r>
          </w:p>
        </w:tc>
        <w:tc>
          <w:tcPr>
            <w:tcW w:w="1948" w:type="dxa"/>
            <w:vAlign w:val="bottom"/>
          </w:tcPr>
          <w:p w14:paraId="7644FCC5" w14:textId="5A4358E5"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978</w:t>
            </w:r>
          </w:p>
        </w:tc>
      </w:tr>
      <w:tr w:rsidR="0003573E" w:rsidRPr="009B783C" w14:paraId="24443E2B" w14:textId="77777777" w:rsidTr="00150F16">
        <w:tc>
          <w:tcPr>
            <w:tcW w:w="1555" w:type="dxa"/>
            <w:vAlign w:val="bottom"/>
          </w:tcPr>
          <w:p w14:paraId="652A0126" w14:textId="5CB551E6"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Oct</w:t>
            </w:r>
            <w:r w:rsidR="0003573E" w:rsidRPr="009B783C">
              <w:rPr>
                <w:rFonts w:asciiTheme="minorHAnsi" w:hAnsiTheme="minorHAnsi" w:cstheme="minorHAnsi"/>
                <w:color w:val="000000"/>
                <w:szCs w:val="21"/>
              </w:rPr>
              <w:t xml:space="preserve">ober </w:t>
            </w:r>
            <w:r w:rsidRPr="009B783C">
              <w:rPr>
                <w:rFonts w:asciiTheme="minorHAnsi" w:hAnsiTheme="minorHAnsi" w:cstheme="minorHAnsi"/>
                <w:color w:val="000000"/>
                <w:szCs w:val="21"/>
              </w:rPr>
              <w:t>2023</w:t>
            </w:r>
          </w:p>
        </w:tc>
        <w:tc>
          <w:tcPr>
            <w:tcW w:w="1521" w:type="dxa"/>
            <w:vAlign w:val="bottom"/>
          </w:tcPr>
          <w:p w14:paraId="177AE8CC" w14:textId="5C68C20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4943</w:t>
            </w:r>
          </w:p>
        </w:tc>
        <w:tc>
          <w:tcPr>
            <w:tcW w:w="1948" w:type="dxa"/>
            <w:vAlign w:val="bottom"/>
          </w:tcPr>
          <w:p w14:paraId="61419ED1" w14:textId="73F59463"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5054</w:t>
            </w:r>
          </w:p>
        </w:tc>
        <w:tc>
          <w:tcPr>
            <w:tcW w:w="1948" w:type="dxa"/>
            <w:vAlign w:val="bottom"/>
          </w:tcPr>
          <w:p w14:paraId="2D76A76C" w14:textId="63EB271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842</w:t>
            </w:r>
          </w:p>
        </w:tc>
        <w:tc>
          <w:tcPr>
            <w:tcW w:w="1948" w:type="dxa"/>
            <w:vAlign w:val="bottom"/>
          </w:tcPr>
          <w:p w14:paraId="3C019880" w14:textId="64B63C6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978</w:t>
            </w:r>
          </w:p>
        </w:tc>
      </w:tr>
      <w:tr w:rsidR="0003573E" w:rsidRPr="009B783C" w14:paraId="5D1348B0" w14:textId="77777777" w:rsidTr="00150F16">
        <w:tc>
          <w:tcPr>
            <w:tcW w:w="1555" w:type="dxa"/>
            <w:vAlign w:val="bottom"/>
          </w:tcPr>
          <w:p w14:paraId="7A9D3C42" w14:textId="247EE18C"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Jan</w:t>
            </w:r>
            <w:r w:rsidR="0003573E" w:rsidRPr="009B783C">
              <w:rPr>
                <w:rFonts w:asciiTheme="minorHAnsi" w:hAnsiTheme="minorHAnsi" w:cstheme="minorHAnsi"/>
                <w:color w:val="000000"/>
                <w:szCs w:val="21"/>
              </w:rPr>
              <w:t xml:space="preserve">uary </w:t>
            </w:r>
            <w:r w:rsidRPr="009B783C">
              <w:rPr>
                <w:rFonts w:asciiTheme="minorHAnsi" w:hAnsiTheme="minorHAnsi" w:cstheme="minorHAnsi"/>
                <w:color w:val="000000"/>
                <w:szCs w:val="21"/>
              </w:rPr>
              <w:t>2024</w:t>
            </w:r>
          </w:p>
        </w:tc>
        <w:tc>
          <w:tcPr>
            <w:tcW w:w="1521" w:type="dxa"/>
            <w:vAlign w:val="bottom"/>
          </w:tcPr>
          <w:p w14:paraId="7D1DB6C5" w14:textId="39E9802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5085</w:t>
            </w:r>
          </w:p>
        </w:tc>
        <w:tc>
          <w:tcPr>
            <w:tcW w:w="1948" w:type="dxa"/>
            <w:vAlign w:val="bottom"/>
          </w:tcPr>
          <w:p w14:paraId="77F99B13" w14:textId="57E764F5"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5054</w:t>
            </w:r>
          </w:p>
        </w:tc>
        <w:tc>
          <w:tcPr>
            <w:tcW w:w="1948" w:type="dxa"/>
            <w:vAlign w:val="bottom"/>
          </w:tcPr>
          <w:p w14:paraId="3DBF1D51" w14:textId="4F48C0C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963</w:t>
            </w:r>
          </w:p>
        </w:tc>
        <w:tc>
          <w:tcPr>
            <w:tcW w:w="1948" w:type="dxa"/>
            <w:vAlign w:val="bottom"/>
          </w:tcPr>
          <w:p w14:paraId="67D4782D" w14:textId="3E392FBD"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978</w:t>
            </w:r>
          </w:p>
        </w:tc>
      </w:tr>
      <w:tr w:rsidR="0003573E" w:rsidRPr="009B783C" w14:paraId="359C3BF1" w14:textId="77777777" w:rsidTr="00150F16">
        <w:tc>
          <w:tcPr>
            <w:tcW w:w="1555" w:type="dxa"/>
            <w:vAlign w:val="bottom"/>
          </w:tcPr>
          <w:p w14:paraId="5A4B2F84" w14:textId="3FED09FA"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Apr</w:t>
            </w:r>
            <w:r w:rsidR="0003573E" w:rsidRPr="009B783C">
              <w:rPr>
                <w:rFonts w:asciiTheme="minorHAnsi" w:hAnsiTheme="minorHAnsi" w:cstheme="minorHAnsi"/>
                <w:color w:val="000000"/>
                <w:szCs w:val="21"/>
              </w:rPr>
              <w:t xml:space="preserve">il </w:t>
            </w:r>
            <w:r w:rsidRPr="009B783C">
              <w:rPr>
                <w:rFonts w:asciiTheme="minorHAnsi" w:hAnsiTheme="minorHAnsi" w:cstheme="minorHAnsi"/>
                <w:color w:val="000000"/>
                <w:szCs w:val="21"/>
              </w:rPr>
              <w:t>2024</w:t>
            </w:r>
          </w:p>
        </w:tc>
        <w:tc>
          <w:tcPr>
            <w:tcW w:w="1521" w:type="dxa"/>
            <w:vAlign w:val="bottom"/>
          </w:tcPr>
          <w:p w14:paraId="116AB312" w14:textId="4DE75088"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5138</w:t>
            </w:r>
          </w:p>
        </w:tc>
        <w:tc>
          <w:tcPr>
            <w:tcW w:w="1948" w:type="dxa"/>
            <w:vAlign w:val="bottom"/>
          </w:tcPr>
          <w:p w14:paraId="45648464" w14:textId="6318FFBE"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5054</w:t>
            </w:r>
          </w:p>
        </w:tc>
        <w:tc>
          <w:tcPr>
            <w:tcW w:w="1948" w:type="dxa"/>
            <w:vAlign w:val="bottom"/>
          </w:tcPr>
          <w:p w14:paraId="3C37DBC7" w14:textId="35197D65"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1024</w:t>
            </w:r>
          </w:p>
        </w:tc>
        <w:tc>
          <w:tcPr>
            <w:tcW w:w="1948" w:type="dxa"/>
            <w:vAlign w:val="bottom"/>
          </w:tcPr>
          <w:p w14:paraId="45F726E7" w14:textId="32E92F17"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978</w:t>
            </w:r>
          </w:p>
        </w:tc>
      </w:tr>
      <w:tr w:rsidR="00B76BE5" w:rsidRPr="009B783C" w14:paraId="57951A78" w14:textId="18120571" w:rsidTr="00150F16">
        <w:tc>
          <w:tcPr>
            <w:tcW w:w="1555" w:type="dxa"/>
            <w:vAlign w:val="bottom"/>
          </w:tcPr>
          <w:p w14:paraId="4DB898EC" w14:textId="61F4B42B" w:rsidR="00AA5AAA" w:rsidRPr="009B783C" w:rsidRDefault="00AA5AAA" w:rsidP="00B31B89">
            <w:pPr>
              <w:rPr>
                <w:rFonts w:asciiTheme="minorHAnsi" w:hAnsiTheme="minorHAnsi" w:cstheme="minorHAnsi"/>
                <w:szCs w:val="21"/>
              </w:rPr>
            </w:pPr>
            <w:r w:rsidRPr="009B783C">
              <w:rPr>
                <w:rFonts w:asciiTheme="minorHAnsi" w:hAnsiTheme="minorHAnsi" w:cstheme="minorHAnsi"/>
                <w:color w:val="000000"/>
                <w:szCs w:val="21"/>
              </w:rPr>
              <w:t>Jul</w:t>
            </w:r>
            <w:r w:rsidR="0003573E" w:rsidRPr="009B783C">
              <w:rPr>
                <w:rFonts w:asciiTheme="minorHAnsi" w:hAnsiTheme="minorHAnsi" w:cstheme="minorHAnsi"/>
                <w:color w:val="000000"/>
                <w:szCs w:val="21"/>
              </w:rPr>
              <w:t xml:space="preserve">y </w:t>
            </w:r>
            <w:r w:rsidRPr="009B783C">
              <w:rPr>
                <w:rFonts w:asciiTheme="minorHAnsi" w:hAnsiTheme="minorHAnsi" w:cstheme="minorHAnsi"/>
                <w:color w:val="000000"/>
                <w:szCs w:val="21"/>
              </w:rPr>
              <w:t>2024</w:t>
            </w:r>
          </w:p>
        </w:tc>
        <w:tc>
          <w:tcPr>
            <w:tcW w:w="1521" w:type="dxa"/>
            <w:vAlign w:val="bottom"/>
          </w:tcPr>
          <w:p w14:paraId="3DCF7BCA" w14:textId="3E0959DB"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4816</w:t>
            </w:r>
          </w:p>
        </w:tc>
        <w:tc>
          <w:tcPr>
            <w:tcW w:w="1948" w:type="dxa"/>
            <w:vAlign w:val="bottom"/>
          </w:tcPr>
          <w:p w14:paraId="5BCCB6FE" w14:textId="5117F5B6"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5054</w:t>
            </w:r>
          </w:p>
        </w:tc>
        <w:tc>
          <w:tcPr>
            <w:tcW w:w="1948" w:type="dxa"/>
            <w:vAlign w:val="bottom"/>
          </w:tcPr>
          <w:p w14:paraId="7645EDD5" w14:textId="2DEC6E60"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861</w:t>
            </w:r>
          </w:p>
        </w:tc>
        <w:tc>
          <w:tcPr>
            <w:tcW w:w="1948" w:type="dxa"/>
            <w:vAlign w:val="bottom"/>
          </w:tcPr>
          <w:p w14:paraId="06676C90" w14:textId="36C05F7F" w:rsidR="00AA5AAA" w:rsidRPr="009B783C" w:rsidRDefault="00AA5AAA" w:rsidP="00645E43">
            <w:pPr>
              <w:jc w:val="center"/>
              <w:rPr>
                <w:rFonts w:asciiTheme="minorHAnsi" w:hAnsiTheme="minorHAnsi" w:cstheme="minorHAnsi"/>
                <w:szCs w:val="21"/>
              </w:rPr>
            </w:pPr>
            <w:r w:rsidRPr="009B783C">
              <w:rPr>
                <w:rFonts w:asciiTheme="minorHAnsi" w:hAnsiTheme="minorHAnsi" w:cstheme="minorHAnsi"/>
                <w:color w:val="000000"/>
                <w:szCs w:val="21"/>
              </w:rPr>
              <w:t>978</w:t>
            </w:r>
          </w:p>
        </w:tc>
      </w:tr>
    </w:tbl>
    <w:p w14:paraId="20E49B1A" w14:textId="003A48B1" w:rsidR="003C785B" w:rsidRPr="009B783C" w:rsidRDefault="003C785B" w:rsidP="003C785B">
      <w:pPr>
        <w:spacing w:before="240"/>
        <w:rPr>
          <w:szCs w:val="21"/>
          <w:highlight w:val="yellow"/>
          <w:lang w:val="en-US"/>
        </w:rPr>
      </w:pPr>
      <w:r w:rsidRPr="009B783C">
        <w:rPr>
          <w:szCs w:val="21"/>
        </w:rPr>
        <w:t xml:space="preserve">Data for transitioned Medicare UCCs in </w:t>
      </w:r>
      <w:r w:rsidR="00E62282">
        <w:rPr>
          <w:szCs w:val="21"/>
        </w:rPr>
        <w:t>NSW</w:t>
      </w:r>
      <w:r w:rsidRPr="009B783C">
        <w:rPr>
          <w:szCs w:val="21"/>
        </w:rPr>
        <w:t>. There w</w:t>
      </w:r>
      <w:r w:rsidR="00D90C0D" w:rsidRPr="009B783C">
        <w:rPr>
          <w:szCs w:val="21"/>
        </w:rPr>
        <w:t>as</w:t>
      </w:r>
      <w:r w:rsidRPr="009B783C">
        <w:rPr>
          <w:szCs w:val="21"/>
        </w:rPr>
        <w:t xml:space="preserve"> </w:t>
      </w:r>
      <w:r w:rsidR="004D6E2D">
        <w:rPr>
          <w:szCs w:val="21"/>
        </w:rPr>
        <w:t>one</w:t>
      </w:r>
      <w:r w:rsidRPr="009B783C">
        <w:rPr>
          <w:szCs w:val="21"/>
        </w:rPr>
        <w:t xml:space="preserve"> Medicare UCCs established over the </w:t>
      </w:r>
      <w:proofErr w:type="gramStart"/>
      <w:r w:rsidRPr="009B783C">
        <w:rPr>
          <w:szCs w:val="21"/>
        </w:rPr>
        <w:t>time period</w:t>
      </w:r>
      <w:proofErr w:type="gramEnd"/>
      <w:r w:rsidR="00D90C0D" w:rsidRPr="009B783C">
        <w:rPr>
          <w:szCs w:val="21"/>
        </w:rPr>
        <w:t>.</w:t>
      </w:r>
      <w:r w:rsidRPr="009B783C">
        <w:rPr>
          <w:szCs w:val="21"/>
        </w:rPr>
        <w:t xml:space="preserve"> </w:t>
      </w:r>
    </w:p>
    <w:tbl>
      <w:tblPr>
        <w:tblStyle w:val="TableGrid"/>
        <w:tblW w:w="0" w:type="auto"/>
        <w:tblLook w:val="04A0" w:firstRow="1" w:lastRow="0" w:firstColumn="1" w:lastColumn="0" w:noHBand="0" w:noVBand="1"/>
      </w:tblPr>
      <w:tblGrid>
        <w:gridCol w:w="1510"/>
        <w:gridCol w:w="1635"/>
        <w:gridCol w:w="1925"/>
        <w:gridCol w:w="1925"/>
        <w:gridCol w:w="1925"/>
      </w:tblGrid>
      <w:tr w:rsidR="003C785B" w:rsidRPr="009B783C" w14:paraId="70631D70" w14:textId="77777777" w:rsidTr="004D6E2D">
        <w:trPr>
          <w:tblHeader/>
        </w:trPr>
        <w:tc>
          <w:tcPr>
            <w:tcW w:w="1555" w:type="dxa"/>
            <w:tcBorders>
              <w:right w:val="single" w:sz="4" w:space="0" w:color="FFFFFF" w:themeColor="background1"/>
            </w:tcBorders>
            <w:shd w:val="clear" w:color="auto" w:fill="00264D" w:themeFill="background2"/>
          </w:tcPr>
          <w:p w14:paraId="0FE2813E" w14:textId="68DEAFB2" w:rsidR="003C785B" w:rsidRPr="009B783C" w:rsidRDefault="00D75495" w:rsidP="00E40022">
            <w:pPr>
              <w:rPr>
                <w:rFonts w:asciiTheme="majorHAnsi" w:hAnsiTheme="majorHAnsi" w:cstheme="majorHAnsi"/>
                <w:color w:val="FFFFFF" w:themeColor="background1"/>
                <w:sz w:val="23"/>
                <w:szCs w:val="23"/>
              </w:rPr>
            </w:pPr>
            <w:r>
              <w:rPr>
                <w:rFonts w:asciiTheme="majorHAnsi" w:hAnsiTheme="majorHAnsi" w:cstheme="majorHAnsi"/>
                <w:color w:val="FFFFFF" w:themeColor="background1"/>
                <w:sz w:val="23"/>
                <w:szCs w:val="23"/>
              </w:rPr>
              <w:lastRenderedPageBreak/>
              <w:t>Month</w:t>
            </w:r>
            <w:r w:rsidR="00850C17">
              <w:rPr>
                <w:rFonts w:asciiTheme="majorHAnsi" w:hAnsiTheme="majorHAnsi" w:cstheme="majorHAnsi"/>
                <w:color w:val="FFFFFF" w:themeColor="background1"/>
                <w:sz w:val="23"/>
                <w:szCs w:val="23"/>
              </w:rPr>
              <w:t xml:space="preserve"> and year</w:t>
            </w:r>
          </w:p>
        </w:tc>
        <w:tc>
          <w:tcPr>
            <w:tcW w:w="1521" w:type="dxa"/>
            <w:tcBorders>
              <w:left w:val="single" w:sz="4" w:space="0" w:color="FFFFFF" w:themeColor="background1"/>
              <w:right w:val="single" w:sz="4" w:space="0" w:color="FFFFFF" w:themeColor="background1"/>
            </w:tcBorders>
            <w:shd w:val="clear" w:color="auto" w:fill="00264D" w:themeFill="background2"/>
          </w:tcPr>
          <w:p w14:paraId="7F84D4DA" w14:textId="77777777" w:rsidR="003C785B" w:rsidRPr="009B783C" w:rsidRDefault="003C785B" w:rsidP="00E40022">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Mean presentations per quarter, hospital data. Triage category 4.</w:t>
            </w:r>
          </w:p>
        </w:tc>
        <w:tc>
          <w:tcPr>
            <w:tcW w:w="1948" w:type="dxa"/>
            <w:tcBorders>
              <w:left w:val="single" w:sz="4" w:space="0" w:color="FFFFFF" w:themeColor="background1"/>
              <w:right w:val="single" w:sz="4" w:space="0" w:color="FFFFFF" w:themeColor="background1"/>
            </w:tcBorders>
            <w:shd w:val="clear" w:color="auto" w:fill="00264D" w:themeFill="background2"/>
          </w:tcPr>
          <w:p w14:paraId="25E6AB47" w14:textId="77777777" w:rsidR="003C785B" w:rsidRPr="009B783C" w:rsidRDefault="003C785B" w:rsidP="00E40022">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 xml:space="preserve">Mean presentations per quarter, AIHW data. Triage category 4. </w:t>
            </w:r>
          </w:p>
        </w:tc>
        <w:tc>
          <w:tcPr>
            <w:tcW w:w="1948" w:type="dxa"/>
            <w:tcBorders>
              <w:left w:val="single" w:sz="4" w:space="0" w:color="FFFFFF" w:themeColor="background1"/>
              <w:right w:val="single" w:sz="4" w:space="0" w:color="FFFFFF" w:themeColor="background1"/>
            </w:tcBorders>
            <w:shd w:val="clear" w:color="auto" w:fill="00264D" w:themeFill="background2"/>
          </w:tcPr>
          <w:p w14:paraId="1D4594D8" w14:textId="77777777" w:rsidR="003C785B" w:rsidRPr="009B783C" w:rsidRDefault="003C785B" w:rsidP="00E40022">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Mean presentations per quarter, hospital data. Triage category 5.</w:t>
            </w:r>
          </w:p>
        </w:tc>
        <w:tc>
          <w:tcPr>
            <w:tcW w:w="1948" w:type="dxa"/>
            <w:tcBorders>
              <w:left w:val="single" w:sz="4" w:space="0" w:color="FFFFFF" w:themeColor="background1"/>
            </w:tcBorders>
            <w:shd w:val="clear" w:color="auto" w:fill="00264D" w:themeFill="background2"/>
          </w:tcPr>
          <w:p w14:paraId="116BD1FA" w14:textId="77777777" w:rsidR="003C785B" w:rsidRPr="009B783C" w:rsidRDefault="003C785B" w:rsidP="00E40022">
            <w:pPr>
              <w:rPr>
                <w:rFonts w:asciiTheme="majorHAnsi" w:hAnsiTheme="majorHAnsi" w:cstheme="majorHAnsi"/>
                <w:color w:val="FFFFFF" w:themeColor="background1"/>
                <w:sz w:val="23"/>
                <w:szCs w:val="23"/>
              </w:rPr>
            </w:pPr>
            <w:r w:rsidRPr="009B783C">
              <w:rPr>
                <w:rFonts w:asciiTheme="majorHAnsi" w:hAnsiTheme="majorHAnsi" w:cstheme="majorHAnsi"/>
                <w:color w:val="FFFFFF" w:themeColor="background1"/>
                <w:sz w:val="23"/>
                <w:szCs w:val="23"/>
              </w:rPr>
              <w:t>Mean presentations per quarter, AIHW data. Triage category 5.</w:t>
            </w:r>
          </w:p>
        </w:tc>
      </w:tr>
      <w:tr w:rsidR="0003573E" w:rsidRPr="009B783C" w14:paraId="1C1C6F1E" w14:textId="77777777" w:rsidTr="004D6E2D">
        <w:tc>
          <w:tcPr>
            <w:tcW w:w="1555" w:type="dxa"/>
            <w:vAlign w:val="bottom"/>
          </w:tcPr>
          <w:p w14:paraId="256D45AE" w14:textId="3B6C8317"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July 2020</w:t>
            </w:r>
          </w:p>
        </w:tc>
        <w:tc>
          <w:tcPr>
            <w:tcW w:w="1521" w:type="dxa"/>
            <w:vAlign w:val="bottom"/>
          </w:tcPr>
          <w:p w14:paraId="6C16DE94" w14:textId="77777777" w:rsidR="0003573E" w:rsidRPr="009B783C" w:rsidRDefault="0003573E" w:rsidP="00645E43">
            <w:pPr>
              <w:jc w:val="center"/>
              <w:rPr>
                <w:rFonts w:asciiTheme="minorHAnsi" w:hAnsiTheme="minorHAnsi" w:cstheme="minorHAnsi"/>
                <w:szCs w:val="21"/>
              </w:rPr>
            </w:pPr>
          </w:p>
        </w:tc>
        <w:tc>
          <w:tcPr>
            <w:tcW w:w="1948" w:type="dxa"/>
            <w:vAlign w:val="bottom"/>
          </w:tcPr>
          <w:p w14:paraId="4465C0B6" w14:textId="6BF5CFBD"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4596</w:t>
            </w:r>
          </w:p>
        </w:tc>
        <w:tc>
          <w:tcPr>
            <w:tcW w:w="1948" w:type="dxa"/>
            <w:vAlign w:val="bottom"/>
          </w:tcPr>
          <w:p w14:paraId="0E9EE428" w14:textId="77777777" w:rsidR="0003573E" w:rsidRPr="009B783C" w:rsidRDefault="0003573E" w:rsidP="00645E43">
            <w:pPr>
              <w:jc w:val="center"/>
              <w:rPr>
                <w:rFonts w:asciiTheme="minorHAnsi" w:hAnsiTheme="minorHAnsi" w:cstheme="minorHAnsi"/>
                <w:szCs w:val="21"/>
              </w:rPr>
            </w:pPr>
          </w:p>
        </w:tc>
        <w:tc>
          <w:tcPr>
            <w:tcW w:w="1948" w:type="dxa"/>
            <w:vAlign w:val="bottom"/>
          </w:tcPr>
          <w:p w14:paraId="00A38470" w14:textId="3461FD7C"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1151</w:t>
            </w:r>
          </w:p>
        </w:tc>
      </w:tr>
      <w:tr w:rsidR="0003573E" w:rsidRPr="009B783C" w14:paraId="4AB98861" w14:textId="77777777" w:rsidTr="004D6E2D">
        <w:tc>
          <w:tcPr>
            <w:tcW w:w="1555" w:type="dxa"/>
            <w:vAlign w:val="bottom"/>
          </w:tcPr>
          <w:p w14:paraId="09DF8EBF" w14:textId="59E78CBA"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October 2020</w:t>
            </w:r>
          </w:p>
        </w:tc>
        <w:tc>
          <w:tcPr>
            <w:tcW w:w="1521" w:type="dxa"/>
            <w:vAlign w:val="bottom"/>
          </w:tcPr>
          <w:p w14:paraId="6073E0E2" w14:textId="453E79EF"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3999</w:t>
            </w:r>
          </w:p>
        </w:tc>
        <w:tc>
          <w:tcPr>
            <w:tcW w:w="1948" w:type="dxa"/>
            <w:vAlign w:val="bottom"/>
          </w:tcPr>
          <w:p w14:paraId="588715BB" w14:textId="7BF31196"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4596</w:t>
            </w:r>
          </w:p>
        </w:tc>
        <w:tc>
          <w:tcPr>
            <w:tcW w:w="1948" w:type="dxa"/>
            <w:vAlign w:val="bottom"/>
          </w:tcPr>
          <w:p w14:paraId="51597E00" w14:textId="5AFFB8A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927</w:t>
            </w:r>
          </w:p>
        </w:tc>
        <w:tc>
          <w:tcPr>
            <w:tcW w:w="1948" w:type="dxa"/>
            <w:vAlign w:val="bottom"/>
          </w:tcPr>
          <w:p w14:paraId="7143A262" w14:textId="07051F4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1151</w:t>
            </w:r>
          </w:p>
        </w:tc>
      </w:tr>
      <w:tr w:rsidR="0003573E" w:rsidRPr="009B783C" w14:paraId="55649A6D" w14:textId="77777777" w:rsidTr="004D6E2D">
        <w:tc>
          <w:tcPr>
            <w:tcW w:w="1555" w:type="dxa"/>
            <w:vAlign w:val="bottom"/>
          </w:tcPr>
          <w:p w14:paraId="4AB1D7F7" w14:textId="042FF02C"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January 2021</w:t>
            </w:r>
          </w:p>
        </w:tc>
        <w:tc>
          <w:tcPr>
            <w:tcW w:w="1521" w:type="dxa"/>
            <w:vAlign w:val="bottom"/>
          </w:tcPr>
          <w:p w14:paraId="23B6F9B2" w14:textId="2FBD072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4767</w:t>
            </w:r>
          </w:p>
        </w:tc>
        <w:tc>
          <w:tcPr>
            <w:tcW w:w="1948" w:type="dxa"/>
            <w:vAlign w:val="bottom"/>
          </w:tcPr>
          <w:p w14:paraId="3D95E8C6" w14:textId="63C8E586"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4596</w:t>
            </w:r>
          </w:p>
        </w:tc>
        <w:tc>
          <w:tcPr>
            <w:tcW w:w="1948" w:type="dxa"/>
            <w:vAlign w:val="bottom"/>
          </w:tcPr>
          <w:p w14:paraId="3B0FB5DE" w14:textId="5524DD95"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1390</w:t>
            </w:r>
          </w:p>
        </w:tc>
        <w:tc>
          <w:tcPr>
            <w:tcW w:w="1948" w:type="dxa"/>
            <w:vAlign w:val="bottom"/>
          </w:tcPr>
          <w:p w14:paraId="64C0D97E" w14:textId="25C7427D"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1151</w:t>
            </w:r>
          </w:p>
        </w:tc>
      </w:tr>
      <w:tr w:rsidR="0003573E" w:rsidRPr="009B783C" w14:paraId="71540BCF" w14:textId="77777777" w:rsidTr="004D6E2D">
        <w:tc>
          <w:tcPr>
            <w:tcW w:w="1555" w:type="dxa"/>
            <w:vAlign w:val="bottom"/>
          </w:tcPr>
          <w:p w14:paraId="0F8537C5" w14:textId="09616EB6"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April 2021</w:t>
            </w:r>
          </w:p>
        </w:tc>
        <w:tc>
          <w:tcPr>
            <w:tcW w:w="1521" w:type="dxa"/>
            <w:vAlign w:val="bottom"/>
          </w:tcPr>
          <w:p w14:paraId="04B930D3" w14:textId="5EA2753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4830</w:t>
            </w:r>
          </w:p>
        </w:tc>
        <w:tc>
          <w:tcPr>
            <w:tcW w:w="1948" w:type="dxa"/>
            <w:vAlign w:val="bottom"/>
          </w:tcPr>
          <w:p w14:paraId="4F92C13A" w14:textId="0F67552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4596</w:t>
            </w:r>
          </w:p>
        </w:tc>
        <w:tc>
          <w:tcPr>
            <w:tcW w:w="1948" w:type="dxa"/>
            <w:vAlign w:val="bottom"/>
          </w:tcPr>
          <w:p w14:paraId="4C0BBF36" w14:textId="26DAC9F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1050</w:t>
            </w:r>
          </w:p>
        </w:tc>
        <w:tc>
          <w:tcPr>
            <w:tcW w:w="1948" w:type="dxa"/>
            <w:vAlign w:val="bottom"/>
          </w:tcPr>
          <w:p w14:paraId="79B35F18" w14:textId="44C14031"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1151</w:t>
            </w:r>
          </w:p>
        </w:tc>
      </w:tr>
      <w:tr w:rsidR="0003573E" w:rsidRPr="009B783C" w14:paraId="4D88F874" w14:textId="77777777" w:rsidTr="004D6E2D">
        <w:tc>
          <w:tcPr>
            <w:tcW w:w="1555" w:type="dxa"/>
            <w:vAlign w:val="bottom"/>
          </w:tcPr>
          <w:p w14:paraId="4055FA36" w14:textId="449F540A"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July 2021</w:t>
            </w:r>
          </w:p>
        </w:tc>
        <w:tc>
          <w:tcPr>
            <w:tcW w:w="1521" w:type="dxa"/>
            <w:vAlign w:val="bottom"/>
          </w:tcPr>
          <w:p w14:paraId="3D6CC6C1" w14:textId="68C0C0F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4712</w:t>
            </w:r>
          </w:p>
        </w:tc>
        <w:tc>
          <w:tcPr>
            <w:tcW w:w="1948" w:type="dxa"/>
            <w:vAlign w:val="bottom"/>
          </w:tcPr>
          <w:p w14:paraId="1111AB7D" w14:textId="1F753BE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4221</w:t>
            </w:r>
          </w:p>
        </w:tc>
        <w:tc>
          <w:tcPr>
            <w:tcW w:w="1948" w:type="dxa"/>
            <w:vAlign w:val="bottom"/>
          </w:tcPr>
          <w:p w14:paraId="6DEC97EC" w14:textId="58915430"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1181</w:t>
            </w:r>
          </w:p>
        </w:tc>
        <w:tc>
          <w:tcPr>
            <w:tcW w:w="1948" w:type="dxa"/>
            <w:vAlign w:val="bottom"/>
          </w:tcPr>
          <w:p w14:paraId="288D3DCF" w14:textId="6F92E0C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1174</w:t>
            </w:r>
          </w:p>
        </w:tc>
      </w:tr>
      <w:tr w:rsidR="0003573E" w:rsidRPr="009B783C" w14:paraId="3912D119" w14:textId="77777777" w:rsidTr="004D6E2D">
        <w:tc>
          <w:tcPr>
            <w:tcW w:w="1555" w:type="dxa"/>
            <w:vAlign w:val="bottom"/>
          </w:tcPr>
          <w:p w14:paraId="1AB05435" w14:textId="3D43CCAA"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October 2021</w:t>
            </w:r>
          </w:p>
        </w:tc>
        <w:tc>
          <w:tcPr>
            <w:tcW w:w="1521" w:type="dxa"/>
            <w:vAlign w:val="bottom"/>
          </w:tcPr>
          <w:p w14:paraId="799B3577" w14:textId="3839D22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3617</w:t>
            </w:r>
          </w:p>
        </w:tc>
        <w:tc>
          <w:tcPr>
            <w:tcW w:w="1948" w:type="dxa"/>
            <w:vAlign w:val="bottom"/>
          </w:tcPr>
          <w:p w14:paraId="525F099F" w14:textId="29B96DF1"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4221</w:t>
            </w:r>
          </w:p>
        </w:tc>
        <w:tc>
          <w:tcPr>
            <w:tcW w:w="1948" w:type="dxa"/>
            <w:vAlign w:val="bottom"/>
          </w:tcPr>
          <w:p w14:paraId="2300E81D" w14:textId="61DBAE3C"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947</w:t>
            </w:r>
          </w:p>
        </w:tc>
        <w:tc>
          <w:tcPr>
            <w:tcW w:w="1948" w:type="dxa"/>
            <w:vAlign w:val="bottom"/>
          </w:tcPr>
          <w:p w14:paraId="74D561B8" w14:textId="098AD9E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1174</w:t>
            </w:r>
          </w:p>
        </w:tc>
      </w:tr>
      <w:tr w:rsidR="0003573E" w:rsidRPr="009B783C" w14:paraId="3177DE7D" w14:textId="77777777" w:rsidTr="004D6E2D">
        <w:tc>
          <w:tcPr>
            <w:tcW w:w="1555" w:type="dxa"/>
            <w:vAlign w:val="bottom"/>
          </w:tcPr>
          <w:p w14:paraId="21EC6C4C" w14:textId="05FF3DD3"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January 2022</w:t>
            </w:r>
          </w:p>
        </w:tc>
        <w:tc>
          <w:tcPr>
            <w:tcW w:w="1521" w:type="dxa"/>
            <w:vAlign w:val="bottom"/>
          </w:tcPr>
          <w:p w14:paraId="06036CA4" w14:textId="383B050F"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4524</w:t>
            </w:r>
          </w:p>
        </w:tc>
        <w:tc>
          <w:tcPr>
            <w:tcW w:w="1948" w:type="dxa"/>
            <w:vAlign w:val="bottom"/>
          </w:tcPr>
          <w:p w14:paraId="4C6B7890" w14:textId="1E0A905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4221</w:t>
            </w:r>
          </w:p>
        </w:tc>
        <w:tc>
          <w:tcPr>
            <w:tcW w:w="1948" w:type="dxa"/>
            <w:vAlign w:val="bottom"/>
          </w:tcPr>
          <w:p w14:paraId="51FD13DD" w14:textId="51EE86D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1334</w:t>
            </w:r>
          </w:p>
        </w:tc>
        <w:tc>
          <w:tcPr>
            <w:tcW w:w="1948" w:type="dxa"/>
            <w:vAlign w:val="bottom"/>
          </w:tcPr>
          <w:p w14:paraId="74EFE02C" w14:textId="7D3AEB3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1174</w:t>
            </w:r>
          </w:p>
        </w:tc>
      </w:tr>
      <w:tr w:rsidR="0003573E" w:rsidRPr="009B783C" w14:paraId="4253CFF4" w14:textId="77777777" w:rsidTr="004D6E2D">
        <w:tc>
          <w:tcPr>
            <w:tcW w:w="1555" w:type="dxa"/>
            <w:vAlign w:val="bottom"/>
          </w:tcPr>
          <w:p w14:paraId="5E9F2777" w14:textId="36DE71A0"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April 2022</w:t>
            </w:r>
          </w:p>
        </w:tc>
        <w:tc>
          <w:tcPr>
            <w:tcW w:w="1521" w:type="dxa"/>
            <w:vAlign w:val="bottom"/>
          </w:tcPr>
          <w:p w14:paraId="1AB9FA11" w14:textId="7D5F23D6"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4275</w:t>
            </w:r>
          </w:p>
        </w:tc>
        <w:tc>
          <w:tcPr>
            <w:tcW w:w="1948" w:type="dxa"/>
            <w:vAlign w:val="bottom"/>
          </w:tcPr>
          <w:p w14:paraId="6BBB1EFD" w14:textId="7163E2E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4221</w:t>
            </w:r>
          </w:p>
        </w:tc>
        <w:tc>
          <w:tcPr>
            <w:tcW w:w="1948" w:type="dxa"/>
            <w:vAlign w:val="bottom"/>
          </w:tcPr>
          <w:p w14:paraId="04A0AE53" w14:textId="26F34F0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1277</w:t>
            </w:r>
          </w:p>
        </w:tc>
        <w:tc>
          <w:tcPr>
            <w:tcW w:w="1948" w:type="dxa"/>
            <w:vAlign w:val="bottom"/>
          </w:tcPr>
          <w:p w14:paraId="234C5489" w14:textId="0FCE7D7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1174</w:t>
            </w:r>
          </w:p>
        </w:tc>
      </w:tr>
      <w:tr w:rsidR="0003573E" w:rsidRPr="009B783C" w14:paraId="783247D7" w14:textId="77777777" w:rsidTr="004D6E2D">
        <w:tc>
          <w:tcPr>
            <w:tcW w:w="1555" w:type="dxa"/>
            <w:vAlign w:val="bottom"/>
          </w:tcPr>
          <w:p w14:paraId="245DA8B9" w14:textId="0CB5ECDF"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July 2022</w:t>
            </w:r>
          </w:p>
        </w:tc>
        <w:tc>
          <w:tcPr>
            <w:tcW w:w="1521" w:type="dxa"/>
            <w:vAlign w:val="bottom"/>
          </w:tcPr>
          <w:p w14:paraId="381E75F5" w14:textId="70B667F8"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4403</w:t>
            </w:r>
          </w:p>
        </w:tc>
        <w:tc>
          <w:tcPr>
            <w:tcW w:w="1948" w:type="dxa"/>
            <w:vAlign w:val="bottom"/>
          </w:tcPr>
          <w:p w14:paraId="03A00D0D" w14:textId="6D9C1B4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4560</w:t>
            </w:r>
          </w:p>
        </w:tc>
        <w:tc>
          <w:tcPr>
            <w:tcW w:w="1948" w:type="dxa"/>
            <w:vAlign w:val="bottom"/>
          </w:tcPr>
          <w:p w14:paraId="2E21656B" w14:textId="0E003DE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1058</w:t>
            </w:r>
          </w:p>
        </w:tc>
        <w:tc>
          <w:tcPr>
            <w:tcW w:w="1948" w:type="dxa"/>
            <w:vAlign w:val="bottom"/>
          </w:tcPr>
          <w:p w14:paraId="523C8E77" w14:textId="1B15F1FF"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1117</w:t>
            </w:r>
          </w:p>
        </w:tc>
      </w:tr>
      <w:tr w:rsidR="0003573E" w:rsidRPr="009B783C" w14:paraId="4BD50416" w14:textId="77777777" w:rsidTr="004D6E2D">
        <w:tc>
          <w:tcPr>
            <w:tcW w:w="1555" w:type="dxa"/>
            <w:vAlign w:val="bottom"/>
          </w:tcPr>
          <w:p w14:paraId="3BFAF06D" w14:textId="30D145CF"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October 2022</w:t>
            </w:r>
          </w:p>
        </w:tc>
        <w:tc>
          <w:tcPr>
            <w:tcW w:w="1521" w:type="dxa"/>
            <w:vAlign w:val="bottom"/>
          </w:tcPr>
          <w:p w14:paraId="24E6600A" w14:textId="74CA103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4253</w:t>
            </w:r>
          </w:p>
        </w:tc>
        <w:tc>
          <w:tcPr>
            <w:tcW w:w="1948" w:type="dxa"/>
            <w:vAlign w:val="bottom"/>
          </w:tcPr>
          <w:p w14:paraId="34FF1C53" w14:textId="75FB02B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4560</w:t>
            </w:r>
          </w:p>
        </w:tc>
        <w:tc>
          <w:tcPr>
            <w:tcW w:w="1948" w:type="dxa"/>
            <w:vAlign w:val="bottom"/>
          </w:tcPr>
          <w:p w14:paraId="39EE7AF0" w14:textId="5589B62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931</w:t>
            </w:r>
          </w:p>
        </w:tc>
        <w:tc>
          <w:tcPr>
            <w:tcW w:w="1948" w:type="dxa"/>
            <w:vAlign w:val="bottom"/>
          </w:tcPr>
          <w:p w14:paraId="0CEF1A6A" w14:textId="385C40F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1117</w:t>
            </w:r>
          </w:p>
        </w:tc>
      </w:tr>
      <w:tr w:rsidR="0003573E" w:rsidRPr="009B783C" w14:paraId="1FD567B2" w14:textId="77777777" w:rsidTr="004D6E2D">
        <w:tc>
          <w:tcPr>
            <w:tcW w:w="1555" w:type="dxa"/>
            <w:vAlign w:val="bottom"/>
          </w:tcPr>
          <w:p w14:paraId="460AA6F2" w14:textId="49E5DD7F"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January 2023</w:t>
            </w:r>
          </w:p>
        </w:tc>
        <w:tc>
          <w:tcPr>
            <w:tcW w:w="1521" w:type="dxa"/>
            <w:vAlign w:val="bottom"/>
          </w:tcPr>
          <w:p w14:paraId="21B35B6C" w14:textId="4A3E608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4808</w:t>
            </w:r>
          </w:p>
        </w:tc>
        <w:tc>
          <w:tcPr>
            <w:tcW w:w="1948" w:type="dxa"/>
            <w:vAlign w:val="bottom"/>
          </w:tcPr>
          <w:p w14:paraId="78C6F8FA" w14:textId="609285B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4560</w:t>
            </w:r>
          </w:p>
        </w:tc>
        <w:tc>
          <w:tcPr>
            <w:tcW w:w="1948" w:type="dxa"/>
            <w:vAlign w:val="bottom"/>
          </w:tcPr>
          <w:p w14:paraId="044A7840" w14:textId="0B7DA8CD"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1316</w:t>
            </w:r>
          </w:p>
        </w:tc>
        <w:tc>
          <w:tcPr>
            <w:tcW w:w="1948" w:type="dxa"/>
            <w:vAlign w:val="bottom"/>
          </w:tcPr>
          <w:p w14:paraId="37F3D23E" w14:textId="0E4AC5CC"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1117</w:t>
            </w:r>
          </w:p>
        </w:tc>
      </w:tr>
      <w:tr w:rsidR="0003573E" w:rsidRPr="009B783C" w14:paraId="59709194" w14:textId="77777777" w:rsidTr="004D6E2D">
        <w:tc>
          <w:tcPr>
            <w:tcW w:w="1555" w:type="dxa"/>
            <w:vAlign w:val="bottom"/>
          </w:tcPr>
          <w:p w14:paraId="58F7E2F7" w14:textId="50266F97"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April 2023</w:t>
            </w:r>
          </w:p>
        </w:tc>
        <w:tc>
          <w:tcPr>
            <w:tcW w:w="1521" w:type="dxa"/>
            <w:vAlign w:val="bottom"/>
          </w:tcPr>
          <w:p w14:paraId="38CB0CA0" w14:textId="30A4309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4587</w:t>
            </w:r>
          </w:p>
        </w:tc>
        <w:tc>
          <w:tcPr>
            <w:tcW w:w="1948" w:type="dxa"/>
            <w:vAlign w:val="bottom"/>
          </w:tcPr>
          <w:p w14:paraId="60B0295E" w14:textId="53F8EB7B"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4560</w:t>
            </w:r>
          </w:p>
        </w:tc>
        <w:tc>
          <w:tcPr>
            <w:tcW w:w="1948" w:type="dxa"/>
            <w:vAlign w:val="bottom"/>
          </w:tcPr>
          <w:p w14:paraId="612FF3C8" w14:textId="4F4472E2"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1064</w:t>
            </w:r>
          </w:p>
        </w:tc>
        <w:tc>
          <w:tcPr>
            <w:tcW w:w="1948" w:type="dxa"/>
            <w:vAlign w:val="bottom"/>
          </w:tcPr>
          <w:p w14:paraId="07A82A6F" w14:textId="40FB010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1117</w:t>
            </w:r>
          </w:p>
        </w:tc>
      </w:tr>
      <w:tr w:rsidR="0003573E" w:rsidRPr="009B783C" w14:paraId="34EF1E72" w14:textId="77777777" w:rsidTr="004D6E2D">
        <w:tc>
          <w:tcPr>
            <w:tcW w:w="1555" w:type="dxa"/>
            <w:vAlign w:val="bottom"/>
          </w:tcPr>
          <w:p w14:paraId="4E8DCFE1" w14:textId="5DFB8CA8"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July 2023</w:t>
            </w:r>
          </w:p>
        </w:tc>
        <w:tc>
          <w:tcPr>
            <w:tcW w:w="1521" w:type="dxa"/>
            <w:vAlign w:val="bottom"/>
          </w:tcPr>
          <w:p w14:paraId="316CC0E8" w14:textId="26BB27B6"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4545</w:t>
            </w:r>
          </w:p>
        </w:tc>
        <w:tc>
          <w:tcPr>
            <w:tcW w:w="1948" w:type="dxa"/>
            <w:vAlign w:val="bottom"/>
          </w:tcPr>
          <w:p w14:paraId="343159C7" w14:textId="17A6128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4388</w:t>
            </w:r>
          </w:p>
        </w:tc>
        <w:tc>
          <w:tcPr>
            <w:tcW w:w="1948" w:type="dxa"/>
            <w:vAlign w:val="bottom"/>
          </w:tcPr>
          <w:p w14:paraId="644DE46F" w14:textId="13BDD10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1100</w:t>
            </w:r>
          </w:p>
        </w:tc>
        <w:tc>
          <w:tcPr>
            <w:tcW w:w="1948" w:type="dxa"/>
            <w:vAlign w:val="bottom"/>
          </w:tcPr>
          <w:p w14:paraId="1B41588F" w14:textId="173F679D"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1028</w:t>
            </w:r>
          </w:p>
        </w:tc>
      </w:tr>
      <w:tr w:rsidR="0003573E" w:rsidRPr="009B783C" w14:paraId="63E45E3D" w14:textId="77777777" w:rsidTr="004D6E2D">
        <w:tc>
          <w:tcPr>
            <w:tcW w:w="1555" w:type="dxa"/>
            <w:vAlign w:val="bottom"/>
          </w:tcPr>
          <w:p w14:paraId="546FD39B" w14:textId="14D8B2FE"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October 2023</w:t>
            </w:r>
          </w:p>
        </w:tc>
        <w:tc>
          <w:tcPr>
            <w:tcW w:w="1521" w:type="dxa"/>
            <w:vAlign w:val="bottom"/>
          </w:tcPr>
          <w:p w14:paraId="6115B321" w14:textId="5D8D5BAC"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4276</w:t>
            </w:r>
          </w:p>
        </w:tc>
        <w:tc>
          <w:tcPr>
            <w:tcW w:w="1948" w:type="dxa"/>
            <w:vAlign w:val="bottom"/>
          </w:tcPr>
          <w:p w14:paraId="1885E051" w14:textId="6D06670A"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4388</w:t>
            </w:r>
          </w:p>
        </w:tc>
        <w:tc>
          <w:tcPr>
            <w:tcW w:w="1948" w:type="dxa"/>
            <w:vAlign w:val="bottom"/>
          </w:tcPr>
          <w:p w14:paraId="62FB4968" w14:textId="425651A4"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890</w:t>
            </w:r>
          </w:p>
        </w:tc>
        <w:tc>
          <w:tcPr>
            <w:tcW w:w="1948" w:type="dxa"/>
            <w:vAlign w:val="bottom"/>
          </w:tcPr>
          <w:p w14:paraId="5D3C0DA5" w14:textId="41B8AC19"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1028</w:t>
            </w:r>
          </w:p>
        </w:tc>
      </w:tr>
      <w:tr w:rsidR="0003573E" w:rsidRPr="009B783C" w14:paraId="354BEBC4" w14:textId="77777777" w:rsidTr="004D6E2D">
        <w:tc>
          <w:tcPr>
            <w:tcW w:w="1555" w:type="dxa"/>
            <w:vAlign w:val="bottom"/>
          </w:tcPr>
          <w:p w14:paraId="4B002832" w14:textId="2F0E59EC"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January 2024</w:t>
            </w:r>
          </w:p>
        </w:tc>
        <w:tc>
          <w:tcPr>
            <w:tcW w:w="1521" w:type="dxa"/>
            <w:vAlign w:val="bottom"/>
          </w:tcPr>
          <w:p w14:paraId="6012DE6E" w14:textId="4323681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4500</w:t>
            </w:r>
          </w:p>
        </w:tc>
        <w:tc>
          <w:tcPr>
            <w:tcW w:w="1948" w:type="dxa"/>
            <w:vAlign w:val="bottom"/>
          </w:tcPr>
          <w:p w14:paraId="4EEBFAC0" w14:textId="38B2279E"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4388</w:t>
            </w:r>
          </w:p>
        </w:tc>
        <w:tc>
          <w:tcPr>
            <w:tcW w:w="1948" w:type="dxa"/>
            <w:vAlign w:val="bottom"/>
          </w:tcPr>
          <w:p w14:paraId="4DFF7AF4" w14:textId="2CE7A63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1054</w:t>
            </w:r>
          </w:p>
        </w:tc>
        <w:tc>
          <w:tcPr>
            <w:tcW w:w="1948" w:type="dxa"/>
            <w:vAlign w:val="bottom"/>
          </w:tcPr>
          <w:p w14:paraId="5D1CCF5C" w14:textId="34DCF8E5"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1028</w:t>
            </w:r>
          </w:p>
        </w:tc>
      </w:tr>
      <w:tr w:rsidR="0003573E" w:rsidRPr="009B783C" w14:paraId="1DAA3B03" w14:textId="77777777" w:rsidTr="004D6E2D">
        <w:tc>
          <w:tcPr>
            <w:tcW w:w="1555" w:type="dxa"/>
            <w:vAlign w:val="bottom"/>
          </w:tcPr>
          <w:p w14:paraId="3CA094E5" w14:textId="10BEE3A2"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April 2024</w:t>
            </w:r>
          </w:p>
        </w:tc>
        <w:tc>
          <w:tcPr>
            <w:tcW w:w="1521" w:type="dxa"/>
            <w:vAlign w:val="bottom"/>
          </w:tcPr>
          <w:p w14:paraId="777CF519" w14:textId="0411225E"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4463</w:t>
            </w:r>
          </w:p>
        </w:tc>
        <w:tc>
          <w:tcPr>
            <w:tcW w:w="1948" w:type="dxa"/>
            <w:vAlign w:val="bottom"/>
          </w:tcPr>
          <w:p w14:paraId="0FD3AD1B" w14:textId="215DB8A8"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4388</w:t>
            </w:r>
          </w:p>
        </w:tc>
        <w:tc>
          <w:tcPr>
            <w:tcW w:w="1948" w:type="dxa"/>
            <w:vAlign w:val="bottom"/>
          </w:tcPr>
          <w:p w14:paraId="46A4A360" w14:textId="23F64BF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1142</w:t>
            </w:r>
          </w:p>
        </w:tc>
        <w:tc>
          <w:tcPr>
            <w:tcW w:w="1948" w:type="dxa"/>
            <w:vAlign w:val="bottom"/>
          </w:tcPr>
          <w:p w14:paraId="351C670D" w14:textId="4E009EEC"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1028</w:t>
            </w:r>
          </w:p>
        </w:tc>
      </w:tr>
      <w:tr w:rsidR="0003573E" w:rsidRPr="009B783C" w14:paraId="1A21FC6A" w14:textId="77777777" w:rsidTr="004D6E2D">
        <w:tc>
          <w:tcPr>
            <w:tcW w:w="1555" w:type="dxa"/>
            <w:vAlign w:val="bottom"/>
          </w:tcPr>
          <w:p w14:paraId="26A69B0A" w14:textId="68E70979" w:rsidR="0003573E" w:rsidRPr="009B783C" w:rsidRDefault="0003573E" w:rsidP="0003573E">
            <w:pPr>
              <w:rPr>
                <w:rFonts w:asciiTheme="minorHAnsi" w:hAnsiTheme="minorHAnsi" w:cstheme="minorHAnsi"/>
                <w:szCs w:val="21"/>
              </w:rPr>
            </w:pPr>
            <w:r w:rsidRPr="009B783C">
              <w:rPr>
                <w:rFonts w:asciiTheme="minorHAnsi" w:hAnsiTheme="minorHAnsi" w:cstheme="minorHAnsi"/>
                <w:color w:val="000000"/>
                <w:szCs w:val="21"/>
              </w:rPr>
              <w:t>July 2024</w:t>
            </w:r>
          </w:p>
        </w:tc>
        <w:tc>
          <w:tcPr>
            <w:tcW w:w="1521" w:type="dxa"/>
            <w:vAlign w:val="bottom"/>
          </w:tcPr>
          <w:p w14:paraId="609683E8" w14:textId="4361FB75"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4241</w:t>
            </w:r>
          </w:p>
        </w:tc>
        <w:tc>
          <w:tcPr>
            <w:tcW w:w="1948" w:type="dxa"/>
            <w:vAlign w:val="bottom"/>
          </w:tcPr>
          <w:p w14:paraId="094F3ABE" w14:textId="7BC444F0"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4388</w:t>
            </w:r>
          </w:p>
        </w:tc>
        <w:tc>
          <w:tcPr>
            <w:tcW w:w="1948" w:type="dxa"/>
            <w:vAlign w:val="bottom"/>
          </w:tcPr>
          <w:p w14:paraId="3F8D4E3C" w14:textId="38BF2467"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904</w:t>
            </w:r>
          </w:p>
        </w:tc>
        <w:tc>
          <w:tcPr>
            <w:tcW w:w="1948" w:type="dxa"/>
            <w:vAlign w:val="bottom"/>
          </w:tcPr>
          <w:p w14:paraId="2AFF2B04" w14:textId="2E6783D3" w:rsidR="0003573E" w:rsidRPr="009B783C" w:rsidRDefault="0003573E" w:rsidP="00645E43">
            <w:pPr>
              <w:jc w:val="center"/>
              <w:rPr>
                <w:rFonts w:asciiTheme="minorHAnsi" w:hAnsiTheme="minorHAnsi" w:cstheme="minorHAnsi"/>
                <w:szCs w:val="21"/>
              </w:rPr>
            </w:pPr>
            <w:r w:rsidRPr="009B783C">
              <w:rPr>
                <w:rFonts w:asciiTheme="minorHAnsi" w:hAnsiTheme="minorHAnsi" w:cstheme="minorHAnsi"/>
                <w:color w:val="000000"/>
                <w:szCs w:val="21"/>
              </w:rPr>
              <w:t>1028</w:t>
            </w:r>
          </w:p>
        </w:tc>
      </w:tr>
    </w:tbl>
    <w:p w14:paraId="355BDB55" w14:textId="36DF54FF" w:rsidR="0003573E" w:rsidRPr="009B783C" w:rsidRDefault="0003573E" w:rsidP="0003573E">
      <w:pPr>
        <w:spacing w:before="240"/>
        <w:rPr>
          <w:szCs w:val="21"/>
          <w:highlight w:val="yellow"/>
          <w:lang w:val="en-US"/>
        </w:rPr>
      </w:pPr>
      <w:r w:rsidRPr="009B783C">
        <w:rPr>
          <w:szCs w:val="21"/>
        </w:rPr>
        <w:t xml:space="preserve">Data for </w:t>
      </w:r>
      <w:r w:rsidR="009C0622" w:rsidRPr="009B783C">
        <w:rPr>
          <w:szCs w:val="21"/>
        </w:rPr>
        <w:t>newly established</w:t>
      </w:r>
      <w:r w:rsidRPr="009B783C">
        <w:rPr>
          <w:szCs w:val="21"/>
        </w:rPr>
        <w:t xml:space="preserve"> Medicare UCCs in </w:t>
      </w:r>
      <w:r w:rsidR="009C0622" w:rsidRPr="009B783C">
        <w:rPr>
          <w:szCs w:val="21"/>
        </w:rPr>
        <w:t>V</w:t>
      </w:r>
      <w:r w:rsidR="00E62282">
        <w:rPr>
          <w:szCs w:val="21"/>
        </w:rPr>
        <w:t>IC</w:t>
      </w:r>
      <w:r w:rsidRPr="009B783C">
        <w:rPr>
          <w:szCs w:val="21"/>
        </w:rPr>
        <w:t>. There w</w:t>
      </w:r>
      <w:r w:rsidR="004869F3">
        <w:rPr>
          <w:szCs w:val="21"/>
        </w:rPr>
        <w:t>ere</w:t>
      </w:r>
      <w:r w:rsidRPr="009B783C">
        <w:rPr>
          <w:szCs w:val="21"/>
        </w:rPr>
        <w:t xml:space="preserve"> </w:t>
      </w:r>
      <w:r w:rsidR="00E9080D" w:rsidRPr="009B783C">
        <w:rPr>
          <w:szCs w:val="21"/>
        </w:rPr>
        <w:t>seven</w:t>
      </w:r>
      <w:r w:rsidRPr="009B783C">
        <w:rPr>
          <w:szCs w:val="21"/>
        </w:rPr>
        <w:t xml:space="preserve"> Medicare UCCs established over the </w:t>
      </w:r>
      <w:proofErr w:type="gramStart"/>
      <w:r w:rsidRPr="009B783C">
        <w:rPr>
          <w:szCs w:val="21"/>
        </w:rPr>
        <w:t>time period</w:t>
      </w:r>
      <w:proofErr w:type="gramEnd"/>
      <w:r w:rsidRPr="009B783C">
        <w:rPr>
          <w:szCs w:val="21"/>
        </w:rPr>
        <w:t xml:space="preserve">. </w:t>
      </w:r>
    </w:p>
    <w:tbl>
      <w:tblPr>
        <w:tblStyle w:val="TableGrid"/>
        <w:tblW w:w="0" w:type="auto"/>
        <w:tblLook w:val="04A0" w:firstRow="1" w:lastRow="0" w:firstColumn="1" w:lastColumn="0" w:noHBand="0" w:noVBand="1"/>
      </w:tblPr>
      <w:tblGrid>
        <w:gridCol w:w="1510"/>
        <w:gridCol w:w="1635"/>
        <w:gridCol w:w="1925"/>
        <w:gridCol w:w="1925"/>
        <w:gridCol w:w="1925"/>
      </w:tblGrid>
      <w:tr w:rsidR="0003573E" w:rsidRPr="009B783C" w14:paraId="05204E7C" w14:textId="77777777" w:rsidTr="0070512B">
        <w:trPr>
          <w:tblHeader/>
        </w:trPr>
        <w:tc>
          <w:tcPr>
            <w:tcW w:w="1555" w:type="dxa"/>
            <w:tcBorders>
              <w:right w:val="single" w:sz="4" w:space="0" w:color="FFFFFF" w:themeColor="background1"/>
            </w:tcBorders>
            <w:shd w:val="clear" w:color="auto" w:fill="00264D" w:themeFill="background2"/>
          </w:tcPr>
          <w:p w14:paraId="4236369D" w14:textId="137BE27C" w:rsidR="0003573E" w:rsidRPr="009B783C" w:rsidRDefault="00D75495" w:rsidP="00372E8E">
            <w:pPr>
              <w:pStyle w:val="TableNheader"/>
              <w:rPr>
                <w:rFonts w:asciiTheme="majorHAnsi" w:hAnsiTheme="majorHAnsi" w:cstheme="majorHAnsi"/>
              </w:rPr>
            </w:pPr>
            <w:r>
              <w:t>Month</w:t>
            </w:r>
            <w:r w:rsidR="00850C17">
              <w:t xml:space="preserve"> and year</w:t>
            </w:r>
          </w:p>
        </w:tc>
        <w:tc>
          <w:tcPr>
            <w:tcW w:w="1521" w:type="dxa"/>
            <w:tcBorders>
              <w:left w:val="single" w:sz="4" w:space="0" w:color="FFFFFF" w:themeColor="background1"/>
              <w:right w:val="single" w:sz="4" w:space="0" w:color="FFFFFF" w:themeColor="background1"/>
            </w:tcBorders>
            <w:shd w:val="clear" w:color="auto" w:fill="00264D" w:themeFill="background2"/>
          </w:tcPr>
          <w:p w14:paraId="34D9F9C8" w14:textId="77777777" w:rsidR="0003573E" w:rsidRPr="009B783C" w:rsidRDefault="0003573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4.</w:t>
            </w:r>
          </w:p>
        </w:tc>
        <w:tc>
          <w:tcPr>
            <w:tcW w:w="1948" w:type="dxa"/>
            <w:tcBorders>
              <w:left w:val="single" w:sz="4" w:space="0" w:color="FFFFFF" w:themeColor="background1"/>
              <w:right w:val="single" w:sz="4" w:space="0" w:color="FFFFFF" w:themeColor="background1"/>
            </w:tcBorders>
            <w:shd w:val="clear" w:color="auto" w:fill="00264D" w:themeFill="background2"/>
          </w:tcPr>
          <w:p w14:paraId="295031D8" w14:textId="77777777" w:rsidR="0003573E" w:rsidRPr="009B783C" w:rsidRDefault="0003573E" w:rsidP="00372E8E">
            <w:pPr>
              <w:pStyle w:val="TableNheader"/>
              <w:rPr>
                <w:rFonts w:asciiTheme="majorHAnsi" w:hAnsiTheme="majorHAnsi" w:cstheme="majorHAnsi"/>
              </w:rPr>
            </w:pPr>
            <w:r w:rsidRPr="009B783C">
              <w:t>Mean p</w:t>
            </w:r>
            <w:r w:rsidRPr="009B783C">
              <w:rPr>
                <w:rFonts w:asciiTheme="majorHAnsi" w:hAnsiTheme="majorHAnsi" w:cstheme="majorHAnsi"/>
              </w:rPr>
              <w:t xml:space="preserve">resentations per quarter, AIHW data. Triage category 4. </w:t>
            </w:r>
          </w:p>
        </w:tc>
        <w:tc>
          <w:tcPr>
            <w:tcW w:w="1948" w:type="dxa"/>
            <w:tcBorders>
              <w:left w:val="single" w:sz="4" w:space="0" w:color="FFFFFF" w:themeColor="background1"/>
              <w:right w:val="single" w:sz="4" w:space="0" w:color="FFFFFF" w:themeColor="background1"/>
            </w:tcBorders>
            <w:shd w:val="clear" w:color="auto" w:fill="00264D" w:themeFill="background2"/>
          </w:tcPr>
          <w:p w14:paraId="0494EA30" w14:textId="77777777" w:rsidR="0003573E" w:rsidRPr="009B783C" w:rsidRDefault="0003573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5.</w:t>
            </w:r>
          </w:p>
        </w:tc>
        <w:tc>
          <w:tcPr>
            <w:tcW w:w="1948" w:type="dxa"/>
            <w:tcBorders>
              <w:left w:val="single" w:sz="4" w:space="0" w:color="FFFFFF" w:themeColor="background1"/>
            </w:tcBorders>
            <w:shd w:val="clear" w:color="auto" w:fill="00264D" w:themeFill="background2"/>
          </w:tcPr>
          <w:p w14:paraId="5FE8E82F" w14:textId="77777777" w:rsidR="0003573E" w:rsidRPr="009B783C" w:rsidRDefault="0003573E"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AIHW data. Triage category 5.</w:t>
            </w:r>
          </w:p>
        </w:tc>
      </w:tr>
      <w:tr w:rsidR="00C050EE" w:rsidRPr="009B783C" w14:paraId="0257D04C" w14:textId="77777777" w:rsidTr="0070512B">
        <w:tc>
          <w:tcPr>
            <w:tcW w:w="1555" w:type="dxa"/>
            <w:vAlign w:val="bottom"/>
          </w:tcPr>
          <w:p w14:paraId="436FA4BE"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July 2020</w:t>
            </w:r>
          </w:p>
        </w:tc>
        <w:tc>
          <w:tcPr>
            <w:tcW w:w="1521" w:type="dxa"/>
            <w:vAlign w:val="bottom"/>
          </w:tcPr>
          <w:p w14:paraId="2D0FE19E" w14:textId="77777777" w:rsidR="00C050EE" w:rsidRPr="009B783C" w:rsidRDefault="00C050EE" w:rsidP="00645E43">
            <w:pPr>
              <w:jc w:val="center"/>
              <w:rPr>
                <w:rFonts w:asciiTheme="minorHAnsi" w:hAnsiTheme="minorHAnsi" w:cstheme="minorHAnsi"/>
                <w:szCs w:val="21"/>
              </w:rPr>
            </w:pPr>
          </w:p>
        </w:tc>
        <w:tc>
          <w:tcPr>
            <w:tcW w:w="1948" w:type="dxa"/>
            <w:vAlign w:val="bottom"/>
          </w:tcPr>
          <w:p w14:paraId="554F4702" w14:textId="0A4B62ED"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5947</w:t>
            </w:r>
          </w:p>
        </w:tc>
        <w:tc>
          <w:tcPr>
            <w:tcW w:w="1948" w:type="dxa"/>
            <w:vAlign w:val="bottom"/>
          </w:tcPr>
          <w:p w14:paraId="5D64050C" w14:textId="77777777" w:rsidR="00C050EE" w:rsidRPr="009B783C" w:rsidRDefault="00C050EE" w:rsidP="00645E43">
            <w:pPr>
              <w:jc w:val="center"/>
              <w:rPr>
                <w:rFonts w:asciiTheme="minorHAnsi" w:hAnsiTheme="minorHAnsi" w:cstheme="minorHAnsi"/>
                <w:szCs w:val="21"/>
              </w:rPr>
            </w:pPr>
          </w:p>
        </w:tc>
        <w:tc>
          <w:tcPr>
            <w:tcW w:w="1948" w:type="dxa"/>
            <w:vAlign w:val="bottom"/>
          </w:tcPr>
          <w:p w14:paraId="612277B9" w14:textId="1B946543"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1082</w:t>
            </w:r>
          </w:p>
        </w:tc>
      </w:tr>
      <w:tr w:rsidR="00C050EE" w:rsidRPr="009B783C" w14:paraId="258367D9" w14:textId="77777777" w:rsidTr="0070512B">
        <w:tc>
          <w:tcPr>
            <w:tcW w:w="1555" w:type="dxa"/>
            <w:vAlign w:val="bottom"/>
          </w:tcPr>
          <w:p w14:paraId="2C3F789D"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July 2021</w:t>
            </w:r>
          </w:p>
        </w:tc>
        <w:tc>
          <w:tcPr>
            <w:tcW w:w="1521" w:type="dxa"/>
            <w:vAlign w:val="bottom"/>
          </w:tcPr>
          <w:p w14:paraId="1A02DEF4" w14:textId="091ED6BF" w:rsidR="00C050EE" w:rsidRPr="009B783C" w:rsidRDefault="00C050EE" w:rsidP="00645E43">
            <w:pPr>
              <w:jc w:val="center"/>
              <w:rPr>
                <w:rFonts w:asciiTheme="minorHAnsi" w:hAnsiTheme="minorHAnsi" w:cstheme="minorHAnsi"/>
                <w:szCs w:val="21"/>
              </w:rPr>
            </w:pPr>
          </w:p>
        </w:tc>
        <w:tc>
          <w:tcPr>
            <w:tcW w:w="1948" w:type="dxa"/>
            <w:vAlign w:val="bottom"/>
          </w:tcPr>
          <w:p w14:paraId="7B2FE7CA" w14:textId="34682AC0"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5718</w:t>
            </w:r>
          </w:p>
        </w:tc>
        <w:tc>
          <w:tcPr>
            <w:tcW w:w="1948" w:type="dxa"/>
            <w:vAlign w:val="bottom"/>
          </w:tcPr>
          <w:p w14:paraId="77DC3694" w14:textId="26FD709E" w:rsidR="00C050EE" w:rsidRPr="009B783C" w:rsidRDefault="00C050EE" w:rsidP="00645E43">
            <w:pPr>
              <w:jc w:val="center"/>
              <w:rPr>
                <w:rFonts w:asciiTheme="minorHAnsi" w:hAnsiTheme="minorHAnsi" w:cstheme="minorHAnsi"/>
                <w:szCs w:val="21"/>
              </w:rPr>
            </w:pPr>
          </w:p>
        </w:tc>
        <w:tc>
          <w:tcPr>
            <w:tcW w:w="1948" w:type="dxa"/>
            <w:vAlign w:val="bottom"/>
          </w:tcPr>
          <w:p w14:paraId="5626B1E4" w14:textId="2729C959"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928</w:t>
            </w:r>
          </w:p>
        </w:tc>
      </w:tr>
      <w:tr w:rsidR="00C050EE" w:rsidRPr="009B783C" w14:paraId="615784CB" w14:textId="77777777" w:rsidTr="0070512B">
        <w:tc>
          <w:tcPr>
            <w:tcW w:w="1555" w:type="dxa"/>
            <w:vAlign w:val="bottom"/>
          </w:tcPr>
          <w:p w14:paraId="5FB81F33"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lastRenderedPageBreak/>
              <w:t>July 2022</w:t>
            </w:r>
          </w:p>
        </w:tc>
        <w:tc>
          <w:tcPr>
            <w:tcW w:w="1521" w:type="dxa"/>
            <w:vAlign w:val="bottom"/>
          </w:tcPr>
          <w:p w14:paraId="3591C650" w14:textId="1B3CC99D" w:rsidR="00C050EE" w:rsidRPr="009B783C" w:rsidRDefault="00C050EE" w:rsidP="00645E43">
            <w:pPr>
              <w:jc w:val="center"/>
              <w:rPr>
                <w:rFonts w:asciiTheme="minorHAnsi" w:hAnsiTheme="minorHAnsi" w:cstheme="minorHAnsi"/>
                <w:szCs w:val="21"/>
              </w:rPr>
            </w:pPr>
          </w:p>
        </w:tc>
        <w:tc>
          <w:tcPr>
            <w:tcW w:w="1948" w:type="dxa"/>
            <w:vAlign w:val="bottom"/>
          </w:tcPr>
          <w:p w14:paraId="3471BC49" w14:textId="15D2CA6C"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5465</w:t>
            </w:r>
          </w:p>
        </w:tc>
        <w:tc>
          <w:tcPr>
            <w:tcW w:w="1948" w:type="dxa"/>
            <w:vAlign w:val="bottom"/>
          </w:tcPr>
          <w:p w14:paraId="0A511277" w14:textId="091E328D" w:rsidR="00C050EE" w:rsidRPr="009B783C" w:rsidRDefault="00C050EE" w:rsidP="00645E43">
            <w:pPr>
              <w:jc w:val="center"/>
              <w:rPr>
                <w:rFonts w:asciiTheme="minorHAnsi" w:hAnsiTheme="minorHAnsi" w:cstheme="minorHAnsi"/>
                <w:szCs w:val="21"/>
              </w:rPr>
            </w:pPr>
          </w:p>
        </w:tc>
        <w:tc>
          <w:tcPr>
            <w:tcW w:w="1948" w:type="dxa"/>
            <w:vAlign w:val="bottom"/>
          </w:tcPr>
          <w:p w14:paraId="633E1FD1" w14:textId="40014E3F"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848</w:t>
            </w:r>
          </w:p>
        </w:tc>
      </w:tr>
      <w:tr w:rsidR="00C050EE" w:rsidRPr="009B783C" w14:paraId="6BC7EFEE" w14:textId="77777777" w:rsidTr="0070512B">
        <w:tc>
          <w:tcPr>
            <w:tcW w:w="1555" w:type="dxa"/>
            <w:vAlign w:val="bottom"/>
          </w:tcPr>
          <w:p w14:paraId="79FBF3ED"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July 2023</w:t>
            </w:r>
          </w:p>
        </w:tc>
        <w:tc>
          <w:tcPr>
            <w:tcW w:w="1521" w:type="dxa"/>
            <w:vAlign w:val="bottom"/>
          </w:tcPr>
          <w:p w14:paraId="51C9C707" w14:textId="391F05E6"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5389</w:t>
            </w:r>
          </w:p>
        </w:tc>
        <w:tc>
          <w:tcPr>
            <w:tcW w:w="1948" w:type="dxa"/>
            <w:vAlign w:val="bottom"/>
          </w:tcPr>
          <w:p w14:paraId="44E5422A" w14:textId="79928E90"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5442</w:t>
            </w:r>
          </w:p>
        </w:tc>
        <w:tc>
          <w:tcPr>
            <w:tcW w:w="1948" w:type="dxa"/>
            <w:vAlign w:val="bottom"/>
          </w:tcPr>
          <w:p w14:paraId="2A28314E" w14:textId="2CE4F9B5"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922</w:t>
            </w:r>
          </w:p>
        </w:tc>
        <w:tc>
          <w:tcPr>
            <w:tcW w:w="1948" w:type="dxa"/>
            <w:vAlign w:val="bottom"/>
          </w:tcPr>
          <w:p w14:paraId="62F85453" w14:textId="76FFB422"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804</w:t>
            </w:r>
          </w:p>
        </w:tc>
      </w:tr>
      <w:tr w:rsidR="00C050EE" w:rsidRPr="009B783C" w14:paraId="4C4FB397" w14:textId="77777777" w:rsidTr="0070512B">
        <w:tc>
          <w:tcPr>
            <w:tcW w:w="1555" w:type="dxa"/>
            <w:vAlign w:val="bottom"/>
          </w:tcPr>
          <w:p w14:paraId="704C805C"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October 2023</w:t>
            </w:r>
          </w:p>
        </w:tc>
        <w:tc>
          <w:tcPr>
            <w:tcW w:w="1521" w:type="dxa"/>
            <w:vAlign w:val="bottom"/>
          </w:tcPr>
          <w:p w14:paraId="41E52FD9" w14:textId="300EAD08"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5290</w:t>
            </w:r>
          </w:p>
        </w:tc>
        <w:tc>
          <w:tcPr>
            <w:tcW w:w="1948" w:type="dxa"/>
            <w:vAlign w:val="bottom"/>
          </w:tcPr>
          <w:p w14:paraId="10697D5D" w14:textId="26C99EE6"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5442</w:t>
            </w:r>
          </w:p>
        </w:tc>
        <w:tc>
          <w:tcPr>
            <w:tcW w:w="1948" w:type="dxa"/>
            <w:vAlign w:val="bottom"/>
          </w:tcPr>
          <w:p w14:paraId="39FB10FB" w14:textId="227FEA40"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863</w:t>
            </w:r>
          </w:p>
        </w:tc>
        <w:tc>
          <w:tcPr>
            <w:tcW w:w="1948" w:type="dxa"/>
            <w:vAlign w:val="bottom"/>
          </w:tcPr>
          <w:p w14:paraId="6FC74FDD" w14:textId="5EE11C8F"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804</w:t>
            </w:r>
          </w:p>
        </w:tc>
      </w:tr>
      <w:tr w:rsidR="00C050EE" w:rsidRPr="009B783C" w14:paraId="166D8FD4" w14:textId="77777777" w:rsidTr="0070512B">
        <w:tc>
          <w:tcPr>
            <w:tcW w:w="1555" w:type="dxa"/>
            <w:vAlign w:val="bottom"/>
          </w:tcPr>
          <w:p w14:paraId="28A98DAF"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January 2024</w:t>
            </w:r>
          </w:p>
        </w:tc>
        <w:tc>
          <w:tcPr>
            <w:tcW w:w="1521" w:type="dxa"/>
            <w:vAlign w:val="bottom"/>
          </w:tcPr>
          <w:p w14:paraId="0BAD46A6" w14:textId="30F2131D"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5557</w:t>
            </w:r>
          </w:p>
        </w:tc>
        <w:tc>
          <w:tcPr>
            <w:tcW w:w="1948" w:type="dxa"/>
            <w:vAlign w:val="bottom"/>
          </w:tcPr>
          <w:p w14:paraId="117BFA24" w14:textId="5176A2B1"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5442</w:t>
            </w:r>
          </w:p>
        </w:tc>
        <w:tc>
          <w:tcPr>
            <w:tcW w:w="1948" w:type="dxa"/>
            <w:vAlign w:val="bottom"/>
          </w:tcPr>
          <w:p w14:paraId="5C37F485" w14:textId="22547564"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897</w:t>
            </w:r>
          </w:p>
        </w:tc>
        <w:tc>
          <w:tcPr>
            <w:tcW w:w="1948" w:type="dxa"/>
            <w:vAlign w:val="bottom"/>
          </w:tcPr>
          <w:p w14:paraId="69AC6A0E" w14:textId="2E742C01"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804</w:t>
            </w:r>
          </w:p>
        </w:tc>
      </w:tr>
      <w:tr w:rsidR="00C050EE" w:rsidRPr="009B783C" w14:paraId="00BE7AD8" w14:textId="77777777" w:rsidTr="0070512B">
        <w:tc>
          <w:tcPr>
            <w:tcW w:w="1555" w:type="dxa"/>
            <w:vAlign w:val="bottom"/>
          </w:tcPr>
          <w:p w14:paraId="04336B58"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April 2024</w:t>
            </w:r>
          </w:p>
        </w:tc>
        <w:tc>
          <w:tcPr>
            <w:tcW w:w="1521" w:type="dxa"/>
            <w:vAlign w:val="bottom"/>
          </w:tcPr>
          <w:p w14:paraId="43A9D2B4" w14:textId="3C115539"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5549</w:t>
            </w:r>
          </w:p>
        </w:tc>
        <w:tc>
          <w:tcPr>
            <w:tcW w:w="1948" w:type="dxa"/>
            <w:vAlign w:val="bottom"/>
          </w:tcPr>
          <w:p w14:paraId="65052505" w14:textId="7DC5CCEB"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5442</w:t>
            </w:r>
          </w:p>
        </w:tc>
        <w:tc>
          <w:tcPr>
            <w:tcW w:w="1948" w:type="dxa"/>
            <w:vAlign w:val="bottom"/>
          </w:tcPr>
          <w:p w14:paraId="116A24A9" w14:textId="6AE851F2"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814</w:t>
            </w:r>
          </w:p>
        </w:tc>
        <w:tc>
          <w:tcPr>
            <w:tcW w:w="1948" w:type="dxa"/>
            <w:vAlign w:val="bottom"/>
          </w:tcPr>
          <w:p w14:paraId="300D13D4" w14:textId="2B9A87CF"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804</w:t>
            </w:r>
          </w:p>
        </w:tc>
      </w:tr>
      <w:tr w:rsidR="00C050EE" w:rsidRPr="009B783C" w14:paraId="5E71FFFF" w14:textId="77777777" w:rsidTr="0070512B">
        <w:tc>
          <w:tcPr>
            <w:tcW w:w="1555" w:type="dxa"/>
            <w:vAlign w:val="bottom"/>
          </w:tcPr>
          <w:p w14:paraId="267B673E" w14:textId="77777777" w:rsidR="00C050EE" w:rsidRPr="009B783C" w:rsidRDefault="00C050EE" w:rsidP="00C050EE">
            <w:pPr>
              <w:rPr>
                <w:rFonts w:asciiTheme="minorHAnsi" w:hAnsiTheme="minorHAnsi" w:cstheme="minorHAnsi"/>
                <w:szCs w:val="21"/>
              </w:rPr>
            </w:pPr>
            <w:r w:rsidRPr="009B783C">
              <w:rPr>
                <w:rFonts w:asciiTheme="minorHAnsi" w:hAnsiTheme="minorHAnsi" w:cstheme="minorHAnsi"/>
                <w:color w:val="000000"/>
                <w:szCs w:val="21"/>
              </w:rPr>
              <w:t>July 2024</w:t>
            </w:r>
          </w:p>
        </w:tc>
        <w:tc>
          <w:tcPr>
            <w:tcW w:w="1521" w:type="dxa"/>
            <w:vAlign w:val="bottom"/>
          </w:tcPr>
          <w:p w14:paraId="673486E5" w14:textId="1E6C8F27"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5371</w:t>
            </w:r>
          </w:p>
        </w:tc>
        <w:tc>
          <w:tcPr>
            <w:tcW w:w="1948" w:type="dxa"/>
            <w:vAlign w:val="bottom"/>
          </w:tcPr>
          <w:p w14:paraId="6527EE92" w14:textId="6EF3C7D7"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5442</w:t>
            </w:r>
          </w:p>
        </w:tc>
        <w:tc>
          <w:tcPr>
            <w:tcW w:w="1948" w:type="dxa"/>
            <w:vAlign w:val="bottom"/>
          </w:tcPr>
          <w:p w14:paraId="47F8446F" w14:textId="037148D9"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734</w:t>
            </w:r>
          </w:p>
        </w:tc>
        <w:tc>
          <w:tcPr>
            <w:tcW w:w="1948" w:type="dxa"/>
            <w:vAlign w:val="bottom"/>
          </w:tcPr>
          <w:p w14:paraId="1A6637A9" w14:textId="4195E9DA" w:rsidR="00C050EE" w:rsidRPr="009B783C" w:rsidRDefault="00C050EE" w:rsidP="00645E43">
            <w:pPr>
              <w:jc w:val="center"/>
              <w:rPr>
                <w:rFonts w:asciiTheme="minorHAnsi" w:hAnsiTheme="minorHAnsi" w:cstheme="minorHAnsi"/>
                <w:szCs w:val="21"/>
              </w:rPr>
            </w:pPr>
            <w:r w:rsidRPr="009B783C">
              <w:rPr>
                <w:rFonts w:asciiTheme="minorHAnsi" w:hAnsiTheme="minorHAnsi" w:cstheme="minorHAnsi"/>
                <w:color w:val="000000"/>
                <w:szCs w:val="21"/>
              </w:rPr>
              <w:t>804</w:t>
            </w:r>
          </w:p>
        </w:tc>
      </w:tr>
      <w:tr w:rsidR="00C050EE" w:rsidRPr="009B783C" w14:paraId="00472555" w14:textId="77777777" w:rsidTr="0070512B">
        <w:tc>
          <w:tcPr>
            <w:tcW w:w="1555" w:type="dxa"/>
            <w:vAlign w:val="bottom"/>
          </w:tcPr>
          <w:p w14:paraId="01E9BCA8" w14:textId="75189FE3" w:rsidR="00C050EE" w:rsidRPr="009B783C" w:rsidRDefault="00C050EE" w:rsidP="00C050EE">
            <w:pPr>
              <w:rPr>
                <w:rFonts w:asciiTheme="minorHAnsi" w:hAnsiTheme="minorHAnsi" w:cstheme="minorHAnsi"/>
                <w:color w:val="000000"/>
                <w:szCs w:val="21"/>
              </w:rPr>
            </w:pPr>
            <w:r w:rsidRPr="009B783C">
              <w:rPr>
                <w:rFonts w:asciiTheme="minorHAnsi" w:hAnsiTheme="minorHAnsi" w:cstheme="minorHAnsi"/>
                <w:color w:val="000000"/>
                <w:szCs w:val="21"/>
              </w:rPr>
              <w:t>October 2024</w:t>
            </w:r>
          </w:p>
        </w:tc>
        <w:tc>
          <w:tcPr>
            <w:tcW w:w="1521" w:type="dxa"/>
            <w:vAlign w:val="bottom"/>
          </w:tcPr>
          <w:p w14:paraId="7EF73858" w14:textId="1946681D" w:rsidR="00C050EE" w:rsidRPr="009B783C" w:rsidRDefault="00C050EE" w:rsidP="00645E43">
            <w:pPr>
              <w:jc w:val="center"/>
              <w:rPr>
                <w:rFonts w:asciiTheme="minorHAnsi" w:hAnsiTheme="minorHAnsi" w:cstheme="minorHAnsi"/>
                <w:color w:val="000000"/>
                <w:szCs w:val="21"/>
              </w:rPr>
            </w:pPr>
            <w:r w:rsidRPr="009B783C">
              <w:rPr>
                <w:rFonts w:asciiTheme="minorHAnsi" w:hAnsiTheme="minorHAnsi" w:cstheme="minorHAnsi"/>
                <w:color w:val="000000"/>
                <w:szCs w:val="21"/>
              </w:rPr>
              <w:t>5177</w:t>
            </w:r>
          </w:p>
        </w:tc>
        <w:tc>
          <w:tcPr>
            <w:tcW w:w="1948" w:type="dxa"/>
            <w:vAlign w:val="bottom"/>
          </w:tcPr>
          <w:p w14:paraId="6D397477" w14:textId="3D14CE51" w:rsidR="00C050EE" w:rsidRPr="009B783C" w:rsidRDefault="00C050EE" w:rsidP="00645E43">
            <w:pPr>
              <w:jc w:val="center"/>
              <w:rPr>
                <w:rFonts w:asciiTheme="minorHAnsi" w:hAnsiTheme="minorHAnsi" w:cstheme="minorHAnsi"/>
                <w:color w:val="000000"/>
                <w:szCs w:val="21"/>
              </w:rPr>
            </w:pPr>
            <w:r w:rsidRPr="009B783C">
              <w:rPr>
                <w:rFonts w:asciiTheme="minorHAnsi" w:hAnsiTheme="minorHAnsi" w:cstheme="minorHAnsi"/>
                <w:color w:val="000000"/>
                <w:szCs w:val="21"/>
              </w:rPr>
              <w:t>5442</w:t>
            </w:r>
          </w:p>
        </w:tc>
        <w:tc>
          <w:tcPr>
            <w:tcW w:w="1948" w:type="dxa"/>
            <w:vAlign w:val="bottom"/>
          </w:tcPr>
          <w:p w14:paraId="5035EABF" w14:textId="2F391C19" w:rsidR="00C050EE" w:rsidRPr="009B783C" w:rsidRDefault="00C050EE" w:rsidP="00645E43">
            <w:pPr>
              <w:jc w:val="center"/>
              <w:rPr>
                <w:rFonts w:asciiTheme="minorHAnsi" w:hAnsiTheme="minorHAnsi" w:cstheme="minorHAnsi"/>
                <w:color w:val="000000"/>
                <w:szCs w:val="21"/>
              </w:rPr>
            </w:pPr>
            <w:r w:rsidRPr="009B783C">
              <w:rPr>
                <w:rFonts w:asciiTheme="minorHAnsi" w:hAnsiTheme="minorHAnsi" w:cstheme="minorHAnsi"/>
                <w:color w:val="000000"/>
                <w:szCs w:val="21"/>
              </w:rPr>
              <w:t>698</w:t>
            </w:r>
          </w:p>
        </w:tc>
        <w:tc>
          <w:tcPr>
            <w:tcW w:w="1948" w:type="dxa"/>
            <w:vAlign w:val="bottom"/>
          </w:tcPr>
          <w:p w14:paraId="3F7B826B" w14:textId="3CF7C4FF" w:rsidR="00C050EE" w:rsidRPr="009B783C" w:rsidRDefault="00C050EE" w:rsidP="00645E43">
            <w:pPr>
              <w:jc w:val="center"/>
              <w:rPr>
                <w:rFonts w:asciiTheme="minorHAnsi" w:hAnsiTheme="minorHAnsi" w:cstheme="minorHAnsi"/>
                <w:color w:val="000000"/>
                <w:szCs w:val="21"/>
              </w:rPr>
            </w:pPr>
            <w:r w:rsidRPr="009B783C">
              <w:rPr>
                <w:rFonts w:asciiTheme="minorHAnsi" w:hAnsiTheme="minorHAnsi" w:cstheme="minorHAnsi"/>
                <w:color w:val="000000"/>
                <w:szCs w:val="21"/>
              </w:rPr>
              <w:t>804</w:t>
            </w:r>
          </w:p>
        </w:tc>
      </w:tr>
    </w:tbl>
    <w:p w14:paraId="4138F045" w14:textId="79D87ADB" w:rsidR="00F75198" w:rsidRPr="009B783C" w:rsidRDefault="00F75198" w:rsidP="00F75198">
      <w:pPr>
        <w:spacing w:before="240"/>
        <w:rPr>
          <w:szCs w:val="21"/>
          <w:lang w:val="en-US"/>
        </w:rPr>
      </w:pPr>
      <w:r w:rsidRPr="009B783C">
        <w:rPr>
          <w:szCs w:val="21"/>
        </w:rPr>
        <w:t>Data for newly established Medicare UCCs in Q</w:t>
      </w:r>
      <w:r w:rsidR="00E62282">
        <w:rPr>
          <w:szCs w:val="21"/>
        </w:rPr>
        <w:t>LD</w:t>
      </w:r>
      <w:r w:rsidRPr="009B783C">
        <w:rPr>
          <w:szCs w:val="21"/>
        </w:rPr>
        <w:t xml:space="preserve">. There were </w:t>
      </w:r>
      <w:r w:rsidR="00F56C7F" w:rsidRPr="009B783C">
        <w:rPr>
          <w:szCs w:val="21"/>
        </w:rPr>
        <w:t>nine</w:t>
      </w:r>
      <w:r w:rsidRPr="009B783C">
        <w:rPr>
          <w:szCs w:val="21"/>
        </w:rPr>
        <w:t xml:space="preserve"> Medicare UCCs established over the </w:t>
      </w:r>
      <w:proofErr w:type="gramStart"/>
      <w:r w:rsidRPr="009B783C">
        <w:rPr>
          <w:szCs w:val="21"/>
        </w:rPr>
        <w:t>time period</w:t>
      </w:r>
      <w:proofErr w:type="gramEnd"/>
      <w:r w:rsidR="00835BE3" w:rsidRPr="009B783C">
        <w:rPr>
          <w:szCs w:val="21"/>
        </w:rPr>
        <w:t>.</w:t>
      </w:r>
      <w:r w:rsidRPr="009B783C">
        <w:rPr>
          <w:szCs w:val="21"/>
        </w:rPr>
        <w:t xml:space="preserve"> </w:t>
      </w:r>
    </w:p>
    <w:tbl>
      <w:tblPr>
        <w:tblStyle w:val="TableGrid"/>
        <w:tblW w:w="0" w:type="auto"/>
        <w:tblLook w:val="04A0" w:firstRow="1" w:lastRow="0" w:firstColumn="1" w:lastColumn="0" w:noHBand="0" w:noVBand="1"/>
      </w:tblPr>
      <w:tblGrid>
        <w:gridCol w:w="1510"/>
        <w:gridCol w:w="1635"/>
        <w:gridCol w:w="1925"/>
        <w:gridCol w:w="1925"/>
        <w:gridCol w:w="1925"/>
      </w:tblGrid>
      <w:tr w:rsidR="00F75198" w:rsidRPr="009B783C" w14:paraId="0E811D63" w14:textId="77777777" w:rsidTr="007B41A0">
        <w:trPr>
          <w:tblHeader/>
        </w:trPr>
        <w:tc>
          <w:tcPr>
            <w:tcW w:w="1555" w:type="dxa"/>
            <w:tcBorders>
              <w:right w:val="single" w:sz="4" w:space="0" w:color="FFFFFF" w:themeColor="background1"/>
            </w:tcBorders>
            <w:shd w:val="clear" w:color="auto" w:fill="00264D" w:themeFill="background2"/>
          </w:tcPr>
          <w:p w14:paraId="1912B9D5" w14:textId="4BF9F94A" w:rsidR="00F75198" w:rsidRPr="009B783C" w:rsidRDefault="006F652D" w:rsidP="00372E8E">
            <w:pPr>
              <w:pStyle w:val="TableNheader"/>
              <w:rPr>
                <w:rFonts w:asciiTheme="majorHAnsi" w:hAnsiTheme="majorHAnsi" w:cstheme="majorHAnsi"/>
              </w:rPr>
            </w:pPr>
            <w:r>
              <w:t>Month</w:t>
            </w:r>
            <w:r w:rsidR="00850C17">
              <w:t xml:space="preserve"> and year</w:t>
            </w:r>
          </w:p>
        </w:tc>
        <w:tc>
          <w:tcPr>
            <w:tcW w:w="1521" w:type="dxa"/>
            <w:tcBorders>
              <w:left w:val="single" w:sz="4" w:space="0" w:color="FFFFFF" w:themeColor="background1"/>
              <w:right w:val="single" w:sz="4" w:space="0" w:color="FFFFFF" w:themeColor="background1"/>
            </w:tcBorders>
            <w:shd w:val="clear" w:color="auto" w:fill="00264D" w:themeFill="background2"/>
          </w:tcPr>
          <w:p w14:paraId="7E6FE1DD" w14:textId="77777777" w:rsidR="00F75198" w:rsidRPr="009B783C" w:rsidRDefault="00F75198"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4.</w:t>
            </w:r>
          </w:p>
        </w:tc>
        <w:tc>
          <w:tcPr>
            <w:tcW w:w="1948" w:type="dxa"/>
            <w:tcBorders>
              <w:left w:val="single" w:sz="4" w:space="0" w:color="FFFFFF" w:themeColor="background1"/>
              <w:right w:val="single" w:sz="4" w:space="0" w:color="FFFFFF" w:themeColor="background1"/>
            </w:tcBorders>
            <w:shd w:val="clear" w:color="auto" w:fill="00264D" w:themeFill="background2"/>
          </w:tcPr>
          <w:p w14:paraId="2538D20C" w14:textId="77777777" w:rsidR="00F75198" w:rsidRPr="009B783C" w:rsidRDefault="00F75198" w:rsidP="00372E8E">
            <w:pPr>
              <w:pStyle w:val="TableNheader"/>
              <w:rPr>
                <w:rFonts w:asciiTheme="majorHAnsi" w:hAnsiTheme="majorHAnsi" w:cstheme="majorHAnsi"/>
              </w:rPr>
            </w:pPr>
            <w:r w:rsidRPr="009B783C">
              <w:t>Mean p</w:t>
            </w:r>
            <w:r w:rsidRPr="009B783C">
              <w:rPr>
                <w:rFonts w:asciiTheme="majorHAnsi" w:hAnsiTheme="majorHAnsi" w:cstheme="majorHAnsi"/>
              </w:rPr>
              <w:t xml:space="preserve">resentations per quarter, AIHW data. Triage category 4. </w:t>
            </w:r>
          </w:p>
        </w:tc>
        <w:tc>
          <w:tcPr>
            <w:tcW w:w="1948" w:type="dxa"/>
            <w:tcBorders>
              <w:left w:val="single" w:sz="4" w:space="0" w:color="FFFFFF" w:themeColor="background1"/>
              <w:right w:val="single" w:sz="4" w:space="0" w:color="FFFFFF" w:themeColor="background1"/>
            </w:tcBorders>
            <w:shd w:val="clear" w:color="auto" w:fill="00264D" w:themeFill="background2"/>
          </w:tcPr>
          <w:p w14:paraId="0FDEEC75" w14:textId="77777777" w:rsidR="00F75198" w:rsidRPr="009B783C" w:rsidRDefault="00F75198"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5.</w:t>
            </w:r>
          </w:p>
        </w:tc>
        <w:tc>
          <w:tcPr>
            <w:tcW w:w="1948" w:type="dxa"/>
            <w:tcBorders>
              <w:left w:val="single" w:sz="4" w:space="0" w:color="FFFFFF" w:themeColor="background1"/>
            </w:tcBorders>
            <w:shd w:val="clear" w:color="auto" w:fill="00264D" w:themeFill="background2"/>
          </w:tcPr>
          <w:p w14:paraId="7621ECAA" w14:textId="77777777" w:rsidR="00F75198" w:rsidRPr="009B783C" w:rsidRDefault="00F75198"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AIHW data. Triage category 5.</w:t>
            </w:r>
          </w:p>
        </w:tc>
      </w:tr>
      <w:tr w:rsidR="00424993" w:rsidRPr="009B783C" w14:paraId="38E73D84" w14:textId="77777777" w:rsidTr="007B41A0">
        <w:tc>
          <w:tcPr>
            <w:tcW w:w="1555" w:type="dxa"/>
            <w:vAlign w:val="bottom"/>
          </w:tcPr>
          <w:p w14:paraId="0A511A89"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July 2020</w:t>
            </w:r>
          </w:p>
        </w:tc>
        <w:tc>
          <w:tcPr>
            <w:tcW w:w="1521" w:type="dxa"/>
            <w:vAlign w:val="bottom"/>
          </w:tcPr>
          <w:p w14:paraId="6473BCC1" w14:textId="77777777" w:rsidR="00424993" w:rsidRPr="00571237" w:rsidRDefault="00424993" w:rsidP="00645E43">
            <w:pPr>
              <w:jc w:val="center"/>
              <w:rPr>
                <w:rFonts w:asciiTheme="minorHAnsi" w:hAnsiTheme="minorHAnsi" w:cstheme="minorHAnsi"/>
                <w:szCs w:val="21"/>
              </w:rPr>
            </w:pPr>
          </w:p>
        </w:tc>
        <w:tc>
          <w:tcPr>
            <w:tcW w:w="1948" w:type="dxa"/>
            <w:vAlign w:val="bottom"/>
          </w:tcPr>
          <w:p w14:paraId="471D20CA" w14:textId="350CEAAE"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6665</w:t>
            </w:r>
          </w:p>
        </w:tc>
        <w:tc>
          <w:tcPr>
            <w:tcW w:w="1948" w:type="dxa"/>
            <w:vAlign w:val="bottom"/>
          </w:tcPr>
          <w:p w14:paraId="437FB5B5" w14:textId="77777777" w:rsidR="00424993" w:rsidRPr="00571237" w:rsidRDefault="00424993" w:rsidP="00645E43">
            <w:pPr>
              <w:jc w:val="center"/>
              <w:rPr>
                <w:rFonts w:asciiTheme="minorHAnsi" w:hAnsiTheme="minorHAnsi" w:cstheme="minorHAnsi"/>
                <w:szCs w:val="21"/>
              </w:rPr>
            </w:pPr>
          </w:p>
        </w:tc>
        <w:tc>
          <w:tcPr>
            <w:tcW w:w="1948" w:type="dxa"/>
            <w:vAlign w:val="bottom"/>
          </w:tcPr>
          <w:p w14:paraId="156AAFCE" w14:textId="7ABA922F"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1264</w:t>
            </w:r>
          </w:p>
        </w:tc>
      </w:tr>
      <w:tr w:rsidR="00424993" w:rsidRPr="009B783C" w14:paraId="68EE8CDB" w14:textId="77777777" w:rsidTr="007B41A0">
        <w:tc>
          <w:tcPr>
            <w:tcW w:w="1555" w:type="dxa"/>
            <w:vAlign w:val="bottom"/>
          </w:tcPr>
          <w:p w14:paraId="06311B22"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January 2021</w:t>
            </w:r>
          </w:p>
        </w:tc>
        <w:tc>
          <w:tcPr>
            <w:tcW w:w="1521" w:type="dxa"/>
            <w:vAlign w:val="bottom"/>
          </w:tcPr>
          <w:p w14:paraId="24EAAC83" w14:textId="03976ACC"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6529</w:t>
            </w:r>
          </w:p>
        </w:tc>
        <w:tc>
          <w:tcPr>
            <w:tcW w:w="1948" w:type="dxa"/>
            <w:vAlign w:val="bottom"/>
          </w:tcPr>
          <w:p w14:paraId="59E8EA2A" w14:textId="17D3107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6665</w:t>
            </w:r>
          </w:p>
        </w:tc>
        <w:tc>
          <w:tcPr>
            <w:tcW w:w="1948" w:type="dxa"/>
            <w:vAlign w:val="bottom"/>
          </w:tcPr>
          <w:p w14:paraId="576C3F86" w14:textId="7214844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1065</w:t>
            </w:r>
          </w:p>
        </w:tc>
        <w:tc>
          <w:tcPr>
            <w:tcW w:w="1948" w:type="dxa"/>
            <w:vAlign w:val="bottom"/>
          </w:tcPr>
          <w:p w14:paraId="6ECDD197" w14:textId="480F987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1264</w:t>
            </w:r>
          </w:p>
        </w:tc>
      </w:tr>
      <w:tr w:rsidR="00424993" w:rsidRPr="009B783C" w14:paraId="17705826" w14:textId="77777777" w:rsidTr="007B41A0">
        <w:tc>
          <w:tcPr>
            <w:tcW w:w="1555" w:type="dxa"/>
            <w:vAlign w:val="bottom"/>
          </w:tcPr>
          <w:p w14:paraId="229EA944"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April 2021</w:t>
            </w:r>
          </w:p>
        </w:tc>
        <w:tc>
          <w:tcPr>
            <w:tcW w:w="1521" w:type="dxa"/>
            <w:vAlign w:val="bottom"/>
          </w:tcPr>
          <w:p w14:paraId="3BD06B46" w14:textId="54C89C13"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6908</w:t>
            </w:r>
          </w:p>
        </w:tc>
        <w:tc>
          <w:tcPr>
            <w:tcW w:w="1948" w:type="dxa"/>
            <w:vAlign w:val="bottom"/>
          </w:tcPr>
          <w:p w14:paraId="45B0208A" w14:textId="54287A0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6665</w:t>
            </w:r>
          </w:p>
        </w:tc>
        <w:tc>
          <w:tcPr>
            <w:tcW w:w="1948" w:type="dxa"/>
            <w:vAlign w:val="bottom"/>
          </w:tcPr>
          <w:p w14:paraId="10DD2C3F" w14:textId="5F1BA887"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1302</w:t>
            </w:r>
          </w:p>
        </w:tc>
        <w:tc>
          <w:tcPr>
            <w:tcW w:w="1948" w:type="dxa"/>
            <w:vAlign w:val="bottom"/>
          </w:tcPr>
          <w:p w14:paraId="0FF725C3" w14:textId="4ECA3D32"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1264</w:t>
            </w:r>
          </w:p>
        </w:tc>
      </w:tr>
      <w:tr w:rsidR="00424993" w:rsidRPr="009B783C" w14:paraId="1C1B2A80" w14:textId="77777777" w:rsidTr="007B41A0">
        <w:tc>
          <w:tcPr>
            <w:tcW w:w="1555" w:type="dxa"/>
            <w:vAlign w:val="bottom"/>
          </w:tcPr>
          <w:p w14:paraId="4BF26705"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July 2021</w:t>
            </w:r>
          </w:p>
        </w:tc>
        <w:tc>
          <w:tcPr>
            <w:tcW w:w="1521" w:type="dxa"/>
            <w:vAlign w:val="bottom"/>
          </w:tcPr>
          <w:p w14:paraId="2D671404" w14:textId="5CCEF6B6"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6355</w:t>
            </w:r>
          </w:p>
        </w:tc>
        <w:tc>
          <w:tcPr>
            <w:tcW w:w="1948" w:type="dxa"/>
            <w:vAlign w:val="bottom"/>
          </w:tcPr>
          <w:p w14:paraId="6677B830" w14:textId="22E061A4"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6363</w:t>
            </w:r>
          </w:p>
        </w:tc>
        <w:tc>
          <w:tcPr>
            <w:tcW w:w="1948" w:type="dxa"/>
            <w:vAlign w:val="bottom"/>
          </w:tcPr>
          <w:p w14:paraId="19E2085E" w14:textId="264DE9C9"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1227</w:t>
            </w:r>
          </w:p>
        </w:tc>
        <w:tc>
          <w:tcPr>
            <w:tcW w:w="1948" w:type="dxa"/>
            <w:vAlign w:val="bottom"/>
          </w:tcPr>
          <w:p w14:paraId="0F67CC74" w14:textId="47BCCA43"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1068</w:t>
            </w:r>
          </w:p>
        </w:tc>
      </w:tr>
      <w:tr w:rsidR="00424993" w:rsidRPr="009B783C" w14:paraId="052DF201" w14:textId="77777777" w:rsidTr="007B41A0">
        <w:tc>
          <w:tcPr>
            <w:tcW w:w="1555" w:type="dxa"/>
            <w:vAlign w:val="bottom"/>
          </w:tcPr>
          <w:p w14:paraId="593A385B"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October 2021</w:t>
            </w:r>
          </w:p>
        </w:tc>
        <w:tc>
          <w:tcPr>
            <w:tcW w:w="1521" w:type="dxa"/>
            <w:vAlign w:val="bottom"/>
          </w:tcPr>
          <w:p w14:paraId="2990DC51" w14:textId="6CC3F287"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6642</w:t>
            </w:r>
          </w:p>
        </w:tc>
        <w:tc>
          <w:tcPr>
            <w:tcW w:w="1948" w:type="dxa"/>
            <w:vAlign w:val="bottom"/>
          </w:tcPr>
          <w:p w14:paraId="3560E06D" w14:textId="7E1DE54B"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6363</w:t>
            </w:r>
          </w:p>
        </w:tc>
        <w:tc>
          <w:tcPr>
            <w:tcW w:w="1948" w:type="dxa"/>
            <w:vAlign w:val="bottom"/>
          </w:tcPr>
          <w:p w14:paraId="608E76A2" w14:textId="4090DBCB"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1342</w:t>
            </w:r>
          </w:p>
        </w:tc>
        <w:tc>
          <w:tcPr>
            <w:tcW w:w="1948" w:type="dxa"/>
            <w:vAlign w:val="bottom"/>
          </w:tcPr>
          <w:p w14:paraId="546A182A" w14:textId="6B3FD5CC"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1068</w:t>
            </w:r>
          </w:p>
        </w:tc>
      </w:tr>
      <w:tr w:rsidR="00424993" w:rsidRPr="009B783C" w14:paraId="5E8C5AC7" w14:textId="77777777" w:rsidTr="007B41A0">
        <w:tc>
          <w:tcPr>
            <w:tcW w:w="1555" w:type="dxa"/>
            <w:vAlign w:val="bottom"/>
          </w:tcPr>
          <w:p w14:paraId="4EA9D5AC"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January 2022</w:t>
            </w:r>
          </w:p>
        </w:tc>
        <w:tc>
          <w:tcPr>
            <w:tcW w:w="1521" w:type="dxa"/>
            <w:vAlign w:val="bottom"/>
          </w:tcPr>
          <w:p w14:paraId="647701FF" w14:textId="7B2E4A0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6923</w:t>
            </w:r>
          </w:p>
        </w:tc>
        <w:tc>
          <w:tcPr>
            <w:tcW w:w="1948" w:type="dxa"/>
            <w:vAlign w:val="bottom"/>
          </w:tcPr>
          <w:p w14:paraId="44947DA9" w14:textId="7E00038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6363</w:t>
            </w:r>
          </w:p>
        </w:tc>
        <w:tc>
          <w:tcPr>
            <w:tcW w:w="1948" w:type="dxa"/>
            <w:vAlign w:val="bottom"/>
          </w:tcPr>
          <w:p w14:paraId="0FA59710" w14:textId="2DA567A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1335</w:t>
            </w:r>
          </w:p>
        </w:tc>
        <w:tc>
          <w:tcPr>
            <w:tcW w:w="1948" w:type="dxa"/>
            <w:vAlign w:val="bottom"/>
          </w:tcPr>
          <w:p w14:paraId="5EA0EC0B" w14:textId="04DDB1E2"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1068</w:t>
            </w:r>
          </w:p>
        </w:tc>
      </w:tr>
      <w:tr w:rsidR="00424993" w:rsidRPr="009B783C" w14:paraId="06CABFF0" w14:textId="77777777" w:rsidTr="007B41A0">
        <w:tc>
          <w:tcPr>
            <w:tcW w:w="1555" w:type="dxa"/>
            <w:vAlign w:val="bottom"/>
          </w:tcPr>
          <w:p w14:paraId="49837D01"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April 2022</w:t>
            </w:r>
          </w:p>
        </w:tc>
        <w:tc>
          <w:tcPr>
            <w:tcW w:w="1521" w:type="dxa"/>
            <w:vAlign w:val="bottom"/>
          </w:tcPr>
          <w:p w14:paraId="545F5ABD" w14:textId="363D8CE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6439</w:t>
            </w:r>
          </w:p>
        </w:tc>
        <w:tc>
          <w:tcPr>
            <w:tcW w:w="1948" w:type="dxa"/>
            <w:vAlign w:val="bottom"/>
          </w:tcPr>
          <w:p w14:paraId="6928FA85" w14:textId="24311E82"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6363</w:t>
            </w:r>
          </w:p>
        </w:tc>
        <w:tc>
          <w:tcPr>
            <w:tcW w:w="1948" w:type="dxa"/>
            <w:vAlign w:val="bottom"/>
          </w:tcPr>
          <w:p w14:paraId="641FB5CD" w14:textId="714805D3"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892</w:t>
            </w:r>
          </w:p>
        </w:tc>
        <w:tc>
          <w:tcPr>
            <w:tcW w:w="1948" w:type="dxa"/>
            <w:vAlign w:val="bottom"/>
          </w:tcPr>
          <w:p w14:paraId="2F8E727C" w14:textId="6E1D4408"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1068</w:t>
            </w:r>
          </w:p>
        </w:tc>
      </w:tr>
      <w:tr w:rsidR="00424993" w:rsidRPr="009B783C" w14:paraId="1DCBB30F" w14:textId="77777777" w:rsidTr="007B41A0">
        <w:tc>
          <w:tcPr>
            <w:tcW w:w="1555" w:type="dxa"/>
            <w:vAlign w:val="bottom"/>
          </w:tcPr>
          <w:p w14:paraId="2B321934"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July 2022</w:t>
            </w:r>
          </w:p>
        </w:tc>
        <w:tc>
          <w:tcPr>
            <w:tcW w:w="1521" w:type="dxa"/>
            <w:vAlign w:val="bottom"/>
          </w:tcPr>
          <w:p w14:paraId="3BFDB084" w14:textId="4F6B2C25"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5450</w:t>
            </w:r>
          </w:p>
        </w:tc>
        <w:tc>
          <w:tcPr>
            <w:tcW w:w="1948" w:type="dxa"/>
            <w:vAlign w:val="bottom"/>
          </w:tcPr>
          <w:p w14:paraId="0E697C84" w14:textId="7A4ED9DC"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5249</w:t>
            </w:r>
          </w:p>
        </w:tc>
        <w:tc>
          <w:tcPr>
            <w:tcW w:w="1948" w:type="dxa"/>
            <w:vAlign w:val="bottom"/>
          </w:tcPr>
          <w:p w14:paraId="7FDA8F25" w14:textId="52CC9F07"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705</w:t>
            </w:r>
          </w:p>
        </w:tc>
        <w:tc>
          <w:tcPr>
            <w:tcW w:w="1948" w:type="dxa"/>
            <w:vAlign w:val="bottom"/>
          </w:tcPr>
          <w:p w14:paraId="7EB26B4F" w14:textId="351B5D7B"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656</w:t>
            </w:r>
          </w:p>
        </w:tc>
      </w:tr>
      <w:tr w:rsidR="00424993" w:rsidRPr="009B783C" w14:paraId="1F1EA2BC" w14:textId="77777777" w:rsidTr="007B41A0">
        <w:tc>
          <w:tcPr>
            <w:tcW w:w="1555" w:type="dxa"/>
            <w:vAlign w:val="bottom"/>
          </w:tcPr>
          <w:p w14:paraId="2AA0F595"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October 2022</w:t>
            </w:r>
          </w:p>
        </w:tc>
        <w:tc>
          <w:tcPr>
            <w:tcW w:w="1521" w:type="dxa"/>
            <w:vAlign w:val="bottom"/>
          </w:tcPr>
          <w:p w14:paraId="7BFA1244" w14:textId="71D1E075"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5074</w:t>
            </w:r>
          </w:p>
        </w:tc>
        <w:tc>
          <w:tcPr>
            <w:tcW w:w="1948" w:type="dxa"/>
            <w:vAlign w:val="bottom"/>
          </w:tcPr>
          <w:p w14:paraId="439BC34C" w14:textId="6B00374C"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5249</w:t>
            </w:r>
          </w:p>
        </w:tc>
        <w:tc>
          <w:tcPr>
            <w:tcW w:w="1948" w:type="dxa"/>
            <w:vAlign w:val="bottom"/>
          </w:tcPr>
          <w:p w14:paraId="49A0198B" w14:textId="6181684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649</w:t>
            </w:r>
          </w:p>
        </w:tc>
        <w:tc>
          <w:tcPr>
            <w:tcW w:w="1948" w:type="dxa"/>
            <w:vAlign w:val="bottom"/>
          </w:tcPr>
          <w:p w14:paraId="1E00C8A8" w14:textId="445B825F"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656</w:t>
            </w:r>
          </w:p>
        </w:tc>
      </w:tr>
      <w:tr w:rsidR="00424993" w:rsidRPr="009B783C" w14:paraId="40336D18" w14:textId="77777777" w:rsidTr="007B41A0">
        <w:tc>
          <w:tcPr>
            <w:tcW w:w="1555" w:type="dxa"/>
            <w:vAlign w:val="bottom"/>
          </w:tcPr>
          <w:p w14:paraId="7555C7A2"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January 2023</w:t>
            </w:r>
          </w:p>
        </w:tc>
        <w:tc>
          <w:tcPr>
            <w:tcW w:w="1521" w:type="dxa"/>
            <w:vAlign w:val="bottom"/>
          </w:tcPr>
          <w:p w14:paraId="76D87AAC" w14:textId="455DD072"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5304</w:t>
            </w:r>
          </w:p>
        </w:tc>
        <w:tc>
          <w:tcPr>
            <w:tcW w:w="1948" w:type="dxa"/>
            <w:vAlign w:val="bottom"/>
          </w:tcPr>
          <w:p w14:paraId="69E71D2E" w14:textId="50D0DBF8"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5249</w:t>
            </w:r>
          </w:p>
        </w:tc>
        <w:tc>
          <w:tcPr>
            <w:tcW w:w="1948" w:type="dxa"/>
            <w:vAlign w:val="bottom"/>
          </w:tcPr>
          <w:p w14:paraId="625761EC" w14:textId="2F2E3F38"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679</w:t>
            </w:r>
          </w:p>
        </w:tc>
        <w:tc>
          <w:tcPr>
            <w:tcW w:w="1948" w:type="dxa"/>
            <w:vAlign w:val="bottom"/>
          </w:tcPr>
          <w:p w14:paraId="4D54905F" w14:textId="45A489DB"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656</w:t>
            </w:r>
          </w:p>
        </w:tc>
      </w:tr>
      <w:tr w:rsidR="00424993" w:rsidRPr="009B783C" w14:paraId="5E1194E1" w14:textId="77777777" w:rsidTr="007B41A0">
        <w:tc>
          <w:tcPr>
            <w:tcW w:w="1555" w:type="dxa"/>
            <w:vAlign w:val="bottom"/>
          </w:tcPr>
          <w:p w14:paraId="0FED10BB"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April 2023</w:t>
            </w:r>
          </w:p>
        </w:tc>
        <w:tc>
          <w:tcPr>
            <w:tcW w:w="1521" w:type="dxa"/>
            <w:vAlign w:val="bottom"/>
          </w:tcPr>
          <w:p w14:paraId="14A795B3" w14:textId="71ACC12F"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5371</w:t>
            </w:r>
          </w:p>
        </w:tc>
        <w:tc>
          <w:tcPr>
            <w:tcW w:w="1948" w:type="dxa"/>
            <w:vAlign w:val="bottom"/>
          </w:tcPr>
          <w:p w14:paraId="7C26BD9B" w14:textId="362A71A5"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5249</w:t>
            </w:r>
          </w:p>
        </w:tc>
        <w:tc>
          <w:tcPr>
            <w:tcW w:w="1948" w:type="dxa"/>
            <w:vAlign w:val="bottom"/>
          </w:tcPr>
          <w:p w14:paraId="7544CB62" w14:textId="201F0E17"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663</w:t>
            </w:r>
          </w:p>
        </w:tc>
        <w:tc>
          <w:tcPr>
            <w:tcW w:w="1948" w:type="dxa"/>
            <w:vAlign w:val="bottom"/>
          </w:tcPr>
          <w:p w14:paraId="6B3B53FA" w14:textId="71BDF85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656</w:t>
            </w:r>
          </w:p>
        </w:tc>
      </w:tr>
      <w:tr w:rsidR="00424993" w:rsidRPr="009B783C" w14:paraId="2D9106E5" w14:textId="77777777" w:rsidTr="007B41A0">
        <w:tc>
          <w:tcPr>
            <w:tcW w:w="1555" w:type="dxa"/>
            <w:vAlign w:val="bottom"/>
          </w:tcPr>
          <w:p w14:paraId="63896DB4"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July 2023</w:t>
            </w:r>
          </w:p>
        </w:tc>
        <w:tc>
          <w:tcPr>
            <w:tcW w:w="1521" w:type="dxa"/>
            <w:vAlign w:val="bottom"/>
          </w:tcPr>
          <w:p w14:paraId="2A4276CC" w14:textId="3349B988"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5261</w:t>
            </w:r>
          </w:p>
        </w:tc>
        <w:tc>
          <w:tcPr>
            <w:tcW w:w="1948" w:type="dxa"/>
            <w:vAlign w:val="bottom"/>
          </w:tcPr>
          <w:p w14:paraId="52D432DF" w14:textId="1F844580"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5055</w:t>
            </w:r>
          </w:p>
        </w:tc>
        <w:tc>
          <w:tcPr>
            <w:tcW w:w="1948" w:type="dxa"/>
            <w:vAlign w:val="bottom"/>
          </w:tcPr>
          <w:p w14:paraId="31B068C8" w14:textId="44D51FF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634</w:t>
            </w:r>
          </w:p>
        </w:tc>
        <w:tc>
          <w:tcPr>
            <w:tcW w:w="1948" w:type="dxa"/>
            <w:vAlign w:val="bottom"/>
          </w:tcPr>
          <w:p w14:paraId="57B09D57" w14:textId="4554B9AA"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645</w:t>
            </w:r>
          </w:p>
        </w:tc>
      </w:tr>
      <w:tr w:rsidR="00424993" w:rsidRPr="009B783C" w14:paraId="45EDB5E7" w14:textId="77777777" w:rsidTr="007B41A0">
        <w:tc>
          <w:tcPr>
            <w:tcW w:w="1555" w:type="dxa"/>
            <w:vAlign w:val="bottom"/>
          </w:tcPr>
          <w:p w14:paraId="2FC2556F"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lastRenderedPageBreak/>
              <w:t>October 2023</w:t>
            </w:r>
          </w:p>
        </w:tc>
        <w:tc>
          <w:tcPr>
            <w:tcW w:w="1521" w:type="dxa"/>
            <w:vAlign w:val="bottom"/>
          </w:tcPr>
          <w:p w14:paraId="4D545FC9" w14:textId="12C44950"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5091</w:t>
            </w:r>
          </w:p>
        </w:tc>
        <w:tc>
          <w:tcPr>
            <w:tcW w:w="1948" w:type="dxa"/>
            <w:vAlign w:val="bottom"/>
          </w:tcPr>
          <w:p w14:paraId="38EB8167" w14:textId="3C4F88E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5055</w:t>
            </w:r>
          </w:p>
        </w:tc>
        <w:tc>
          <w:tcPr>
            <w:tcW w:w="1948" w:type="dxa"/>
            <w:vAlign w:val="bottom"/>
          </w:tcPr>
          <w:p w14:paraId="3DD02F06" w14:textId="29E6D97E"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611</w:t>
            </w:r>
          </w:p>
        </w:tc>
        <w:tc>
          <w:tcPr>
            <w:tcW w:w="1948" w:type="dxa"/>
            <w:vAlign w:val="bottom"/>
          </w:tcPr>
          <w:p w14:paraId="76A8D484" w14:textId="61E941FF"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645</w:t>
            </w:r>
          </w:p>
        </w:tc>
      </w:tr>
      <w:tr w:rsidR="00424993" w:rsidRPr="009B783C" w14:paraId="5AB479FB" w14:textId="77777777" w:rsidTr="007B41A0">
        <w:tc>
          <w:tcPr>
            <w:tcW w:w="1555" w:type="dxa"/>
            <w:vAlign w:val="bottom"/>
          </w:tcPr>
          <w:p w14:paraId="4B6832C3"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January 2024</w:t>
            </w:r>
          </w:p>
        </w:tc>
        <w:tc>
          <w:tcPr>
            <w:tcW w:w="1521" w:type="dxa"/>
            <w:vAlign w:val="bottom"/>
          </w:tcPr>
          <w:p w14:paraId="7770467E" w14:textId="6F170CCE"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5168</w:t>
            </w:r>
          </w:p>
        </w:tc>
        <w:tc>
          <w:tcPr>
            <w:tcW w:w="1948" w:type="dxa"/>
            <w:vAlign w:val="bottom"/>
          </w:tcPr>
          <w:p w14:paraId="294D3FF1" w14:textId="2C0A3775"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5055</w:t>
            </w:r>
          </w:p>
        </w:tc>
        <w:tc>
          <w:tcPr>
            <w:tcW w:w="1948" w:type="dxa"/>
            <w:vAlign w:val="bottom"/>
          </w:tcPr>
          <w:p w14:paraId="139AD73F" w14:textId="287CECD8"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674</w:t>
            </w:r>
          </w:p>
        </w:tc>
        <w:tc>
          <w:tcPr>
            <w:tcW w:w="1948" w:type="dxa"/>
            <w:vAlign w:val="bottom"/>
          </w:tcPr>
          <w:p w14:paraId="3640456F" w14:textId="451F5ACD"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645</w:t>
            </w:r>
          </w:p>
        </w:tc>
      </w:tr>
      <w:tr w:rsidR="00424993" w:rsidRPr="009B783C" w14:paraId="7438C9CE" w14:textId="77777777" w:rsidTr="007B41A0">
        <w:tc>
          <w:tcPr>
            <w:tcW w:w="1555" w:type="dxa"/>
            <w:vAlign w:val="bottom"/>
          </w:tcPr>
          <w:p w14:paraId="58B87709" w14:textId="77777777" w:rsidR="00424993" w:rsidRPr="00571237" w:rsidRDefault="00424993" w:rsidP="00424993">
            <w:pPr>
              <w:rPr>
                <w:rFonts w:asciiTheme="minorHAnsi" w:hAnsiTheme="minorHAnsi" w:cstheme="minorHAnsi"/>
                <w:szCs w:val="21"/>
              </w:rPr>
            </w:pPr>
            <w:r w:rsidRPr="00571237">
              <w:rPr>
                <w:rFonts w:asciiTheme="minorHAnsi" w:hAnsiTheme="minorHAnsi" w:cstheme="minorHAnsi"/>
                <w:color w:val="000000"/>
                <w:szCs w:val="21"/>
              </w:rPr>
              <w:t>April 2024</w:t>
            </w:r>
          </w:p>
        </w:tc>
        <w:tc>
          <w:tcPr>
            <w:tcW w:w="1521" w:type="dxa"/>
            <w:vAlign w:val="bottom"/>
          </w:tcPr>
          <w:p w14:paraId="37BB80D7" w14:textId="1ACF1E81"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5105</w:t>
            </w:r>
          </w:p>
        </w:tc>
        <w:tc>
          <w:tcPr>
            <w:tcW w:w="1948" w:type="dxa"/>
            <w:vAlign w:val="bottom"/>
          </w:tcPr>
          <w:p w14:paraId="2F4A9983" w14:textId="0F102D03"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5055</w:t>
            </w:r>
          </w:p>
        </w:tc>
        <w:tc>
          <w:tcPr>
            <w:tcW w:w="1948" w:type="dxa"/>
            <w:vAlign w:val="bottom"/>
          </w:tcPr>
          <w:p w14:paraId="5BF01586" w14:textId="0016405B"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684</w:t>
            </w:r>
          </w:p>
        </w:tc>
        <w:tc>
          <w:tcPr>
            <w:tcW w:w="1948" w:type="dxa"/>
            <w:vAlign w:val="bottom"/>
          </w:tcPr>
          <w:p w14:paraId="247694D7" w14:textId="18D052BC" w:rsidR="00424993" w:rsidRPr="00571237" w:rsidRDefault="00424993" w:rsidP="00645E43">
            <w:pPr>
              <w:jc w:val="center"/>
              <w:rPr>
                <w:rFonts w:asciiTheme="minorHAnsi" w:hAnsiTheme="minorHAnsi" w:cstheme="minorHAnsi"/>
                <w:szCs w:val="21"/>
              </w:rPr>
            </w:pPr>
            <w:r w:rsidRPr="00571237">
              <w:rPr>
                <w:rFonts w:asciiTheme="minorHAnsi" w:hAnsiTheme="minorHAnsi" w:cstheme="minorHAnsi"/>
                <w:color w:val="000000"/>
                <w:szCs w:val="21"/>
              </w:rPr>
              <w:t>645</w:t>
            </w:r>
          </w:p>
        </w:tc>
      </w:tr>
    </w:tbl>
    <w:p w14:paraId="1C600689" w14:textId="14EB7773" w:rsidR="005060B8" w:rsidRPr="009B783C" w:rsidRDefault="005060B8" w:rsidP="00606C34">
      <w:pPr>
        <w:rPr>
          <w:lang w:eastAsia="en-AU"/>
        </w:rPr>
      </w:pPr>
      <w:r w:rsidRPr="009B783C">
        <w:rPr>
          <w:lang w:eastAsia="en-AU"/>
        </w:rPr>
        <w:t xml:space="preserve">Notes: Data extracted from publicly available source on 21 November 2024. Medicare UCC opening dates in the corresponding state are indicated by the grey </w:t>
      </w:r>
      <w:r w:rsidR="00136065" w:rsidRPr="009B783C">
        <w:rPr>
          <w:lang w:eastAsia="en-AU"/>
        </w:rPr>
        <w:t xml:space="preserve">vertical </w:t>
      </w:r>
      <w:r w:rsidRPr="009B783C">
        <w:rPr>
          <w:lang w:eastAsia="en-AU"/>
        </w:rPr>
        <w:t xml:space="preserve">lines. </w:t>
      </w:r>
      <w:r w:rsidR="00B612AC" w:rsidRPr="009B783C">
        <w:rPr>
          <w:lang w:eastAsia="en-AU"/>
        </w:rPr>
        <w:t>The open p</w:t>
      </w:r>
      <w:r w:rsidR="008D21BE" w:rsidRPr="009B783C">
        <w:rPr>
          <w:lang w:eastAsia="en-AU"/>
        </w:rPr>
        <w:t>o</w:t>
      </w:r>
      <w:r w:rsidR="00AA74E3" w:rsidRPr="009B783C">
        <w:rPr>
          <w:lang w:eastAsia="en-AU"/>
        </w:rPr>
        <w:t xml:space="preserve">ints show </w:t>
      </w:r>
      <w:r w:rsidR="00E7019B" w:rsidRPr="009B783C">
        <w:rPr>
          <w:lang w:eastAsia="en-AU"/>
        </w:rPr>
        <w:t xml:space="preserve">quarterly data </w:t>
      </w:r>
      <w:r w:rsidR="00147DC1" w:rsidRPr="009B783C">
        <w:rPr>
          <w:lang w:eastAsia="en-AU"/>
        </w:rPr>
        <w:t xml:space="preserve">from </w:t>
      </w:r>
      <w:r w:rsidR="00F74CD0" w:rsidRPr="009B783C">
        <w:rPr>
          <w:lang w:eastAsia="en-AU"/>
        </w:rPr>
        <w:t xml:space="preserve">hospital level data published by </w:t>
      </w:r>
      <w:r w:rsidR="008D21BE" w:rsidRPr="009B783C">
        <w:rPr>
          <w:lang w:eastAsia="en-AU"/>
        </w:rPr>
        <w:t xml:space="preserve">states (NSW, VIC and QLD) </w:t>
      </w:r>
      <w:r w:rsidR="00B95CF6" w:rsidRPr="009B783C">
        <w:rPr>
          <w:lang w:eastAsia="en-AU"/>
        </w:rPr>
        <w:t xml:space="preserve">where these are available for </w:t>
      </w:r>
      <w:r w:rsidR="00032820" w:rsidRPr="009B783C">
        <w:rPr>
          <w:lang w:eastAsia="en-AU"/>
        </w:rPr>
        <w:t xml:space="preserve">quarters between </w:t>
      </w:r>
      <w:r w:rsidR="00E7019B" w:rsidRPr="009B783C">
        <w:rPr>
          <w:lang w:eastAsia="en-AU"/>
        </w:rPr>
        <w:t>2020-21</w:t>
      </w:r>
      <w:r w:rsidR="00147DC1" w:rsidRPr="009B783C">
        <w:rPr>
          <w:lang w:eastAsia="en-AU"/>
        </w:rPr>
        <w:t xml:space="preserve"> </w:t>
      </w:r>
      <w:r w:rsidR="00032820" w:rsidRPr="009B783C">
        <w:rPr>
          <w:lang w:eastAsia="en-AU"/>
        </w:rPr>
        <w:t xml:space="preserve">and </w:t>
      </w:r>
      <w:r w:rsidR="00147DC1" w:rsidRPr="009B783C">
        <w:rPr>
          <w:lang w:eastAsia="en-AU"/>
        </w:rPr>
        <w:t>2023-24</w:t>
      </w:r>
      <w:r w:rsidR="00032820" w:rsidRPr="009B783C">
        <w:rPr>
          <w:lang w:eastAsia="en-AU"/>
        </w:rPr>
        <w:t xml:space="preserve">. </w:t>
      </w:r>
      <w:r w:rsidRPr="009B783C">
        <w:rPr>
          <w:lang w:eastAsia="en-AU"/>
        </w:rPr>
        <w:t xml:space="preserve">Trends – shown in red – are based on </w:t>
      </w:r>
      <w:r w:rsidR="007E7538" w:rsidRPr="009B783C">
        <w:rPr>
          <w:lang w:eastAsia="en-AU"/>
        </w:rPr>
        <w:t>these data</w:t>
      </w:r>
      <w:r w:rsidRPr="009B783C">
        <w:rPr>
          <w:lang w:eastAsia="en-AU"/>
        </w:rPr>
        <w:t xml:space="preserve">. The solid line shows the trend for all quarterly data points </w:t>
      </w:r>
      <w:r w:rsidR="0072514B" w:rsidRPr="009B783C">
        <w:rPr>
          <w:lang w:eastAsia="en-AU"/>
        </w:rPr>
        <w:t xml:space="preserve">available for </w:t>
      </w:r>
      <w:r w:rsidRPr="009B783C">
        <w:rPr>
          <w:lang w:eastAsia="en-AU"/>
        </w:rPr>
        <w:t xml:space="preserve">2020-21, 2021-22 and 2022-23. Predicted trends for 2023-24 based on trends </w:t>
      </w:r>
      <w:r w:rsidR="00716F2D" w:rsidRPr="009B783C">
        <w:rPr>
          <w:lang w:eastAsia="en-AU"/>
        </w:rPr>
        <w:t xml:space="preserve">from the previous year </w:t>
      </w:r>
      <w:r w:rsidRPr="009B783C">
        <w:rPr>
          <w:lang w:eastAsia="en-AU"/>
        </w:rPr>
        <w:t xml:space="preserve">are shown as a dashed line. (a) The AIHW </w:t>
      </w:r>
      <w:r w:rsidR="00070186" w:rsidRPr="009B783C">
        <w:rPr>
          <w:lang w:eastAsia="en-AU"/>
        </w:rPr>
        <w:t>is shown as a line/segment across the financial year</w:t>
      </w:r>
      <w:r w:rsidR="0052774A" w:rsidRPr="009B783C">
        <w:rPr>
          <w:lang w:eastAsia="en-AU"/>
        </w:rPr>
        <w:t>. A</w:t>
      </w:r>
      <w:r w:rsidRPr="009B783C">
        <w:rPr>
          <w:lang w:eastAsia="en-AU"/>
        </w:rPr>
        <w:t xml:space="preserve">nnual data were converted to a quarterly value by dividing by four, so that these could be plotted along with quarterly data from state publicly released data. The source for the AIHW data is: Australian Institute of Health and Welfare. (2023-24). </w:t>
      </w:r>
      <w:r w:rsidRPr="009B783C">
        <w:rPr>
          <w:i/>
          <w:lang w:eastAsia="en-AU"/>
        </w:rPr>
        <w:t>Emergency department care 2023-24 data table</w:t>
      </w:r>
      <w:r w:rsidRPr="009B783C">
        <w:t xml:space="preserve">s. </w:t>
      </w:r>
      <w:hyperlink r:id="rId45" w:history="1">
        <w:r w:rsidRPr="009B783C">
          <w:t>https://www.aihw.gov.au/reports-data/myhospitals/sectors/emergency-department-care%23more-data</w:t>
        </w:r>
      </w:hyperlink>
      <w:r w:rsidRPr="009B783C">
        <w:t xml:space="preserve"> </w:t>
      </w:r>
    </w:p>
    <w:p w14:paraId="25A51E6E" w14:textId="77777777" w:rsidR="00542F46" w:rsidRDefault="00542F46" w:rsidP="005060B8">
      <w:pPr>
        <w:pStyle w:val="Caption"/>
        <w:rPr>
          <w:szCs w:val="21"/>
        </w:rPr>
        <w:sectPr w:rsidR="00542F46" w:rsidSect="006B20E0">
          <w:pgSz w:w="11907" w:h="16839" w:code="9"/>
          <w:pgMar w:top="1247" w:right="1418" w:bottom="1276" w:left="1559" w:header="720" w:footer="720" w:gutter="0"/>
          <w:cols w:space="720"/>
          <w:docGrid w:linePitch="360"/>
        </w:sectPr>
      </w:pPr>
      <w:bookmarkStart w:id="162" w:name="_Ref185486147"/>
    </w:p>
    <w:p w14:paraId="0CB02D0C" w14:textId="36EB1729" w:rsidR="00F5507A" w:rsidRPr="00571237" w:rsidRDefault="005060B8" w:rsidP="00571237">
      <w:pPr>
        <w:pStyle w:val="Caption"/>
        <w:rPr>
          <w:szCs w:val="21"/>
        </w:rPr>
      </w:pPr>
      <w:bookmarkStart w:id="163" w:name="_Ref189768403"/>
      <w:r w:rsidRPr="009B783C">
        <w:rPr>
          <w:szCs w:val="21"/>
        </w:rPr>
        <w:lastRenderedPageBreak/>
        <w:t xml:space="preserve">Figure </w:t>
      </w:r>
      <w:r w:rsidR="00E4498C" w:rsidRPr="009B783C">
        <w:rPr>
          <w:szCs w:val="21"/>
        </w:rPr>
        <w:fldChar w:fldCharType="begin"/>
      </w:r>
      <w:r w:rsidR="00E4498C" w:rsidRPr="009B783C">
        <w:rPr>
          <w:szCs w:val="21"/>
        </w:rPr>
        <w:instrText xml:space="preserve"> SEQ Figure \* ARABIC </w:instrText>
      </w:r>
      <w:r w:rsidR="00E4498C" w:rsidRPr="009B783C">
        <w:rPr>
          <w:szCs w:val="21"/>
        </w:rPr>
        <w:fldChar w:fldCharType="separate"/>
      </w:r>
      <w:r w:rsidR="00255871">
        <w:rPr>
          <w:noProof/>
          <w:szCs w:val="21"/>
        </w:rPr>
        <w:t>15</w:t>
      </w:r>
      <w:r w:rsidR="00E4498C" w:rsidRPr="009B783C">
        <w:rPr>
          <w:szCs w:val="21"/>
        </w:rPr>
        <w:fldChar w:fldCharType="end"/>
      </w:r>
      <w:bookmarkEnd w:id="162"/>
      <w:bookmarkEnd w:id="163"/>
      <w:r w:rsidRPr="009B783C">
        <w:rPr>
          <w:szCs w:val="21"/>
        </w:rPr>
        <w:t xml:space="preserve"> | Mean ED presentations per partner hospital triage categories four and five, WA, SA and </w:t>
      </w:r>
      <w:r w:rsidR="00331C54" w:rsidRPr="009B783C">
        <w:rPr>
          <w:szCs w:val="21"/>
        </w:rPr>
        <w:t>TAS</w:t>
      </w:r>
      <w:r w:rsidRPr="009B783C">
        <w:rPr>
          <w:szCs w:val="21"/>
        </w:rPr>
        <w:t>,</w:t>
      </w:r>
      <w:r w:rsidRPr="009B783C">
        <w:rPr>
          <w:rStyle w:val="FootnoteReference"/>
          <w:szCs w:val="21"/>
        </w:rPr>
        <w:footnoteReference w:id="91"/>
      </w:r>
      <w:r w:rsidR="008A611A" w:rsidRPr="009B783C">
        <w:rPr>
          <w:szCs w:val="21"/>
        </w:rPr>
        <w:t xml:space="preserve"> </w:t>
      </w:r>
      <w:r w:rsidRPr="009B783C">
        <w:rPr>
          <w:szCs w:val="21"/>
        </w:rPr>
        <w:t>July 2021 to Ju</w:t>
      </w:r>
      <w:r w:rsidR="00286B50" w:rsidRPr="009B783C">
        <w:rPr>
          <w:szCs w:val="21"/>
        </w:rPr>
        <w:t>ne</w:t>
      </w:r>
      <w:r w:rsidRPr="009B783C">
        <w:rPr>
          <w:szCs w:val="21"/>
        </w:rPr>
        <w:t xml:space="preserve"> 2024</w:t>
      </w:r>
    </w:p>
    <w:p w14:paraId="0D300B5E" w14:textId="77777777" w:rsidR="005060B8" w:rsidRPr="00606C34" w:rsidRDefault="005060B8" w:rsidP="00542F46">
      <w:pPr>
        <w:spacing w:after="0"/>
      </w:pPr>
      <w:r w:rsidRPr="009B783C">
        <w:rPr>
          <w:noProof/>
        </w:rPr>
        <w:drawing>
          <wp:inline distT="0" distB="0" distL="0" distR="0" wp14:anchorId="135900F1" wp14:editId="4CF9869A">
            <wp:extent cx="6845753" cy="5324475"/>
            <wp:effectExtent l="0" t="0" r="0" b="0"/>
            <wp:docPr id="3" name="Picture 3" descr="This image presents eight trend plots that visualise mean ED presentations for partner hospit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his image presents eight trend plots that visualise mean ED presentations for partner hospitals."/>
                    <pic:cNvPicPr>
                      <a:picLocks noChangeAspect="1" noChangeArrowheads="1"/>
                    </pic:cNvPicPr>
                  </pic:nvPicPr>
                  <pic:blipFill>
                    <a:blip r:embed="rId46" cstate="print"/>
                    <a:stretch>
                      <a:fillRect/>
                    </a:stretch>
                  </pic:blipFill>
                  <pic:spPr bwMode="auto">
                    <a:xfrm>
                      <a:off x="0" y="0"/>
                      <a:ext cx="6892220" cy="5360616"/>
                    </a:xfrm>
                    <a:prstGeom prst="rect">
                      <a:avLst/>
                    </a:prstGeom>
                    <a:noFill/>
                  </pic:spPr>
                </pic:pic>
              </a:graphicData>
            </a:graphic>
          </wp:inline>
        </w:drawing>
      </w:r>
    </w:p>
    <w:p w14:paraId="16A2BF3A" w14:textId="77777777" w:rsidR="00542F46" w:rsidRDefault="00542F46" w:rsidP="005076F1">
      <w:pPr>
        <w:rPr>
          <w:szCs w:val="21"/>
        </w:rPr>
        <w:sectPr w:rsidR="00542F46" w:rsidSect="00542F46">
          <w:pgSz w:w="16839" w:h="11907" w:orient="landscape" w:code="9"/>
          <w:pgMar w:top="567" w:right="1247" w:bottom="1135" w:left="1276" w:header="720" w:footer="720" w:gutter="0"/>
          <w:cols w:space="720"/>
          <w:docGrid w:linePitch="360"/>
        </w:sectPr>
      </w:pPr>
    </w:p>
    <w:p w14:paraId="443E7B7E" w14:textId="1957967E" w:rsidR="005076F1" w:rsidRPr="005076F1" w:rsidRDefault="000D706D" w:rsidP="005076F1">
      <w:pPr>
        <w:rPr>
          <w:szCs w:val="21"/>
        </w:rPr>
      </w:pPr>
      <w:r>
        <w:rPr>
          <w:szCs w:val="21"/>
        </w:rPr>
        <w:lastRenderedPageBreak/>
        <w:t xml:space="preserve">Detailed </w:t>
      </w:r>
      <w:r w:rsidR="005076F1" w:rsidRPr="005076F1">
        <w:rPr>
          <w:szCs w:val="21"/>
        </w:rPr>
        <w:t>Description:</w:t>
      </w:r>
    </w:p>
    <w:p w14:paraId="2C147627" w14:textId="36D07210" w:rsidR="005076F1" w:rsidRPr="005076F1" w:rsidRDefault="005076F1" w:rsidP="005076F1">
      <w:pPr>
        <w:rPr>
          <w:szCs w:val="21"/>
        </w:rPr>
      </w:pPr>
      <w:r w:rsidRPr="005076F1">
        <w:rPr>
          <w:szCs w:val="21"/>
        </w:rPr>
        <w:t xml:space="preserve">The eight scatter plots visualise mean ED presentations for partner hospitals. They are split by triage category </w:t>
      </w:r>
      <w:r w:rsidR="005854D3">
        <w:rPr>
          <w:szCs w:val="21"/>
        </w:rPr>
        <w:t>four</w:t>
      </w:r>
      <w:r w:rsidRPr="005076F1">
        <w:rPr>
          <w:szCs w:val="21"/>
        </w:rPr>
        <w:t xml:space="preserve"> or </w:t>
      </w:r>
      <w:r w:rsidR="005854D3">
        <w:rPr>
          <w:szCs w:val="21"/>
        </w:rPr>
        <w:t>five</w:t>
      </w:r>
      <w:r w:rsidRPr="005076F1">
        <w:rPr>
          <w:szCs w:val="21"/>
        </w:rPr>
        <w:t xml:space="preserve"> and location. Then further split by newly established or transitioned Medicare UCCs. Each plot shows the AIHW annual presentation</w:t>
      </w:r>
      <w:r w:rsidR="006E37CF" w:rsidRPr="009B783C">
        <w:rPr>
          <w:szCs w:val="21"/>
        </w:rPr>
        <w:t xml:space="preserve"> mean</w:t>
      </w:r>
      <w:r w:rsidRPr="005076F1">
        <w:rPr>
          <w:szCs w:val="21"/>
        </w:rPr>
        <w:t xml:space="preserve"> over the period from July 2020 to July 2024. The data is summarised in the following tables.</w:t>
      </w:r>
    </w:p>
    <w:p w14:paraId="280586CB" w14:textId="35F127D8" w:rsidR="005076F1" w:rsidRPr="009B783C" w:rsidRDefault="005076F1" w:rsidP="005076F1">
      <w:pPr>
        <w:rPr>
          <w:szCs w:val="21"/>
        </w:rPr>
      </w:pPr>
      <w:r w:rsidRPr="005076F1">
        <w:rPr>
          <w:szCs w:val="21"/>
        </w:rPr>
        <w:t xml:space="preserve">Data for </w:t>
      </w:r>
      <w:r w:rsidR="00D7169C" w:rsidRPr="009B783C">
        <w:rPr>
          <w:szCs w:val="21"/>
        </w:rPr>
        <w:t xml:space="preserve">partner hospitals of </w:t>
      </w:r>
      <w:r w:rsidRPr="005076F1">
        <w:rPr>
          <w:szCs w:val="21"/>
        </w:rPr>
        <w:t xml:space="preserve">newly established Medicare UCCs in </w:t>
      </w:r>
      <w:r w:rsidR="005854D3">
        <w:rPr>
          <w:szCs w:val="21"/>
        </w:rPr>
        <w:t>WA</w:t>
      </w:r>
      <w:r w:rsidRPr="005076F1">
        <w:rPr>
          <w:szCs w:val="21"/>
        </w:rPr>
        <w:t xml:space="preserve">. There were </w:t>
      </w:r>
      <w:r w:rsidR="0088129C" w:rsidRPr="009B783C">
        <w:rPr>
          <w:szCs w:val="21"/>
        </w:rPr>
        <w:t>six</w:t>
      </w:r>
      <w:r w:rsidRPr="005076F1">
        <w:rPr>
          <w:szCs w:val="21"/>
        </w:rPr>
        <w:t xml:space="preserve"> Medicare UCCs established over the </w:t>
      </w:r>
      <w:proofErr w:type="gramStart"/>
      <w:r w:rsidRPr="005076F1">
        <w:rPr>
          <w:szCs w:val="21"/>
        </w:rPr>
        <w:t>time period</w:t>
      </w:r>
      <w:proofErr w:type="gramEnd"/>
      <w:r w:rsidR="00271290">
        <w:rPr>
          <w:szCs w:val="21"/>
        </w:rPr>
        <w:t>.</w:t>
      </w:r>
    </w:p>
    <w:tbl>
      <w:tblPr>
        <w:tblStyle w:val="TableGrid"/>
        <w:tblW w:w="0" w:type="auto"/>
        <w:tblLook w:val="04A0" w:firstRow="1" w:lastRow="0" w:firstColumn="1" w:lastColumn="0" w:noHBand="0" w:noVBand="1"/>
      </w:tblPr>
      <w:tblGrid>
        <w:gridCol w:w="2973"/>
        <w:gridCol w:w="2973"/>
        <w:gridCol w:w="2974"/>
      </w:tblGrid>
      <w:tr w:rsidR="00E62BC0" w:rsidRPr="009B783C" w14:paraId="33B36C4D" w14:textId="77777777" w:rsidTr="000C20F4">
        <w:trPr>
          <w:tblHeader/>
        </w:trPr>
        <w:tc>
          <w:tcPr>
            <w:tcW w:w="2973" w:type="dxa"/>
            <w:tcBorders>
              <w:right w:val="single" w:sz="4" w:space="0" w:color="FFFFFF" w:themeColor="background1"/>
            </w:tcBorders>
            <w:shd w:val="clear" w:color="auto" w:fill="00264D" w:themeFill="background2"/>
          </w:tcPr>
          <w:p w14:paraId="2A73AF5E" w14:textId="107E7D40" w:rsidR="00E62BC0" w:rsidRPr="009B783C" w:rsidRDefault="00850C17" w:rsidP="00372E8E">
            <w:pPr>
              <w:pStyle w:val="TableNheader"/>
              <w:rPr>
                <w:rFonts w:asciiTheme="majorHAnsi" w:hAnsiTheme="majorHAnsi" w:cstheme="majorHAnsi"/>
              </w:rPr>
            </w:pPr>
            <w:r>
              <w:t>Month and year</w:t>
            </w:r>
          </w:p>
        </w:tc>
        <w:tc>
          <w:tcPr>
            <w:tcW w:w="2973" w:type="dxa"/>
            <w:tcBorders>
              <w:left w:val="single" w:sz="4" w:space="0" w:color="FFFFFF" w:themeColor="background1"/>
              <w:right w:val="single" w:sz="4" w:space="0" w:color="FFFFFF" w:themeColor="background1"/>
            </w:tcBorders>
            <w:shd w:val="clear" w:color="auto" w:fill="00264D" w:themeFill="background2"/>
          </w:tcPr>
          <w:p w14:paraId="331B623F" w14:textId="3C8A0005" w:rsidR="00E62BC0" w:rsidRPr="009B783C" w:rsidRDefault="00E62BC0" w:rsidP="00372E8E">
            <w:pPr>
              <w:pStyle w:val="TableNheader"/>
              <w:rPr>
                <w:rFonts w:asciiTheme="majorHAnsi" w:hAnsiTheme="majorHAnsi" w:cstheme="majorHAnsi"/>
              </w:rPr>
            </w:pPr>
            <w:r w:rsidRPr="009B783C">
              <w:t>Mea</w:t>
            </w:r>
            <w:r w:rsidRPr="009B783C">
              <w:rPr>
                <w:rFonts w:asciiTheme="majorHAnsi" w:hAnsiTheme="majorHAnsi" w:cstheme="majorHAnsi"/>
              </w:rPr>
              <w:t xml:space="preserve">n </w:t>
            </w:r>
            <w:r w:rsidR="00C624B8" w:rsidRPr="009B783C">
              <w:rPr>
                <w:rFonts w:asciiTheme="majorHAnsi" w:hAnsiTheme="majorHAnsi" w:cstheme="majorHAnsi"/>
              </w:rPr>
              <w:t>presentations, triage category 4</w:t>
            </w:r>
          </w:p>
        </w:tc>
        <w:tc>
          <w:tcPr>
            <w:tcW w:w="2974" w:type="dxa"/>
            <w:tcBorders>
              <w:left w:val="single" w:sz="4" w:space="0" w:color="FFFFFF" w:themeColor="background1"/>
            </w:tcBorders>
            <w:shd w:val="clear" w:color="auto" w:fill="00264D" w:themeFill="background2"/>
          </w:tcPr>
          <w:p w14:paraId="3C94CE19" w14:textId="1945B635" w:rsidR="00E62BC0" w:rsidRPr="009B783C" w:rsidRDefault="00C624B8" w:rsidP="00372E8E">
            <w:pPr>
              <w:pStyle w:val="TableNheader"/>
              <w:rPr>
                <w:rFonts w:asciiTheme="majorHAnsi" w:hAnsiTheme="majorHAnsi" w:cstheme="majorHAnsi"/>
              </w:rPr>
            </w:pPr>
            <w:r w:rsidRPr="009B783C">
              <w:t>Mea</w:t>
            </w:r>
            <w:r w:rsidRPr="009B783C">
              <w:rPr>
                <w:rFonts w:asciiTheme="majorHAnsi" w:hAnsiTheme="majorHAnsi" w:cstheme="majorHAnsi"/>
              </w:rPr>
              <w:t>n presentations, triage category 5</w:t>
            </w:r>
          </w:p>
        </w:tc>
      </w:tr>
      <w:tr w:rsidR="001201BF" w:rsidRPr="009B783C" w14:paraId="12F55F75" w14:textId="77777777" w:rsidTr="00E40022">
        <w:tc>
          <w:tcPr>
            <w:tcW w:w="2973" w:type="dxa"/>
          </w:tcPr>
          <w:p w14:paraId="054E89F0" w14:textId="161CDB3A" w:rsidR="001201BF" w:rsidRPr="009B783C" w:rsidRDefault="001201BF" w:rsidP="001201BF">
            <w:pPr>
              <w:rPr>
                <w:rFonts w:asciiTheme="minorHAnsi" w:hAnsiTheme="minorHAnsi" w:cstheme="minorHAnsi"/>
                <w:szCs w:val="21"/>
              </w:rPr>
            </w:pPr>
            <w:r w:rsidRPr="009B783C">
              <w:rPr>
                <w:rFonts w:asciiTheme="minorHAnsi" w:hAnsiTheme="minorHAnsi" w:cstheme="minorHAnsi"/>
                <w:szCs w:val="21"/>
              </w:rPr>
              <w:t>July 2020</w:t>
            </w:r>
          </w:p>
        </w:tc>
        <w:tc>
          <w:tcPr>
            <w:tcW w:w="2973" w:type="dxa"/>
            <w:vAlign w:val="bottom"/>
          </w:tcPr>
          <w:p w14:paraId="310E6600" w14:textId="0279FD72"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67</w:t>
            </w:r>
            <w:r w:rsidR="00F62308">
              <w:rPr>
                <w:rFonts w:asciiTheme="minorHAnsi" w:hAnsiTheme="minorHAnsi" w:cstheme="minorHAnsi"/>
                <w:color w:val="000000"/>
                <w:szCs w:val="21"/>
              </w:rPr>
              <w:t>70</w:t>
            </w:r>
          </w:p>
        </w:tc>
        <w:tc>
          <w:tcPr>
            <w:tcW w:w="2974" w:type="dxa"/>
            <w:vAlign w:val="bottom"/>
          </w:tcPr>
          <w:p w14:paraId="106BCF1E" w14:textId="5613022E"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10</w:t>
            </w:r>
            <w:r w:rsidR="00F62308">
              <w:rPr>
                <w:rFonts w:asciiTheme="minorHAnsi" w:hAnsiTheme="minorHAnsi" w:cstheme="minorHAnsi"/>
                <w:color w:val="000000"/>
                <w:szCs w:val="21"/>
              </w:rPr>
              <w:t>30</w:t>
            </w:r>
          </w:p>
        </w:tc>
      </w:tr>
      <w:tr w:rsidR="001201BF" w:rsidRPr="009B783C" w14:paraId="26D33BED" w14:textId="77777777" w:rsidTr="00E40022">
        <w:tc>
          <w:tcPr>
            <w:tcW w:w="2973" w:type="dxa"/>
          </w:tcPr>
          <w:p w14:paraId="6A5BCFC3" w14:textId="56F547DF" w:rsidR="001201BF" w:rsidRPr="009B783C" w:rsidRDefault="001201BF" w:rsidP="001201BF">
            <w:pPr>
              <w:rPr>
                <w:rFonts w:asciiTheme="minorHAnsi" w:hAnsiTheme="minorHAnsi" w:cstheme="minorHAnsi"/>
                <w:szCs w:val="21"/>
              </w:rPr>
            </w:pPr>
            <w:r w:rsidRPr="009B783C">
              <w:rPr>
                <w:rFonts w:asciiTheme="minorHAnsi" w:hAnsiTheme="minorHAnsi" w:cstheme="minorHAnsi"/>
                <w:szCs w:val="21"/>
              </w:rPr>
              <w:t>July 2021</w:t>
            </w:r>
          </w:p>
        </w:tc>
        <w:tc>
          <w:tcPr>
            <w:tcW w:w="2973" w:type="dxa"/>
            <w:vAlign w:val="bottom"/>
          </w:tcPr>
          <w:p w14:paraId="5F3E57E3" w14:textId="11763902"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639</w:t>
            </w:r>
            <w:r w:rsidR="00F62308">
              <w:rPr>
                <w:rFonts w:asciiTheme="minorHAnsi" w:hAnsiTheme="minorHAnsi" w:cstheme="minorHAnsi"/>
                <w:color w:val="000000"/>
                <w:szCs w:val="21"/>
              </w:rPr>
              <w:t>5</w:t>
            </w:r>
          </w:p>
        </w:tc>
        <w:tc>
          <w:tcPr>
            <w:tcW w:w="2974" w:type="dxa"/>
            <w:vAlign w:val="bottom"/>
          </w:tcPr>
          <w:p w14:paraId="75BE7674" w14:textId="391997C0"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88</w:t>
            </w:r>
            <w:r w:rsidR="00F62308">
              <w:rPr>
                <w:rFonts w:asciiTheme="minorHAnsi" w:hAnsiTheme="minorHAnsi" w:cstheme="minorHAnsi"/>
                <w:color w:val="000000"/>
                <w:szCs w:val="21"/>
              </w:rPr>
              <w:t>3</w:t>
            </w:r>
          </w:p>
        </w:tc>
      </w:tr>
      <w:tr w:rsidR="001201BF" w:rsidRPr="009B783C" w14:paraId="419D9BC5" w14:textId="77777777" w:rsidTr="00E40022">
        <w:tc>
          <w:tcPr>
            <w:tcW w:w="2973" w:type="dxa"/>
          </w:tcPr>
          <w:p w14:paraId="10AEA946" w14:textId="20066480" w:rsidR="001201BF" w:rsidRPr="009B783C" w:rsidRDefault="001201BF" w:rsidP="001201BF">
            <w:pPr>
              <w:rPr>
                <w:rFonts w:asciiTheme="minorHAnsi" w:hAnsiTheme="minorHAnsi" w:cstheme="minorHAnsi"/>
                <w:szCs w:val="21"/>
              </w:rPr>
            </w:pPr>
            <w:r w:rsidRPr="009B783C">
              <w:rPr>
                <w:rFonts w:asciiTheme="minorHAnsi" w:hAnsiTheme="minorHAnsi" w:cstheme="minorHAnsi"/>
                <w:szCs w:val="21"/>
              </w:rPr>
              <w:t>July 2022</w:t>
            </w:r>
          </w:p>
        </w:tc>
        <w:tc>
          <w:tcPr>
            <w:tcW w:w="2973" w:type="dxa"/>
            <w:vAlign w:val="bottom"/>
          </w:tcPr>
          <w:p w14:paraId="17A0A26C" w14:textId="77367CCA"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596</w:t>
            </w:r>
            <w:r w:rsidR="00F62308">
              <w:rPr>
                <w:rFonts w:asciiTheme="minorHAnsi" w:hAnsiTheme="minorHAnsi" w:cstheme="minorHAnsi"/>
                <w:color w:val="000000"/>
                <w:szCs w:val="21"/>
              </w:rPr>
              <w:t>4</w:t>
            </w:r>
          </w:p>
        </w:tc>
        <w:tc>
          <w:tcPr>
            <w:tcW w:w="2974" w:type="dxa"/>
            <w:vAlign w:val="bottom"/>
          </w:tcPr>
          <w:p w14:paraId="0883C15C" w14:textId="6701A966"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852</w:t>
            </w:r>
          </w:p>
        </w:tc>
      </w:tr>
      <w:tr w:rsidR="001201BF" w:rsidRPr="009B783C" w14:paraId="005F85B3" w14:textId="77777777" w:rsidTr="00E40022">
        <w:tc>
          <w:tcPr>
            <w:tcW w:w="2973" w:type="dxa"/>
          </w:tcPr>
          <w:p w14:paraId="566DBAFE" w14:textId="52960BE0" w:rsidR="001201BF" w:rsidRPr="009B783C" w:rsidRDefault="001201BF" w:rsidP="001201BF">
            <w:pPr>
              <w:rPr>
                <w:rFonts w:asciiTheme="minorHAnsi" w:hAnsiTheme="minorHAnsi" w:cstheme="minorHAnsi"/>
                <w:szCs w:val="21"/>
              </w:rPr>
            </w:pPr>
            <w:r w:rsidRPr="009B783C">
              <w:rPr>
                <w:rFonts w:asciiTheme="minorHAnsi" w:hAnsiTheme="minorHAnsi" w:cstheme="minorHAnsi"/>
                <w:szCs w:val="21"/>
              </w:rPr>
              <w:t>July 2023</w:t>
            </w:r>
          </w:p>
        </w:tc>
        <w:tc>
          <w:tcPr>
            <w:tcW w:w="2973" w:type="dxa"/>
            <w:vAlign w:val="bottom"/>
          </w:tcPr>
          <w:p w14:paraId="4AAB87BA" w14:textId="6CCBE9C1"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611</w:t>
            </w:r>
            <w:r w:rsidR="00F62308">
              <w:rPr>
                <w:rFonts w:asciiTheme="minorHAnsi" w:hAnsiTheme="minorHAnsi" w:cstheme="minorHAnsi"/>
                <w:color w:val="000000"/>
                <w:szCs w:val="21"/>
              </w:rPr>
              <w:t>7</w:t>
            </w:r>
          </w:p>
        </w:tc>
        <w:tc>
          <w:tcPr>
            <w:tcW w:w="2974" w:type="dxa"/>
            <w:vAlign w:val="bottom"/>
          </w:tcPr>
          <w:p w14:paraId="3182C22A" w14:textId="2C4A9BDF" w:rsidR="001201BF" w:rsidRPr="009B783C" w:rsidRDefault="001201BF" w:rsidP="00765B7E">
            <w:pPr>
              <w:jc w:val="center"/>
              <w:rPr>
                <w:rFonts w:asciiTheme="minorHAnsi" w:hAnsiTheme="minorHAnsi" w:cstheme="minorHAnsi"/>
                <w:szCs w:val="21"/>
              </w:rPr>
            </w:pPr>
            <w:r w:rsidRPr="009B783C">
              <w:rPr>
                <w:rFonts w:asciiTheme="minorHAnsi" w:hAnsiTheme="minorHAnsi" w:cstheme="minorHAnsi"/>
                <w:color w:val="000000"/>
                <w:szCs w:val="21"/>
              </w:rPr>
              <w:t>776</w:t>
            </w:r>
          </w:p>
        </w:tc>
      </w:tr>
      <w:tr w:rsidR="00E62BC0" w:rsidRPr="009B783C" w14:paraId="6A32F630" w14:textId="77777777" w:rsidTr="00E62BC0">
        <w:tc>
          <w:tcPr>
            <w:tcW w:w="2973" w:type="dxa"/>
          </w:tcPr>
          <w:p w14:paraId="6B98DF98" w14:textId="034C314F" w:rsidR="00E62BC0" w:rsidRPr="009B783C" w:rsidRDefault="00156CF4" w:rsidP="005076F1">
            <w:pPr>
              <w:rPr>
                <w:rFonts w:asciiTheme="minorHAnsi" w:hAnsiTheme="minorHAnsi" w:cstheme="minorHAnsi"/>
                <w:szCs w:val="21"/>
              </w:rPr>
            </w:pPr>
            <w:r w:rsidRPr="009B783C">
              <w:rPr>
                <w:rFonts w:asciiTheme="minorHAnsi" w:hAnsiTheme="minorHAnsi" w:cstheme="minorHAnsi"/>
                <w:szCs w:val="21"/>
              </w:rPr>
              <w:t>July 2024</w:t>
            </w:r>
          </w:p>
        </w:tc>
        <w:tc>
          <w:tcPr>
            <w:tcW w:w="2973" w:type="dxa"/>
          </w:tcPr>
          <w:p w14:paraId="62C6B391" w14:textId="498B2313" w:rsidR="00E62BC0" w:rsidRPr="009B783C" w:rsidRDefault="00B36DA8" w:rsidP="00765B7E">
            <w:pPr>
              <w:jc w:val="center"/>
              <w:rPr>
                <w:rFonts w:asciiTheme="minorHAnsi" w:hAnsiTheme="minorHAnsi" w:cstheme="minorHAnsi"/>
                <w:szCs w:val="21"/>
              </w:rPr>
            </w:pPr>
            <w:r w:rsidRPr="009B783C">
              <w:rPr>
                <w:rFonts w:asciiTheme="minorHAnsi" w:hAnsiTheme="minorHAnsi" w:cstheme="minorHAnsi"/>
                <w:szCs w:val="21"/>
              </w:rPr>
              <w:t>611</w:t>
            </w:r>
            <w:r w:rsidR="00F62308">
              <w:rPr>
                <w:rFonts w:asciiTheme="minorHAnsi" w:hAnsiTheme="minorHAnsi" w:cstheme="minorHAnsi"/>
                <w:szCs w:val="21"/>
              </w:rPr>
              <w:t>7</w:t>
            </w:r>
          </w:p>
        </w:tc>
        <w:tc>
          <w:tcPr>
            <w:tcW w:w="2974" w:type="dxa"/>
          </w:tcPr>
          <w:p w14:paraId="7BE3B8BC" w14:textId="42ADDE7C" w:rsidR="00E62BC0" w:rsidRPr="009B783C" w:rsidRDefault="00807DF6" w:rsidP="00765B7E">
            <w:pPr>
              <w:jc w:val="center"/>
              <w:rPr>
                <w:rFonts w:asciiTheme="minorHAnsi" w:hAnsiTheme="minorHAnsi" w:cstheme="minorHAnsi"/>
                <w:szCs w:val="21"/>
              </w:rPr>
            </w:pPr>
            <w:r w:rsidRPr="009B783C">
              <w:rPr>
                <w:rFonts w:asciiTheme="minorHAnsi" w:hAnsiTheme="minorHAnsi" w:cstheme="minorHAnsi"/>
                <w:szCs w:val="21"/>
              </w:rPr>
              <w:t>776</w:t>
            </w:r>
          </w:p>
        </w:tc>
      </w:tr>
    </w:tbl>
    <w:p w14:paraId="4C6E336B" w14:textId="444B8408" w:rsidR="00C05045" w:rsidRPr="009B783C" w:rsidRDefault="00C05045" w:rsidP="00606C34">
      <w:r w:rsidRPr="005076F1">
        <w:t xml:space="preserve">Data for </w:t>
      </w:r>
      <w:r w:rsidRPr="009B783C">
        <w:t xml:space="preserve">partner hospitals of </w:t>
      </w:r>
      <w:r w:rsidRPr="005076F1">
        <w:t xml:space="preserve">newly established Medicare UCCs in </w:t>
      </w:r>
      <w:r w:rsidR="00271290">
        <w:t>SA</w:t>
      </w:r>
      <w:r w:rsidRPr="005076F1">
        <w:t xml:space="preserve">. There were </w:t>
      </w:r>
      <w:r w:rsidR="00E9106C" w:rsidRPr="009B783C">
        <w:t>four</w:t>
      </w:r>
      <w:r w:rsidRPr="005076F1">
        <w:t xml:space="preserve"> Medicare UCCs established over the </w:t>
      </w:r>
      <w:proofErr w:type="gramStart"/>
      <w:r w:rsidRPr="005076F1">
        <w:t>time period</w:t>
      </w:r>
      <w:proofErr w:type="gramEnd"/>
      <w:r w:rsidRPr="009B783C">
        <w:t>.</w:t>
      </w:r>
      <w:r w:rsidRPr="005076F1">
        <w:t xml:space="preserve"> </w:t>
      </w:r>
    </w:p>
    <w:tbl>
      <w:tblPr>
        <w:tblStyle w:val="TableGrid"/>
        <w:tblW w:w="0" w:type="auto"/>
        <w:tblLook w:val="04A0" w:firstRow="1" w:lastRow="0" w:firstColumn="1" w:lastColumn="0" w:noHBand="0" w:noVBand="1"/>
      </w:tblPr>
      <w:tblGrid>
        <w:gridCol w:w="2973"/>
        <w:gridCol w:w="2973"/>
        <w:gridCol w:w="2974"/>
      </w:tblGrid>
      <w:tr w:rsidR="00C05045" w:rsidRPr="009B783C" w14:paraId="5B9A89BA" w14:textId="77777777" w:rsidTr="000C20F4">
        <w:trPr>
          <w:tblHeader/>
        </w:trPr>
        <w:tc>
          <w:tcPr>
            <w:tcW w:w="2973" w:type="dxa"/>
            <w:tcBorders>
              <w:right w:val="single" w:sz="4" w:space="0" w:color="FFFFFF" w:themeColor="background1"/>
            </w:tcBorders>
            <w:shd w:val="clear" w:color="auto" w:fill="00264D" w:themeFill="background2"/>
          </w:tcPr>
          <w:p w14:paraId="7A81E7CC" w14:textId="4A181427" w:rsidR="00C05045" w:rsidRPr="009B783C" w:rsidRDefault="00850C17" w:rsidP="00372E8E">
            <w:pPr>
              <w:pStyle w:val="TableNheader"/>
              <w:rPr>
                <w:rFonts w:asciiTheme="majorHAnsi" w:hAnsiTheme="majorHAnsi" w:cstheme="majorHAnsi"/>
              </w:rPr>
            </w:pPr>
            <w:r>
              <w:t>Month and year</w:t>
            </w:r>
          </w:p>
        </w:tc>
        <w:tc>
          <w:tcPr>
            <w:tcW w:w="2973" w:type="dxa"/>
            <w:tcBorders>
              <w:left w:val="single" w:sz="4" w:space="0" w:color="FFFFFF" w:themeColor="background1"/>
              <w:right w:val="single" w:sz="4" w:space="0" w:color="FFFFFF" w:themeColor="background1"/>
            </w:tcBorders>
            <w:shd w:val="clear" w:color="auto" w:fill="00264D" w:themeFill="background2"/>
          </w:tcPr>
          <w:p w14:paraId="64A68088" w14:textId="77777777" w:rsidR="00C05045" w:rsidRPr="009B783C" w:rsidRDefault="00C05045" w:rsidP="00372E8E">
            <w:pPr>
              <w:pStyle w:val="TableNheader"/>
              <w:rPr>
                <w:rFonts w:asciiTheme="majorHAnsi" w:hAnsiTheme="majorHAnsi" w:cstheme="majorHAnsi"/>
              </w:rPr>
            </w:pPr>
            <w:r w:rsidRPr="009B783C">
              <w:t>Mea</w:t>
            </w:r>
            <w:r w:rsidRPr="009B783C">
              <w:rPr>
                <w:rFonts w:asciiTheme="majorHAnsi" w:hAnsiTheme="majorHAnsi" w:cstheme="majorHAnsi"/>
              </w:rPr>
              <w:t>n presentations, triage category 4</w:t>
            </w:r>
          </w:p>
        </w:tc>
        <w:tc>
          <w:tcPr>
            <w:tcW w:w="2974" w:type="dxa"/>
            <w:tcBorders>
              <w:left w:val="single" w:sz="4" w:space="0" w:color="FFFFFF" w:themeColor="background1"/>
            </w:tcBorders>
            <w:shd w:val="clear" w:color="auto" w:fill="00264D" w:themeFill="background2"/>
          </w:tcPr>
          <w:p w14:paraId="629DD252" w14:textId="77777777" w:rsidR="00C05045" w:rsidRPr="009B783C" w:rsidRDefault="00C05045" w:rsidP="00372E8E">
            <w:pPr>
              <w:pStyle w:val="TableNheader"/>
              <w:rPr>
                <w:rFonts w:asciiTheme="majorHAnsi" w:hAnsiTheme="majorHAnsi" w:cstheme="majorHAnsi"/>
              </w:rPr>
            </w:pPr>
            <w:r w:rsidRPr="009B783C">
              <w:t>Mea</w:t>
            </w:r>
            <w:r w:rsidRPr="009B783C">
              <w:rPr>
                <w:rFonts w:asciiTheme="majorHAnsi" w:hAnsiTheme="majorHAnsi" w:cstheme="majorHAnsi"/>
              </w:rPr>
              <w:t>n presentations, triage category 5</w:t>
            </w:r>
          </w:p>
        </w:tc>
      </w:tr>
      <w:tr w:rsidR="00C32A57" w:rsidRPr="009B783C" w14:paraId="5DBF1183" w14:textId="77777777" w:rsidTr="00E40022">
        <w:tc>
          <w:tcPr>
            <w:tcW w:w="2973" w:type="dxa"/>
          </w:tcPr>
          <w:p w14:paraId="52A27AA9" w14:textId="77777777" w:rsidR="00C32A57" w:rsidRPr="009B783C" w:rsidRDefault="00C32A57" w:rsidP="00C32A57">
            <w:pPr>
              <w:rPr>
                <w:rFonts w:asciiTheme="minorHAnsi" w:hAnsiTheme="minorHAnsi" w:cstheme="minorHAnsi"/>
                <w:szCs w:val="21"/>
              </w:rPr>
            </w:pPr>
            <w:r w:rsidRPr="009B783C">
              <w:rPr>
                <w:rFonts w:asciiTheme="minorHAnsi" w:hAnsiTheme="minorHAnsi" w:cstheme="minorHAnsi"/>
                <w:szCs w:val="21"/>
              </w:rPr>
              <w:t>July 2020</w:t>
            </w:r>
          </w:p>
        </w:tc>
        <w:tc>
          <w:tcPr>
            <w:tcW w:w="2973" w:type="dxa"/>
            <w:vAlign w:val="bottom"/>
          </w:tcPr>
          <w:p w14:paraId="3E489A48" w14:textId="7E7D8A79"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479</w:t>
            </w:r>
            <w:r w:rsidR="00F62308">
              <w:rPr>
                <w:rFonts w:asciiTheme="minorHAnsi" w:hAnsiTheme="minorHAnsi" w:cstheme="minorHAnsi"/>
                <w:color w:val="000000"/>
                <w:szCs w:val="21"/>
              </w:rPr>
              <w:t>9</w:t>
            </w:r>
          </w:p>
        </w:tc>
        <w:tc>
          <w:tcPr>
            <w:tcW w:w="2974" w:type="dxa"/>
            <w:vAlign w:val="bottom"/>
          </w:tcPr>
          <w:p w14:paraId="0253A3C9" w14:textId="38FE9D8E"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85</w:t>
            </w:r>
            <w:r w:rsidR="00F62308">
              <w:rPr>
                <w:rFonts w:asciiTheme="minorHAnsi" w:hAnsiTheme="minorHAnsi" w:cstheme="minorHAnsi"/>
                <w:color w:val="000000"/>
                <w:szCs w:val="21"/>
              </w:rPr>
              <w:t>6</w:t>
            </w:r>
          </w:p>
        </w:tc>
      </w:tr>
      <w:tr w:rsidR="00C32A57" w:rsidRPr="009B783C" w14:paraId="6128294C" w14:textId="77777777" w:rsidTr="00E40022">
        <w:tc>
          <w:tcPr>
            <w:tcW w:w="2973" w:type="dxa"/>
          </w:tcPr>
          <w:p w14:paraId="060FB0FA" w14:textId="77777777" w:rsidR="00C32A57" w:rsidRPr="009B783C" w:rsidRDefault="00C32A57" w:rsidP="00C32A57">
            <w:pPr>
              <w:rPr>
                <w:rFonts w:asciiTheme="minorHAnsi" w:hAnsiTheme="minorHAnsi" w:cstheme="minorHAnsi"/>
                <w:szCs w:val="21"/>
              </w:rPr>
            </w:pPr>
            <w:r w:rsidRPr="009B783C">
              <w:rPr>
                <w:rFonts w:asciiTheme="minorHAnsi" w:hAnsiTheme="minorHAnsi" w:cstheme="minorHAnsi"/>
                <w:szCs w:val="21"/>
              </w:rPr>
              <w:t>July 2021</w:t>
            </w:r>
          </w:p>
        </w:tc>
        <w:tc>
          <w:tcPr>
            <w:tcW w:w="2973" w:type="dxa"/>
            <w:vAlign w:val="bottom"/>
          </w:tcPr>
          <w:p w14:paraId="23051DE5" w14:textId="68562DC0"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425</w:t>
            </w:r>
            <w:r w:rsidR="00F62308">
              <w:rPr>
                <w:rFonts w:asciiTheme="minorHAnsi" w:hAnsiTheme="minorHAnsi" w:cstheme="minorHAnsi"/>
                <w:color w:val="000000"/>
                <w:szCs w:val="21"/>
              </w:rPr>
              <w:t>9</w:t>
            </w:r>
          </w:p>
        </w:tc>
        <w:tc>
          <w:tcPr>
            <w:tcW w:w="2974" w:type="dxa"/>
            <w:vAlign w:val="bottom"/>
          </w:tcPr>
          <w:p w14:paraId="1658A114" w14:textId="05617D50"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768</w:t>
            </w:r>
          </w:p>
        </w:tc>
      </w:tr>
      <w:tr w:rsidR="00C32A57" w:rsidRPr="009B783C" w14:paraId="0A106116" w14:textId="77777777" w:rsidTr="00E40022">
        <w:tc>
          <w:tcPr>
            <w:tcW w:w="2973" w:type="dxa"/>
          </w:tcPr>
          <w:p w14:paraId="5CC528D1" w14:textId="77777777" w:rsidR="00C32A57" w:rsidRPr="009B783C" w:rsidRDefault="00C32A57" w:rsidP="00C32A57">
            <w:pPr>
              <w:rPr>
                <w:rFonts w:asciiTheme="minorHAnsi" w:hAnsiTheme="minorHAnsi" w:cstheme="minorHAnsi"/>
                <w:szCs w:val="21"/>
              </w:rPr>
            </w:pPr>
            <w:r w:rsidRPr="009B783C">
              <w:rPr>
                <w:rFonts w:asciiTheme="minorHAnsi" w:hAnsiTheme="minorHAnsi" w:cstheme="minorHAnsi"/>
                <w:szCs w:val="21"/>
              </w:rPr>
              <w:t>July 2022</w:t>
            </w:r>
          </w:p>
        </w:tc>
        <w:tc>
          <w:tcPr>
            <w:tcW w:w="2973" w:type="dxa"/>
            <w:vAlign w:val="bottom"/>
          </w:tcPr>
          <w:p w14:paraId="12BBBC76" w14:textId="030C9F50"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410</w:t>
            </w:r>
            <w:r w:rsidR="00F62308">
              <w:rPr>
                <w:rFonts w:asciiTheme="minorHAnsi" w:hAnsiTheme="minorHAnsi" w:cstheme="minorHAnsi"/>
                <w:color w:val="000000"/>
                <w:szCs w:val="21"/>
              </w:rPr>
              <w:t>2</w:t>
            </w:r>
          </w:p>
        </w:tc>
        <w:tc>
          <w:tcPr>
            <w:tcW w:w="2974" w:type="dxa"/>
            <w:vAlign w:val="bottom"/>
          </w:tcPr>
          <w:p w14:paraId="4739A8E0" w14:textId="701CBF5E"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869</w:t>
            </w:r>
          </w:p>
        </w:tc>
      </w:tr>
      <w:tr w:rsidR="00C32A57" w:rsidRPr="009B783C" w14:paraId="5C71E84D" w14:textId="77777777" w:rsidTr="00E40022">
        <w:tc>
          <w:tcPr>
            <w:tcW w:w="2973" w:type="dxa"/>
          </w:tcPr>
          <w:p w14:paraId="316935F3" w14:textId="77777777" w:rsidR="00C32A57" w:rsidRPr="009B783C" w:rsidRDefault="00C32A57" w:rsidP="00C32A57">
            <w:pPr>
              <w:rPr>
                <w:rFonts w:asciiTheme="minorHAnsi" w:hAnsiTheme="minorHAnsi" w:cstheme="minorHAnsi"/>
                <w:szCs w:val="21"/>
              </w:rPr>
            </w:pPr>
            <w:r w:rsidRPr="009B783C">
              <w:rPr>
                <w:rFonts w:asciiTheme="minorHAnsi" w:hAnsiTheme="minorHAnsi" w:cstheme="minorHAnsi"/>
                <w:szCs w:val="21"/>
              </w:rPr>
              <w:t>July 2023</w:t>
            </w:r>
          </w:p>
        </w:tc>
        <w:tc>
          <w:tcPr>
            <w:tcW w:w="2973" w:type="dxa"/>
            <w:vAlign w:val="bottom"/>
          </w:tcPr>
          <w:p w14:paraId="2C478485" w14:textId="51014A80"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406</w:t>
            </w:r>
            <w:r w:rsidR="00F62308">
              <w:rPr>
                <w:rFonts w:asciiTheme="minorHAnsi" w:hAnsiTheme="minorHAnsi" w:cstheme="minorHAnsi"/>
                <w:color w:val="000000"/>
                <w:szCs w:val="21"/>
              </w:rPr>
              <w:t>8</w:t>
            </w:r>
          </w:p>
        </w:tc>
        <w:tc>
          <w:tcPr>
            <w:tcW w:w="2974" w:type="dxa"/>
            <w:vAlign w:val="bottom"/>
          </w:tcPr>
          <w:p w14:paraId="4EB3A29B" w14:textId="4BDFCF86" w:rsidR="00C32A57" w:rsidRPr="009B783C" w:rsidRDefault="00C32A57" w:rsidP="00765B7E">
            <w:pPr>
              <w:jc w:val="center"/>
              <w:rPr>
                <w:rFonts w:asciiTheme="minorHAnsi" w:hAnsiTheme="minorHAnsi" w:cstheme="minorHAnsi"/>
                <w:szCs w:val="21"/>
              </w:rPr>
            </w:pPr>
            <w:r w:rsidRPr="009B783C">
              <w:rPr>
                <w:rFonts w:asciiTheme="minorHAnsi" w:hAnsiTheme="minorHAnsi" w:cstheme="minorHAnsi"/>
                <w:color w:val="000000"/>
                <w:szCs w:val="21"/>
              </w:rPr>
              <w:t>867</w:t>
            </w:r>
          </w:p>
        </w:tc>
      </w:tr>
    </w:tbl>
    <w:p w14:paraId="2C0F1DEB" w14:textId="09C2F456" w:rsidR="00930F10" w:rsidRPr="009B783C" w:rsidRDefault="00930F10" w:rsidP="00930F10">
      <w:pPr>
        <w:spacing w:before="240"/>
        <w:rPr>
          <w:szCs w:val="21"/>
        </w:rPr>
      </w:pPr>
      <w:r w:rsidRPr="005076F1">
        <w:rPr>
          <w:szCs w:val="21"/>
        </w:rPr>
        <w:t xml:space="preserve">Data for </w:t>
      </w:r>
      <w:r w:rsidRPr="009B783C">
        <w:rPr>
          <w:szCs w:val="21"/>
        </w:rPr>
        <w:t>partner hospitals of transitioned</w:t>
      </w:r>
      <w:r w:rsidRPr="005076F1">
        <w:rPr>
          <w:szCs w:val="21"/>
        </w:rPr>
        <w:t xml:space="preserve"> Medicare UCCs in </w:t>
      </w:r>
      <w:r w:rsidR="00271290">
        <w:rPr>
          <w:szCs w:val="21"/>
        </w:rPr>
        <w:t>SA</w:t>
      </w:r>
      <w:r w:rsidRPr="005076F1">
        <w:rPr>
          <w:szCs w:val="21"/>
        </w:rPr>
        <w:t xml:space="preserve">. There </w:t>
      </w:r>
      <w:r w:rsidRPr="009B783C">
        <w:rPr>
          <w:szCs w:val="21"/>
        </w:rPr>
        <w:t>was one</w:t>
      </w:r>
      <w:r w:rsidRPr="005076F1">
        <w:rPr>
          <w:szCs w:val="21"/>
        </w:rPr>
        <w:t xml:space="preserve"> Medicare UCC established over the </w:t>
      </w:r>
      <w:proofErr w:type="gramStart"/>
      <w:r w:rsidRPr="005076F1">
        <w:rPr>
          <w:szCs w:val="21"/>
        </w:rPr>
        <w:t>time period</w:t>
      </w:r>
      <w:proofErr w:type="gramEnd"/>
      <w:r w:rsidRPr="009B783C">
        <w:rPr>
          <w:szCs w:val="21"/>
        </w:rPr>
        <w:t>.</w:t>
      </w:r>
      <w:r w:rsidRPr="005076F1">
        <w:rPr>
          <w:szCs w:val="21"/>
        </w:rPr>
        <w:t xml:space="preserve"> </w:t>
      </w:r>
    </w:p>
    <w:tbl>
      <w:tblPr>
        <w:tblStyle w:val="TableGrid"/>
        <w:tblW w:w="0" w:type="auto"/>
        <w:tblLook w:val="04A0" w:firstRow="1" w:lastRow="0" w:firstColumn="1" w:lastColumn="0" w:noHBand="0" w:noVBand="1"/>
      </w:tblPr>
      <w:tblGrid>
        <w:gridCol w:w="2973"/>
        <w:gridCol w:w="2973"/>
        <w:gridCol w:w="2974"/>
      </w:tblGrid>
      <w:tr w:rsidR="00930F10" w:rsidRPr="009B783C" w14:paraId="372B8AA0" w14:textId="77777777" w:rsidTr="000C20F4">
        <w:trPr>
          <w:tblHeader/>
        </w:trPr>
        <w:tc>
          <w:tcPr>
            <w:tcW w:w="2973" w:type="dxa"/>
            <w:tcBorders>
              <w:right w:val="single" w:sz="4" w:space="0" w:color="FFFFFF" w:themeColor="background1"/>
            </w:tcBorders>
            <w:shd w:val="clear" w:color="auto" w:fill="00264D" w:themeFill="background2"/>
          </w:tcPr>
          <w:p w14:paraId="020696FE" w14:textId="69D13FBD" w:rsidR="00930F10" w:rsidRPr="009B783C" w:rsidRDefault="00850C17" w:rsidP="00372E8E">
            <w:pPr>
              <w:pStyle w:val="TableNheader"/>
              <w:rPr>
                <w:rFonts w:asciiTheme="majorHAnsi" w:hAnsiTheme="majorHAnsi" w:cstheme="majorHAnsi"/>
              </w:rPr>
            </w:pPr>
            <w:r>
              <w:t>Month and year</w:t>
            </w:r>
          </w:p>
        </w:tc>
        <w:tc>
          <w:tcPr>
            <w:tcW w:w="2973" w:type="dxa"/>
            <w:tcBorders>
              <w:left w:val="single" w:sz="4" w:space="0" w:color="FFFFFF" w:themeColor="background1"/>
              <w:right w:val="single" w:sz="4" w:space="0" w:color="FFFFFF" w:themeColor="background1"/>
            </w:tcBorders>
            <w:shd w:val="clear" w:color="auto" w:fill="00264D" w:themeFill="background2"/>
          </w:tcPr>
          <w:p w14:paraId="51DB3CF4" w14:textId="77777777" w:rsidR="00930F10" w:rsidRPr="009B783C" w:rsidRDefault="00930F10" w:rsidP="00372E8E">
            <w:pPr>
              <w:pStyle w:val="TableNheader"/>
              <w:rPr>
                <w:rFonts w:asciiTheme="majorHAnsi" w:hAnsiTheme="majorHAnsi" w:cstheme="majorHAnsi"/>
              </w:rPr>
            </w:pPr>
            <w:r w:rsidRPr="009B783C">
              <w:t>Mea</w:t>
            </w:r>
            <w:r w:rsidRPr="009B783C">
              <w:rPr>
                <w:rFonts w:asciiTheme="majorHAnsi" w:hAnsiTheme="majorHAnsi" w:cstheme="majorHAnsi"/>
              </w:rPr>
              <w:t>n presentations, triage category 4</w:t>
            </w:r>
          </w:p>
        </w:tc>
        <w:tc>
          <w:tcPr>
            <w:tcW w:w="2974" w:type="dxa"/>
            <w:tcBorders>
              <w:left w:val="single" w:sz="4" w:space="0" w:color="FFFFFF" w:themeColor="background1"/>
            </w:tcBorders>
            <w:shd w:val="clear" w:color="auto" w:fill="00264D" w:themeFill="background2"/>
          </w:tcPr>
          <w:p w14:paraId="62BE3CB3" w14:textId="77777777" w:rsidR="00930F10" w:rsidRPr="009B783C" w:rsidRDefault="00930F10" w:rsidP="00372E8E">
            <w:pPr>
              <w:pStyle w:val="TableNheader"/>
              <w:rPr>
                <w:rFonts w:asciiTheme="majorHAnsi" w:hAnsiTheme="majorHAnsi" w:cstheme="majorHAnsi"/>
              </w:rPr>
            </w:pPr>
            <w:r w:rsidRPr="009B783C">
              <w:t>Mea</w:t>
            </w:r>
            <w:r w:rsidRPr="009B783C">
              <w:rPr>
                <w:rFonts w:asciiTheme="majorHAnsi" w:hAnsiTheme="majorHAnsi" w:cstheme="majorHAnsi"/>
              </w:rPr>
              <w:t>n presentations, triage category 5</w:t>
            </w:r>
          </w:p>
        </w:tc>
      </w:tr>
      <w:tr w:rsidR="00335F1F" w:rsidRPr="009B783C" w14:paraId="261AB065" w14:textId="77777777" w:rsidTr="00E40022">
        <w:tc>
          <w:tcPr>
            <w:tcW w:w="2973" w:type="dxa"/>
          </w:tcPr>
          <w:p w14:paraId="1C71EFAC" w14:textId="77777777" w:rsidR="00335F1F" w:rsidRPr="009B783C" w:rsidRDefault="00335F1F" w:rsidP="00335F1F">
            <w:pPr>
              <w:rPr>
                <w:rFonts w:asciiTheme="minorHAnsi" w:hAnsiTheme="minorHAnsi" w:cstheme="minorHAnsi"/>
                <w:szCs w:val="21"/>
              </w:rPr>
            </w:pPr>
            <w:r w:rsidRPr="009B783C">
              <w:rPr>
                <w:rFonts w:asciiTheme="minorHAnsi" w:hAnsiTheme="minorHAnsi" w:cstheme="minorHAnsi"/>
                <w:szCs w:val="21"/>
              </w:rPr>
              <w:t>July 2020</w:t>
            </w:r>
          </w:p>
        </w:tc>
        <w:tc>
          <w:tcPr>
            <w:tcW w:w="2973" w:type="dxa"/>
            <w:vAlign w:val="bottom"/>
          </w:tcPr>
          <w:p w14:paraId="5A046144" w14:textId="42378987"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3942</w:t>
            </w:r>
          </w:p>
        </w:tc>
        <w:tc>
          <w:tcPr>
            <w:tcW w:w="2974" w:type="dxa"/>
            <w:vAlign w:val="bottom"/>
          </w:tcPr>
          <w:p w14:paraId="751447FD" w14:textId="078D4F72"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835</w:t>
            </w:r>
          </w:p>
        </w:tc>
      </w:tr>
      <w:tr w:rsidR="00335F1F" w:rsidRPr="009B783C" w14:paraId="438BD621" w14:textId="77777777" w:rsidTr="00E40022">
        <w:tc>
          <w:tcPr>
            <w:tcW w:w="2973" w:type="dxa"/>
          </w:tcPr>
          <w:p w14:paraId="68EDD35A" w14:textId="77777777" w:rsidR="00335F1F" w:rsidRPr="009B783C" w:rsidRDefault="00335F1F" w:rsidP="00335F1F">
            <w:pPr>
              <w:rPr>
                <w:rFonts w:asciiTheme="minorHAnsi" w:hAnsiTheme="minorHAnsi" w:cstheme="minorHAnsi"/>
                <w:szCs w:val="21"/>
              </w:rPr>
            </w:pPr>
            <w:r w:rsidRPr="009B783C">
              <w:rPr>
                <w:rFonts w:asciiTheme="minorHAnsi" w:hAnsiTheme="minorHAnsi" w:cstheme="minorHAnsi"/>
                <w:szCs w:val="21"/>
              </w:rPr>
              <w:t>July 2021</w:t>
            </w:r>
          </w:p>
        </w:tc>
        <w:tc>
          <w:tcPr>
            <w:tcW w:w="2973" w:type="dxa"/>
            <w:vAlign w:val="bottom"/>
          </w:tcPr>
          <w:p w14:paraId="06D21A89" w14:textId="474C0078"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3566</w:t>
            </w:r>
          </w:p>
        </w:tc>
        <w:tc>
          <w:tcPr>
            <w:tcW w:w="2974" w:type="dxa"/>
            <w:vAlign w:val="bottom"/>
          </w:tcPr>
          <w:p w14:paraId="4550B064" w14:textId="252D36E1"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634</w:t>
            </w:r>
          </w:p>
        </w:tc>
      </w:tr>
      <w:tr w:rsidR="00335F1F" w:rsidRPr="009B783C" w14:paraId="68DF9666" w14:textId="77777777" w:rsidTr="00E40022">
        <w:tc>
          <w:tcPr>
            <w:tcW w:w="2973" w:type="dxa"/>
          </w:tcPr>
          <w:p w14:paraId="66A275BF" w14:textId="77777777" w:rsidR="00335F1F" w:rsidRPr="009B783C" w:rsidRDefault="00335F1F" w:rsidP="00335F1F">
            <w:pPr>
              <w:rPr>
                <w:rFonts w:asciiTheme="minorHAnsi" w:hAnsiTheme="minorHAnsi" w:cstheme="minorHAnsi"/>
                <w:szCs w:val="21"/>
              </w:rPr>
            </w:pPr>
            <w:r w:rsidRPr="009B783C">
              <w:rPr>
                <w:rFonts w:asciiTheme="minorHAnsi" w:hAnsiTheme="minorHAnsi" w:cstheme="minorHAnsi"/>
                <w:szCs w:val="21"/>
              </w:rPr>
              <w:t>July 2022</w:t>
            </w:r>
          </w:p>
        </w:tc>
        <w:tc>
          <w:tcPr>
            <w:tcW w:w="2973" w:type="dxa"/>
            <w:vAlign w:val="bottom"/>
          </w:tcPr>
          <w:p w14:paraId="018BFE5A" w14:textId="721A9AE6"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3063</w:t>
            </w:r>
          </w:p>
        </w:tc>
        <w:tc>
          <w:tcPr>
            <w:tcW w:w="2974" w:type="dxa"/>
            <w:vAlign w:val="bottom"/>
          </w:tcPr>
          <w:p w14:paraId="72A96DA0" w14:textId="20632D40"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567</w:t>
            </w:r>
          </w:p>
        </w:tc>
      </w:tr>
      <w:tr w:rsidR="00335F1F" w:rsidRPr="009B783C" w14:paraId="334D1FB5" w14:textId="77777777" w:rsidTr="00E40022">
        <w:tc>
          <w:tcPr>
            <w:tcW w:w="2973" w:type="dxa"/>
          </w:tcPr>
          <w:p w14:paraId="6499B56C" w14:textId="77777777" w:rsidR="00335F1F" w:rsidRPr="009B783C" w:rsidRDefault="00335F1F" w:rsidP="00335F1F">
            <w:pPr>
              <w:rPr>
                <w:rFonts w:asciiTheme="minorHAnsi" w:hAnsiTheme="minorHAnsi" w:cstheme="minorHAnsi"/>
                <w:szCs w:val="21"/>
              </w:rPr>
            </w:pPr>
            <w:r w:rsidRPr="009B783C">
              <w:rPr>
                <w:rFonts w:asciiTheme="minorHAnsi" w:hAnsiTheme="minorHAnsi" w:cstheme="minorHAnsi"/>
                <w:szCs w:val="21"/>
              </w:rPr>
              <w:t>July 2023</w:t>
            </w:r>
          </w:p>
        </w:tc>
        <w:tc>
          <w:tcPr>
            <w:tcW w:w="2973" w:type="dxa"/>
            <w:vAlign w:val="bottom"/>
          </w:tcPr>
          <w:p w14:paraId="77D1DF6D" w14:textId="3DEA09B9"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306</w:t>
            </w:r>
            <w:r w:rsidR="00F62308">
              <w:rPr>
                <w:rFonts w:asciiTheme="minorHAnsi" w:hAnsiTheme="minorHAnsi" w:cstheme="minorHAnsi"/>
                <w:color w:val="000000"/>
                <w:szCs w:val="21"/>
              </w:rPr>
              <w:t>9</w:t>
            </w:r>
          </w:p>
        </w:tc>
        <w:tc>
          <w:tcPr>
            <w:tcW w:w="2974" w:type="dxa"/>
            <w:vAlign w:val="bottom"/>
          </w:tcPr>
          <w:p w14:paraId="497547B7" w14:textId="69C20E6B" w:rsidR="00335F1F" w:rsidRPr="009B783C" w:rsidRDefault="00335F1F" w:rsidP="00765B7E">
            <w:pPr>
              <w:jc w:val="center"/>
              <w:rPr>
                <w:rFonts w:asciiTheme="minorHAnsi" w:hAnsiTheme="minorHAnsi" w:cstheme="minorHAnsi"/>
                <w:szCs w:val="21"/>
              </w:rPr>
            </w:pPr>
            <w:r w:rsidRPr="009B783C">
              <w:rPr>
                <w:rFonts w:asciiTheme="minorHAnsi" w:hAnsiTheme="minorHAnsi" w:cstheme="minorHAnsi"/>
                <w:color w:val="000000"/>
                <w:szCs w:val="21"/>
              </w:rPr>
              <w:t>58</w:t>
            </w:r>
            <w:r w:rsidR="00F62308">
              <w:rPr>
                <w:rFonts w:asciiTheme="minorHAnsi" w:hAnsiTheme="minorHAnsi" w:cstheme="minorHAnsi"/>
                <w:color w:val="000000"/>
                <w:szCs w:val="21"/>
              </w:rPr>
              <w:t>9</w:t>
            </w:r>
          </w:p>
        </w:tc>
      </w:tr>
    </w:tbl>
    <w:p w14:paraId="0A8C1EDA" w14:textId="79F6BF4E" w:rsidR="000E1FD8" w:rsidRPr="009B783C" w:rsidRDefault="000E1FD8" w:rsidP="000E1FD8">
      <w:pPr>
        <w:spacing w:before="240"/>
        <w:rPr>
          <w:szCs w:val="21"/>
        </w:rPr>
      </w:pPr>
      <w:r w:rsidRPr="005076F1">
        <w:rPr>
          <w:szCs w:val="21"/>
        </w:rPr>
        <w:t xml:space="preserve">Data for </w:t>
      </w:r>
      <w:r w:rsidRPr="009B783C">
        <w:rPr>
          <w:szCs w:val="21"/>
        </w:rPr>
        <w:t xml:space="preserve">partner hospitals of </w:t>
      </w:r>
      <w:r w:rsidRPr="005076F1">
        <w:rPr>
          <w:szCs w:val="21"/>
        </w:rPr>
        <w:t xml:space="preserve">newly established Medicare UCCs in </w:t>
      </w:r>
      <w:r w:rsidRPr="009B783C">
        <w:rPr>
          <w:szCs w:val="21"/>
        </w:rPr>
        <w:t>T</w:t>
      </w:r>
      <w:r w:rsidR="00271290">
        <w:rPr>
          <w:szCs w:val="21"/>
        </w:rPr>
        <w:t>AS</w:t>
      </w:r>
      <w:r w:rsidRPr="005076F1">
        <w:rPr>
          <w:szCs w:val="21"/>
        </w:rPr>
        <w:t xml:space="preserve">. There were </w:t>
      </w:r>
      <w:r w:rsidR="00D118CF" w:rsidRPr="009B783C">
        <w:rPr>
          <w:szCs w:val="21"/>
        </w:rPr>
        <w:t>four</w:t>
      </w:r>
      <w:r w:rsidRPr="005076F1">
        <w:rPr>
          <w:szCs w:val="21"/>
        </w:rPr>
        <w:t xml:space="preserve"> Medicare UCCs established over the </w:t>
      </w:r>
      <w:proofErr w:type="gramStart"/>
      <w:r w:rsidRPr="005076F1">
        <w:rPr>
          <w:szCs w:val="21"/>
        </w:rPr>
        <w:t>time period</w:t>
      </w:r>
      <w:proofErr w:type="gramEnd"/>
      <w:r w:rsidRPr="009B783C">
        <w:rPr>
          <w:szCs w:val="21"/>
        </w:rPr>
        <w:t>.</w:t>
      </w:r>
      <w:r w:rsidRPr="005076F1">
        <w:rPr>
          <w:szCs w:val="21"/>
        </w:rPr>
        <w:t xml:space="preserve"> </w:t>
      </w:r>
    </w:p>
    <w:tbl>
      <w:tblPr>
        <w:tblStyle w:val="TableGrid"/>
        <w:tblW w:w="0" w:type="auto"/>
        <w:tblLook w:val="04A0" w:firstRow="1" w:lastRow="0" w:firstColumn="1" w:lastColumn="0" w:noHBand="0" w:noVBand="1"/>
      </w:tblPr>
      <w:tblGrid>
        <w:gridCol w:w="1510"/>
        <w:gridCol w:w="1635"/>
        <w:gridCol w:w="1925"/>
        <w:gridCol w:w="1925"/>
        <w:gridCol w:w="1925"/>
      </w:tblGrid>
      <w:tr w:rsidR="00C37522" w:rsidRPr="009B783C" w14:paraId="08B610B3" w14:textId="77777777" w:rsidTr="006B6E97">
        <w:trPr>
          <w:tblHeader/>
        </w:trPr>
        <w:tc>
          <w:tcPr>
            <w:tcW w:w="1555" w:type="dxa"/>
            <w:tcBorders>
              <w:right w:val="single" w:sz="4" w:space="0" w:color="FFFFFF" w:themeColor="background1"/>
            </w:tcBorders>
            <w:shd w:val="clear" w:color="auto" w:fill="00264D" w:themeFill="background2"/>
          </w:tcPr>
          <w:p w14:paraId="2F5E6481" w14:textId="5E760664" w:rsidR="00C37522" w:rsidRPr="009B783C" w:rsidRDefault="006D1207" w:rsidP="00372E8E">
            <w:pPr>
              <w:pStyle w:val="TableNheader"/>
              <w:rPr>
                <w:rFonts w:asciiTheme="majorHAnsi" w:hAnsiTheme="majorHAnsi" w:cstheme="majorHAnsi"/>
              </w:rPr>
            </w:pPr>
            <w:r>
              <w:lastRenderedPageBreak/>
              <w:t>Month and year</w:t>
            </w:r>
          </w:p>
        </w:tc>
        <w:tc>
          <w:tcPr>
            <w:tcW w:w="1521" w:type="dxa"/>
            <w:tcBorders>
              <w:left w:val="single" w:sz="4" w:space="0" w:color="FFFFFF" w:themeColor="background1"/>
              <w:right w:val="single" w:sz="4" w:space="0" w:color="FFFFFF" w:themeColor="background1"/>
            </w:tcBorders>
            <w:shd w:val="clear" w:color="auto" w:fill="00264D" w:themeFill="background2"/>
          </w:tcPr>
          <w:p w14:paraId="53426614" w14:textId="77777777" w:rsidR="00C37522" w:rsidRPr="009B783C" w:rsidRDefault="00C37522"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4.</w:t>
            </w:r>
          </w:p>
        </w:tc>
        <w:tc>
          <w:tcPr>
            <w:tcW w:w="1948" w:type="dxa"/>
            <w:tcBorders>
              <w:left w:val="single" w:sz="4" w:space="0" w:color="FFFFFF" w:themeColor="background1"/>
              <w:right w:val="single" w:sz="4" w:space="0" w:color="FFFFFF" w:themeColor="background1"/>
            </w:tcBorders>
            <w:shd w:val="clear" w:color="auto" w:fill="00264D" w:themeFill="background2"/>
          </w:tcPr>
          <w:p w14:paraId="3552F677" w14:textId="77777777" w:rsidR="00C37522" w:rsidRPr="009B783C" w:rsidRDefault="00C37522" w:rsidP="00372E8E">
            <w:pPr>
              <w:pStyle w:val="TableNheader"/>
              <w:rPr>
                <w:rFonts w:asciiTheme="majorHAnsi" w:hAnsiTheme="majorHAnsi" w:cstheme="majorHAnsi"/>
              </w:rPr>
            </w:pPr>
            <w:r w:rsidRPr="009B783C">
              <w:t>Mean p</w:t>
            </w:r>
            <w:r w:rsidRPr="009B783C">
              <w:rPr>
                <w:rFonts w:asciiTheme="majorHAnsi" w:hAnsiTheme="majorHAnsi" w:cstheme="majorHAnsi"/>
              </w:rPr>
              <w:t xml:space="preserve">resentations per quarter, AIHW data. Triage category 4. </w:t>
            </w:r>
          </w:p>
        </w:tc>
        <w:tc>
          <w:tcPr>
            <w:tcW w:w="1948" w:type="dxa"/>
            <w:tcBorders>
              <w:left w:val="single" w:sz="4" w:space="0" w:color="FFFFFF" w:themeColor="background1"/>
              <w:right w:val="single" w:sz="4" w:space="0" w:color="FFFFFF" w:themeColor="background1"/>
            </w:tcBorders>
            <w:shd w:val="clear" w:color="auto" w:fill="00264D" w:themeFill="background2"/>
          </w:tcPr>
          <w:p w14:paraId="4AC60DF8" w14:textId="77777777" w:rsidR="00C37522" w:rsidRPr="009B783C" w:rsidRDefault="00C37522"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hospital data. Triage category 5.</w:t>
            </w:r>
          </w:p>
        </w:tc>
        <w:tc>
          <w:tcPr>
            <w:tcW w:w="1948" w:type="dxa"/>
            <w:tcBorders>
              <w:left w:val="single" w:sz="4" w:space="0" w:color="FFFFFF" w:themeColor="background1"/>
            </w:tcBorders>
            <w:shd w:val="clear" w:color="auto" w:fill="00264D" w:themeFill="background2"/>
          </w:tcPr>
          <w:p w14:paraId="2B12BBA9" w14:textId="77777777" w:rsidR="00C37522" w:rsidRPr="009B783C" w:rsidRDefault="00C37522" w:rsidP="00372E8E">
            <w:pPr>
              <w:pStyle w:val="TableNheader"/>
              <w:rPr>
                <w:rFonts w:asciiTheme="majorHAnsi" w:hAnsiTheme="majorHAnsi" w:cstheme="majorHAnsi"/>
              </w:rPr>
            </w:pPr>
            <w:r w:rsidRPr="009B783C">
              <w:t>Mean p</w:t>
            </w:r>
            <w:r w:rsidRPr="009B783C">
              <w:rPr>
                <w:rFonts w:asciiTheme="majorHAnsi" w:hAnsiTheme="majorHAnsi" w:cstheme="majorHAnsi"/>
              </w:rPr>
              <w:t>resentations per quarter, AIHW data. Triage category 5.</w:t>
            </w:r>
          </w:p>
        </w:tc>
      </w:tr>
      <w:tr w:rsidR="007E6E38" w:rsidRPr="009B783C" w14:paraId="6D3CF251" w14:textId="77777777" w:rsidTr="006B6E97">
        <w:tc>
          <w:tcPr>
            <w:tcW w:w="1555" w:type="dxa"/>
            <w:vAlign w:val="bottom"/>
          </w:tcPr>
          <w:p w14:paraId="4BAB4F62"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July 2020</w:t>
            </w:r>
          </w:p>
        </w:tc>
        <w:tc>
          <w:tcPr>
            <w:tcW w:w="1521" w:type="dxa"/>
            <w:vAlign w:val="bottom"/>
          </w:tcPr>
          <w:p w14:paraId="061150D3" w14:textId="2F3EB607" w:rsidR="007E6E38" w:rsidRPr="009B783C" w:rsidRDefault="007E6E38" w:rsidP="00765B7E">
            <w:pPr>
              <w:jc w:val="center"/>
              <w:rPr>
                <w:rFonts w:asciiTheme="minorHAnsi" w:hAnsiTheme="minorHAnsi" w:cstheme="minorHAnsi"/>
                <w:szCs w:val="21"/>
              </w:rPr>
            </w:pPr>
          </w:p>
        </w:tc>
        <w:tc>
          <w:tcPr>
            <w:tcW w:w="1948" w:type="dxa"/>
            <w:vAlign w:val="bottom"/>
          </w:tcPr>
          <w:p w14:paraId="6156698B" w14:textId="350A07E4"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475</w:t>
            </w:r>
            <w:r w:rsidR="00F62308">
              <w:rPr>
                <w:rFonts w:asciiTheme="minorHAnsi" w:hAnsiTheme="minorHAnsi" w:cstheme="minorHAnsi"/>
                <w:color w:val="000000"/>
                <w:szCs w:val="21"/>
              </w:rPr>
              <w:t>1</w:t>
            </w:r>
          </w:p>
        </w:tc>
        <w:tc>
          <w:tcPr>
            <w:tcW w:w="1948" w:type="dxa"/>
            <w:vAlign w:val="bottom"/>
          </w:tcPr>
          <w:p w14:paraId="4B1BF0DB" w14:textId="13DA0941" w:rsidR="007E6E38" w:rsidRPr="009B783C" w:rsidRDefault="007E6E38" w:rsidP="00765B7E">
            <w:pPr>
              <w:jc w:val="center"/>
              <w:rPr>
                <w:rFonts w:asciiTheme="minorHAnsi" w:hAnsiTheme="minorHAnsi" w:cstheme="minorHAnsi"/>
                <w:szCs w:val="21"/>
              </w:rPr>
            </w:pPr>
          </w:p>
        </w:tc>
        <w:tc>
          <w:tcPr>
            <w:tcW w:w="1948" w:type="dxa"/>
            <w:vAlign w:val="bottom"/>
          </w:tcPr>
          <w:p w14:paraId="09F3E8F7" w14:textId="70F390B1"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920</w:t>
            </w:r>
          </w:p>
        </w:tc>
      </w:tr>
      <w:tr w:rsidR="007E6E38" w:rsidRPr="009B783C" w14:paraId="70896C5F" w14:textId="77777777" w:rsidTr="006B6E97">
        <w:tc>
          <w:tcPr>
            <w:tcW w:w="1555" w:type="dxa"/>
            <w:vAlign w:val="bottom"/>
          </w:tcPr>
          <w:p w14:paraId="5628FC2B"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July 2021</w:t>
            </w:r>
          </w:p>
        </w:tc>
        <w:tc>
          <w:tcPr>
            <w:tcW w:w="1521" w:type="dxa"/>
            <w:vAlign w:val="bottom"/>
          </w:tcPr>
          <w:p w14:paraId="7D5EE971" w14:textId="2EA1CCDE" w:rsidR="007E6E38" w:rsidRPr="009B783C" w:rsidRDefault="007E6E38" w:rsidP="00765B7E">
            <w:pPr>
              <w:jc w:val="center"/>
              <w:rPr>
                <w:rFonts w:asciiTheme="minorHAnsi" w:hAnsiTheme="minorHAnsi" w:cstheme="minorHAnsi"/>
                <w:szCs w:val="21"/>
              </w:rPr>
            </w:pPr>
          </w:p>
        </w:tc>
        <w:tc>
          <w:tcPr>
            <w:tcW w:w="1948" w:type="dxa"/>
            <w:vAlign w:val="bottom"/>
          </w:tcPr>
          <w:p w14:paraId="3D2E7C80" w14:textId="14867ECD"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449</w:t>
            </w:r>
            <w:r w:rsidR="006B6E97">
              <w:rPr>
                <w:rFonts w:asciiTheme="minorHAnsi" w:hAnsiTheme="minorHAnsi" w:cstheme="minorHAnsi"/>
                <w:color w:val="000000"/>
                <w:szCs w:val="21"/>
              </w:rPr>
              <w:t>6</w:t>
            </w:r>
          </w:p>
        </w:tc>
        <w:tc>
          <w:tcPr>
            <w:tcW w:w="1948" w:type="dxa"/>
            <w:vAlign w:val="bottom"/>
          </w:tcPr>
          <w:p w14:paraId="3B6B1C6F" w14:textId="103D3AB7" w:rsidR="007E6E38" w:rsidRPr="009B783C" w:rsidRDefault="007E6E38" w:rsidP="00765B7E">
            <w:pPr>
              <w:jc w:val="center"/>
              <w:rPr>
                <w:rFonts w:asciiTheme="minorHAnsi" w:hAnsiTheme="minorHAnsi" w:cstheme="minorHAnsi"/>
                <w:szCs w:val="21"/>
              </w:rPr>
            </w:pPr>
          </w:p>
        </w:tc>
        <w:tc>
          <w:tcPr>
            <w:tcW w:w="1948" w:type="dxa"/>
            <w:vAlign w:val="bottom"/>
          </w:tcPr>
          <w:p w14:paraId="172E9150" w14:textId="1FA649B0"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74</w:t>
            </w:r>
            <w:r w:rsidR="006B6E97">
              <w:rPr>
                <w:rFonts w:asciiTheme="minorHAnsi" w:hAnsiTheme="minorHAnsi" w:cstheme="minorHAnsi"/>
                <w:color w:val="000000"/>
                <w:szCs w:val="21"/>
              </w:rPr>
              <w:t>2</w:t>
            </w:r>
          </w:p>
        </w:tc>
      </w:tr>
      <w:tr w:rsidR="007E6E38" w:rsidRPr="009B783C" w14:paraId="07FEC92E" w14:textId="77777777" w:rsidTr="006B6E97">
        <w:tc>
          <w:tcPr>
            <w:tcW w:w="1555" w:type="dxa"/>
            <w:vAlign w:val="bottom"/>
          </w:tcPr>
          <w:p w14:paraId="630F6F32"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July 2022</w:t>
            </w:r>
          </w:p>
        </w:tc>
        <w:tc>
          <w:tcPr>
            <w:tcW w:w="1521" w:type="dxa"/>
            <w:vAlign w:val="bottom"/>
          </w:tcPr>
          <w:p w14:paraId="6229C693" w14:textId="18023EB2" w:rsidR="007E6E38" w:rsidRPr="009B783C" w:rsidRDefault="007E6E38" w:rsidP="00765B7E">
            <w:pPr>
              <w:jc w:val="center"/>
              <w:rPr>
                <w:rFonts w:asciiTheme="minorHAnsi" w:hAnsiTheme="minorHAnsi" w:cstheme="minorHAnsi"/>
                <w:szCs w:val="21"/>
              </w:rPr>
            </w:pPr>
          </w:p>
        </w:tc>
        <w:tc>
          <w:tcPr>
            <w:tcW w:w="1948" w:type="dxa"/>
            <w:vAlign w:val="bottom"/>
          </w:tcPr>
          <w:p w14:paraId="77B3E771" w14:textId="2B4957BE"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4292</w:t>
            </w:r>
          </w:p>
        </w:tc>
        <w:tc>
          <w:tcPr>
            <w:tcW w:w="1948" w:type="dxa"/>
            <w:vAlign w:val="bottom"/>
          </w:tcPr>
          <w:p w14:paraId="4BC2C56C" w14:textId="292BFFB1" w:rsidR="007E6E38" w:rsidRPr="009B783C" w:rsidRDefault="007E6E38" w:rsidP="00765B7E">
            <w:pPr>
              <w:jc w:val="center"/>
              <w:rPr>
                <w:rFonts w:asciiTheme="minorHAnsi" w:hAnsiTheme="minorHAnsi" w:cstheme="minorHAnsi"/>
                <w:szCs w:val="21"/>
              </w:rPr>
            </w:pPr>
          </w:p>
        </w:tc>
        <w:tc>
          <w:tcPr>
            <w:tcW w:w="1948" w:type="dxa"/>
            <w:vAlign w:val="bottom"/>
          </w:tcPr>
          <w:p w14:paraId="0A1CA551" w14:textId="4CB7CE97"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61</w:t>
            </w:r>
            <w:r w:rsidR="006B6E97">
              <w:rPr>
                <w:rFonts w:asciiTheme="minorHAnsi" w:hAnsiTheme="minorHAnsi" w:cstheme="minorHAnsi"/>
                <w:color w:val="000000"/>
                <w:szCs w:val="21"/>
              </w:rPr>
              <w:t>6</w:t>
            </w:r>
          </w:p>
        </w:tc>
      </w:tr>
      <w:tr w:rsidR="007E6E38" w:rsidRPr="009B783C" w14:paraId="1184006F" w14:textId="77777777" w:rsidTr="006B6E97">
        <w:tc>
          <w:tcPr>
            <w:tcW w:w="1555" w:type="dxa"/>
            <w:vAlign w:val="bottom"/>
          </w:tcPr>
          <w:p w14:paraId="54789864"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July 2023</w:t>
            </w:r>
          </w:p>
        </w:tc>
        <w:tc>
          <w:tcPr>
            <w:tcW w:w="1521" w:type="dxa"/>
            <w:vAlign w:val="bottom"/>
          </w:tcPr>
          <w:p w14:paraId="317B1463" w14:textId="17FCF8A7" w:rsidR="007E6E38" w:rsidRPr="009B783C" w:rsidRDefault="007E6E38" w:rsidP="00765B7E">
            <w:pPr>
              <w:jc w:val="center"/>
              <w:rPr>
                <w:rFonts w:asciiTheme="minorHAnsi" w:hAnsiTheme="minorHAnsi" w:cstheme="minorHAnsi"/>
                <w:szCs w:val="21"/>
              </w:rPr>
            </w:pPr>
          </w:p>
        </w:tc>
        <w:tc>
          <w:tcPr>
            <w:tcW w:w="1948" w:type="dxa"/>
            <w:vAlign w:val="bottom"/>
          </w:tcPr>
          <w:p w14:paraId="59C9EE8F" w14:textId="50960DF0"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4307</w:t>
            </w:r>
          </w:p>
        </w:tc>
        <w:tc>
          <w:tcPr>
            <w:tcW w:w="1948" w:type="dxa"/>
            <w:vAlign w:val="bottom"/>
          </w:tcPr>
          <w:p w14:paraId="32D1C090" w14:textId="5EDBDFDB" w:rsidR="007E6E38" w:rsidRPr="009B783C" w:rsidRDefault="007E6E38" w:rsidP="00765B7E">
            <w:pPr>
              <w:jc w:val="center"/>
              <w:rPr>
                <w:rFonts w:asciiTheme="minorHAnsi" w:hAnsiTheme="minorHAnsi" w:cstheme="minorHAnsi"/>
                <w:szCs w:val="21"/>
              </w:rPr>
            </w:pPr>
          </w:p>
        </w:tc>
        <w:tc>
          <w:tcPr>
            <w:tcW w:w="1948" w:type="dxa"/>
            <w:vAlign w:val="bottom"/>
          </w:tcPr>
          <w:p w14:paraId="33D51B45" w14:textId="77BC12B4"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571</w:t>
            </w:r>
          </w:p>
        </w:tc>
      </w:tr>
      <w:tr w:rsidR="007E6E38" w:rsidRPr="009B783C" w14:paraId="52BCC6FB" w14:textId="77777777" w:rsidTr="006B6E97">
        <w:tc>
          <w:tcPr>
            <w:tcW w:w="1555" w:type="dxa"/>
            <w:vAlign w:val="bottom"/>
          </w:tcPr>
          <w:p w14:paraId="1011580D"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October 2023</w:t>
            </w:r>
          </w:p>
        </w:tc>
        <w:tc>
          <w:tcPr>
            <w:tcW w:w="1521" w:type="dxa"/>
            <w:vAlign w:val="bottom"/>
          </w:tcPr>
          <w:p w14:paraId="046BA745" w14:textId="05BE90AE"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4374</w:t>
            </w:r>
          </w:p>
        </w:tc>
        <w:tc>
          <w:tcPr>
            <w:tcW w:w="1948" w:type="dxa"/>
            <w:vAlign w:val="bottom"/>
          </w:tcPr>
          <w:p w14:paraId="30FCAC8D" w14:textId="2B5B8284"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4307</w:t>
            </w:r>
          </w:p>
        </w:tc>
        <w:tc>
          <w:tcPr>
            <w:tcW w:w="1948" w:type="dxa"/>
            <w:vAlign w:val="bottom"/>
          </w:tcPr>
          <w:p w14:paraId="687476AF" w14:textId="6B91A622"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743.25</w:t>
            </w:r>
          </w:p>
        </w:tc>
        <w:tc>
          <w:tcPr>
            <w:tcW w:w="1948" w:type="dxa"/>
            <w:vAlign w:val="bottom"/>
          </w:tcPr>
          <w:p w14:paraId="56FA1321" w14:textId="293C5F07"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571</w:t>
            </w:r>
          </w:p>
        </w:tc>
      </w:tr>
      <w:tr w:rsidR="007E6E38" w:rsidRPr="009B783C" w14:paraId="3E7EA880" w14:textId="77777777" w:rsidTr="006B6E97">
        <w:tc>
          <w:tcPr>
            <w:tcW w:w="1555" w:type="dxa"/>
            <w:vAlign w:val="bottom"/>
          </w:tcPr>
          <w:p w14:paraId="2F2A7DE6"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January 2024</w:t>
            </w:r>
          </w:p>
        </w:tc>
        <w:tc>
          <w:tcPr>
            <w:tcW w:w="1521" w:type="dxa"/>
            <w:vAlign w:val="bottom"/>
          </w:tcPr>
          <w:p w14:paraId="0C2CBDEB" w14:textId="175ED612"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4818</w:t>
            </w:r>
          </w:p>
        </w:tc>
        <w:tc>
          <w:tcPr>
            <w:tcW w:w="1948" w:type="dxa"/>
            <w:vAlign w:val="bottom"/>
          </w:tcPr>
          <w:p w14:paraId="2B7EA049" w14:textId="552ECFDE"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4307</w:t>
            </w:r>
          </w:p>
        </w:tc>
        <w:tc>
          <w:tcPr>
            <w:tcW w:w="1948" w:type="dxa"/>
            <w:vAlign w:val="bottom"/>
          </w:tcPr>
          <w:p w14:paraId="33D7E809" w14:textId="3F2EFAD7"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721.5</w:t>
            </w:r>
          </w:p>
        </w:tc>
        <w:tc>
          <w:tcPr>
            <w:tcW w:w="1948" w:type="dxa"/>
            <w:vAlign w:val="bottom"/>
          </w:tcPr>
          <w:p w14:paraId="7CED8119" w14:textId="68AE6C46"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571</w:t>
            </w:r>
          </w:p>
        </w:tc>
      </w:tr>
      <w:tr w:rsidR="007E6E38" w:rsidRPr="009B783C" w14:paraId="721B7A5C" w14:textId="77777777" w:rsidTr="006B6E97">
        <w:tc>
          <w:tcPr>
            <w:tcW w:w="1555" w:type="dxa"/>
            <w:vAlign w:val="bottom"/>
          </w:tcPr>
          <w:p w14:paraId="1C12F943"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April 2024</w:t>
            </w:r>
          </w:p>
        </w:tc>
        <w:tc>
          <w:tcPr>
            <w:tcW w:w="1521" w:type="dxa"/>
            <w:vAlign w:val="bottom"/>
          </w:tcPr>
          <w:p w14:paraId="1EF1531D" w14:textId="43B83845"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4563</w:t>
            </w:r>
          </w:p>
        </w:tc>
        <w:tc>
          <w:tcPr>
            <w:tcW w:w="1948" w:type="dxa"/>
            <w:vAlign w:val="bottom"/>
          </w:tcPr>
          <w:p w14:paraId="2B0E35DC" w14:textId="0B0549C9"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4307</w:t>
            </w:r>
          </w:p>
        </w:tc>
        <w:tc>
          <w:tcPr>
            <w:tcW w:w="1948" w:type="dxa"/>
            <w:vAlign w:val="bottom"/>
          </w:tcPr>
          <w:p w14:paraId="5B3506D9" w14:textId="15ABFA68"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710.75</w:t>
            </w:r>
          </w:p>
        </w:tc>
        <w:tc>
          <w:tcPr>
            <w:tcW w:w="1948" w:type="dxa"/>
            <w:vAlign w:val="bottom"/>
          </w:tcPr>
          <w:p w14:paraId="1C548914" w14:textId="65C22EEB"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571</w:t>
            </w:r>
          </w:p>
        </w:tc>
      </w:tr>
      <w:tr w:rsidR="007E6E38" w:rsidRPr="009B783C" w14:paraId="19F93694" w14:textId="77777777" w:rsidTr="006B6E97">
        <w:tc>
          <w:tcPr>
            <w:tcW w:w="1555" w:type="dxa"/>
            <w:vAlign w:val="bottom"/>
          </w:tcPr>
          <w:p w14:paraId="2332212C" w14:textId="77777777" w:rsidR="007E6E38" w:rsidRPr="009B783C" w:rsidRDefault="007E6E38" w:rsidP="007E6E38">
            <w:pPr>
              <w:rPr>
                <w:rFonts w:asciiTheme="minorHAnsi" w:hAnsiTheme="minorHAnsi" w:cstheme="minorHAnsi"/>
                <w:szCs w:val="21"/>
              </w:rPr>
            </w:pPr>
            <w:r w:rsidRPr="009B783C">
              <w:rPr>
                <w:rFonts w:asciiTheme="minorHAnsi" w:hAnsiTheme="minorHAnsi" w:cstheme="minorHAnsi"/>
                <w:color w:val="000000"/>
                <w:szCs w:val="21"/>
              </w:rPr>
              <w:t>July 2024</w:t>
            </w:r>
          </w:p>
        </w:tc>
        <w:tc>
          <w:tcPr>
            <w:tcW w:w="1521" w:type="dxa"/>
            <w:vAlign w:val="bottom"/>
          </w:tcPr>
          <w:p w14:paraId="552F514D" w14:textId="2761B177"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443</w:t>
            </w:r>
            <w:r w:rsidR="00F62308">
              <w:rPr>
                <w:rFonts w:asciiTheme="minorHAnsi" w:hAnsiTheme="minorHAnsi" w:cstheme="minorHAnsi"/>
                <w:color w:val="000000"/>
                <w:szCs w:val="21"/>
              </w:rPr>
              <w:t>6</w:t>
            </w:r>
          </w:p>
        </w:tc>
        <w:tc>
          <w:tcPr>
            <w:tcW w:w="1948" w:type="dxa"/>
            <w:vAlign w:val="bottom"/>
          </w:tcPr>
          <w:p w14:paraId="134ED948" w14:textId="7B84B56F"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4307</w:t>
            </w:r>
          </w:p>
        </w:tc>
        <w:tc>
          <w:tcPr>
            <w:tcW w:w="1948" w:type="dxa"/>
            <w:vAlign w:val="bottom"/>
          </w:tcPr>
          <w:p w14:paraId="52F25E9F" w14:textId="7AAC5854"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585.5</w:t>
            </w:r>
          </w:p>
        </w:tc>
        <w:tc>
          <w:tcPr>
            <w:tcW w:w="1948" w:type="dxa"/>
            <w:vAlign w:val="bottom"/>
          </w:tcPr>
          <w:p w14:paraId="3724CDD5" w14:textId="0C8DE94D" w:rsidR="007E6E38" w:rsidRPr="009B783C" w:rsidRDefault="007E6E38" w:rsidP="00765B7E">
            <w:pPr>
              <w:jc w:val="center"/>
              <w:rPr>
                <w:rFonts w:asciiTheme="minorHAnsi" w:hAnsiTheme="minorHAnsi" w:cstheme="minorHAnsi"/>
                <w:szCs w:val="21"/>
              </w:rPr>
            </w:pPr>
            <w:r w:rsidRPr="009B783C">
              <w:rPr>
                <w:rFonts w:asciiTheme="minorHAnsi" w:hAnsiTheme="minorHAnsi" w:cstheme="minorHAnsi"/>
                <w:color w:val="000000"/>
                <w:szCs w:val="21"/>
              </w:rPr>
              <w:t>571</w:t>
            </w:r>
          </w:p>
        </w:tc>
      </w:tr>
      <w:tr w:rsidR="007E6E38" w:rsidRPr="009B783C" w14:paraId="208B0BF6" w14:textId="77777777" w:rsidTr="006B6E97">
        <w:tc>
          <w:tcPr>
            <w:tcW w:w="1555" w:type="dxa"/>
            <w:vAlign w:val="bottom"/>
          </w:tcPr>
          <w:p w14:paraId="08AF8936" w14:textId="77777777" w:rsidR="007E6E38" w:rsidRPr="009B783C" w:rsidRDefault="007E6E38" w:rsidP="007E6E38">
            <w:pPr>
              <w:rPr>
                <w:rFonts w:asciiTheme="minorHAnsi" w:hAnsiTheme="minorHAnsi" w:cstheme="minorHAnsi"/>
                <w:color w:val="000000"/>
                <w:szCs w:val="21"/>
              </w:rPr>
            </w:pPr>
            <w:r w:rsidRPr="009B783C">
              <w:rPr>
                <w:rFonts w:asciiTheme="minorHAnsi" w:hAnsiTheme="minorHAnsi" w:cstheme="minorHAnsi"/>
                <w:color w:val="000000"/>
                <w:szCs w:val="21"/>
              </w:rPr>
              <w:t>October 2024</w:t>
            </w:r>
          </w:p>
        </w:tc>
        <w:tc>
          <w:tcPr>
            <w:tcW w:w="1521" w:type="dxa"/>
            <w:vAlign w:val="bottom"/>
          </w:tcPr>
          <w:p w14:paraId="512F8DFF" w14:textId="7E93E05A" w:rsidR="007E6E38" w:rsidRPr="009B783C" w:rsidRDefault="007E6E38" w:rsidP="00765B7E">
            <w:pPr>
              <w:jc w:val="center"/>
              <w:rPr>
                <w:rFonts w:asciiTheme="minorHAnsi" w:hAnsiTheme="minorHAnsi" w:cstheme="minorHAnsi"/>
                <w:color w:val="000000"/>
                <w:szCs w:val="21"/>
              </w:rPr>
            </w:pPr>
            <w:r w:rsidRPr="009B783C">
              <w:rPr>
                <w:rFonts w:asciiTheme="minorHAnsi" w:hAnsiTheme="minorHAnsi" w:cstheme="minorHAnsi"/>
                <w:color w:val="000000"/>
                <w:szCs w:val="21"/>
              </w:rPr>
              <w:t>441</w:t>
            </w:r>
            <w:r w:rsidR="00F62308">
              <w:rPr>
                <w:rFonts w:asciiTheme="minorHAnsi" w:hAnsiTheme="minorHAnsi" w:cstheme="minorHAnsi"/>
                <w:color w:val="000000"/>
                <w:szCs w:val="21"/>
              </w:rPr>
              <w:t>5</w:t>
            </w:r>
          </w:p>
        </w:tc>
        <w:tc>
          <w:tcPr>
            <w:tcW w:w="1948" w:type="dxa"/>
            <w:vAlign w:val="bottom"/>
          </w:tcPr>
          <w:p w14:paraId="28673E03" w14:textId="224C3775" w:rsidR="007E6E38" w:rsidRPr="009B783C" w:rsidRDefault="007E6E38" w:rsidP="00765B7E">
            <w:pPr>
              <w:jc w:val="center"/>
              <w:rPr>
                <w:rFonts w:asciiTheme="minorHAnsi" w:hAnsiTheme="minorHAnsi" w:cstheme="minorHAnsi"/>
                <w:color w:val="000000"/>
                <w:szCs w:val="21"/>
              </w:rPr>
            </w:pPr>
            <w:r w:rsidRPr="009B783C">
              <w:rPr>
                <w:rFonts w:asciiTheme="minorHAnsi" w:hAnsiTheme="minorHAnsi" w:cstheme="minorHAnsi"/>
                <w:color w:val="000000"/>
                <w:szCs w:val="21"/>
              </w:rPr>
              <w:t>4307</w:t>
            </w:r>
          </w:p>
        </w:tc>
        <w:tc>
          <w:tcPr>
            <w:tcW w:w="1948" w:type="dxa"/>
            <w:vAlign w:val="bottom"/>
          </w:tcPr>
          <w:p w14:paraId="1BC2D2C8" w14:textId="5FAC23B1" w:rsidR="007E6E38" w:rsidRPr="009B783C" w:rsidRDefault="007E6E38" w:rsidP="00765B7E">
            <w:pPr>
              <w:jc w:val="center"/>
              <w:rPr>
                <w:rFonts w:asciiTheme="minorHAnsi" w:hAnsiTheme="minorHAnsi" w:cstheme="minorHAnsi"/>
                <w:color w:val="000000"/>
                <w:szCs w:val="21"/>
              </w:rPr>
            </w:pPr>
            <w:r w:rsidRPr="009B783C">
              <w:rPr>
                <w:rFonts w:asciiTheme="minorHAnsi" w:hAnsiTheme="minorHAnsi" w:cstheme="minorHAnsi"/>
                <w:color w:val="000000"/>
                <w:szCs w:val="21"/>
              </w:rPr>
              <w:t>577.5</w:t>
            </w:r>
          </w:p>
        </w:tc>
        <w:tc>
          <w:tcPr>
            <w:tcW w:w="1948" w:type="dxa"/>
            <w:vAlign w:val="bottom"/>
          </w:tcPr>
          <w:p w14:paraId="1C1D0665" w14:textId="5672140A" w:rsidR="007E6E38" w:rsidRPr="009B783C" w:rsidRDefault="007E6E38" w:rsidP="00765B7E">
            <w:pPr>
              <w:jc w:val="center"/>
              <w:rPr>
                <w:rFonts w:asciiTheme="minorHAnsi" w:hAnsiTheme="minorHAnsi" w:cstheme="minorHAnsi"/>
                <w:color w:val="000000"/>
                <w:szCs w:val="21"/>
              </w:rPr>
            </w:pPr>
            <w:r w:rsidRPr="009B783C">
              <w:rPr>
                <w:rFonts w:asciiTheme="minorHAnsi" w:hAnsiTheme="minorHAnsi" w:cstheme="minorHAnsi"/>
                <w:color w:val="000000"/>
                <w:szCs w:val="21"/>
              </w:rPr>
              <w:t>571</w:t>
            </w:r>
          </w:p>
        </w:tc>
      </w:tr>
    </w:tbl>
    <w:p w14:paraId="0730DE82" w14:textId="2922B3A2" w:rsidR="005060B8" w:rsidRPr="009B783C" w:rsidRDefault="005060B8" w:rsidP="005060B8">
      <w:pPr>
        <w:spacing w:after="0"/>
        <w:rPr>
          <w:sz w:val="20"/>
          <w:szCs w:val="20"/>
          <w:lang w:val="en-US" w:eastAsia="en-AU"/>
        </w:rPr>
      </w:pPr>
      <w:r w:rsidRPr="009B783C">
        <w:rPr>
          <w:sz w:val="20"/>
          <w:szCs w:val="20"/>
        </w:rPr>
        <w:t xml:space="preserve">Notes: </w:t>
      </w:r>
      <w:r w:rsidR="0052774A" w:rsidRPr="009B783C">
        <w:rPr>
          <w:sz w:val="20"/>
          <w:szCs w:val="20"/>
        </w:rPr>
        <w:t>Data extracted from publicly available source on 21 November 2024. Medicare UCC opening dates in the corresponding state are indicated by the grey vertical lines. The open points show quarterly data from hospital level data published by states (</w:t>
      </w:r>
      <w:r w:rsidR="00C70DD9" w:rsidRPr="009B783C">
        <w:rPr>
          <w:sz w:val="20"/>
          <w:szCs w:val="20"/>
        </w:rPr>
        <w:t>TAS</w:t>
      </w:r>
      <w:r w:rsidR="00260A57" w:rsidRPr="009B783C">
        <w:rPr>
          <w:sz w:val="20"/>
          <w:szCs w:val="20"/>
        </w:rPr>
        <w:t xml:space="preserve"> only</w:t>
      </w:r>
      <w:r w:rsidR="0052774A" w:rsidRPr="009B783C">
        <w:rPr>
          <w:sz w:val="20"/>
          <w:szCs w:val="20"/>
        </w:rPr>
        <w:t>) where these are available for quarters between</w:t>
      </w:r>
      <w:r w:rsidR="005F6831" w:rsidRPr="009B783C">
        <w:rPr>
          <w:sz w:val="20"/>
          <w:szCs w:val="20"/>
        </w:rPr>
        <w:t xml:space="preserve"> 202</w:t>
      </w:r>
      <w:r w:rsidR="00EF15AF" w:rsidRPr="009B783C">
        <w:rPr>
          <w:sz w:val="20"/>
          <w:szCs w:val="20"/>
        </w:rPr>
        <w:t xml:space="preserve">0-21 and 2023-24. </w:t>
      </w:r>
      <w:r w:rsidR="005F6831" w:rsidRPr="009B783C">
        <w:rPr>
          <w:sz w:val="20"/>
          <w:szCs w:val="20"/>
        </w:rPr>
        <w:t>(</w:t>
      </w:r>
      <w:r w:rsidR="0052774A" w:rsidRPr="009B783C">
        <w:rPr>
          <w:sz w:val="20"/>
          <w:szCs w:val="20"/>
        </w:rPr>
        <w:t xml:space="preserve">a) The AIHW is shown as a line/segment across the financial year. Annual data were converted to a quarterly value by dividing by four, so that these could be plotted along with quarterly data from state publicly released data. The source for the AIHW data is: Australian Institute of Health and Welfare. (2023-24). Emergency department care 2023-24 data tables. </w:t>
      </w:r>
      <w:hyperlink r:id="rId47">
        <w:r w:rsidR="00097944" w:rsidRPr="35C5891D">
          <w:rPr>
            <w:sz w:val="20"/>
            <w:szCs w:val="20"/>
          </w:rPr>
          <w:t>https://www.aihw.gov.au/reports-data/myhospitals/sectors/emergency-department-care%23more-data</w:t>
        </w:r>
      </w:hyperlink>
      <w:r w:rsidR="008A4BB5" w:rsidRPr="35C5891D">
        <w:rPr>
          <w:sz w:val="20"/>
          <w:szCs w:val="20"/>
        </w:rPr>
        <w:t>.</w:t>
      </w:r>
      <w:r w:rsidR="00097944" w:rsidRPr="35C5891D">
        <w:rPr>
          <w:sz w:val="20"/>
          <w:szCs w:val="20"/>
        </w:rPr>
        <w:t xml:space="preserve"> </w:t>
      </w:r>
      <w:r w:rsidRPr="35C5891D">
        <w:rPr>
          <w:sz w:val="20"/>
          <w:szCs w:val="20"/>
        </w:rPr>
        <w:t xml:space="preserve">Data for the ACT and NT have not been included in these charts. AIHW </w:t>
      </w:r>
      <w:r w:rsidR="00662037" w:rsidRPr="35C5891D">
        <w:rPr>
          <w:sz w:val="20"/>
          <w:szCs w:val="20"/>
        </w:rPr>
        <w:t xml:space="preserve">data </w:t>
      </w:r>
      <w:r w:rsidRPr="35C5891D">
        <w:rPr>
          <w:sz w:val="20"/>
          <w:szCs w:val="20"/>
        </w:rPr>
        <w:t>for the NT did not include 2023-24.</w:t>
      </w:r>
    </w:p>
    <w:p w14:paraId="7900CA2C" w14:textId="4EE39780" w:rsidR="009F3BEA" w:rsidRPr="009B783C" w:rsidRDefault="009F3BEA" w:rsidP="007E6E38">
      <w:pPr>
        <w:spacing w:before="480" w:after="0"/>
        <w:rPr>
          <w:szCs w:val="21"/>
          <w:lang w:val="en-US" w:eastAsia="en-AU"/>
        </w:rPr>
      </w:pPr>
      <w:r w:rsidRPr="009B783C">
        <w:rPr>
          <w:szCs w:val="21"/>
          <w:lang w:eastAsia="en-AU"/>
        </w:rPr>
        <w:t xml:space="preserve">Partner hospitals also experienced an improvement in the </w:t>
      </w:r>
      <w:r w:rsidR="00CD492B" w:rsidRPr="009B783C">
        <w:rPr>
          <w:szCs w:val="21"/>
          <w:lang w:eastAsia="en-AU"/>
        </w:rPr>
        <w:t>proportion</w:t>
      </w:r>
      <w:r w:rsidRPr="009B783C">
        <w:rPr>
          <w:szCs w:val="21"/>
          <w:lang w:eastAsia="en-AU"/>
        </w:rPr>
        <w:t xml:space="preserve"> of </w:t>
      </w:r>
      <w:r w:rsidR="00601BE7" w:rsidRPr="009B783C">
        <w:rPr>
          <w:szCs w:val="21"/>
          <w:lang w:eastAsia="en-AU"/>
        </w:rPr>
        <w:t>presentation</w:t>
      </w:r>
      <w:r w:rsidR="00AB762C" w:rsidRPr="009B783C">
        <w:rPr>
          <w:szCs w:val="21"/>
          <w:lang w:eastAsia="en-AU"/>
        </w:rPr>
        <w:t>s</w:t>
      </w:r>
      <w:r w:rsidR="00601BE7" w:rsidRPr="009B783C">
        <w:rPr>
          <w:szCs w:val="21"/>
          <w:lang w:eastAsia="en-AU"/>
        </w:rPr>
        <w:t xml:space="preserve"> </w:t>
      </w:r>
      <w:r w:rsidR="00671BAF" w:rsidRPr="009B783C">
        <w:rPr>
          <w:szCs w:val="21"/>
          <w:lang w:eastAsia="en-AU"/>
        </w:rPr>
        <w:t xml:space="preserve">where clinical treatment commenced within </w:t>
      </w:r>
      <w:r w:rsidR="000823BE" w:rsidRPr="009B783C">
        <w:rPr>
          <w:szCs w:val="21"/>
          <w:lang w:eastAsia="en-AU"/>
        </w:rPr>
        <w:t xml:space="preserve">60 minutes for triage </w:t>
      </w:r>
      <w:r w:rsidR="00751F4B" w:rsidRPr="009B783C">
        <w:rPr>
          <w:szCs w:val="21"/>
          <w:lang w:eastAsia="en-AU"/>
        </w:rPr>
        <w:t xml:space="preserve">category </w:t>
      </w:r>
      <w:r w:rsidR="000823BE" w:rsidRPr="009B783C">
        <w:rPr>
          <w:szCs w:val="21"/>
          <w:lang w:eastAsia="en-AU"/>
        </w:rPr>
        <w:t xml:space="preserve">four </w:t>
      </w:r>
      <w:r w:rsidR="00671BAF" w:rsidRPr="009B783C">
        <w:rPr>
          <w:szCs w:val="21"/>
          <w:lang w:eastAsia="en-AU"/>
        </w:rPr>
        <w:t xml:space="preserve">and </w:t>
      </w:r>
      <w:r w:rsidR="000823BE" w:rsidRPr="009B783C">
        <w:rPr>
          <w:szCs w:val="21"/>
          <w:lang w:eastAsia="en-AU"/>
        </w:rPr>
        <w:t xml:space="preserve">120 </w:t>
      </w:r>
      <w:r w:rsidR="00751F4B" w:rsidRPr="009B783C">
        <w:rPr>
          <w:szCs w:val="21"/>
          <w:lang w:eastAsia="en-AU"/>
        </w:rPr>
        <w:t xml:space="preserve">minutes for triage category </w:t>
      </w:r>
      <w:r w:rsidR="00AB762C" w:rsidRPr="009B783C">
        <w:rPr>
          <w:szCs w:val="21"/>
          <w:lang w:eastAsia="en-AU"/>
        </w:rPr>
        <w:t>five</w:t>
      </w:r>
      <w:r w:rsidR="002C3102" w:rsidRPr="009B783C">
        <w:rPr>
          <w:szCs w:val="21"/>
          <w:lang w:eastAsia="en-AU"/>
        </w:rPr>
        <w:t xml:space="preserve">. </w:t>
      </w:r>
      <w:r w:rsidR="00183727" w:rsidRPr="009B783C">
        <w:rPr>
          <w:szCs w:val="21"/>
          <w:lang w:eastAsia="en-AU"/>
        </w:rPr>
        <w:t xml:space="preserve">Presentations seen within these benchmarks are referred to </w:t>
      </w:r>
      <w:r w:rsidR="00B64F23" w:rsidRPr="009B783C">
        <w:rPr>
          <w:szCs w:val="21"/>
          <w:lang w:eastAsia="en-AU"/>
        </w:rPr>
        <w:t>“being seen on time”.</w:t>
      </w:r>
      <w:r w:rsidR="00D413B8" w:rsidRPr="009B783C">
        <w:rPr>
          <w:szCs w:val="21"/>
          <w:lang w:eastAsia="en-AU"/>
        </w:rPr>
        <w:t xml:space="preserve"> </w:t>
      </w:r>
      <w:r w:rsidR="00384A69">
        <w:rPr>
          <w:szCs w:val="21"/>
          <w:lang w:eastAsia="en-AU"/>
        </w:rPr>
        <w:fldChar w:fldCharType="begin"/>
      </w:r>
      <w:r w:rsidR="00384A69">
        <w:rPr>
          <w:szCs w:val="21"/>
          <w:lang w:eastAsia="en-AU"/>
        </w:rPr>
        <w:instrText xml:space="preserve"> REF _Ref185345669 \h </w:instrText>
      </w:r>
      <w:r w:rsidR="00384A69">
        <w:rPr>
          <w:szCs w:val="21"/>
          <w:lang w:eastAsia="en-AU"/>
        </w:rPr>
      </w:r>
      <w:r w:rsidR="00384A69">
        <w:rPr>
          <w:szCs w:val="21"/>
          <w:lang w:eastAsia="en-AU"/>
        </w:rPr>
        <w:fldChar w:fldCharType="separate"/>
      </w:r>
      <w:r w:rsidR="00384A69" w:rsidRPr="009B783C">
        <w:rPr>
          <w:szCs w:val="21"/>
        </w:rPr>
        <w:t>Table 36</w:t>
      </w:r>
      <w:r w:rsidR="00384A69">
        <w:rPr>
          <w:szCs w:val="21"/>
          <w:lang w:eastAsia="en-AU"/>
        </w:rPr>
        <w:fldChar w:fldCharType="end"/>
      </w:r>
      <w:r w:rsidR="00384A69">
        <w:rPr>
          <w:szCs w:val="21"/>
          <w:lang w:eastAsia="en-AU"/>
        </w:rPr>
        <w:t xml:space="preserve"> </w:t>
      </w:r>
      <w:r w:rsidR="00EC6F21">
        <w:rPr>
          <w:szCs w:val="21"/>
          <w:lang w:eastAsia="en-AU"/>
        </w:rPr>
        <w:t xml:space="preserve">to </w:t>
      </w:r>
      <w:r w:rsidR="006D1207">
        <w:rPr>
          <w:szCs w:val="21"/>
          <w:lang w:eastAsia="en-AU"/>
        </w:rPr>
        <w:fldChar w:fldCharType="begin"/>
      </w:r>
      <w:r w:rsidR="006D1207">
        <w:rPr>
          <w:szCs w:val="21"/>
          <w:lang w:eastAsia="en-AU"/>
        </w:rPr>
        <w:instrText xml:space="preserve"> REF _Ref189769325 \h </w:instrText>
      </w:r>
      <w:r w:rsidR="006D1207">
        <w:rPr>
          <w:szCs w:val="21"/>
          <w:lang w:eastAsia="en-AU"/>
        </w:rPr>
      </w:r>
      <w:r w:rsidR="006D1207">
        <w:rPr>
          <w:szCs w:val="21"/>
          <w:lang w:eastAsia="en-AU"/>
        </w:rPr>
        <w:fldChar w:fldCharType="separate"/>
      </w:r>
      <w:r w:rsidR="006D1207" w:rsidRPr="009B783C">
        <w:rPr>
          <w:szCs w:val="21"/>
        </w:rPr>
        <w:t>Table 40</w:t>
      </w:r>
      <w:r w:rsidR="006D1207">
        <w:rPr>
          <w:szCs w:val="21"/>
          <w:lang w:eastAsia="en-AU"/>
        </w:rPr>
        <w:fldChar w:fldCharType="end"/>
      </w:r>
      <w:r w:rsidR="00670D8F">
        <w:rPr>
          <w:szCs w:val="21"/>
          <w:lang w:eastAsia="en-AU"/>
        </w:rPr>
        <w:t xml:space="preserve"> </w:t>
      </w:r>
      <w:r w:rsidR="00D413B8" w:rsidRPr="009B783C">
        <w:rPr>
          <w:szCs w:val="21"/>
          <w:lang w:eastAsia="en-AU"/>
        </w:rPr>
        <w:t>(</w:t>
      </w:r>
      <w:r w:rsidR="00EB6EC8" w:rsidRPr="009B783C">
        <w:rPr>
          <w:szCs w:val="21"/>
          <w:lang w:eastAsia="en-AU"/>
        </w:rPr>
        <w:fldChar w:fldCharType="begin"/>
      </w:r>
      <w:r w:rsidR="00EB6EC8" w:rsidRPr="009B783C">
        <w:rPr>
          <w:szCs w:val="21"/>
          <w:lang w:eastAsia="en-AU"/>
        </w:rPr>
        <w:instrText xml:space="preserve"> REF _Ref185402337 \n \h </w:instrText>
      </w:r>
      <w:r w:rsidR="00F5425B" w:rsidRPr="009B783C">
        <w:rPr>
          <w:szCs w:val="21"/>
          <w:lang w:eastAsia="en-AU"/>
        </w:rPr>
        <w:instrText xml:space="preserve"> \* MERGEFORMAT </w:instrText>
      </w:r>
      <w:r w:rsidR="00EB6EC8" w:rsidRPr="009B783C">
        <w:rPr>
          <w:szCs w:val="21"/>
          <w:lang w:eastAsia="en-AU"/>
        </w:rPr>
      </w:r>
      <w:r w:rsidR="00EB6EC8" w:rsidRPr="009B783C">
        <w:rPr>
          <w:szCs w:val="21"/>
          <w:lang w:eastAsia="en-AU"/>
        </w:rPr>
        <w:fldChar w:fldCharType="separate"/>
      </w:r>
      <w:r w:rsidR="0031172E" w:rsidRPr="009B783C">
        <w:rPr>
          <w:szCs w:val="21"/>
          <w:lang w:eastAsia="en-AU"/>
        </w:rPr>
        <w:t>Appendix E</w:t>
      </w:r>
      <w:r w:rsidR="00EB6EC8" w:rsidRPr="009B783C">
        <w:rPr>
          <w:szCs w:val="21"/>
          <w:lang w:eastAsia="en-AU"/>
        </w:rPr>
        <w:fldChar w:fldCharType="end"/>
      </w:r>
      <w:r w:rsidR="00D413B8" w:rsidRPr="009B783C">
        <w:rPr>
          <w:szCs w:val="21"/>
          <w:lang w:eastAsia="en-AU"/>
        </w:rPr>
        <w:t>) summarises trends for ED presentations seen on time for triage categories four and</w:t>
      </w:r>
      <w:r w:rsidR="000542A7" w:rsidRPr="009B783C">
        <w:rPr>
          <w:szCs w:val="21"/>
          <w:lang w:eastAsia="en-AU"/>
        </w:rPr>
        <w:t xml:space="preserve"> </w:t>
      </w:r>
      <w:r w:rsidR="00D413B8" w:rsidRPr="009B783C">
        <w:rPr>
          <w:szCs w:val="21"/>
          <w:lang w:eastAsia="en-AU"/>
        </w:rPr>
        <w:t xml:space="preserve">five. </w:t>
      </w:r>
      <w:r w:rsidR="00B308FA" w:rsidRPr="009B783C">
        <w:rPr>
          <w:szCs w:val="21"/>
          <w:lang w:eastAsia="en-AU"/>
        </w:rPr>
        <w:t xml:space="preserve">For the 43 partner hospitals of Medicare UCCs that were newly established and operational prior to 31 December 2023, the proportion of presentations </w:t>
      </w:r>
      <w:r w:rsidR="00D406DE" w:rsidRPr="009B783C">
        <w:rPr>
          <w:szCs w:val="21"/>
          <w:lang w:eastAsia="en-AU"/>
        </w:rPr>
        <w:t>meeting</w:t>
      </w:r>
      <w:r w:rsidR="00E2460C" w:rsidRPr="009B783C">
        <w:rPr>
          <w:szCs w:val="21"/>
          <w:lang w:eastAsia="en-AU"/>
        </w:rPr>
        <w:t xml:space="preserve"> </w:t>
      </w:r>
      <w:r w:rsidR="006E0FC7" w:rsidRPr="009B783C">
        <w:rPr>
          <w:szCs w:val="21"/>
          <w:lang w:eastAsia="en-AU"/>
        </w:rPr>
        <w:t xml:space="preserve">the benchmarks </w:t>
      </w:r>
      <w:r w:rsidR="00B308FA" w:rsidRPr="009B783C">
        <w:rPr>
          <w:szCs w:val="21"/>
          <w:lang w:eastAsia="en-AU"/>
        </w:rPr>
        <w:t>in 2023-</w:t>
      </w:r>
      <w:r w:rsidR="00331C54" w:rsidRPr="009B783C">
        <w:rPr>
          <w:szCs w:val="21"/>
          <w:lang w:eastAsia="en-AU"/>
        </w:rPr>
        <w:t xml:space="preserve">24 </w:t>
      </w:r>
      <w:r w:rsidR="00A64F23" w:rsidRPr="009B783C">
        <w:rPr>
          <w:szCs w:val="21"/>
          <w:lang w:eastAsia="en-AU"/>
        </w:rPr>
        <w:t>increased</w:t>
      </w:r>
      <w:r w:rsidR="00B308FA" w:rsidRPr="009B783C">
        <w:rPr>
          <w:szCs w:val="21"/>
          <w:lang w:eastAsia="en-AU"/>
        </w:rPr>
        <w:t xml:space="preserve"> by </w:t>
      </w:r>
      <w:r w:rsidR="00324DA0" w:rsidRPr="009B783C">
        <w:rPr>
          <w:szCs w:val="21"/>
          <w:lang w:eastAsia="en-AU"/>
        </w:rPr>
        <w:t>1.8</w:t>
      </w:r>
      <w:r w:rsidR="00B308FA" w:rsidRPr="009B783C">
        <w:rPr>
          <w:szCs w:val="21"/>
          <w:lang w:eastAsia="en-AU"/>
        </w:rPr>
        <w:t xml:space="preserve"> per for triage category four and </w:t>
      </w:r>
      <w:r w:rsidR="00324DA0" w:rsidRPr="009B783C">
        <w:rPr>
          <w:szCs w:val="21"/>
          <w:lang w:eastAsia="en-AU"/>
        </w:rPr>
        <w:t>0.4</w:t>
      </w:r>
      <w:r w:rsidR="00B308FA" w:rsidRPr="009B783C">
        <w:rPr>
          <w:szCs w:val="21"/>
          <w:lang w:eastAsia="en-AU"/>
        </w:rPr>
        <w:t xml:space="preserve"> per cent for triage category five, compared with the previous year</w:t>
      </w:r>
      <w:r w:rsidR="00A64F23" w:rsidRPr="009B783C">
        <w:rPr>
          <w:szCs w:val="21"/>
          <w:lang w:eastAsia="en-AU"/>
        </w:rPr>
        <w:t xml:space="preserve">. </w:t>
      </w:r>
      <w:r w:rsidR="00110369" w:rsidRPr="009B783C">
        <w:rPr>
          <w:szCs w:val="21"/>
          <w:lang w:eastAsia="en-AU"/>
        </w:rPr>
        <w:t xml:space="preserve">For the partner hospitals of Medicare UCCs that had transitioned from previous programs, </w:t>
      </w:r>
      <w:r w:rsidR="00F336C7" w:rsidRPr="009B783C">
        <w:rPr>
          <w:szCs w:val="21"/>
          <w:lang w:eastAsia="en-AU"/>
        </w:rPr>
        <w:t xml:space="preserve">there was an </w:t>
      </w:r>
      <w:r w:rsidR="00110369" w:rsidRPr="009B783C">
        <w:rPr>
          <w:szCs w:val="21"/>
          <w:lang w:eastAsia="en-AU"/>
        </w:rPr>
        <w:t xml:space="preserve">increase </w:t>
      </w:r>
      <w:r w:rsidR="00F51826" w:rsidRPr="009B783C">
        <w:rPr>
          <w:szCs w:val="21"/>
          <w:lang w:eastAsia="en-AU"/>
        </w:rPr>
        <w:t>of</w:t>
      </w:r>
      <w:r w:rsidR="00110369" w:rsidRPr="009B783C">
        <w:rPr>
          <w:szCs w:val="21"/>
          <w:lang w:eastAsia="en-AU"/>
        </w:rPr>
        <w:t xml:space="preserve"> </w:t>
      </w:r>
      <w:r w:rsidR="00F336C7" w:rsidRPr="009B783C">
        <w:rPr>
          <w:szCs w:val="21"/>
          <w:lang w:eastAsia="en-AU"/>
        </w:rPr>
        <w:t>9.4</w:t>
      </w:r>
      <w:r w:rsidR="00110369" w:rsidRPr="009B783C">
        <w:rPr>
          <w:szCs w:val="21"/>
          <w:lang w:eastAsia="en-AU"/>
        </w:rPr>
        <w:t xml:space="preserve"> per cent for triage category four and </w:t>
      </w:r>
      <w:r w:rsidR="00F336C7" w:rsidRPr="009B783C">
        <w:rPr>
          <w:szCs w:val="21"/>
          <w:lang w:eastAsia="en-AU"/>
        </w:rPr>
        <w:t>an increase</w:t>
      </w:r>
      <w:r w:rsidR="00110369" w:rsidRPr="009B783C">
        <w:rPr>
          <w:szCs w:val="21"/>
          <w:lang w:eastAsia="en-AU"/>
        </w:rPr>
        <w:t xml:space="preserve"> </w:t>
      </w:r>
      <w:r w:rsidR="008E018C" w:rsidRPr="009B783C">
        <w:rPr>
          <w:szCs w:val="21"/>
          <w:lang w:eastAsia="en-AU"/>
        </w:rPr>
        <w:t>of</w:t>
      </w:r>
      <w:r w:rsidR="00110369" w:rsidRPr="009B783C">
        <w:rPr>
          <w:szCs w:val="21"/>
          <w:lang w:eastAsia="en-AU"/>
        </w:rPr>
        <w:t xml:space="preserve"> </w:t>
      </w:r>
      <w:r w:rsidR="00302F8D" w:rsidRPr="009B783C">
        <w:rPr>
          <w:szCs w:val="21"/>
          <w:lang w:eastAsia="en-AU"/>
        </w:rPr>
        <w:t xml:space="preserve">4.7 </w:t>
      </w:r>
      <w:r w:rsidR="00110369" w:rsidRPr="009B783C">
        <w:rPr>
          <w:szCs w:val="21"/>
          <w:lang w:eastAsia="en-AU"/>
        </w:rPr>
        <w:t>per cent for triage category five.</w:t>
      </w:r>
      <w:r w:rsidR="00302F8D" w:rsidRPr="009B783C">
        <w:rPr>
          <w:szCs w:val="21"/>
          <w:lang w:eastAsia="en-AU"/>
        </w:rPr>
        <w:t xml:space="preserve"> For hospitals that are not partner hospitals presentations </w:t>
      </w:r>
      <w:r w:rsidR="00E2163F" w:rsidRPr="009B783C">
        <w:rPr>
          <w:szCs w:val="21"/>
          <w:lang w:eastAsia="en-AU"/>
        </w:rPr>
        <w:t>there was</w:t>
      </w:r>
      <w:r w:rsidR="00302F8D" w:rsidRPr="009B783C">
        <w:rPr>
          <w:szCs w:val="21"/>
          <w:lang w:eastAsia="en-AU"/>
        </w:rPr>
        <w:t xml:space="preserve"> </w:t>
      </w:r>
      <w:r w:rsidR="002A2546" w:rsidRPr="009B783C">
        <w:rPr>
          <w:szCs w:val="21"/>
          <w:lang w:eastAsia="en-AU"/>
        </w:rPr>
        <w:t xml:space="preserve">also an increase in these </w:t>
      </w:r>
      <w:r w:rsidR="00AD6A55" w:rsidRPr="009B783C">
        <w:rPr>
          <w:szCs w:val="21"/>
          <w:lang w:eastAsia="en-AU"/>
        </w:rPr>
        <w:t>measures of</w:t>
      </w:r>
      <w:r w:rsidR="00302F8D" w:rsidRPr="009B783C">
        <w:rPr>
          <w:szCs w:val="21"/>
          <w:lang w:eastAsia="en-AU"/>
        </w:rPr>
        <w:t xml:space="preserve"> </w:t>
      </w:r>
      <w:r w:rsidR="00607F9F" w:rsidRPr="009B783C">
        <w:rPr>
          <w:szCs w:val="21"/>
          <w:lang w:eastAsia="en-AU"/>
        </w:rPr>
        <w:t>1.8</w:t>
      </w:r>
      <w:r w:rsidR="00302F8D" w:rsidRPr="009B783C">
        <w:rPr>
          <w:szCs w:val="21"/>
          <w:lang w:eastAsia="en-AU"/>
        </w:rPr>
        <w:t xml:space="preserve"> per cent for triage category four and </w:t>
      </w:r>
      <w:r w:rsidR="00607F9F" w:rsidRPr="009B783C">
        <w:rPr>
          <w:szCs w:val="21"/>
          <w:lang w:eastAsia="en-AU"/>
        </w:rPr>
        <w:t>0.8</w:t>
      </w:r>
      <w:r w:rsidR="00302F8D" w:rsidRPr="009B783C">
        <w:rPr>
          <w:szCs w:val="21"/>
          <w:lang w:eastAsia="en-AU"/>
        </w:rPr>
        <w:t xml:space="preserve"> per cent for triage category five.</w:t>
      </w:r>
    </w:p>
    <w:p w14:paraId="1CC6627B" w14:textId="5F3EFB77" w:rsidR="00FE2DBB" w:rsidRPr="009B783C" w:rsidRDefault="00111860" w:rsidP="00F5425B">
      <w:pPr>
        <w:rPr>
          <w:szCs w:val="21"/>
          <w:lang w:eastAsia="en-AU"/>
        </w:rPr>
      </w:pPr>
      <w:r w:rsidRPr="009B783C">
        <w:rPr>
          <w:szCs w:val="21"/>
          <w:lang w:eastAsia="en-AU"/>
        </w:rPr>
        <w:t>However,</w:t>
      </w:r>
      <w:r w:rsidRPr="009B783C" w:rsidDel="005A1512">
        <w:rPr>
          <w:szCs w:val="21"/>
          <w:lang w:eastAsia="en-AU"/>
        </w:rPr>
        <w:t xml:space="preserve"> </w:t>
      </w:r>
      <w:r w:rsidRPr="009B783C">
        <w:rPr>
          <w:szCs w:val="21"/>
          <w:lang w:eastAsia="en-AU"/>
        </w:rPr>
        <w:t xml:space="preserve">conclusions </w:t>
      </w:r>
      <w:r w:rsidR="005A610E" w:rsidRPr="009B783C">
        <w:rPr>
          <w:szCs w:val="21"/>
          <w:lang w:eastAsia="en-AU"/>
        </w:rPr>
        <w:t>ca</w:t>
      </w:r>
      <w:r w:rsidR="0051590C" w:rsidRPr="009B783C">
        <w:rPr>
          <w:szCs w:val="21"/>
          <w:lang w:eastAsia="en-AU"/>
        </w:rPr>
        <w:t>n</w:t>
      </w:r>
      <w:r w:rsidR="005A610E" w:rsidRPr="009B783C">
        <w:rPr>
          <w:szCs w:val="21"/>
          <w:lang w:eastAsia="en-AU"/>
        </w:rPr>
        <w:t>n</w:t>
      </w:r>
      <w:r w:rsidR="0051590C" w:rsidRPr="009B783C">
        <w:rPr>
          <w:szCs w:val="21"/>
          <w:lang w:eastAsia="en-AU"/>
        </w:rPr>
        <w:t>o</w:t>
      </w:r>
      <w:r w:rsidR="005A610E" w:rsidRPr="009B783C">
        <w:rPr>
          <w:szCs w:val="21"/>
          <w:lang w:eastAsia="en-AU"/>
        </w:rPr>
        <w:t>t yet be made about the impact of Medicare UCCs</w:t>
      </w:r>
      <w:r w:rsidR="0021172B" w:rsidRPr="009B783C">
        <w:rPr>
          <w:szCs w:val="21"/>
          <w:lang w:eastAsia="en-AU"/>
        </w:rPr>
        <w:t xml:space="preserve"> on reducing pressure on </w:t>
      </w:r>
      <w:r w:rsidR="00FB7B1A" w:rsidRPr="009B783C">
        <w:rPr>
          <w:szCs w:val="21"/>
          <w:lang w:eastAsia="en-AU"/>
        </w:rPr>
        <w:t>partner hospital EDs</w:t>
      </w:r>
      <w:r w:rsidR="005A610E" w:rsidRPr="009B783C">
        <w:rPr>
          <w:szCs w:val="21"/>
          <w:lang w:eastAsia="en-AU"/>
        </w:rPr>
        <w:t xml:space="preserve"> for a range of reasons</w:t>
      </w:r>
      <w:r w:rsidR="00CF6A1D" w:rsidRPr="009B783C">
        <w:rPr>
          <w:szCs w:val="21"/>
          <w:lang w:eastAsia="en-AU"/>
        </w:rPr>
        <w:t>, including</w:t>
      </w:r>
      <w:r w:rsidR="00FE2DBB" w:rsidRPr="009B783C">
        <w:rPr>
          <w:szCs w:val="21"/>
          <w:lang w:eastAsia="en-AU"/>
        </w:rPr>
        <w:t>:</w:t>
      </w:r>
      <w:r w:rsidR="005A610E" w:rsidRPr="009B783C">
        <w:rPr>
          <w:szCs w:val="21"/>
          <w:lang w:eastAsia="en-AU"/>
        </w:rPr>
        <w:t xml:space="preserve"> </w:t>
      </w:r>
    </w:p>
    <w:p w14:paraId="1E75C580" w14:textId="1A632670" w:rsidR="00052C35" w:rsidRPr="009B783C" w:rsidRDefault="00052C35" w:rsidP="00F5425B">
      <w:pPr>
        <w:pStyle w:val="Bullet"/>
        <w:rPr>
          <w:szCs w:val="21"/>
        </w:rPr>
      </w:pPr>
      <w:r w:rsidRPr="009B783C">
        <w:rPr>
          <w:szCs w:val="21"/>
        </w:rPr>
        <w:lastRenderedPageBreak/>
        <w:t xml:space="preserve">The evaluation estimates that ED data would need to be observed for 16 months from the Medicare UCC commencement date to </w:t>
      </w:r>
      <w:r w:rsidR="0049748A" w:rsidRPr="009B783C">
        <w:rPr>
          <w:szCs w:val="21"/>
        </w:rPr>
        <w:t>assess</w:t>
      </w:r>
      <w:r w:rsidRPr="009B783C">
        <w:rPr>
          <w:szCs w:val="21"/>
        </w:rPr>
        <w:t xml:space="preserve"> the impact of the program</w:t>
      </w:r>
      <w:r w:rsidR="004D4DF7" w:rsidRPr="009B783C">
        <w:rPr>
          <w:szCs w:val="21"/>
        </w:rPr>
        <w:t xml:space="preserve">. This includes </w:t>
      </w:r>
      <w:r w:rsidR="0049748A" w:rsidRPr="009B783C">
        <w:rPr>
          <w:szCs w:val="21"/>
        </w:rPr>
        <w:t>four</w:t>
      </w:r>
      <w:r w:rsidRPr="009B783C">
        <w:rPr>
          <w:szCs w:val="21"/>
        </w:rPr>
        <w:t xml:space="preserve"> months</w:t>
      </w:r>
      <w:r w:rsidR="004D4DF7" w:rsidRPr="009B783C">
        <w:rPr>
          <w:szCs w:val="21"/>
        </w:rPr>
        <w:t xml:space="preserve"> for Medicare UCCs to stabilise their activity following establishment and 12 months </w:t>
      </w:r>
      <w:r w:rsidR="00707F6D" w:rsidRPr="009B783C">
        <w:rPr>
          <w:szCs w:val="21"/>
        </w:rPr>
        <w:t xml:space="preserve">beyond that </w:t>
      </w:r>
      <w:r w:rsidR="003F4214" w:rsidRPr="009B783C">
        <w:rPr>
          <w:szCs w:val="21"/>
        </w:rPr>
        <w:t>time</w:t>
      </w:r>
      <w:r w:rsidRPr="009B783C">
        <w:rPr>
          <w:szCs w:val="21"/>
        </w:rPr>
        <w:t xml:space="preserve">. Data that has been released publicly is </w:t>
      </w:r>
      <w:r w:rsidR="00093DD1" w:rsidRPr="009B783C">
        <w:rPr>
          <w:szCs w:val="21"/>
        </w:rPr>
        <w:t>currently</w:t>
      </w:r>
      <w:r w:rsidRPr="009B783C">
        <w:rPr>
          <w:szCs w:val="21"/>
        </w:rPr>
        <w:t xml:space="preserve"> available up to 30 June 2024</w:t>
      </w:r>
      <w:r w:rsidR="00D64036" w:rsidRPr="009B783C">
        <w:rPr>
          <w:szCs w:val="21"/>
        </w:rPr>
        <w:t xml:space="preserve"> for most </w:t>
      </w:r>
      <w:r w:rsidR="006D7B73" w:rsidRPr="009B783C">
        <w:rPr>
          <w:szCs w:val="21"/>
        </w:rPr>
        <w:t>jurisdictions</w:t>
      </w:r>
      <w:r w:rsidR="002B0734" w:rsidRPr="009B783C">
        <w:rPr>
          <w:szCs w:val="21"/>
        </w:rPr>
        <w:t xml:space="preserve"> and </w:t>
      </w:r>
      <w:r w:rsidRPr="009B783C">
        <w:rPr>
          <w:szCs w:val="21"/>
        </w:rPr>
        <w:t>30 September</w:t>
      </w:r>
      <w:r w:rsidR="002B0734" w:rsidRPr="009B783C">
        <w:rPr>
          <w:szCs w:val="21"/>
        </w:rPr>
        <w:t xml:space="preserve"> 2024 in some instances</w:t>
      </w:r>
      <w:r w:rsidRPr="009B783C">
        <w:rPr>
          <w:szCs w:val="21"/>
        </w:rPr>
        <w:t>.</w:t>
      </w:r>
      <w:r w:rsidR="008A611A" w:rsidRPr="009B783C">
        <w:rPr>
          <w:szCs w:val="21"/>
        </w:rPr>
        <w:t xml:space="preserve"> </w:t>
      </w:r>
    </w:p>
    <w:p w14:paraId="5ADB4730" w14:textId="0E41F7D9" w:rsidR="007C0AE8" w:rsidRPr="009B783C" w:rsidRDefault="007C0AE8" w:rsidP="00F5425B">
      <w:pPr>
        <w:pStyle w:val="Bullet"/>
        <w:rPr>
          <w:szCs w:val="21"/>
        </w:rPr>
      </w:pPr>
      <w:r w:rsidRPr="009B783C">
        <w:rPr>
          <w:szCs w:val="21"/>
        </w:rPr>
        <w:t>For many partner hospitals, the 2023</w:t>
      </w:r>
      <w:r w:rsidR="00331C54" w:rsidRPr="009B783C">
        <w:rPr>
          <w:szCs w:val="21"/>
        </w:rPr>
        <w:t>-</w:t>
      </w:r>
      <w:r w:rsidRPr="009B783C">
        <w:rPr>
          <w:szCs w:val="21"/>
        </w:rPr>
        <w:t>24 financial year includes periods prior to the opening of the Medicare UCC as well as post opening. Where states reported quarterly data points, these have also been included in the charts</w:t>
      </w:r>
      <w:r w:rsidR="005B2621" w:rsidRPr="009B783C">
        <w:rPr>
          <w:szCs w:val="21"/>
        </w:rPr>
        <w:t>. I</w:t>
      </w:r>
      <w:r w:rsidRPr="009B783C">
        <w:rPr>
          <w:szCs w:val="21"/>
        </w:rPr>
        <w:t>n some instances</w:t>
      </w:r>
      <w:r w:rsidR="00025238" w:rsidRPr="009B783C">
        <w:rPr>
          <w:szCs w:val="21"/>
        </w:rPr>
        <w:t>,</w:t>
      </w:r>
      <w:r w:rsidRPr="009B783C">
        <w:rPr>
          <w:szCs w:val="21"/>
        </w:rPr>
        <w:t xml:space="preserve"> </w:t>
      </w:r>
      <w:r w:rsidR="00F2353E" w:rsidRPr="009B783C">
        <w:rPr>
          <w:szCs w:val="21"/>
        </w:rPr>
        <w:t xml:space="preserve">this </w:t>
      </w:r>
      <w:r w:rsidRPr="009B783C">
        <w:rPr>
          <w:szCs w:val="21"/>
        </w:rPr>
        <w:t>include</w:t>
      </w:r>
      <w:r w:rsidR="00F2353E" w:rsidRPr="009B783C">
        <w:rPr>
          <w:szCs w:val="21"/>
        </w:rPr>
        <w:t>s</w:t>
      </w:r>
      <w:r w:rsidRPr="009B783C">
        <w:rPr>
          <w:szCs w:val="21"/>
        </w:rPr>
        <w:t xml:space="preserve"> the September quarter for 2024. These </w:t>
      </w:r>
      <w:r w:rsidR="00025238" w:rsidRPr="009B783C">
        <w:rPr>
          <w:szCs w:val="21"/>
        </w:rPr>
        <w:t xml:space="preserve">data </w:t>
      </w:r>
      <w:r w:rsidRPr="009B783C">
        <w:rPr>
          <w:szCs w:val="21"/>
        </w:rPr>
        <w:t>do</w:t>
      </w:r>
      <w:r w:rsidR="00631B8F" w:rsidRPr="009B783C">
        <w:rPr>
          <w:szCs w:val="21"/>
        </w:rPr>
        <w:t xml:space="preserve"> </w:t>
      </w:r>
      <w:r w:rsidRPr="009B783C">
        <w:rPr>
          <w:szCs w:val="21"/>
        </w:rPr>
        <w:t>n</w:t>
      </w:r>
      <w:r w:rsidR="00631B8F" w:rsidRPr="009B783C">
        <w:rPr>
          <w:szCs w:val="21"/>
        </w:rPr>
        <w:t>o</w:t>
      </w:r>
      <w:r w:rsidRPr="009B783C">
        <w:rPr>
          <w:szCs w:val="21"/>
        </w:rPr>
        <w:t>t provide clear evidence of trends.</w:t>
      </w:r>
      <w:r w:rsidR="008A611A" w:rsidRPr="009B783C">
        <w:rPr>
          <w:szCs w:val="21"/>
        </w:rPr>
        <w:t xml:space="preserve"> </w:t>
      </w:r>
    </w:p>
    <w:p w14:paraId="2946EE08" w14:textId="13CDFDBA" w:rsidR="007C0AE8" w:rsidRPr="009B783C" w:rsidRDefault="007C0AE8" w:rsidP="00F5425B">
      <w:pPr>
        <w:pStyle w:val="Bullet"/>
        <w:rPr>
          <w:szCs w:val="21"/>
        </w:rPr>
      </w:pPr>
      <w:r w:rsidRPr="009B783C">
        <w:rPr>
          <w:szCs w:val="21"/>
        </w:rPr>
        <w:t>It is not clear that the observed trends for 2023</w:t>
      </w:r>
      <w:r w:rsidR="00331C54" w:rsidRPr="009B783C">
        <w:rPr>
          <w:szCs w:val="21"/>
        </w:rPr>
        <w:t>-</w:t>
      </w:r>
      <w:r w:rsidRPr="009B783C">
        <w:rPr>
          <w:szCs w:val="21"/>
        </w:rPr>
        <w:t xml:space="preserve">24 are due to the availability of Medicare UCCs. Ideally this requires comparison with the experience of populations that have no or limited access to Medicare UCCs, an approach that is planned in the next stages of the evaluation using a </w:t>
      </w:r>
      <w:proofErr w:type="spellStart"/>
      <w:r w:rsidRPr="009B783C">
        <w:rPr>
          <w:szCs w:val="21"/>
        </w:rPr>
        <w:t>DiD</w:t>
      </w:r>
      <w:proofErr w:type="spellEnd"/>
      <w:r w:rsidRPr="009B783C">
        <w:rPr>
          <w:szCs w:val="21"/>
        </w:rPr>
        <w:t xml:space="preserve"> method. The future phases of the evaluation will also benefit from more comprehensive, granular data over a longer time span post the opening of all the Medicare UCCs.</w:t>
      </w:r>
    </w:p>
    <w:p w14:paraId="21266A79" w14:textId="01568E67" w:rsidR="007C0AE8" w:rsidRPr="009B783C" w:rsidRDefault="007C0AE8" w:rsidP="00F5425B">
      <w:pPr>
        <w:pStyle w:val="Bullet"/>
        <w:rPr>
          <w:szCs w:val="21"/>
        </w:rPr>
      </w:pPr>
      <w:r w:rsidRPr="009B783C">
        <w:rPr>
          <w:szCs w:val="21"/>
        </w:rPr>
        <w:t xml:space="preserve">With the publicly available data, it was not possible to fully isolate urgent care-equivalent ED presentations within triage categories four and five. Additionally, most partner hospitals have larger catchments compared with the Medicare UCCs and it was not possible to focus the analysis of ED presentations to the geographic regions </w:t>
      </w:r>
      <w:r w:rsidR="00B970F3" w:rsidRPr="009B783C">
        <w:rPr>
          <w:szCs w:val="21"/>
        </w:rPr>
        <w:t xml:space="preserve">of </w:t>
      </w:r>
      <w:r w:rsidRPr="009B783C">
        <w:rPr>
          <w:szCs w:val="21"/>
        </w:rPr>
        <w:t>Medicare UCCs.</w:t>
      </w:r>
    </w:p>
    <w:p w14:paraId="59CF54F5" w14:textId="5315C59C" w:rsidR="007C0AE8" w:rsidRPr="009B783C" w:rsidRDefault="007C0AE8" w:rsidP="00F5425B">
      <w:pPr>
        <w:pStyle w:val="Bullet"/>
        <w:rPr>
          <w:szCs w:val="21"/>
        </w:rPr>
      </w:pPr>
      <w:r w:rsidRPr="009B783C">
        <w:rPr>
          <w:szCs w:val="21"/>
        </w:rPr>
        <w:t xml:space="preserve">There are limitations in using waiting time data for triage category four and five presentations to EDs to assess the impact of Medicare UCCs on partner hospital </w:t>
      </w:r>
      <w:proofErr w:type="spellStart"/>
      <w:r w:rsidRPr="009B783C">
        <w:rPr>
          <w:szCs w:val="21"/>
        </w:rPr>
        <w:t>EDs.</w:t>
      </w:r>
      <w:proofErr w:type="spellEnd"/>
      <w:r w:rsidRPr="009B783C">
        <w:rPr>
          <w:szCs w:val="21"/>
        </w:rPr>
        <w:t xml:space="preserve"> It is acknowledged that waiting times for triage category four and five presentations to EDs are impacted by the volume of triage category one to three presentations to EDs, as they are prioritised ahead of others. Medicare UCCs were not designed or intended to impact triage category one to three ED presentations and trend analysis for these presentations has not been considered for this Interim Evaluation Report 1. </w:t>
      </w:r>
    </w:p>
    <w:p w14:paraId="0183F01D" w14:textId="5B8032AC" w:rsidR="000E70E4" w:rsidRPr="009B783C" w:rsidRDefault="007C0AE8" w:rsidP="00F5425B">
      <w:pPr>
        <w:rPr>
          <w:szCs w:val="21"/>
          <w:lang w:val="en-US" w:eastAsia="en-AU"/>
        </w:rPr>
      </w:pPr>
      <w:r w:rsidRPr="009B783C">
        <w:rPr>
          <w:szCs w:val="21"/>
          <w:lang w:eastAsia="en-AU"/>
        </w:rPr>
        <w:t xml:space="preserve">The available data also suggests there is substantial variation </w:t>
      </w:r>
      <w:r w:rsidR="00C90DE1" w:rsidRPr="009B783C">
        <w:rPr>
          <w:szCs w:val="21"/>
          <w:lang w:eastAsia="en-AU"/>
        </w:rPr>
        <w:t>in</w:t>
      </w:r>
      <w:r w:rsidRPr="009B783C">
        <w:rPr>
          <w:szCs w:val="21"/>
          <w:lang w:eastAsia="en-AU"/>
        </w:rPr>
        <w:t xml:space="preserve"> trends between partner hospitals and across states/territories. In most states the percentage decline in triage category five presentations has been greater compared with triage category four. Across the 43 partner hospitals for newly established Medicare UCCs</w:t>
      </w:r>
      <w:r w:rsidR="009549E2" w:rsidRPr="009B783C">
        <w:rPr>
          <w:szCs w:val="21"/>
          <w:lang w:eastAsia="en-AU"/>
        </w:rPr>
        <w:t>,</w:t>
      </w:r>
      <w:r w:rsidRPr="009B783C">
        <w:rPr>
          <w:szCs w:val="21"/>
          <w:lang w:eastAsia="en-AU"/>
        </w:rPr>
        <w:t xml:space="preserve"> 65.1 per cent experienced a decline in presentations for triage category four and 60.5 per cent for triage category </w:t>
      </w:r>
      <w:r w:rsidR="00CD14E9" w:rsidRPr="009B783C">
        <w:rPr>
          <w:szCs w:val="21"/>
          <w:lang w:eastAsia="en-AU"/>
        </w:rPr>
        <w:t>five</w:t>
      </w:r>
      <w:r w:rsidR="00DE0629" w:rsidRPr="009B783C">
        <w:rPr>
          <w:szCs w:val="21"/>
          <w:lang w:eastAsia="en-AU"/>
        </w:rPr>
        <w:t>.</w:t>
      </w:r>
      <w:r w:rsidRPr="009B783C">
        <w:rPr>
          <w:szCs w:val="21"/>
          <w:lang w:eastAsia="en-AU"/>
        </w:rPr>
        <w:t xml:space="preserve"> For the 12 partner hospitals for Medicare UCCs that transitioned from a previous arrangement, 50 per cent experienced a decline in presentations for triage category four and 66.7 per cent for triage category </w:t>
      </w:r>
      <w:r w:rsidR="000E70E4" w:rsidRPr="009B783C">
        <w:rPr>
          <w:szCs w:val="21"/>
          <w:lang w:eastAsia="en-AU"/>
        </w:rPr>
        <w:t>five</w:t>
      </w:r>
      <w:r w:rsidRPr="009B783C">
        <w:rPr>
          <w:szCs w:val="21"/>
          <w:lang w:eastAsia="en-AU"/>
        </w:rPr>
        <w:t xml:space="preserve">. </w:t>
      </w:r>
    </w:p>
    <w:p w14:paraId="7AE116F3" w14:textId="55EE256A" w:rsidR="008E61AD" w:rsidRDefault="007C0AE8" w:rsidP="00F5425B">
      <w:pPr>
        <w:rPr>
          <w:szCs w:val="21"/>
          <w:lang w:eastAsia="en-AU"/>
        </w:rPr>
      </w:pPr>
      <w:r w:rsidRPr="009B783C">
        <w:rPr>
          <w:szCs w:val="21"/>
          <w:lang w:eastAsia="en-AU"/>
        </w:rPr>
        <w:t xml:space="preserve">Local factors, such as population growth, differences in need for urgent care between regions and the level of availability of alternatives for urgent care are likely to influence this variation. These, and other relevant national factors, will be further explored in later evaluation reports and incorporated into analysis of the impact of Medicare UCCs.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3E6A4A" w:rsidRPr="009B783C" w14:paraId="79710692" w14:textId="77777777" w:rsidTr="009B0888">
        <w:tc>
          <w:tcPr>
            <w:tcW w:w="8907" w:type="dxa"/>
          </w:tcPr>
          <w:p w14:paraId="18B22222" w14:textId="5A1BAF9E" w:rsidR="003E6A4A" w:rsidRPr="009B783C" w:rsidRDefault="00384A69"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5D67FD65" w14:textId="32D45FA7" w:rsidR="003E6A4A" w:rsidRPr="009B783C" w:rsidRDefault="003E6A4A" w:rsidP="00F5425B">
            <w:pPr>
              <w:pStyle w:val="Longformcallout"/>
              <w:rPr>
                <w:szCs w:val="21"/>
              </w:rPr>
            </w:pPr>
            <w:r w:rsidRPr="009B783C">
              <w:rPr>
                <w:szCs w:val="21"/>
              </w:rPr>
              <w:lastRenderedPageBreak/>
              <w:t>At this early stage, the evaluation cannot draw valid conclusion</w:t>
            </w:r>
            <w:r w:rsidR="00F255B6" w:rsidRPr="009B783C">
              <w:rPr>
                <w:szCs w:val="21"/>
              </w:rPr>
              <w:t>s about</w:t>
            </w:r>
            <w:r w:rsidRPr="009B783C">
              <w:rPr>
                <w:szCs w:val="21"/>
              </w:rPr>
              <w:t xml:space="preserve"> the impact of the program </w:t>
            </w:r>
            <w:r w:rsidR="004949F9" w:rsidRPr="009B783C">
              <w:rPr>
                <w:szCs w:val="21"/>
              </w:rPr>
              <w:t>on triage categories four and five</w:t>
            </w:r>
            <w:r w:rsidR="00F255B6" w:rsidRPr="009B783C">
              <w:rPr>
                <w:szCs w:val="21"/>
              </w:rPr>
              <w:t xml:space="preserve"> presentations and waiting times at </w:t>
            </w:r>
            <w:r w:rsidRPr="009B783C">
              <w:rPr>
                <w:szCs w:val="21"/>
              </w:rPr>
              <w:t>partner hospital E</w:t>
            </w:r>
            <w:r w:rsidR="00BA1BF9" w:rsidRPr="009B783C">
              <w:rPr>
                <w:szCs w:val="21"/>
              </w:rPr>
              <w:t>D</w:t>
            </w:r>
            <w:r w:rsidRPr="009B783C">
              <w:rPr>
                <w:szCs w:val="21"/>
              </w:rPr>
              <w:t>s</w:t>
            </w:r>
            <w:r w:rsidR="00D02C0C" w:rsidRPr="009B783C">
              <w:rPr>
                <w:szCs w:val="21"/>
              </w:rPr>
              <w:t>,</w:t>
            </w:r>
            <w:r w:rsidRPr="009B783C">
              <w:rPr>
                <w:szCs w:val="21"/>
              </w:rPr>
              <w:t xml:space="preserve"> based on </w:t>
            </w:r>
            <w:r w:rsidR="00F255B6" w:rsidRPr="009B783C">
              <w:rPr>
                <w:szCs w:val="21"/>
              </w:rPr>
              <w:t xml:space="preserve">the publicly </w:t>
            </w:r>
            <w:r w:rsidRPr="009B783C">
              <w:rPr>
                <w:szCs w:val="21"/>
              </w:rPr>
              <w:t xml:space="preserve">available </w:t>
            </w:r>
            <w:r w:rsidR="00F255B6" w:rsidRPr="009B783C">
              <w:rPr>
                <w:szCs w:val="21"/>
              </w:rPr>
              <w:t>hospital data</w:t>
            </w:r>
            <w:r w:rsidRPr="009B783C">
              <w:rPr>
                <w:szCs w:val="21"/>
              </w:rPr>
              <w:t xml:space="preserve">. </w:t>
            </w:r>
          </w:p>
        </w:tc>
      </w:tr>
    </w:tbl>
    <w:p w14:paraId="68B29683" w14:textId="77777777" w:rsidR="00ED38B8" w:rsidRPr="009B783C" w:rsidRDefault="00ED38B8" w:rsidP="000D706D">
      <w:pPr>
        <w:pStyle w:val="Heading3"/>
      </w:pPr>
      <w:r w:rsidRPr="009B783C">
        <w:lastRenderedPageBreak/>
        <w:t>Next steps</w:t>
      </w:r>
    </w:p>
    <w:p w14:paraId="3C96A0B2" w14:textId="73340713" w:rsidR="004A0A23" w:rsidRPr="009B783C" w:rsidRDefault="004A0A23" w:rsidP="00F5425B">
      <w:pPr>
        <w:rPr>
          <w:szCs w:val="21"/>
          <w:lang w:eastAsia="en-AU"/>
        </w:rPr>
      </w:pPr>
      <w:r w:rsidRPr="009B783C">
        <w:rPr>
          <w:szCs w:val="21"/>
          <w:lang w:eastAsia="en-AU"/>
        </w:rPr>
        <w:t xml:space="preserve">For Interim Evaluation Report 2, </w:t>
      </w:r>
      <w:proofErr w:type="spellStart"/>
      <w:r w:rsidRPr="009B783C">
        <w:rPr>
          <w:szCs w:val="21"/>
          <w:lang w:eastAsia="en-AU"/>
        </w:rPr>
        <w:t>an</w:t>
      </w:r>
      <w:proofErr w:type="spellEnd"/>
      <w:r w:rsidRPr="009B783C">
        <w:rPr>
          <w:szCs w:val="21"/>
          <w:lang w:eastAsia="en-AU"/>
        </w:rPr>
        <w:t xml:space="preserve"> ITS analysis will be undertaken with more comprehensive and granular data </w:t>
      </w:r>
      <w:r w:rsidR="00FF4EC0" w:rsidRPr="009B783C">
        <w:rPr>
          <w:szCs w:val="21"/>
          <w:lang w:eastAsia="en-AU"/>
        </w:rPr>
        <w:t xml:space="preserve">collected over a longer timeframe </w:t>
      </w:r>
      <w:r w:rsidRPr="009B783C">
        <w:rPr>
          <w:szCs w:val="21"/>
          <w:lang w:eastAsia="en-AU"/>
        </w:rPr>
        <w:t xml:space="preserve">to determine if Medicare UCCs have an impact on the underlying trend in ED presentations at partner hospitals (for urgent care-equivalent presentations). </w:t>
      </w:r>
    </w:p>
    <w:p w14:paraId="799F9770" w14:textId="65208D74" w:rsidR="00ED38B8" w:rsidRPr="009B783C" w:rsidRDefault="00ED38B8" w:rsidP="00F5425B">
      <w:pPr>
        <w:rPr>
          <w:szCs w:val="21"/>
          <w:lang w:eastAsia="en-AU"/>
        </w:rPr>
      </w:pPr>
      <w:r w:rsidRPr="009B783C">
        <w:rPr>
          <w:szCs w:val="21"/>
          <w:lang w:eastAsia="en-AU"/>
        </w:rPr>
        <w:t xml:space="preserve">For the Final Evaluation Report, </w:t>
      </w:r>
      <w:proofErr w:type="spellStart"/>
      <w:r w:rsidRPr="009B783C">
        <w:rPr>
          <w:szCs w:val="21"/>
          <w:lang w:eastAsia="en-AU"/>
        </w:rPr>
        <w:t>a</w:t>
      </w:r>
      <w:proofErr w:type="spellEnd"/>
      <w:r w:rsidRPr="009B783C">
        <w:rPr>
          <w:szCs w:val="21"/>
          <w:lang w:eastAsia="en-AU"/>
        </w:rPr>
        <w:t xml:space="preserve"> </w:t>
      </w:r>
      <w:proofErr w:type="spellStart"/>
      <w:r w:rsidRPr="009B783C">
        <w:rPr>
          <w:szCs w:val="21"/>
          <w:lang w:eastAsia="en-AU"/>
        </w:rPr>
        <w:t>DiD</w:t>
      </w:r>
      <w:proofErr w:type="spellEnd"/>
      <w:r w:rsidRPr="009B783C">
        <w:rPr>
          <w:szCs w:val="21"/>
          <w:lang w:eastAsia="en-AU"/>
        </w:rPr>
        <w:t xml:space="preserve"> analysis will be undertaken, where outcomes are compared between an intervention group</w:t>
      </w:r>
      <w:r w:rsidR="004918A1" w:rsidRPr="009B783C">
        <w:rPr>
          <w:szCs w:val="21"/>
          <w:lang w:eastAsia="en-AU"/>
        </w:rPr>
        <w:t xml:space="preserve"> – </w:t>
      </w:r>
      <w:r w:rsidRPr="009B783C">
        <w:rPr>
          <w:szCs w:val="21"/>
          <w:lang w:eastAsia="en-AU"/>
        </w:rPr>
        <w:t>residents in regions with Medicare UCCs</w:t>
      </w:r>
      <w:r w:rsidR="004918A1" w:rsidRPr="009B783C">
        <w:rPr>
          <w:szCs w:val="21"/>
          <w:lang w:eastAsia="en-AU"/>
        </w:rPr>
        <w:t xml:space="preserve"> – </w:t>
      </w:r>
      <w:r w:rsidRPr="009B783C">
        <w:rPr>
          <w:szCs w:val="21"/>
          <w:lang w:eastAsia="en-AU"/>
        </w:rPr>
        <w:t>and a control group</w:t>
      </w:r>
      <w:r w:rsidR="009430F6" w:rsidRPr="009B783C">
        <w:rPr>
          <w:szCs w:val="21"/>
          <w:lang w:eastAsia="en-AU"/>
        </w:rPr>
        <w:t xml:space="preserve"> – </w:t>
      </w:r>
      <w:r w:rsidRPr="009B783C">
        <w:rPr>
          <w:szCs w:val="21"/>
          <w:lang w:eastAsia="en-AU"/>
        </w:rPr>
        <w:t>residents in other regions</w:t>
      </w:r>
      <w:r w:rsidR="004A0A23" w:rsidRPr="009B783C">
        <w:rPr>
          <w:szCs w:val="21"/>
          <w:lang w:eastAsia="en-AU"/>
        </w:rPr>
        <w:t>.</w:t>
      </w:r>
      <w:r w:rsidRPr="009B783C">
        <w:rPr>
          <w:szCs w:val="21"/>
          <w:lang w:eastAsia="en-AU"/>
        </w:rPr>
        <w:t xml:space="preserve"> Since individuals are not randomly assigned to regions with or without Medicare UCCs, the analysis will control for pre-existing differences between the groups. The </w:t>
      </w:r>
      <w:proofErr w:type="spellStart"/>
      <w:r w:rsidRPr="009B783C">
        <w:rPr>
          <w:szCs w:val="21"/>
          <w:lang w:eastAsia="en-AU"/>
        </w:rPr>
        <w:t>DiD</w:t>
      </w:r>
      <w:proofErr w:type="spellEnd"/>
      <w:r w:rsidRPr="009B783C">
        <w:rPr>
          <w:szCs w:val="21"/>
          <w:lang w:eastAsia="en-AU"/>
        </w:rPr>
        <w:t xml:space="preserve"> method estimates what would have occurred for the intervention group if the Medicare UCCs had not been introduced, producing a “counterfactual” outcome.</w:t>
      </w:r>
    </w:p>
    <w:p w14:paraId="7A81AE87" w14:textId="08D141B2" w:rsidR="00ED38B8" w:rsidRPr="009B783C" w:rsidRDefault="00ED38B8" w:rsidP="00F5425B">
      <w:pPr>
        <w:spacing w:after="240"/>
        <w:rPr>
          <w:szCs w:val="21"/>
          <w:lang w:eastAsia="en-AU"/>
        </w:rPr>
      </w:pPr>
      <w:r w:rsidRPr="009B783C">
        <w:rPr>
          <w:szCs w:val="21"/>
          <w:lang w:eastAsia="en-AU"/>
        </w:rPr>
        <w:t>The analytical approaches are phased across the reporting periods of the evaluation based on data availability.</w:t>
      </w:r>
      <w:r w:rsidR="00105B63" w:rsidRPr="009B783C">
        <w:rPr>
          <w:szCs w:val="21"/>
          <w:lang w:eastAsia="en-AU"/>
        </w:rPr>
        <w:t xml:space="preserve"> Future analysis will also consider othe</w:t>
      </w:r>
      <w:r w:rsidR="0073480C" w:rsidRPr="009B783C">
        <w:rPr>
          <w:szCs w:val="21"/>
          <w:lang w:eastAsia="en-AU"/>
        </w:rPr>
        <w:t>r</w:t>
      </w:r>
      <w:r w:rsidR="00105B63" w:rsidRPr="009B783C">
        <w:rPr>
          <w:szCs w:val="21"/>
          <w:lang w:eastAsia="en-AU"/>
        </w:rPr>
        <w:t xml:space="preserve"> factors that may impact changes in </w:t>
      </w:r>
      <w:r w:rsidR="003D1F51" w:rsidRPr="009B783C">
        <w:rPr>
          <w:szCs w:val="21"/>
          <w:lang w:eastAsia="en-AU"/>
        </w:rPr>
        <w:t>triage</w:t>
      </w:r>
      <w:r w:rsidR="00105B63" w:rsidRPr="009B783C">
        <w:rPr>
          <w:szCs w:val="21"/>
          <w:lang w:eastAsia="en-AU"/>
        </w:rPr>
        <w:t xml:space="preserve"> category four and five presentations to EDs, for example, population growth.</w:t>
      </w:r>
    </w:p>
    <w:tbl>
      <w:tblPr>
        <w:tblStyle w:val="TableGrid"/>
        <w:tblW w:w="0" w:type="auto"/>
        <w:tblLook w:val="04A0" w:firstRow="1" w:lastRow="0" w:firstColumn="1" w:lastColumn="0" w:noHBand="0" w:noVBand="1"/>
      </w:tblPr>
      <w:tblGrid>
        <w:gridCol w:w="8920"/>
      </w:tblGrid>
      <w:tr w:rsidR="009711A2" w:rsidRPr="009B783C" w14:paraId="3D558C54" w14:textId="77777777">
        <w:trPr>
          <w:trHeight w:val="215"/>
        </w:trPr>
        <w:tc>
          <w:tcPr>
            <w:tcW w:w="8920" w:type="dxa"/>
            <w:tcBorders>
              <w:top w:val="nil"/>
              <w:left w:val="nil"/>
              <w:bottom w:val="nil"/>
              <w:right w:val="nil"/>
            </w:tcBorders>
            <w:shd w:val="clear" w:color="auto" w:fill="25B3E0" w:themeFill="accent6"/>
          </w:tcPr>
          <w:p w14:paraId="04FEC844" w14:textId="29903BC0" w:rsidR="009711A2" w:rsidRPr="00372E8E" w:rsidRDefault="00B56EA0">
            <w:pPr>
              <w:pStyle w:val="TableNheader"/>
              <w:rPr>
                <w:color w:val="00264D" w:themeColor="background2"/>
              </w:rPr>
            </w:pPr>
            <w:r w:rsidRPr="00372E8E">
              <w:rPr>
                <w:color w:val="00264D" w:themeColor="background2"/>
              </w:rPr>
              <w:t>Measure Of Success 7</w:t>
            </w:r>
          </w:p>
        </w:tc>
      </w:tr>
    </w:tbl>
    <w:p w14:paraId="55539999" w14:textId="2C1E2D0C" w:rsidR="0098687F" w:rsidRPr="009B783C" w:rsidRDefault="005508B9" w:rsidP="00CA2335">
      <w:pPr>
        <w:pStyle w:val="Heading2"/>
      </w:pPr>
      <w:bookmarkStart w:id="164" w:name="_Ref188979371"/>
      <w:bookmarkStart w:id="165" w:name="_Ref188979372"/>
      <w:bookmarkStart w:id="166" w:name="_Toc189639233"/>
      <w:bookmarkStart w:id="167" w:name="_Toc189772033"/>
      <w:r w:rsidRPr="009B783C">
        <w:t>Consumer behaviour</w:t>
      </w:r>
      <w:bookmarkEnd w:id="164"/>
      <w:bookmarkEnd w:id="165"/>
      <w:bookmarkEnd w:id="166"/>
      <w:bookmarkEnd w:id="167"/>
    </w:p>
    <w:p w14:paraId="5582A761" w14:textId="7C54DFE6" w:rsidR="00E057DF" w:rsidRPr="009B783C" w:rsidRDefault="00E057DF" w:rsidP="00F5425B">
      <w:pPr>
        <w:rPr>
          <w:szCs w:val="21"/>
          <w:lang w:eastAsia="en-AU"/>
        </w:rPr>
      </w:pPr>
      <w:r w:rsidRPr="009B783C">
        <w:rPr>
          <w:szCs w:val="21"/>
          <w:lang w:eastAsia="en-AU"/>
        </w:rPr>
        <w:t>Measure of Success 7</w:t>
      </w:r>
      <w:r w:rsidR="005508B9" w:rsidRPr="009B783C">
        <w:rPr>
          <w:szCs w:val="21"/>
          <w:lang w:eastAsia="en-AU"/>
        </w:rPr>
        <w:t xml:space="preserve"> agreed by the Australian, state and territory </w:t>
      </w:r>
      <w:r w:rsidR="007F6F4D" w:rsidRPr="009B783C">
        <w:rPr>
          <w:szCs w:val="21"/>
          <w:lang w:eastAsia="en-AU"/>
        </w:rPr>
        <w:t xml:space="preserve">governments </w:t>
      </w:r>
      <w:r w:rsidR="005508B9" w:rsidRPr="009B783C">
        <w:rPr>
          <w:szCs w:val="21"/>
          <w:lang w:eastAsia="en-AU"/>
        </w:rPr>
        <w:t>is:</w:t>
      </w:r>
    </w:p>
    <w:p w14:paraId="06FB20D1" w14:textId="660FB1D3" w:rsidR="005508B9" w:rsidRPr="009B783C" w:rsidRDefault="005508B9" w:rsidP="00F5425B">
      <w:pPr>
        <w:pStyle w:val="Caption"/>
        <w:spacing w:line="276" w:lineRule="auto"/>
        <w:rPr>
          <w:szCs w:val="21"/>
        </w:rPr>
      </w:pPr>
      <w:r w:rsidRPr="009B783C">
        <w:rPr>
          <w:szCs w:val="21"/>
        </w:rPr>
        <w:t>“There is a change in consumer behaviour over time to use Medicare UCCs where available instead of EDs for urgent non-life-threatening conditions.”</w:t>
      </w:r>
    </w:p>
    <w:p w14:paraId="033853E2" w14:textId="29D46DBD" w:rsidR="0098687F" w:rsidRPr="009B783C" w:rsidRDefault="0098687F" w:rsidP="00F5425B">
      <w:pPr>
        <w:rPr>
          <w:szCs w:val="21"/>
          <w:lang w:eastAsia="en-AU"/>
        </w:rPr>
      </w:pPr>
      <w:r w:rsidRPr="009B783C">
        <w:rPr>
          <w:szCs w:val="21"/>
          <w:lang w:eastAsia="en-AU"/>
        </w:rPr>
        <w:t>For this Interim Evaluation Report 1, Measure of Success 7 is assessed through the following dimensions:</w:t>
      </w:r>
    </w:p>
    <w:p w14:paraId="42B105D7" w14:textId="0E1FF4C4" w:rsidR="00C87AC1" w:rsidRPr="009B783C" w:rsidRDefault="0098687F" w:rsidP="00F5425B">
      <w:pPr>
        <w:pStyle w:val="Bullet"/>
        <w:rPr>
          <w:szCs w:val="21"/>
        </w:rPr>
      </w:pPr>
      <w:r w:rsidRPr="009B783C">
        <w:rPr>
          <w:szCs w:val="21"/>
        </w:rPr>
        <w:t>Presentations to Medicare UCCs</w:t>
      </w:r>
      <w:r w:rsidR="00C87AC1" w:rsidRPr="009B783C">
        <w:rPr>
          <w:szCs w:val="21"/>
        </w:rPr>
        <w:t>.</w:t>
      </w:r>
    </w:p>
    <w:p w14:paraId="22F6BBA7" w14:textId="10AD4C56" w:rsidR="0098687F" w:rsidRPr="009B783C" w:rsidRDefault="00C87AC1" w:rsidP="00F5425B">
      <w:pPr>
        <w:pStyle w:val="Bullet"/>
        <w:rPr>
          <w:szCs w:val="21"/>
        </w:rPr>
      </w:pPr>
      <w:r w:rsidRPr="009B783C">
        <w:rPr>
          <w:szCs w:val="21"/>
        </w:rPr>
        <w:t>U</w:t>
      </w:r>
      <w:r w:rsidR="0098687F" w:rsidRPr="009B783C">
        <w:rPr>
          <w:szCs w:val="21"/>
        </w:rPr>
        <w:t>se of Medicare UCCs instead of EDs</w:t>
      </w:r>
      <w:r w:rsidRPr="009B783C">
        <w:rPr>
          <w:szCs w:val="21"/>
        </w:rPr>
        <w:t xml:space="preserve"> for urgent non-life-threatening conditions.</w:t>
      </w:r>
    </w:p>
    <w:p w14:paraId="6E89B223" w14:textId="77777777" w:rsidR="0098687F" w:rsidRPr="009B783C" w:rsidRDefault="0098687F" w:rsidP="00F5425B">
      <w:pPr>
        <w:pStyle w:val="Bullet"/>
        <w:rPr>
          <w:szCs w:val="21"/>
        </w:rPr>
      </w:pPr>
      <w:r w:rsidRPr="009B783C">
        <w:rPr>
          <w:szCs w:val="21"/>
        </w:rPr>
        <w:t>The impact of national and local communications campaigns on consumer awareness and understanding of Medicare UCCs.</w:t>
      </w:r>
    </w:p>
    <w:p w14:paraId="3383C999" w14:textId="7DED029D" w:rsidR="0098687F" w:rsidRPr="009B783C" w:rsidRDefault="0098687F" w:rsidP="00F5425B">
      <w:pPr>
        <w:rPr>
          <w:szCs w:val="21"/>
        </w:rPr>
      </w:pPr>
      <w:r w:rsidRPr="009B783C">
        <w:rPr>
          <w:szCs w:val="21"/>
        </w:rPr>
        <w:t xml:space="preserve">Insights presented are based on analysis of Medicare UCC data, interviews with commissioners, the CHF </w:t>
      </w:r>
      <w:r w:rsidR="0001099F" w:rsidRPr="009B783C">
        <w:rPr>
          <w:szCs w:val="21"/>
        </w:rPr>
        <w:t xml:space="preserve">executive </w:t>
      </w:r>
      <w:r w:rsidRPr="009B783C">
        <w:rPr>
          <w:szCs w:val="21"/>
        </w:rPr>
        <w:t xml:space="preserve">and </w:t>
      </w:r>
      <w:r w:rsidR="002F0EDE" w:rsidRPr="009B783C">
        <w:rPr>
          <w:szCs w:val="21"/>
        </w:rPr>
        <w:t xml:space="preserve">the previously identified </w:t>
      </w:r>
      <w:r w:rsidRPr="009B783C">
        <w:rPr>
          <w:szCs w:val="21"/>
        </w:rPr>
        <w:t>Medicare UCCs</w:t>
      </w:r>
      <w:r w:rsidR="0099484C" w:rsidRPr="009B783C">
        <w:rPr>
          <w:szCs w:val="21"/>
        </w:rPr>
        <w:t xml:space="preserve">. </w:t>
      </w:r>
      <w:r w:rsidR="006A64FC" w:rsidRPr="009B783C">
        <w:rPr>
          <w:szCs w:val="21"/>
        </w:rPr>
        <w:t>It also draws on</w:t>
      </w:r>
      <w:r w:rsidRPr="009B783C">
        <w:rPr>
          <w:szCs w:val="21"/>
        </w:rPr>
        <w:t xml:space="preserve"> Department-commissioned research assessing performance and impact of a national communications campaign on patient awareness. </w:t>
      </w:r>
    </w:p>
    <w:p w14:paraId="61D9C72D" w14:textId="7D0B6BC7" w:rsidR="0098687F" w:rsidRPr="009B783C" w:rsidRDefault="0098687F" w:rsidP="000D706D">
      <w:pPr>
        <w:pStyle w:val="Heading3"/>
      </w:pPr>
      <w:bookmarkStart w:id="168" w:name="_Toc179962845"/>
      <w:r w:rsidRPr="009B783C">
        <w:lastRenderedPageBreak/>
        <w:t xml:space="preserve">Newly established Medicare UCCs experienced a rapid growth in activity that stabilised within </w:t>
      </w:r>
      <w:r w:rsidR="00BF5E8F" w:rsidRPr="009B783C">
        <w:t>four</w:t>
      </w:r>
      <w:r w:rsidRPr="009B783C">
        <w:t xml:space="preserve"> months</w:t>
      </w:r>
    </w:p>
    <w:p w14:paraId="7ABAE5F5" w14:textId="72FDE300" w:rsidR="0098687F" w:rsidRPr="009B783C" w:rsidRDefault="0098687F" w:rsidP="00F5425B">
      <w:pPr>
        <w:rPr>
          <w:szCs w:val="21"/>
          <w:lang w:val="en-US" w:eastAsia="en-AU"/>
        </w:rPr>
      </w:pPr>
      <w:r w:rsidRPr="009B783C">
        <w:rPr>
          <w:szCs w:val="21"/>
        </w:rPr>
        <w:t xml:space="preserve">Growth in presentations was primarily driven by new clinics opening prior to 31 December 2023 and from 1 July 2024 (see </w:t>
      </w:r>
      <w:r w:rsidRPr="009B783C">
        <w:rPr>
          <w:szCs w:val="21"/>
        </w:rPr>
        <w:fldChar w:fldCharType="begin"/>
      </w:r>
      <w:r w:rsidRPr="009B783C">
        <w:rPr>
          <w:szCs w:val="21"/>
        </w:rPr>
        <w:instrText xml:space="preserve"> REF _Ref184126316 \h </w:instrText>
      </w:r>
      <w:r w:rsidR="00F5425B" w:rsidRPr="009B783C">
        <w:rPr>
          <w:szCs w:val="21"/>
        </w:rPr>
        <w:instrText xml:space="preserve"> \* MERGEFORMAT </w:instrText>
      </w:r>
      <w:r w:rsidRPr="009B783C">
        <w:rPr>
          <w:szCs w:val="21"/>
        </w:rPr>
      </w:r>
      <w:r w:rsidRPr="009B783C">
        <w:rPr>
          <w:szCs w:val="21"/>
        </w:rPr>
        <w:fldChar w:fldCharType="separate"/>
      </w:r>
      <w:r w:rsidR="00384A69" w:rsidRPr="009B783C">
        <w:rPr>
          <w:szCs w:val="21"/>
        </w:rPr>
        <w:t xml:space="preserve">Figure </w:t>
      </w:r>
      <w:r w:rsidR="00384A69">
        <w:rPr>
          <w:szCs w:val="21"/>
        </w:rPr>
        <w:t>16</w:t>
      </w:r>
      <w:r w:rsidRPr="009B783C">
        <w:rPr>
          <w:szCs w:val="21"/>
        </w:rPr>
        <w:fldChar w:fldCharType="end"/>
      </w:r>
      <w:r w:rsidRPr="009B783C">
        <w:rPr>
          <w:szCs w:val="21"/>
        </w:rPr>
        <w:t xml:space="preserve">). </w:t>
      </w:r>
      <w:r w:rsidRPr="009B783C">
        <w:rPr>
          <w:szCs w:val="21"/>
          <w:lang w:eastAsia="en-AU"/>
        </w:rPr>
        <w:t xml:space="preserve">Medicare UCCs that were newly established experienced a rapid increase in activity in the first </w:t>
      </w:r>
      <w:r w:rsidR="00E336C7" w:rsidRPr="009B783C">
        <w:rPr>
          <w:szCs w:val="21"/>
          <w:lang w:eastAsia="en-AU"/>
        </w:rPr>
        <w:t>four</w:t>
      </w:r>
      <w:r w:rsidRPr="009B783C">
        <w:rPr>
          <w:szCs w:val="21"/>
          <w:lang w:eastAsia="en-AU"/>
        </w:rPr>
        <w:t xml:space="preserve"> months</w:t>
      </w:r>
      <w:r w:rsidR="00290CEC" w:rsidRPr="009B783C">
        <w:rPr>
          <w:szCs w:val="21"/>
          <w:lang w:eastAsia="en-AU"/>
        </w:rPr>
        <w:t xml:space="preserve"> (see </w:t>
      </w:r>
      <w:r w:rsidR="00290CEC" w:rsidRPr="009B783C">
        <w:rPr>
          <w:szCs w:val="21"/>
          <w:lang w:eastAsia="en-AU"/>
        </w:rPr>
        <w:fldChar w:fldCharType="begin"/>
      </w:r>
      <w:r w:rsidR="00290CEC" w:rsidRPr="009B783C">
        <w:rPr>
          <w:szCs w:val="21"/>
          <w:lang w:eastAsia="en-AU"/>
        </w:rPr>
        <w:instrText xml:space="preserve"> REF _Ref184807578 \h </w:instrText>
      </w:r>
      <w:r w:rsidR="00F5425B" w:rsidRPr="009B783C">
        <w:rPr>
          <w:szCs w:val="21"/>
          <w:lang w:eastAsia="en-AU"/>
        </w:rPr>
        <w:instrText xml:space="preserve"> \* MERGEFORMAT </w:instrText>
      </w:r>
      <w:r w:rsidR="00290CEC" w:rsidRPr="009B783C">
        <w:rPr>
          <w:szCs w:val="21"/>
          <w:lang w:eastAsia="en-AU"/>
        </w:rPr>
      </w:r>
      <w:r w:rsidR="00290CEC" w:rsidRPr="009B783C">
        <w:rPr>
          <w:szCs w:val="21"/>
          <w:lang w:eastAsia="en-AU"/>
        </w:rPr>
        <w:fldChar w:fldCharType="separate"/>
      </w:r>
      <w:r w:rsidR="008E1C47" w:rsidRPr="009B783C">
        <w:rPr>
          <w:szCs w:val="21"/>
        </w:rPr>
        <w:t xml:space="preserve">Figure </w:t>
      </w:r>
      <w:r w:rsidR="008E1C47">
        <w:rPr>
          <w:szCs w:val="21"/>
        </w:rPr>
        <w:t>17</w:t>
      </w:r>
      <w:r w:rsidR="00290CEC" w:rsidRPr="009B783C">
        <w:rPr>
          <w:szCs w:val="21"/>
          <w:lang w:eastAsia="en-AU"/>
        </w:rPr>
        <w:fldChar w:fldCharType="end"/>
      </w:r>
      <w:r w:rsidR="00290CEC" w:rsidRPr="009B783C">
        <w:rPr>
          <w:szCs w:val="21"/>
          <w:lang w:eastAsia="en-AU"/>
        </w:rPr>
        <w:t>)</w:t>
      </w:r>
      <w:r w:rsidRPr="009B783C">
        <w:rPr>
          <w:szCs w:val="21"/>
          <w:lang w:eastAsia="en-AU"/>
        </w:rPr>
        <w:t>. There is also some evidence that Medicare UCCs that transitioned from a previous state arrangement increased their level of activity after commencing as a Medicare UCC. For many clinics that transitioned from previous state arrangements, this is likely due to moving from a referral-based intake model to a walk-in model</w:t>
      </w:r>
      <w:r w:rsidR="00BE01E2" w:rsidRPr="009B783C">
        <w:rPr>
          <w:szCs w:val="21"/>
          <w:lang w:eastAsia="en-AU"/>
        </w:rPr>
        <w:t>.</w:t>
      </w:r>
    </w:p>
    <w:p w14:paraId="15DE1F21" w14:textId="6799BC62" w:rsidR="00E463F1" w:rsidRPr="009B783C" w:rsidRDefault="00E463F1" w:rsidP="00F5425B">
      <w:pPr>
        <w:rPr>
          <w:szCs w:val="21"/>
          <w:lang w:eastAsia="en-AU"/>
        </w:rPr>
      </w:pPr>
      <w:r w:rsidRPr="009B783C">
        <w:rPr>
          <w:szCs w:val="21"/>
          <w:lang w:eastAsia="en-AU"/>
        </w:rPr>
        <w:t xml:space="preserve">For the 58 clinics that opened before 31 December 2023, presentations decreased slightly between June and September 2024. This may reflect seasonal patterns. For example, there were decreases in national COVID-19, influenza and </w:t>
      </w:r>
      <w:r w:rsidR="00217D9D" w:rsidRPr="009B783C">
        <w:rPr>
          <w:szCs w:val="21"/>
          <w:lang w:eastAsia="en-AU"/>
        </w:rPr>
        <w:t>respiratory syncytial</w:t>
      </w:r>
      <w:r w:rsidR="006821E4" w:rsidRPr="009B783C">
        <w:rPr>
          <w:szCs w:val="21"/>
          <w:lang w:eastAsia="en-AU"/>
        </w:rPr>
        <w:t xml:space="preserve"> virus </w:t>
      </w:r>
      <w:r w:rsidRPr="009B783C">
        <w:rPr>
          <w:szCs w:val="21"/>
          <w:lang w:eastAsia="en-AU"/>
        </w:rPr>
        <w:t>activity reported during this period.</w:t>
      </w:r>
      <w:r w:rsidRPr="009B783C">
        <w:rPr>
          <w:rStyle w:val="FootnoteReference"/>
          <w:szCs w:val="21"/>
          <w:lang w:eastAsia="en-AU"/>
        </w:rPr>
        <w:footnoteReference w:id="92"/>
      </w:r>
      <w:r w:rsidRPr="009B783C">
        <w:rPr>
          <w:szCs w:val="21"/>
          <w:lang w:eastAsia="en-AU"/>
        </w:rPr>
        <w:t xml:space="preserve"> Changes in activity in the Medicare UCCs will be examined further in future phases of the evaluation when data is available over a longer period.</w:t>
      </w:r>
    </w:p>
    <w:p w14:paraId="6F14D552" w14:textId="1F3D5B7A" w:rsidR="0098687F" w:rsidRPr="009B783C" w:rsidRDefault="0098687F" w:rsidP="0098687F">
      <w:pPr>
        <w:pStyle w:val="Caption"/>
        <w:rPr>
          <w:szCs w:val="21"/>
        </w:rPr>
      </w:pPr>
      <w:bookmarkStart w:id="169" w:name="_Ref184126316"/>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384A69">
        <w:rPr>
          <w:noProof/>
          <w:szCs w:val="21"/>
        </w:rPr>
        <w:t>16</w:t>
      </w:r>
      <w:r w:rsidRPr="009B783C">
        <w:rPr>
          <w:szCs w:val="21"/>
        </w:rPr>
        <w:fldChar w:fldCharType="end"/>
      </w:r>
      <w:bookmarkEnd w:id="169"/>
      <w:r w:rsidRPr="009B783C">
        <w:rPr>
          <w:szCs w:val="21"/>
        </w:rPr>
        <w:t xml:space="preserve"> | Presentations to Medicare UCCs per week 30 June 2023 to 30 Sept</w:t>
      </w:r>
      <w:r w:rsidR="00E336C7" w:rsidRPr="009B783C">
        <w:rPr>
          <w:szCs w:val="21"/>
        </w:rPr>
        <w:t>ember</w:t>
      </w:r>
      <w:r w:rsidRPr="009B783C">
        <w:rPr>
          <w:szCs w:val="21"/>
        </w:rPr>
        <w:t xml:space="preserve"> 2024</w:t>
      </w:r>
    </w:p>
    <w:bookmarkEnd w:id="168"/>
    <w:p w14:paraId="0D48AB98" w14:textId="7899EE9F" w:rsidR="0098687F" w:rsidRPr="009B783C" w:rsidRDefault="00467CB0" w:rsidP="000C6CF5">
      <w:pPr>
        <w:jc w:val="center"/>
      </w:pPr>
      <w:r>
        <w:rPr>
          <w:noProof/>
        </w:rPr>
        <w:drawing>
          <wp:inline distT="0" distB="0" distL="0" distR="0" wp14:anchorId="44643835" wp14:editId="766A795A">
            <wp:extent cx="5670482" cy="3540034"/>
            <wp:effectExtent l="0" t="0" r="6985" b="3810"/>
            <wp:docPr id="833475884" name="Picture 833475884" descr="The trend graph depicts two lines showing presentations per week to Medicare UCCs from July 2023 until September 202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475884" name="Picture 833475884" descr="The trend graph depicts two lines showing presentations per week to Medicare UCCs from July 2023 until September 2024. "/>
                    <pic:cNvPicPr>
                      <a:picLocks noChangeAspect="1" noChangeArrowheads="1"/>
                    </pic:cNvPicPr>
                  </pic:nvPicPr>
                  <pic:blipFill rotWithShape="1">
                    <a:blip r:embed="rId48" cstate="print"/>
                    <a:srcRect b="13662"/>
                    <a:stretch/>
                  </pic:blipFill>
                  <pic:spPr bwMode="auto">
                    <a:xfrm>
                      <a:off x="0" y="0"/>
                      <a:ext cx="5670550" cy="3540076"/>
                    </a:xfrm>
                    <a:prstGeom prst="rect">
                      <a:avLst/>
                    </a:prstGeom>
                    <a:noFill/>
                    <a:ln>
                      <a:noFill/>
                    </a:ln>
                    <a:extLst>
                      <a:ext uri="{53640926-AAD7-44D8-BBD7-CCE9431645EC}">
                        <a14:shadowObscured xmlns:a14="http://schemas.microsoft.com/office/drawing/2010/main"/>
                      </a:ext>
                    </a:extLst>
                  </pic:spPr>
                </pic:pic>
              </a:graphicData>
            </a:graphic>
          </wp:inline>
        </w:drawing>
      </w:r>
    </w:p>
    <w:p w14:paraId="03945A39" w14:textId="238E7D9E" w:rsidR="005C2A34" w:rsidRPr="009B783C" w:rsidRDefault="000D706D" w:rsidP="005C2A34">
      <w:pPr>
        <w:rPr>
          <w:szCs w:val="21"/>
        </w:rPr>
      </w:pPr>
      <w:r>
        <w:rPr>
          <w:szCs w:val="21"/>
        </w:rPr>
        <w:t xml:space="preserve">Detailed </w:t>
      </w:r>
      <w:r w:rsidR="005C2A34" w:rsidRPr="009B783C">
        <w:rPr>
          <w:szCs w:val="21"/>
        </w:rPr>
        <w:t>Description:</w:t>
      </w:r>
    </w:p>
    <w:p w14:paraId="46105489" w14:textId="2917FD0D" w:rsidR="00ED227A" w:rsidRPr="009B783C" w:rsidRDefault="00F06803" w:rsidP="00ED227A">
      <w:pPr>
        <w:rPr>
          <w:szCs w:val="21"/>
        </w:rPr>
      </w:pPr>
      <w:r w:rsidRPr="009B783C">
        <w:rPr>
          <w:szCs w:val="21"/>
        </w:rPr>
        <w:t xml:space="preserve">The trend graph depicts two lines showing </w:t>
      </w:r>
      <w:r w:rsidR="006C1BAA" w:rsidRPr="009B783C">
        <w:rPr>
          <w:szCs w:val="21"/>
        </w:rPr>
        <w:t>presentations</w:t>
      </w:r>
      <w:r w:rsidR="00833341" w:rsidRPr="009B783C">
        <w:rPr>
          <w:szCs w:val="21"/>
        </w:rPr>
        <w:t xml:space="preserve"> </w:t>
      </w:r>
      <w:r w:rsidR="00015F2A">
        <w:rPr>
          <w:szCs w:val="21"/>
        </w:rPr>
        <w:t xml:space="preserve">per week </w:t>
      </w:r>
      <w:r w:rsidR="00833341" w:rsidRPr="009B783C">
        <w:rPr>
          <w:szCs w:val="21"/>
        </w:rPr>
        <w:t xml:space="preserve">to </w:t>
      </w:r>
      <w:r w:rsidR="006C1BAA" w:rsidRPr="009B783C">
        <w:rPr>
          <w:szCs w:val="21"/>
        </w:rPr>
        <w:t>Medicare</w:t>
      </w:r>
      <w:r w:rsidRPr="009B783C">
        <w:rPr>
          <w:szCs w:val="21"/>
        </w:rPr>
        <w:t xml:space="preserve"> UCCs</w:t>
      </w:r>
      <w:r w:rsidR="00ED227A" w:rsidRPr="009B783C">
        <w:rPr>
          <w:szCs w:val="21"/>
        </w:rPr>
        <w:t xml:space="preserve"> from July 2023 until September 2024</w:t>
      </w:r>
      <w:r w:rsidR="00833341" w:rsidRPr="009B783C">
        <w:rPr>
          <w:szCs w:val="21"/>
        </w:rPr>
        <w:t xml:space="preserve">. </w:t>
      </w:r>
      <w:r w:rsidR="00ED227A" w:rsidRPr="009B783C">
        <w:rPr>
          <w:szCs w:val="21"/>
        </w:rPr>
        <w:t xml:space="preserve">The lines are split into Medicare UCCs which opened before 31 December 2023 (n=58) and </w:t>
      </w:r>
      <w:r w:rsidR="00AA6801" w:rsidRPr="009B783C">
        <w:rPr>
          <w:szCs w:val="21"/>
        </w:rPr>
        <w:t>Medicare UCCs that opened before 30 September 2024 (n = 75): Jul-Sept 2024 only.</w:t>
      </w:r>
    </w:p>
    <w:p w14:paraId="7F60A39C" w14:textId="7189D43C" w:rsidR="006C1BAA" w:rsidRPr="009B783C" w:rsidRDefault="00F06803" w:rsidP="00F06803">
      <w:pPr>
        <w:rPr>
          <w:szCs w:val="21"/>
        </w:rPr>
      </w:pPr>
      <w:r w:rsidRPr="009B783C">
        <w:rPr>
          <w:szCs w:val="21"/>
        </w:rPr>
        <w:lastRenderedPageBreak/>
        <w:t>The data is summarised in the following table.</w:t>
      </w:r>
    </w:p>
    <w:tbl>
      <w:tblPr>
        <w:tblStyle w:val="TableGrid"/>
        <w:tblW w:w="0" w:type="auto"/>
        <w:tblLook w:val="04A0" w:firstRow="1" w:lastRow="0" w:firstColumn="1" w:lastColumn="0" w:noHBand="0" w:noVBand="1"/>
      </w:tblPr>
      <w:tblGrid>
        <w:gridCol w:w="2263"/>
        <w:gridCol w:w="3187"/>
        <w:gridCol w:w="3470"/>
      </w:tblGrid>
      <w:tr w:rsidR="002435ED" w:rsidRPr="009B783C" w14:paraId="57F1E2E1" w14:textId="15789A33" w:rsidTr="00154309">
        <w:trPr>
          <w:tblHeader/>
        </w:trPr>
        <w:tc>
          <w:tcPr>
            <w:tcW w:w="2263" w:type="dxa"/>
            <w:shd w:val="clear" w:color="auto" w:fill="00264D" w:themeFill="background2"/>
          </w:tcPr>
          <w:p w14:paraId="34EA7467" w14:textId="58CB811F" w:rsidR="002435ED" w:rsidRPr="009B783C" w:rsidRDefault="00572B10" w:rsidP="00372E8E">
            <w:pPr>
              <w:pStyle w:val="TableNheader"/>
              <w:rPr>
                <w:rFonts w:asciiTheme="majorHAnsi" w:hAnsiTheme="majorHAnsi" w:cstheme="majorHAnsi"/>
              </w:rPr>
            </w:pPr>
            <w:r>
              <w:t>Date</w:t>
            </w:r>
          </w:p>
        </w:tc>
        <w:tc>
          <w:tcPr>
            <w:tcW w:w="3187" w:type="dxa"/>
            <w:shd w:val="clear" w:color="auto" w:fill="00264D" w:themeFill="background2"/>
          </w:tcPr>
          <w:p w14:paraId="21807414" w14:textId="31988EC6" w:rsidR="002435ED" w:rsidRPr="009B783C" w:rsidRDefault="002435ED" w:rsidP="00372E8E">
            <w:pPr>
              <w:pStyle w:val="TableNheader"/>
              <w:rPr>
                <w:rFonts w:asciiTheme="majorHAnsi" w:hAnsiTheme="majorHAnsi" w:cstheme="majorHAnsi"/>
              </w:rPr>
            </w:pPr>
            <w:r w:rsidRPr="009B783C">
              <w:t>Presentations (n)</w:t>
            </w:r>
            <w:r w:rsidR="00ED7749" w:rsidRPr="009B783C">
              <w:rPr>
                <w:rFonts w:asciiTheme="majorHAnsi" w:hAnsiTheme="majorHAnsi" w:cstheme="majorHAnsi"/>
              </w:rPr>
              <w:t xml:space="preserve"> </w:t>
            </w:r>
            <w:r w:rsidR="004664B2">
              <w:rPr>
                <w:rFonts w:asciiTheme="majorHAnsi" w:hAnsiTheme="majorHAnsi" w:cstheme="majorHAnsi"/>
              </w:rPr>
              <w:t xml:space="preserve">per week </w:t>
            </w:r>
            <w:r w:rsidR="00ED7749" w:rsidRPr="009B783C">
              <w:rPr>
                <w:rFonts w:asciiTheme="majorHAnsi" w:hAnsiTheme="majorHAnsi" w:cstheme="majorHAnsi"/>
              </w:rPr>
              <w:t>to Medicare UCCs which opened before 31 December 2023</w:t>
            </w:r>
          </w:p>
        </w:tc>
        <w:tc>
          <w:tcPr>
            <w:tcW w:w="3470" w:type="dxa"/>
            <w:shd w:val="clear" w:color="auto" w:fill="00264D" w:themeFill="background2"/>
          </w:tcPr>
          <w:p w14:paraId="4EC04D4D" w14:textId="666A7969" w:rsidR="002435ED" w:rsidRPr="009B783C" w:rsidRDefault="00ED7749" w:rsidP="00372E8E">
            <w:pPr>
              <w:pStyle w:val="TableNheader"/>
              <w:rPr>
                <w:rFonts w:asciiTheme="majorHAnsi" w:hAnsiTheme="majorHAnsi" w:cstheme="majorHAnsi"/>
              </w:rPr>
            </w:pPr>
            <w:r w:rsidRPr="009B783C">
              <w:t>Presentations (n)</w:t>
            </w:r>
            <w:r w:rsidRPr="009B783C">
              <w:rPr>
                <w:rFonts w:asciiTheme="majorHAnsi" w:hAnsiTheme="majorHAnsi" w:cstheme="majorHAnsi"/>
              </w:rPr>
              <w:t xml:space="preserve"> </w:t>
            </w:r>
            <w:r w:rsidR="004664B2">
              <w:rPr>
                <w:rFonts w:asciiTheme="majorHAnsi" w:hAnsiTheme="majorHAnsi" w:cstheme="majorHAnsi"/>
              </w:rPr>
              <w:t xml:space="preserve">per week </w:t>
            </w:r>
            <w:r w:rsidRPr="009B783C">
              <w:rPr>
                <w:rFonts w:asciiTheme="majorHAnsi" w:hAnsiTheme="majorHAnsi" w:cstheme="majorHAnsi"/>
              </w:rPr>
              <w:t>to Medicare UCCs which opened before 30 September 2024 (</w:t>
            </w:r>
            <w:r w:rsidR="008D7518" w:rsidRPr="009B783C">
              <w:rPr>
                <w:rFonts w:asciiTheme="majorHAnsi" w:hAnsiTheme="majorHAnsi" w:cstheme="majorHAnsi"/>
              </w:rPr>
              <w:t>Jul-Sept 2024 only)</w:t>
            </w:r>
          </w:p>
        </w:tc>
      </w:tr>
      <w:tr w:rsidR="002435ED" w:rsidRPr="009B783C" w14:paraId="7A8F9E3B" w14:textId="35B03E8B" w:rsidTr="00154309">
        <w:tc>
          <w:tcPr>
            <w:tcW w:w="2263" w:type="dxa"/>
            <w:vAlign w:val="bottom"/>
          </w:tcPr>
          <w:p w14:paraId="7599B3BE" w14:textId="25FDD3FE" w:rsidR="002435ED" w:rsidRPr="009B783C" w:rsidRDefault="002435ED" w:rsidP="00903D7F">
            <w:pPr>
              <w:rPr>
                <w:rFonts w:asciiTheme="minorHAnsi" w:hAnsiTheme="minorHAnsi" w:cstheme="minorHAnsi"/>
                <w:szCs w:val="21"/>
              </w:rPr>
            </w:pPr>
            <w:r w:rsidRPr="009B783C">
              <w:rPr>
                <w:rFonts w:asciiTheme="minorHAnsi" w:hAnsiTheme="minorHAnsi" w:cstheme="minorHAnsi"/>
                <w:color w:val="000000"/>
                <w:szCs w:val="21"/>
              </w:rPr>
              <w:t>3</w:t>
            </w:r>
            <w:r w:rsidR="00154309">
              <w:rPr>
                <w:rFonts w:asciiTheme="minorHAnsi" w:hAnsiTheme="minorHAnsi" w:cstheme="minorHAnsi"/>
                <w:color w:val="000000"/>
                <w:szCs w:val="21"/>
              </w:rPr>
              <w:t xml:space="preserve"> July </w:t>
            </w:r>
            <w:r w:rsidRPr="009B783C">
              <w:rPr>
                <w:rFonts w:asciiTheme="minorHAnsi" w:hAnsiTheme="minorHAnsi" w:cstheme="minorHAnsi"/>
                <w:color w:val="000000"/>
                <w:szCs w:val="21"/>
              </w:rPr>
              <w:t>2023</w:t>
            </w:r>
          </w:p>
        </w:tc>
        <w:tc>
          <w:tcPr>
            <w:tcW w:w="3187" w:type="dxa"/>
            <w:vAlign w:val="bottom"/>
          </w:tcPr>
          <w:p w14:paraId="24917058" w14:textId="6DA37DA1" w:rsidR="002435ED" w:rsidRPr="009B783C" w:rsidRDefault="002435ED" w:rsidP="00100060">
            <w:pPr>
              <w:jc w:val="center"/>
              <w:rPr>
                <w:rFonts w:asciiTheme="minorHAnsi" w:hAnsiTheme="minorHAnsi" w:cstheme="minorHAnsi"/>
                <w:szCs w:val="21"/>
              </w:rPr>
            </w:pPr>
            <w:r w:rsidRPr="009B783C">
              <w:rPr>
                <w:rFonts w:asciiTheme="minorHAnsi" w:hAnsiTheme="minorHAnsi" w:cstheme="minorHAnsi"/>
                <w:color w:val="000000"/>
                <w:szCs w:val="21"/>
              </w:rPr>
              <w:t>1240</w:t>
            </w:r>
          </w:p>
        </w:tc>
        <w:tc>
          <w:tcPr>
            <w:tcW w:w="3470" w:type="dxa"/>
          </w:tcPr>
          <w:p w14:paraId="455C24C0" w14:textId="77777777" w:rsidR="002435ED" w:rsidRPr="009B783C" w:rsidRDefault="002435ED" w:rsidP="00100060">
            <w:pPr>
              <w:jc w:val="center"/>
              <w:rPr>
                <w:rFonts w:asciiTheme="minorHAnsi" w:hAnsiTheme="minorHAnsi" w:cstheme="minorHAnsi"/>
                <w:color w:val="000000"/>
                <w:szCs w:val="21"/>
              </w:rPr>
            </w:pPr>
          </w:p>
        </w:tc>
      </w:tr>
      <w:tr w:rsidR="002435ED" w:rsidRPr="009B783C" w14:paraId="25912E88" w14:textId="518AB273" w:rsidTr="00154309">
        <w:tc>
          <w:tcPr>
            <w:tcW w:w="2263" w:type="dxa"/>
            <w:vAlign w:val="bottom"/>
          </w:tcPr>
          <w:p w14:paraId="1106D0D3" w14:textId="119BA722" w:rsidR="002435ED" w:rsidRPr="009B783C" w:rsidRDefault="00AD7A70" w:rsidP="00903D7F">
            <w:pPr>
              <w:rPr>
                <w:rFonts w:asciiTheme="minorHAnsi" w:hAnsiTheme="minorHAnsi" w:cstheme="minorHAnsi"/>
                <w:szCs w:val="21"/>
              </w:rPr>
            </w:pPr>
            <w:r>
              <w:rPr>
                <w:rFonts w:asciiTheme="minorHAnsi" w:hAnsiTheme="minorHAnsi" w:cstheme="minorHAnsi"/>
                <w:color w:val="000000"/>
                <w:szCs w:val="21"/>
              </w:rPr>
              <w:t>30</w:t>
            </w:r>
            <w:r w:rsidR="00154309">
              <w:rPr>
                <w:rFonts w:asciiTheme="minorHAnsi" w:hAnsiTheme="minorHAnsi" w:cstheme="minorHAnsi"/>
                <w:color w:val="000000"/>
                <w:szCs w:val="21"/>
              </w:rPr>
              <w:t xml:space="preserve"> September </w:t>
            </w:r>
            <w:r w:rsidR="002435ED" w:rsidRPr="009B783C">
              <w:rPr>
                <w:rFonts w:asciiTheme="minorHAnsi" w:hAnsiTheme="minorHAnsi" w:cstheme="minorHAnsi"/>
                <w:color w:val="000000"/>
                <w:szCs w:val="21"/>
              </w:rPr>
              <w:t>2023</w:t>
            </w:r>
          </w:p>
        </w:tc>
        <w:tc>
          <w:tcPr>
            <w:tcW w:w="3187" w:type="dxa"/>
            <w:vAlign w:val="bottom"/>
          </w:tcPr>
          <w:p w14:paraId="4D85EAE5" w14:textId="0E1A1B73" w:rsidR="002435ED" w:rsidRPr="009B783C" w:rsidRDefault="002435ED" w:rsidP="00100060">
            <w:pPr>
              <w:jc w:val="center"/>
              <w:rPr>
                <w:rFonts w:asciiTheme="minorHAnsi" w:hAnsiTheme="minorHAnsi" w:cstheme="minorHAnsi"/>
                <w:szCs w:val="21"/>
              </w:rPr>
            </w:pPr>
            <w:r w:rsidRPr="009B783C">
              <w:rPr>
                <w:rFonts w:asciiTheme="minorHAnsi" w:hAnsiTheme="minorHAnsi" w:cstheme="minorHAnsi"/>
                <w:color w:val="000000"/>
                <w:szCs w:val="21"/>
              </w:rPr>
              <w:t>4214</w:t>
            </w:r>
          </w:p>
        </w:tc>
        <w:tc>
          <w:tcPr>
            <w:tcW w:w="3470" w:type="dxa"/>
          </w:tcPr>
          <w:p w14:paraId="50ECD917" w14:textId="77777777" w:rsidR="002435ED" w:rsidRPr="009B783C" w:rsidRDefault="002435ED" w:rsidP="00100060">
            <w:pPr>
              <w:jc w:val="center"/>
              <w:rPr>
                <w:rFonts w:asciiTheme="minorHAnsi" w:hAnsiTheme="minorHAnsi" w:cstheme="minorHAnsi"/>
                <w:color w:val="000000"/>
                <w:szCs w:val="21"/>
              </w:rPr>
            </w:pPr>
          </w:p>
        </w:tc>
      </w:tr>
      <w:tr w:rsidR="002435ED" w:rsidRPr="009B783C" w14:paraId="0F00F380" w14:textId="4FA8FCAC" w:rsidTr="00154309">
        <w:tc>
          <w:tcPr>
            <w:tcW w:w="2263" w:type="dxa"/>
            <w:vAlign w:val="bottom"/>
          </w:tcPr>
          <w:p w14:paraId="64D8385E" w14:textId="7EA7E9E5" w:rsidR="002435ED" w:rsidRPr="009B783C" w:rsidRDefault="00AD7A70" w:rsidP="00903D7F">
            <w:pPr>
              <w:rPr>
                <w:rFonts w:asciiTheme="minorHAnsi" w:hAnsiTheme="minorHAnsi" w:cstheme="minorHAnsi"/>
                <w:szCs w:val="21"/>
              </w:rPr>
            </w:pPr>
            <w:r>
              <w:rPr>
                <w:rFonts w:asciiTheme="minorHAnsi" w:hAnsiTheme="minorHAnsi" w:cstheme="minorHAnsi"/>
                <w:color w:val="000000"/>
                <w:szCs w:val="21"/>
              </w:rPr>
              <w:t>31 December 2023</w:t>
            </w:r>
          </w:p>
        </w:tc>
        <w:tc>
          <w:tcPr>
            <w:tcW w:w="3187" w:type="dxa"/>
            <w:vAlign w:val="bottom"/>
          </w:tcPr>
          <w:p w14:paraId="55F76595" w14:textId="7AF3433F" w:rsidR="002435ED" w:rsidRPr="009B783C" w:rsidRDefault="002435ED" w:rsidP="00100060">
            <w:pPr>
              <w:jc w:val="center"/>
              <w:rPr>
                <w:rFonts w:asciiTheme="minorHAnsi" w:hAnsiTheme="minorHAnsi" w:cstheme="minorHAnsi"/>
                <w:szCs w:val="21"/>
              </w:rPr>
            </w:pPr>
            <w:r w:rsidRPr="009B783C">
              <w:rPr>
                <w:rFonts w:asciiTheme="minorHAnsi" w:hAnsiTheme="minorHAnsi" w:cstheme="minorHAnsi"/>
                <w:color w:val="000000"/>
                <w:szCs w:val="21"/>
              </w:rPr>
              <w:t>13316</w:t>
            </w:r>
          </w:p>
        </w:tc>
        <w:tc>
          <w:tcPr>
            <w:tcW w:w="3470" w:type="dxa"/>
          </w:tcPr>
          <w:p w14:paraId="20F23B03" w14:textId="77777777" w:rsidR="002435ED" w:rsidRPr="009B783C" w:rsidRDefault="002435ED" w:rsidP="00100060">
            <w:pPr>
              <w:jc w:val="center"/>
              <w:rPr>
                <w:rFonts w:asciiTheme="minorHAnsi" w:hAnsiTheme="minorHAnsi" w:cstheme="minorHAnsi"/>
                <w:color w:val="000000"/>
                <w:szCs w:val="21"/>
              </w:rPr>
            </w:pPr>
          </w:p>
        </w:tc>
      </w:tr>
      <w:tr w:rsidR="002435ED" w:rsidRPr="009B783C" w14:paraId="210D4BAB" w14:textId="0CC15799" w:rsidTr="00154309">
        <w:tc>
          <w:tcPr>
            <w:tcW w:w="2263" w:type="dxa"/>
            <w:vAlign w:val="bottom"/>
          </w:tcPr>
          <w:p w14:paraId="3970C1B0" w14:textId="67BED39E" w:rsidR="002435ED" w:rsidRPr="009B783C" w:rsidRDefault="00AD7A70" w:rsidP="00903D7F">
            <w:pPr>
              <w:rPr>
                <w:rFonts w:asciiTheme="minorHAnsi" w:hAnsiTheme="minorHAnsi" w:cstheme="minorHAnsi"/>
                <w:szCs w:val="21"/>
              </w:rPr>
            </w:pPr>
            <w:r>
              <w:rPr>
                <w:rFonts w:asciiTheme="minorHAnsi" w:hAnsiTheme="minorHAnsi" w:cstheme="minorHAnsi"/>
                <w:color w:val="000000"/>
                <w:szCs w:val="21"/>
              </w:rPr>
              <w:t>31 March 2024</w:t>
            </w:r>
          </w:p>
        </w:tc>
        <w:tc>
          <w:tcPr>
            <w:tcW w:w="3187" w:type="dxa"/>
            <w:vAlign w:val="bottom"/>
          </w:tcPr>
          <w:p w14:paraId="35C35128" w14:textId="47FF3032" w:rsidR="002435ED" w:rsidRPr="009B783C" w:rsidRDefault="002435ED" w:rsidP="00100060">
            <w:pPr>
              <w:jc w:val="center"/>
              <w:rPr>
                <w:rFonts w:asciiTheme="minorHAnsi" w:hAnsiTheme="minorHAnsi" w:cstheme="minorHAnsi"/>
                <w:szCs w:val="21"/>
              </w:rPr>
            </w:pPr>
            <w:r w:rsidRPr="009B783C">
              <w:rPr>
                <w:rFonts w:asciiTheme="minorHAnsi" w:hAnsiTheme="minorHAnsi" w:cstheme="minorHAnsi"/>
                <w:color w:val="000000"/>
                <w:szCs w:val="21"/>
              </w:rPr>
              <w:t>15244</w:t>
            </w:r>
          </w:p>
        </w:tc>
        <w:tc>
          <w:tcPr>
            <w:tcW w:w="3470" w:type="dxa"/>
          </w:tcPr>
          <w:p w14:paraId="704A347D" w14:textId="77777777" w:rsidR="002435ED" w:rsidRPr="009B783C" w:rsidRDefault="002435ED" w:rsidP="00100060">
            <w:pPr>
              <w:jc w:val="center"/>
              <w:rPr>
                <w:rFonts w:asciiTheme="minorHAnsi" w:hAnsiTheme="minorHAnsi" w:cstheme="minorHAnsi"/>
                <w:color w:val="000000"/>
                <w:szCs w:val="21"/>
              </w:rPr>
            </w:pPr>
          </w:p>
        </w:tc>
      </w:tr>
      <w:tr w:rsidR="006E6993" w:rsidRPr="009B783C" w14:paraId="16E7DACF" w14:textId="33B5D6D4" w:rsidTr="00154309">
        <w:tc>
          <w:tcPr>
            <w:tcW w:w="2263" w:type="dxa"/>
            <w:vAlign w:val="bottom"/>
          </w:tcPr>
          <w:p w14:paraId="78BF2CB0" w14:textId="2C912357" w:rsidR="006E6993" w:rsidRPr="009B783C" w:rsidRDefault="00AD7A70" w:rsidP="006E6993">
            <w:pPr>
              <w:rPr>
                <w:rFonts w:asciiTheme="minorHAnsi" w:hAnsiTheme="minorHAnsi" w:cstheme="minorHAnsi"/>
                <w:color w:val="000000"/>
                <w:szCs w:val="21"/>
              </w:rPr>
            </w:pPr>
            <w:r>
              <w:rPr>
                <w:rFonts w:asciiTheme="minorHAnsi" w:hAnsiTheme="minorHAnsi" w:cstheme="minorHAnsi"/>
                <w:color w:val="000000"/>
                <w:szCs w:val="21"/>
              </w:rPr>
              <w:t>30 June 2024</w:t>
            </w:r>
          </w:p>
        </w:tc>
        <w:tc>
          <w:tcPr>
            <w:tcW w:w="3187" w:type="dxa"/>
            <w:vAlign w:val="bottom"/>
          </w:tcPr>
          <w:p w14:paraId="592260C9" w14:textId="43F99FF0" w:rsidR="006E6993" w:rsidRPr="009B783C" w:rsidRDefault="006E6993" w:rsidP="00100060">
            <w:pPr>
              <w:jc w:val="center"/>
              <w:rPr>
                <w:rFonts w:asciiTheme="minorHAnsi" w:hAnsiTheme="minorHAnsi" w:cstheme="minorHAnsi"/>
                <w:color w:val="000000"/>
                <w:szCs w:val="21"/>
              </w:rPr>
            </w:pPr>
            <w:r w:rsidRPr="009B783C">
              <w:rPr>
                <w:rFonts w:asciiTheme="minorHAnsi" w:hAnsiTheme="minorHAnsi" w:cstheme="minorHAnsi"/>
                <w:color w:val="000000"/>
                <w:szCs w:val="21"/>
              </w:rPr>
              <w:t>15543</w:t>
            </w:r>
          </w:p>
        </w:tc>
        <w:tc>
          <w:tcPr>
            <w:tcW w:w="3470" w:type="dxa"/>
            <w:vAlign w:val="bottom"/>
          </w:tcPr>
          <w:p w14:paraId="61FF45B3" w14:textId="22D48686" w:rsidR="006E6993" w:rsidRPr="009B783C" w:rsidRDefault="006E6993" w:rsidP="00100060">
            <w:pPr>
              <w:jc w:val="center"/>
              <w:rPr>
                <w:rFonts w:asciiTheme="minorHAnsi" w:hAnsiTheme="minorHAnsi" w:cstheme="minorHAnsi"/>
                <w:color w:val="000000"/>
                <w:szCs w:val="21"/>
              </w:rPr>
            </w:pPr>
            <w:r w:rsidRPr="009B783C">
              <w:rPr>
                <w:rFonts w:ascii="Calibri" w:hAnsi="Calibri" w:cs="Calibri"/>
                <w:color w:val="000000"/>
                <w:sz w:val="22"/>
              </w:rPr>
              <w:t>15721</w:t>
            </w:r>
          </w:p>
        </w:tc>
      </w:tr>
      <w:tr w:rsidR="006E6993" w:rsidRPr="009B783C" w14:paraId="7942CD6C" w14:textId="2D0635EE" w:rsidTr="00154309">
        <w:tc>
          <w:tcPr>
            <w:tcW w:w="2263" w:type="dxa"/>
            <w:vAlign w:val="bottom"/>
          </w:tcPr>
          <w:p w14:paraId="569A9752" w14:textId="28002D64" w:rsidR="006E6993" w:rsidRPr="009B783C" w:rsidRDefault="00AD7A70" w:rsidP="006E6993">
            <w:pPr>
              <w:rPr>
                <w:rFonts w:asciiTheme="minorHAnsi" w:hAnsiTheme="minorHAnsi" w:cstheme="minorHAnsi"/>
                <w:color w:val="000000"/>
                <w:szCs w:val="21"/>
              </w:rPr>
            </w:pPr>
            <w:r>
              <w:rPr>
                <w:rFonts w:asciiTheme="minorHAnsi" w:hAnsiTheme="minorHAnsi" w:cstheme="minorHAnsi"/>
                <w:color w:val="000000"/>
                <w:szCs w:val="21"/>
              </w:rPr>
              <w:t>30 September 2024</w:t>
            </w:r>
          </w:p>
        </w:tc>
        <w:tc>
          <w:tcPr>
            <w:tcW w:w="3187" w:type="dxa"/>
            <w:vAlign w:val="bottom"/>
          </w:tcPr>
          <w:p w14:paraId="03AC04DA" w14:textId="5BEDEF95" w:rsidR="006E6993" w:rsidRPr="009B783C" w:rsidRDefault="006E6993" w:rsidP="00100060">
            <w:pPr>
              <w:jc w:val="center"/>
              <w:rPr>
                <w:rFonts w:asciiTheme="minorHAnsi" w:hAnsiTheme="minorHAnsi" w:cstheme="minorHAnsi"/>
                <w:color w:val="000000"/>
                <w:szCs w:val="21"/>
              </w:rPr>
            </w:pPr>
            <w:r w:rsidRPr="009B783C">
              <w:rPr>
                <w:rFonts w:asciiTheme="minorHAnsi" w:hAnsiTheme="minorHAnsi" w:cstheme="minorHAnsi"/>
                <w:color w:val="000000"/>
                <w:szCs w:val="21"/>
              </w:rPr>
              <w:t>15455</w:t>
            </w:r>
          </w:p>
        </w:tc>
        <w:tc>
          <w:tcPr>
            <w:tcW w:w="3470" w:type="dxa"/>
            <w:vAlign w:val="bottom"/>
          </w:tcPr>
          <w:p w14:paraId="624FA993" w14:textId="10834A5D" w:rsidR="006E6993" w:rsidRPr="009B783C" w:rsidRDefault="006E6993" w:rsidP="00100060">
            <w:pPr>
              <w:jc w:val="center"/>
              <w:rPr>
                <w:rFonts w:asciiTheme="minorHAnsi" w:hAnsiTheme="minorHAnsi" w:cstheme="minorHAnsi"/>
                <w:color w:val="000000"/>
                <w:szCs w:val="21"/>
              </w:rPr>
            </w:pPr>
            <w:r w:rsidRPr="009B783C">
              <w:rPr>
                <w:rFonts w:ascii="Calibri" w:hAnsi="Calibri" w:cs="Calibri"/>
                <w:color w:val="000000"/>
                <w:sz w:val="22"/>
              </w:rPr>
              <w:t>17477</w:t>
            </w:r>
          </w:p>
        </w:tc>
      </w:tr>
    </w:tbl>
    <w:p w14:paraId="37EBA2FD" w14:textId="21D57DC8" w:rsidR="0098687F" w:rsidRPr="009B783C" w:rsidRDefault="00E15FAE" w:rsidP="00606C34">
      <w:pPr>
        <w:rPr>
          <w:sz w:val="20"/>
          <w:szCs w:val="20"/>
          <w:lang w:eastAsia="en-AU"/>
        </w:rPr>
      </w:pPr>
      <w:r w:rsidRPr="009B783C">
        <w:rPr>
          <w:sz w:val="20"/>
          <w:szCs w:val="20"/>
          <w:lang w:eastAsia="en-AU"/>
        </w:rPr>
        <w:t xml:space="preserve">Notes: Based on all data reported </w:t>
      </w:r>
      <w:r w:rsidR="000C6CF5" w:rsidRPr="009B783C">
        <w:rPr>
          <w:sz w:val="20"/>
          <w:szCs w:val="20"/>
          <w:lang w:eastAsia="en-AU"/>
        </w:rPr>
        <w:t>between 30 June 2023 and 30 September 2024,</w:t>
      </w:r>
      <w:r w:rsidR="003E3235" w:rsidRPr="009B783C">
        <w:rPr>
          <w:sz w:val="20"/>
          <w:szCs w:val="20"/>
          <w:lang w:eastAsia="en-AU"/>
        </w:rPr>
        <w:t xml:space="preserve"> </w:t>
      </w:r>
      <w:r w:rsidRPr="009B783C">
        <w:rPr>
          <w:sz w:val="20"/>
          <w:szCs w:val="20"/>
          <w:lang w:eastAsia="en-AU"/>
        </w:rPr>
        <w:t>including aggregate counts</w:t>
      </w:r>
      <w:r w:rsidR="003E3235" w:rsidRPr="009B783C">
        <w:rPr>
          <w:sz w:val="20"/>
          <w:szCs w:val="20"/>
          <w:lang w:eastAsia="en-AU"/>
        </w:rPr>
        <w:t>. Data extracted 3 December 2024</w:t>
      </w:r>
      <w:r w:rsidRPr="009B783C">
        <w:rPr>
          <w:sz w:val="20"/>
          <w:szCs w:val="20"/>
          <w:lang w:eastAsia="en-AU"/>
        </w:rPr>
        <w:t xml:space="preserve">. </w:t>
      </w:r>
      <w:r w:rsidR="000C6CF5" w:rsidRPr="009B783C">
        <w:rPr>
          <w:sz w:val="20"/>
          <w:szCs w:val="20"/>
          <w:lang w:eastAsia="en-AU"/>
        </w:rPr>
        <w:t xml:space="preserve">A small number of Medicare UCCs had no activity reported for the last week of September 2024. </w:t>
      </w:r>
    </w:p>
    <w:p w14:paraId="65D8834C" w14:textId="3703AD96" w:rsidR="0098687F" w:rsidRPr="009B783C" w:rsidRDefault="0098687F" w:rsidP="0098687F">
      <w:pPr>
        <w:pStyle w:val="Caption"/>
        <w:rPr>
          <w:szCs w:val="21"/>
        </w:rPr>
      </w:pPr>
      <w:bookmarkStart w:id="170" w:name="_Ref184807578"/>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8E1C47">
        <w:rPr>
          <w:noProof/>
          <w:szCs w:val="21"/>
        </w:rPr>
        <w:t>17</w:t>
      </w:r>
      <w:r w:rsidRPr="009B783C">
        <w:rPr>
          <w:szCs w:val="21"/>
        </w:rPr>
        <w:fldChar w:fldCharType="end"/>
      </w:r>
      <w:bookmarkEnd w:id="170"/>
      <w:r w:rsidRPr="009B783C">
        <w:rPr>
          <w:szCs w:val="21"/>
        </w:rPr>
        <w:t xml:space="preserve"> | Mean weekly presentations to Medicare UCCs from date of opening or transitioning: Medicare UCCs open for at least 12 weeks</w:t>
      </w:r>
      <w:r w:rsidR="00E57014" w:rsidRPr="009B783C">
        <w:rPr>
          <w:szCs w:val="21"/>
        </w:rPr>
        <w:t xml:space="preserve">, June 2023 </w:t>
      </w:r>
      <w:r w:rsidR="00672CB4" w:rsidRPr="009B783C">
        <w:rPr>
          <w:szCs w:val="21"/>
        </w:rPr>
        <w:t xml:space="preserve">to </w:t>
      </w:r>
      <w:r w:rsidR="00E57014" w:rsidRPr="009B783C">
        <w:rPr>
          <w:szCs w:val="21"/>
        </w:rPr>
        <w:t>September 2024</w:t>
      </w:r>
    </w:p>
    <w:p w14:paraId="3E31EE13" w14:textId="5E4722D3" w:rsidR="0098687F" w:rsidRPr="009B783C" w:rsidRDefault="00387534" w:rsidP="000C6CF5">
      <w:pPr>
        <w:jc w:val="center"/>
        <w:rPr>
          <w:lang w:eastAsia="en-AU"/>
        </w:rPr>
      </w:pPr>
      <w:r>
        <w:rPr>
          <w:noProof/>
        </w:rPr>
        <w:drawing>
          <wp:inline distT="0" distB="0" distL="0" distR="0" wp14:anchorId="50D4111E" wp14:editId="6FB18C0A">
            <wp:extent cx="5670268" cy="3788229"/>
            <wp:effectExtent l="0" t="0" r="6985" b="3175"/>
            <wp:docPr id="23" name="Picture 23" descr="This image presents a line graph showing mean weekly presentations to Medicare UCCs from date of opening or transitio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This image presents a line graph showing mean weekly presentations to Medicare UCCs from date of opening or transitioning."/>
                    <pic:cNvPicPr>
                      <a:picLocks noChangeAspect="1" noChangeArrowheads="1"/>
                    </pic:cNvPicPr>
                  </pic:nvPicPr>
                  <pic:blipFill rotWithShape="1">
                    <a:blip r:embed="rId49" cstate="print"/>
                    <a:srcRect b="3499"/>
                    <a:stretch/>
                  </pic:blipFill>
                  <pic:spPr bwMode="auto">
                    <a:xfrm>
                      <a:off x="0" y="0"/>
                      <a:ext cx="5670550" cy="3788417"/>
                    </a:xfrm>
                    <a:prstGeom prst="rect">
                      <a:avLst/>
                    </a:prstGeom>
                    <a:noFill/>
                    <a:ln>
                      <a:noFill/>
                    </a:ln>
                    <a:extLst>
                      <a:ext uri="{53640926-AAD7-44D8-BBD7-CCE9431645EC}">
                        <a14:shadowObscured xmlns:a14="http://schemas.microsoft.com/office/drawing/2010/main"/>
                      </a:ext>
                    </a:extLst>
                  </pic:spPr>
                </pic:pic>
              </a:graphicData>
            </a:graphic>
          </wp:inline>
        </w:drawing>
      </w:r>
    </w:p>
    <w:p w14:paraId="58770E05" w14:textId="3EF67ABA" w:rsidR="00974875" w:rsidRPr="009B783C" w:rsidRDefault="000D706D" w:rsidP="00974875">
      <w:pPr>
        <w:rPr>
          <w:szCs w:val="21"/>
        </w:rPr>
      </w:pPr>
      <w:r>
        <w:rPr>
          <w:szCs w:val="21"/>
          <w:lang w:eastAsia="en-AU"/>
        </w:rPr>
        <w:t xml:space="preserve">Detailed </w:t>
      </w:r>
      <w:r w:rsidR="00974875" w:rsidRPr="009B783C">
        <w:rPr>
          <w:szCs w:val="21"/>
        </w:rPr>
        <w:t>Description:</w:t>
      </w:r>
    </w:p>
    <w:p w14:paraId="7C678148" w14:textId="2863A584" w:rsidR="00974875" w:rsidRPr="009B783C" w:rsidRDefault="00974875" w:rsidP="00974875">
      <w:pPr>
        <w:rPr>
          <w:szCs w:val="21"/>
        </w:rPr>
      </w:pPr>
      <w:r w:rsidRPr="009B783C">
        <w:rPr>
          <w:szCs w:val="21"/>
        </w:rPr>
        <w:t xml:space="preserve">The trend graph depicts two lines showing </w:t>
      </w:r>
      <w:r w:rsidR="002526FD">
        <w:rPr>
          <w:szCs w:val="21"/>
        </w:rPr>
        <w:t>mean</w:t>
      </w:r>
      <w:r w:rsidR="00AA002D">
        <w:rPr>
          <w:szCs w:val="21"/>
        </w:rPr>
        <w:t xml:space="preserve"> weekly</w:t>
      </w:r>
      <w:r w:rsidRPr="009B783C">
        <w:rPr>
          <w:szCs w:val="21"/>
        </w:rPr>
        <w:t xml:space="preserve"> presentations to Medicare UCCs in the first </w:t>
      </w:r>
      <w:r w:rsidR="00AA002D">
        <w:rPr>
          <w:szCs w:val="21"/>
        </w:rPr>
        <w:t>38</w:t>
      </w:r>
      <w:r w:rsidRPr="009B783C">
        <w:rPr>
          <w:szCs w:val="21"/>
        </w:rPr>
        <w:t xml:space="preserve"> weeks in operation. The lines are split into Medicare UCCs which </w:t>
      </w:r>
      <w:r w:rsidR="00D03A27" w:rsidRPr="009B783C">
        <w:rPr>
          <w:szCs w:val="21"/>
        </w:rPr>
        <w:t>were newly established (n=43) and those which transitioned (n=21)</w:t>
      </w:r>
      <w:r w:rsidRPr="009B783C">
        <w:rPr>
          <w:szCs w:val="21"/>
        </w:rPr>
        <w:t>.</w:t>
      </w:r>
      <w:r w:rsidR="00D03A27" w:rsidRPr="009B783C">
        <w:rPr>
          <w:szCs w:val="21"/>
        </w:rPr>
        <w:t xml:space="preserve"> </w:t>
      </w:r>
      <w:r w:rsidRPr="009B783C">
        <w:rPr>
          <w:szCs w:val="21"/>
        </w:rPr>
        <w:t>The data is summarised in the following table.</w:t>
      </w:r>
    </w:p>
    <w:tbl>
      <w:tblPr>
        <w:tblStyle w:val="TableGrid"/>
        <w:tblW w:w="0" w:type="auto"/>
        <w:tblCellMar>
          <w:top w:w="57" w:type="dxa"/>
          <w:bottom w:w="57" w:type="dxa"/>
        </w:tblCellMar>
        <w:tblLook w:val="04A0" w:firstRow="1" w:lastRow="0" w:firstColumn="1" w:lastColumn="0" w:noHBand="0" w:noVBand="1"/>
      </w:tblPr>
      <w:tblGrid>
        <w:gridCol w:w="2263"/>
        <w:gridCol w:w="3470"/>
        <w:gridCol w:w="3187"/>
      </w:tblGrid>
      <w:tr w:rsidR="00301401" w:rsidRPr="009B783C" w14:paraId="5C75ED3D" w14:textId="77777777" w:rsidTr="000C20F4">
        <w:trPr>
          <w:tblHeader/>
        </w:trPr>
        <w:tc>
          <w:tcPr>
            <w:tcW w:w="22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73C053FC" w14:textId="78B4A4BA" w:rsidR="00301401" w:rsidRPr="009B783C" w:rsidRDefault="00301401" w:rsidP="00EA1B80">
            <w:pPr>
              <w:pStyle w:val="TableNheader"/>
              <w:rPr>
                <w:rFonts w:asciiTheme="majorHAnsi" w:hAnsiTheme="majorHAnsi" w:cstheme="majorHAnsi"/>
              </w:rPr>
            </w:pPr>
            <w:r w:rsidRPr="009B783C">
              <w:lastRenderedPageBreak/>
              <w:t>Weeks since opening</w:t>
            </w:r>
          </w:p>
        </w:tc>
        <w:tc>
          <w:tcPr>
            <w:tcW w:w="34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3462DFF6" w14:textId="2A7C2381" w:rsidR="00301401" w:rsidRPr="009B783C" w:rsidRDefault="00301401" w:rsidP="00EA1B80">
            <w:pPr>
              <w:pStyle w:val="TableNheader"/>
              <w:rPr>
                <w:rFonts w:asciiTheme="majorHAnsi" w:hAnsiTheme="majorHAnsi" w:cstheme="majorHAnsi"/>
              </w:rPr>
            </w:pPr>
            <w:r w:rsidRPr="009B783C">
              <w:t>Mean presentations</w:t>
            </w:r>
            <w:r w:rsidRPr="009B783C">
              <w:rPr>
                <w:rFonts w:asciiTheme="majorHAnsi" w:hAnsiTheme="majorHAnsi" w:cstheme="majorHAnsi"/>
              </w:rPr>
              <w:t xml:space="preserve"> to newly established Medicare UCCs</w:t>
            </w:r>
          </w:p>
        </w:tc>
        <w:tc>
          <w:tcPr>
            <w:tcW w:w="318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5036AC1E" w14:textId="2C6DFEC2" w:rsidR="00301401" w:rsidRPr="009B783C" w:rsidRDefault="00301401" w:rsidP="00EA1B80">
            <w:pPr>
              <w:pStyle w:val="TableNheader"/>
              <w:rPr>
                <w:rFonts w:asciiTheme="majorHAnsi" w:hAnsiTheme="majorHAnsi" w:cstheme="majorHAnsi"/>
              </w:rPr>
            </w:pPr>
            <w:r w:rsidRPr="009B783C">
              <w:t>Mean presentations</w:t>
            </w:r>
            <w:r w:rsidRPr="009B783C">
              <w:rPr>
                <w:rFonts w:asciiTheme="majorHAnsi" w:hAnsiTheme="majorHAnsi" w:cstheme="majorHAnsi"/>
              </w:rPr>
              <w:t xml:space="preserve"> to transitioned Medicare UCCs</w:t>
            </w:r>
          </w:p>
        </w:tc>
      </w:tr>
      <w:tr w:rsidR="00301401" w:rsidRPr="009B783C" w14:paraId="2AB221A9" w14:textId="77777777" w:rsidTr="00C755EB">
        <w:tc>
          <w:tcPr>
            <w:tcW w:w="2263" w:type="dxa"/>
            <w:tcBorders>
              <w:top w:val="single" w:sz="4" w:space="0" w:color="FFFFFF" w:themeColor="background1"/>
            </w:tcBorders>
            <w:vAlign w:val="bottom"/>
          </w:tcPr>
          <w:p w14:paraId="331B1E0B" w14:textId="54534955"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2</w:t>
            </w:r>
          </w:p>
        </w:tc>
        <w:tc>
          <w:tcPr>
            <w:tcW w:w="3470" w:type="dxa"/>
            <w:tcBorders>
              <w:top w:val="single" w:sz="4" w:space="0" w:color="FFFFFF" w:themeColor="background1"/>
            </w:tcBorders>
            <w:vAlign w:val="bottom"/>
          </w:tcPr>
          <w:p w14:paraId="325C6084" w14:textId="1A3126F6"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126.6</w:t>
            </w:r>
          </w:p>
        </w:tc>
        <w:tc>
          <w:tcPr>
            <w:tcW w:w="3187" w:type="dxa"/>
            <w:tcBorders>
              <w:top w:val="single" w:sz="4" w:space="0" w:color="FFFFFF" w:themeColor="background1"/>
            </w:tcBorders>
            <w:vAlign w:val="bottom"/>
          </w:tcPr>
          <w:p w14:paraId="1CEF7D99" w14:textId="79200D43"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265.4</w:t>
            </w:r>
          </w:p>
        </w:tc>
      </w:tr>
      <w:tr w:rsidR="00301401" w:rsidRPr="009B783C" w14:paraId="4A0549D5" w14:textId="77777777" w:rsidTr="00C755EB">
        <w:tc>
          <w:tcPr>
            <w:tcW w:w="2263" w:type="dxa"/>
            <w:vAlign w:val="bottom"/>
          </w:tcPr>
          <w:p w14:paraId="49D8872C" w14:textId="49F08C6D"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6</w:t>
            </w:r>
          </w:p>
        </w:tc>
        <w:tc>
          <w:tcPr>
            <w:tcW w:w="3470" w:type="dxa"/>
            <w:vAlign w:val="bottom"/>
          </w:tcPr>
          <w:p w14:paraId="12C6928E" w14:textId="2C48072B"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159.5</w:t>
            </w:r>
          </w:p>
        </w:tc>
        <w:tc>
          <w:tcPr>
            <w:tcW w:w="3187" w:type="dxa"/>
            <w:vAlign w:val="bottom"/>
          </w:tcPr>
          <w:p w14:paraId="66F116D1" w14:textId="10A966EC"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270.7</w:t>
            </w:r>
          </w:p>
        </w:tc>
      </w:tr>
      <w:tr w:rsidR="00301401" w:rsidRPr="009B783C" w14:paraId="493E47AE" w14:textId="77777777" w:rsidTr="00C755EB">
        <w:tc>
          <w:tcPr>
            <w:tcW w:w="2263" w:type="dxa"/>
            <w:vAlign w:val="bottom"/>
          </w:tcPr>
          <w:p w14:paraId="4DD1F409" w14:textId="331C1F84"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10</w:t>
            </w:r>
          </w:p>
        </w:tc>
        <w:tc>
          <w:tcPr>
            <w:tcW w:w="3470" w:type="dxa"/>
            <w:vAlign w:val="bottom"/>
          </w:tcPr>
          <w:p w14:paraId="0A8BEBCB" w14:textId="58F1C924"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187.6</w:t>
            </w:r>
          </w:p>
        </w:tc>
        <w:tc>
          <w:tcPr>
            <w:tcW w:w="3187" w:type="dxa"/>
            <w:vAlign w:val="bottom"/>
          </w:tcPr>
          <w:p w14:paraId="34E17B27" w14:textId="3E74F10F"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293</w:t>
            </w:r>
            <w:r w:rsidR="00A75B0B">
              <w:rPr>
                <w:rFonts w:asciiTheme="minorHAnsi" w:hAnsiTheme="minorHAnsi" w:cstheme="minorHAnsi"/>
                <w:color w:val="000000"/>
                <w:szCs w:val="21"/>
              </w:rPr>
              <w:t>.0</w:t>
            </w:r>
          </w:p>
        </w:tc>
      </w:tr>
      <w:tr w:rsidR="00301401" w:rsidRPr="009B783C" w14:paraId="390CB091" w14:textId="77777777" w:rsidTr="00C755EB">
        <w:tc>
          <w:tcPr>
            <w:tcW w:w="2263" w:type="dxa"/>
            <w:vAlign w:val="bottom"/>
          </w:tcPr>
          <w:p w14:paraId="5D265133" w14:textId="16FC3C5C"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14</w:t>
            </w:r>
          </w:p>
        </w:tc>
        <w:tc>
          <w:tcPr>
            <w:tcW w:w="3470" w:type="dxa"/>
            <w:vAlign w:val="bottom"/>
          </w:tcPr>
          <w:p w14:paraId="2205E6A6" w14:textId="65A46080"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215.8</w:t>
            </w:r>
          </w:p>
        </w:tc>
        <w:tc>
          <w:tcPr>
            <w:tcW w:w="3187" w:type="dxa"/>
            <w:vAlign w:val="bottom"/>
          </w:tcPr>
          <w:p w14:paraId="576E2EF7" w14:textId="20CDBA1F"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335.1</w:t>
            </w:r>
          </w:p>
        </w:tc>
      </w:tr>
      <w:tr w:rsidR="00301401" w:rsidRPr="009B783C" w14:paraId="1E085EC5" w14:textId="77777777" w:rsidTr="00C755EB">
        <w:tc>
          <w:tcPr>
            <w:tcW w:w="2263" w:type="dxa"/>
            <w:vAlign w:val="bottom"/>
          </w:tcPr>
          <w:p w14:paraId="68CFB545" w14:textId="117E1046"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18</w:t>
            </w:r>
          </w:p>
        </w:tc>
        <w:tc>
          <w:tcPr>
            <w:tcW w:w="3470" w:type="dxa"/>
            <w:vAlign w:val="bottom"/>
          </w:tcPr>
          <w:p w14:paraId="0369F9A1" w14:textId="2C42F5D1"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223.3</w:t>
            </w:r>
          </w:p>
        </w:tc>
        <w:tc>
          <w:tcPr>
            <w:tcW w:w="3187" w:type="dxa"/>
            <w:vAlign w:val="bottom"/>
          </w:tcPr>
          <w:p w14:paraId="139A35A3" w14:textId="52CBFAFD"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358.5</w:t>
            </w:r>
          </w:p>
        </w:tc>
      </w:tr>
      <w:tr w:rsidR="00301401" w:rsidRPr="009B783C" w14:paraId="2D41A3AC" w14:textId="77777777" w:rsidTr="00C755EB">
        <w:tc>
          <w:tcPr>
            <w:tcW w:w="2263" w:type="dxa"/>
            <w:vAlign w:val="bottom"/>
          </w:tcPr>
          <w:p w14:paraId="75C790A6" w14:textId="29471959"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22</w:t>
            </w:r>
          </w:p>
        </w:tc>
        <w:tc>
          <w:tcPr>
            <w:tcW w:w="3470" w:type="dxa"/>
            <w:vAlign w:val="bottom"/>
          </w:tcPr>
          <w:p w14:paraId="04052FD6" w14:textId="27A42687"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245.3</w:t>
            </w:r>
          </w:p>
        </w:tc>
        <w:tc>
          <w:tcPr>
            <w:tcW w:w="3187" w:type="dxa"/>
            <w:vAlign w:val="bottom"/>
          </w:tcPr>
          <w:p w14:paraId="5608DE36" w14:textId="4FB1E089"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341.6</w:t>
            </w:r>
          </w:p>
        </w:tc>
      </w:tr>
      <w:tr w:rsidR="00301401" w:rsidRPr="009B783C" w14:paraId="59E26B63" w14:textId="77777777" w:rsidTr="00C755EB">
        <w:tc>
          <w:tcPr>
            <w:tcW w:w="2263" w:type="dxa"/>
            <w:vAlign w:val="bottom"/>
          </w:tcPr>
          <w:p w14:paraId="16E2221D" w14:textId="6D15A451"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26</w:t>
            </w:r>
          </w:p>
        </w:tc>
        <w:tc>
          <w:tcPr>
            <w:tcW w:w="3470" w:type="dxa"/>
            <w:vAlign w:val="bottom"/>
          </w:tcPr>
          <w:p w14:paraId="7C4372F8" w14:textId="724DAC89"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256.3</w:t>
            </w:r>
          </w:p>
        </w:tc>
        <w:tc>
          <w:tcPr>
            <w:tcW w:w="3187" w:type="dxa"/>
            <w:vAlign w:val="bottom"/>
          </w:tcPr>
          <w:p w14:paraId="429E9C63" w14:textId="44A3AAFC"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344.3</w:t>
            </w:r>
          </w:p>
        </w:tc>
      </w:tr>
      <w:tr w:rsidR="00301401" w:rsidRPr="009B783C" w14:paraId="3214878E" w14:textId="77777777" w:rsidTr="00C755EB">
        <w:tc>
          <w:tcPr>
            <w:tcW w:w="2263" w:type="dxa"/>
            <w:vAlign w:val="bottom"/>
          </w:tcPr>
          <w:p w14:paraId="145DC12F" w14:textId="5CC66325"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30</w:t>
            </w:r>
          </w:p>
        </w:tc>
        <w:tc>
          <w:tcPr>
            <w:tcW w:w="3470" w:type="dxa"/>
            <w:vAlign w:val="bottom"/>
          </w:tcPr>
          <w:p w14:paraId="6BC8E3CA" w14:textId="41D66B1E"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259.5</w:t>
            </w:r>
          </w:p>
        </w:tc>
        <w:tc>
          <w:tcPr>
            <w:tcW w:w="3187" w:type="dxa"/>
            <w:vAlign w:val="bottom"/>
          </w:tcPr>
          <w:p w14:paraId="14D7B3AC" w14:textId="7FD2A1F3"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337.8</w:t>
            </w:r>
          </w:p>
        </w:tc>
      </w:tr>
      <w:tr w:rsidR="00301401" w:rsidRPr="009B783C" w14:paraId="604F1700" w14:textId="77777777" w:rsidTr="00C755EB">
        <w:tc>
          <w:tcPr>
            <w:tcW w:w="2263" w:type="dxa"/>
            <w:vAlign w:val="bottom"/>
          </w:tcPr>
          <w:p w14:paraId="17C35B8F" w14:textId="33F96694"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34</w:t>
            </w:r>
          </w:p>
        </w:tc>
        <w:tc>
          <w:tcPr>
            <w:tcW w:w="3470" w:type="dxa"/>
            <w:vAlign w:val="bottom"/>
          </w:tcPr>
          <w:p w14:paraId="3C9C4C26" w14:textId="01E10187"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248.2</w:t>
            </w:r>
          </w:p>
        </w:tc>
        <w:tc>
          <w:tcPr>
            <w:tcW w:w="3187" w:type="dxa"/>
            <w:vAlign w:val="bottom"/>
          </w:tcPr>
          <w:p w14:paraId="5322276B" w14:textId="06811BC6"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331.8</w:t>
            </w:r>
          </w:p>
        </w:tc>
      </w:tr>
      <w:tr w:rsidR="00301401" w:rsidRPr="009B783C" w14:paraId="532FAF50" w14:textId="77777777" w:rsidTr="00C755EB">
        <w:tc>
          <w:tcPr>
            <w:tcW w:w="2263" w:type="dxa"/>
            <w:vAlign w:val="bottom"/>
          </w:tcPr>
          <w:p w14:paraId="7D74035D" w14:textId="0C0A0A98" w:rsidR="00301401" w:rsidRPr="009B783C" w:rsidRDefault="00301401" w:rsidP="00301401">
            <w:pPr>
              <w:rPr>
                <w:rFonts w:asciiTheme="minorHAnsi" w:hAnsiTheme="minorHAnsi" w:cstheme="minorHAnsi"/>
                <w:szCs w:val="21"/>
              </w:rPr>
            </w:pPr>
            <w:r w:rsidRPr="009B783C">
              <w:rPr>
                <w:rFonts w:asciiTheme="minorHAnsi" w:hAnsiTheme="minorHAnsi" w:cstheme="minorHAnsi"/>
                <w:color w:val="000000"/>
                <w:szCs w:val="21"/>
              </w:rPr>
              <w:t>38</w:t>
            </w:r>
          </w:p>
        </w:tc>
        <w:tc>
          <w:tcPr>
            <w:tcW w:w="3470" w:type="dxa"/>
            <w:vAlign w:val="bottom"/>
          </w:tcPr>
          <w:p w14:paraId="66B21299" w14:textId="78451B1E"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251.3</w:t>
            </w:r>
          </w:p>
        </w:tc>
        <w:tc>
          <w:tcPr>
            <w:tcW w:w="3187" w:type="dxa"/>
            <w:vAlign w:val="bottom"/>
          </w:tcPr>
          <w:p w14:paraId="588075AF" w14:textId="134183B0" w:rsidR="00301401" w:rsidRPr="009B783C" w:rsidRDefault="00301401" w:rsidP="00FB2527">
            <w:pPr>
              <w:jc w:val="center"/>
              <w:rPr>
                <w:rFonts w:asciiTheme="minorHAnsi" w:hAnsiTheme="minorHAnsi" w:cstheme="minorHAnsi"/>
                <w:szCs w:val="21"/>
              </w:rPr>
            </w:pPr>
            <w:r w:rsidRPr="009B783C">
              <w:rPr>
                <w:rFonts w:asciiTheme="minorHAnsi" w:hAnsiTheme="minorHAnsi" w:cstheme="minorHAnsi"/>
                <w:color w:val="000000"/>
                <w:szCs w:val="21"/>
              </w:rPr>
              <w:t>320</w:t>
            </w:r>
            <w:r w:rsidR="00A75B0B">
              <w:rPr>
                <w:rFonts w:asciiTheme="minorHAnsi" w:hAnsiTheme="minorHAnsi" w:cstheme="minorHAnsi"/>
                <w:color w:val="000000"/>
                <w:szCs w:val="21"/>
              </w:rPr>
              <w:t>.0</w:t>
            </w:r>
          </w:p>
        </w:tc>
      </w:tr>
    </w:tbl>
    <w:p w14:paraId="3ACC0FF9" w14:textId="2906EA88" w:rsidR="004E0A83" w:rsidRPr="009B783C" w:rsidRDefault="004E0A83" w:rsidP="00974875">
      <w:pPr>
        <w:rPr>
          <w:szCs w:val="21"/>
        </w:rPr>
      </w:pPr>
    </w:p>
    <w:p w14:paraId="35A2D379" w14:textId="7D094DC7" w:rsidR="00737B1C" w:rsidRPr="009B783C" w:rsidRDefault="00E15FAE">
      <w:pPr>
        <w:rPr>
          <w:sz w:val="20"/>
          <w:szCs w:val="20"/>
          <w:lang w:eastAsia="en-AU"/>
        </w:rPr>
      </w:pPr>
      <w:r w:rsidRPr="009B783C">
        <w:rPr>
          <w:sz w:val="20"/>
          <w:szCs w:val="20"/>
          <w:lang w:eastAsia="en-AU"/>
        </w:rPr>
        <w:t xml:space="preserve">Notes: Based on data for the period 30 June 2023 to 30 September 2024, extracted 3 December 2024, for 64 clinics that opened between 30 June 2023 and 1 July 2024 that were open for at least 12 weeks as of 30 September 2024. </w:t>
      </w:r>
    </w:p>
    <w:tbl>
      <w:tblPr>
        <w:tblStyle w:val="NousLongformcallout"/>
        <w:tblpPr w:leftFromText="180" w:rightFromText="180" w:vertAnchor="text" w:horzAnchor="margin" w:tblpY="112"/>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98687F" w:rsidRPr="009B783C" w14:paraId="5E3CBDC8" w14:textId="77777777" w:rsidTr="00737B1C">
        <w:trPr>
          <w:cantSplit/>
        </w:trPr>
        <w:tc>
          <w:tcPr>
            <w:tcW w:w="8907" w:type="dxa"/>
          </w:tcPr>
          <w:p w14:paraId="07ABB8C7" w14:textId="41EFCFA0" w:rsidR="0098687F" w:rsidRPr="009B783C" w:rsidRDefault="00025495"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61DC5F31" w14:textId="7EEC2739" w:rsidR="0098687F" w:rsidRPr="009B783C" w:rsidRDefault="0098687F" w:rsidP="00F5425B">
            <w:pPr>
              <w:pStyle w:val="Longformcallout"/>
            </w:pPr>
            <w:r w:rsidRPr="009B783C">
              <w:rPr>
                <w:szCs w:val="21"/>
              </w:rPr>
              <w:t xml:space="preserve">Medicare UCCs that were newly established experienced a rapid growth in activity, </w:t>
            </w:r>
            <w:r w:rsidR="006A33AF" w:rsidRPr="009B783C">
              <w:rPr>
                <w:szCs w:val="21"/>
              </w:rPr>
              <w:t xml:space="preserve">which </w:t>
            </w:r>
            <w:r w:rsidRPr="009B783C">
              <w:rPr>
                <w:szCs w:val="21"/>
              </w:rPr>
              <w:t xml:space="preserve">stabilised within </w:t>
            </w:r>
            <w:r w:rsidR="002C23F6" w:rsidRPr="009B783C">
              <w:rPr>
                <w:szCs w:val="21"/>
              </w:rPr>
              <w:t>four</w:t>
            </w:r>
            <w:r w:rsidRPr="009B783C">
              <w:rPr>
                <w:szCs w:val="21"/>
              </w:rPr>
              <w:t xml:space="preserve"> months. There is also some evidence that Medicare UCCs that transitioned from a previous state </w:t>
            </w:r>
            <w:r w:rsidR="008A0240" w:rsidRPr="009B783C">
              <w:rPr>
                <w:szCs w:val="21"/>
              </w:rPr>
              <w:t xml:space="preserve">urgent care </w:t>
            </w:r>
            <w:r w:rsidRPr="009B783C">
              <w:rPr>
                <w:szCs w:val="21"/>
              </w:rPr>
              <w:t>arrangement increased their level of activity after commencing as a Medicare UCC.</w:t>
            </w:r>
            <w:r w:rsidR="008A611A" w:rsidRPr="009B783C">
              <w:t xml:space="preserve"> </w:t>
            </w:r>
          </w:p>
        </w:tc>
      </w:tr>
    </w:tbl>
    <w:p w14:paraId="2CC5EC4D" w14:textId="23F83A9E" w:rsidR="0098687F" w:rsidRPr="009B783C" w:rsidRDefault="0098687F" w:rsidP="000D706D">
      <w:pPr>
        <w:pStyle w:val="Heading3"/>
      </w:pPr>
      <w:r w:rsidRPr="009B783C">
        <w:t>There are fluctuations in the proportion of presentations where it was reported that patients would have gone to an ED or called an ambulance if the Medicare UCC was not available</w:t>
      </w:r>
    </w:p>
    <w:p w14:paraId="5F25B163" w14:textId="2FA0A440" w:rsidR="0098687F" w:rsidRPr="009B783C" w:rsidRDefault="00421B84" w:rsidP="00F5425B">
      <w:pPr>
        <w:rPr>
          <w:szCs w:val="21"/>
          <w:lang w:val="en-US" w:eastAsia="en-AU"/>
        </w:rPr>
      </w:pPr>
      <w:r w:rsidRPr="009B783C">
        <w:rPr>
          <w:szCs w:val="21"/>
          <w:lang w:eastAsia="en-AU"/>
        </w:rPr>
        <w:t xml:space="preserve">As described previously in Measure of Success 6 (section </w:t>
      </w:r>
      <w:r w:rsidRPr="009B783C">
        <w:rPr>
          <w:szCs w:val="21"/>
          <w:lang w:eastAsia="en-AU"/>
        </w:rPr>
        <w:fldChar w:fldCharType="begin"/>
      </w:r>
      <w:r w:rsidRPr="009B783C">
        <w:rPr>
          <w:szCs w:val="21"/>
          <w:lang w:eastAsia="en-AU"/>
        </w:rPr>
        <w:instrText xml:space="preserve"> REF _Ref185323061 \n \h </w:instrText>
      </w:r>
      <w:r w:rsidR="00F5425B"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31172E" w:rsidRPr="009B783C">
        <w:rPr>
          <w:szCs w:val="21"/>
          <w:lang w:eastAsia="en-AU"/>
        </w:rPr>
        <w:t>5.6</w:t>
      </w:r>
      <w:r w:rsidRPr="009B783C">
        <w:rPr>
          <w:szCs w:val="21"/>
          <w:lang w:eastAsia="en-AU"/>
        </w:rPr>
        <w:fldChar w:fldCharType="end"/>
      </w:r>
      <w:r w:rsidRPr="009B783C">
        <w:rPr>
          <w:szCs w:val="21"/>
          <w:lang w:eastAsia="en-AU"/>
        </w:rPr>
        <w:t xml:space="preserve">), </w:t>
      </w:r>
      <w:r w:rsidR="000E4E89" w:rsidRPr="009B783C">
        <w:rPr>
          <w:szCs w:val="21"/>
          <w:lang w:eastAsia="en-AU"/>
        </w:rPr>
        <w:t xml:space="preserve">available data indicates that </w:t>
      </w:r>
      <w:r w:rsidR="0098687F" w:rsidRPr="009B783C">
        <w:rPr>
          <w:szCs w:val="21"/>
          <w:lang w:eastAsia="en-AU"/>
        </w:rPr>
        <w:t>46 per cent of patients would have sought help from a local ED</w:t>
      </w:r>
      <w:r w:rsidR="009F5933" w:rsidRPr="009B783C">
        <w:rPr>
          <w:szCs w:val="21"/>
          <w:lang w:eastAsia="en-AU"/>
        </w:rPr>
        <w:t xml:space="preserve"> </w:t>
      </w:r>
      <w:r w:rsidR="000E4E89" w:rsidRPr="009B783C">
        <w:rPr>
          <w:szCs w:val="21"/>
          <w:lang w:eastAsia="en-AU"/>
        </w:rPr>
        <w:t>if the Medicare UCC was not available.</w:t>
      </w:r>
      <w:r w:rsidR="008A611A" w:rsidRPr="009B783C">
        <w:rPr>
          <w:szCs w:val="21"/>
          <w:lang w:eastAsia="en-AU"/>
        </w:rPr>
        <w:t xml:space="preserve"> </w:t>
      </w:r>
    </w:p>
    <w:p w14:paraId="6BB8679B" w14:textId="576D94B2" w:rsidR="0098687F" w:rsidRPr="009B783C" w:rsidRDefault="008A611A" w:rsidP="00F5425B">
      <w:pPr>
        <w:rPr>
          <w:szCs w:val="21"/>
          <w:lang w:eastAsia="en-AU"/>
        </w:rPr>
      </w:pPr>
      <w:r w:rsidRPr="009B783C">
        <w:rPr>
          <w:szCs w:val="21"/>
          <w:lang w:eastAsia="en-AU"/>
        </w:rPr>
        <w:fldChar w:fldCharType="begin"/>
      </w:r>
      <w:r w:rsidRPr="009B783C">
        <w:rPr>
          <w:szCs w:val="21"/>
          <w:lang w:eastAsia="en-AU"/>
        </w:rPr>
        <w:instrText xml:space="preserve"> REF _Ref185488649 \h </w:instrText>
      </w:r>
      <w:r w:rsidR="00F5425B" w:rsidRPr="009B783C">
        <w:rPr>
          <w:szCs w:val="21"/>
          <w:lang w:eastAsia="en-AU"/>
        </w:rPr>
        <w:instrText xml:space="preserve"> \* MERGEFORMAT </w:instrText>
      </w:r>
      <w:r w:rsidRPr="009B783C">
        <w:rPr>
          <w:szCs w:val="21"/>
          <w:lang w:eastAsia="en-AU"/>
        </w:rPr>
      </w:r>
      <w:r w:rsidRPr="009B783C">
        <w:rPr>
          <w:szCs w:val="21"/>
          <w:lang w:eastAsia="en-AU"/>
        </w:rPr>
        <w:fldChar w:fldCharType="separate"/>
      </w:r>
      <w:r w:rsidR="00331823" w:rsidRPr="009B783C">
        <w:rPr>
          <w:szCs w:val="21"/>
        </w:rPr>
        <w:t xml:space="preserve">Figure </w:t>
      </w:r>
      <w:r w:rsidR="00331823">
        <w:rPr>
          <w:szCs w:val="21"/>
        </w:rPr>
        <w:t>18</w:t>
      </w:r>
      <w:r w:rsidRPr="009B783C">
        <w:rPr>
          <w:szCs w:val="21"/>
          <w:lang w:eastAsia="en-AU"/>
        </w:rPr>
        <w:fldChar w:fldCharType="end"/>
      </w:r>
      <w:r w:rsidR="0098687F" w:rsidRPr="009B783C">
        <w:rPr>
          <w:szCs w:val="21"/>
          <w:lang w:eastAsia="en-AU"/>
        </w:rPr>
        <w:t xml:space="preserve"> shows the </w:t>
      </w:r>
      <w:r w:rsidR="00CB7D2C" w:rsidRPr="009B783C">
        <w:rPr>
          <w:szCs w:val="21"/>
          <w:lang w:eastAsia="en-AU"/>
        </w:rPr>
        <w:t>proportion of</w:t>
      </w:r>
      <w:r w:rsidR="0098687F" w:rsidRPr="009B783C">
        <w:rPr>
          <w:szCs w:val="21"/>
          <w:lang w:eastAsia="en-AU"/>
        </w:rPr>
        <w:t xml:space="preserve"> </w:t>
      </w:r>
      <w:r w:rsidR="003E601D" w:rsidRPr="009B783C">
        <w:rPr>
          <w:szCs w:val="21"/>
          <w:lang w:eastAsia="en-AU"/>
        </w:rPr>
        <w:t xml:space="preserve">presentations where it was </w:t>
      </w:r>
      <w:r w:rsidR="0098687F" w:rsidRPr="009B783C">
        <w:rPr>
          <w:szCs w:val="21"/>
          <w:lang w:eastAsia="en-AU"/>
        </w:rPr>
        <w:t xml:space="preserve">reported that the </w:t>
      </w:r>
      <w:r w:rsidR="003E601D" w:rsidRPr="009B783C">
        <w:rPr>
          <w:szCs w:val="21"/>
          <w:lang w:eastAsia="en-AU"/>
        </w:rPr>
        <w:t>patient</w:t>
      </w:r>
      <w:r w:rsidR="0098687F" w:rsidRPr="009B783C">
        <w:rPr>
          <w:szCs w:val="21"/>
          <w:lang w:eastAsia="en-AU"/>
        </w:rPr>
        <w:t xml:space="preserve"> would have gone to an ED or called an ambulance if the Medicare UCC was not available</w:t>
      </w:r>
      <w:r w:rsidR="00474426" w:rsidRPr="009B783C">
        <w:rPr>
          <w:szCs w:val="21"/>
          <w:lang w:eastAsia="en-AU"/>
        </w:rPr>
        <w:t xml:space="preserve">, </w:t>
      </w:r>
      <w:r w:rsidR="00751ECD" w:rsidRPr="009B783C">
        <w:rPr>
          <w:szCs w:val="21"/>
          <w:lang w:eastAsia="en-AU"/>
        </w:rPr>
        <w:t xml:space="preserve">by week, </w:t>
      </w:r>
      <w:r w:rsidR="00751ECD" w:rsidRPr="009B783C">
        <w:rPr>
          <w:szCs w:val="21"/>
          <w:lang w:eastAsia="en-AU"/>
        </w:rPr>
        <w:lastRenderedPageBreak/>
        <w:t>from 1 February 2024 to 30 September 2024</w:t>
      </w:r>
      <w:r w:rsidR="0098687F" w:rsidRPr="009B783C">
        <w:rPr>
          <w:szCs w:val="21"/>
          <w:lang w:eastAsia="en-AU"/>
        </w:rPr>
        <w:t>.</w:t>
      </w:r>
      <w:r w:rsidR="00682200" w:rsidRPr="009B783C">
        <w:rPr>
          <w:rStyle w:val="FootnoteReference"/>
          <w:szCs w:val="21"/>
          <w:lang w:eastAsia="en-AU"/>
        </w:rPr>
        <w:footnoteReference w:id="93"/>
      </w:r>
      <w:r w:rsidR="0098687F" w:rsidRPr="009B783C">
        <w:rPr>
          <w:szCs w:val="21"/>
          <w:lang w:eastAsia="en-AU"/>
        </w:rPr>
        <w:t xml:space="preserve"> At newly established clinics, a slight decrease is observed in this proportion, over </w:t>
      </w:r>
      <w:r w:rsidR="008F79E9" w:rsidRPr="009B783C">
        <w:rPr>
          <w:szCs w:val="21"/>
          <w:lang w:eastAsia="en-AU"/>
        </w:rPr>
        <w:t>the period 1 February 2024 to 30 September 2024.</w:t>
      </w:r>
      <w:r w:rsidR="0098687F" w:rsidRPr="009B783C">
        <w:rPr>
          <w:szCs w:val="21"/>
          <w:lang w:eastAsia="en-AU"/>
        </w:rPr>
        <w:t xml:space="preserve"> </w:t>
      </w:r>
    </w:p>
    <w:p w14:paraId="1C6B836C" w14:textId="0DAA9B82" w:rsidR="0098687F" w:rsidRPr="009B783C" w:rsidRDefault="0098687F" w:rsidP="00F5425B">
      <w:pPr>
        <w:pStyle w:val="Bullet"/>
        <w:numPr>
          <w:ilvl w:val="0"/>
          <w:numId w:val="0"/>
        </w:numPr>
        <w:rPr>
          <w:szCs w:val="21"/>
        </w:rPr>
      </w:pPr>
      <w:r w:rsidRPr="009B783C">
        <w:rPr>
          <w:szCs w:val="21"/>
        </w:rPr>
        <w:t>A more pronounced decrease is observed in clinics that transitioned from previous state arrangements</w:t>
      </w:r>
      <w:r w:rsidRPr="009B783C" w:rsidDel="00F2513B">
        <w:rPr>
          <w:szCs w:val="21"/>
        </w:rPr>
        <w:t xml:space="preserve"> </w:t>
      </w:r>
      <w:r w:rsidRPr="009B783C">
        <w:rPr>
          <w:szCs w:val="21"/>
        </w:rPr>
        <w:t>over the period 1 February 2024 to 30 September 2024. As previously described</w:t>
      </w:r>
      <w:r w:rsidR="00FF5797" w:rsidRPr="009B783C">
        <w:rPr>
          <w:szCs w:val="21"/>
        </w:rPr>
        <w:t>,</w:t>
      </w:r>
      <w:r w:rsidRPr="009B783C">
        <w:rPr>
          <w:szCs w:val="21"/>
        </w:rPr>
        <w:t xml:space="preserve"> several clinics that transitioned from previous state arrangements, changed from a referral-based intake model to a walk-in model. It is likely that patients who were triaged and referred to </w:t>
      </w:r>
      <w:r w:rsidR="00B35DCB" w:rsidRPr="009B783C">
        <w:rPr>
          <w:szCs w:val="21"/>
        </w:rPr>
        <w:t>UCC</w:t>
      </w:r>
      <w:r w:rsidRPr="009B783C">
        <w:rPr>
          <w:szCs w:val="21"/>
        </w:rPr>
        <w:t xml:space="preserve">s by other clinicians would have higher acuity conditions than </w:t>
      </w:r>
      <w:r w:rsidR="00627AA1" w:rsidRPr="009B783C">
        <w:rPr>
          <w:szCs w:val="21"/>
        </w:rPr>
        <w:t>patients</w:t>
      </w:r>
      <w:r w:rsidRPr="009B783C">
        <w:rPr>
          <w:szCs w:val="21"/>
        </w:rPr>
        <w:t xml:space="preserve"> who walked-in and this </w:t>
      </w:r>
      <w:r w:rsidR="00CF1CD5" w:rsidRPr="009B783C">
        <w:rPr>
          <w:szCs w:val="21"/>
        </w:rPr>
        <w:t>was</w:t>
      </w:r>
      <w:r w:rsidRPr="009B783C">
        <w:rPr>
          <w:szCs w:val="21"/>
        </w:rPr>
        <w:t xml:space="preserve"> reflected in where they would have sought care if the Medicare UCC was not available. Despite the shifts observed over time, these clinics had consistently higher proportions of patients for whom it was reported </w:t>
      </w:r>
      <w:r w:rsidR="00C128A8" w:rsidRPr="009B783C">
        <w:rPr>
          <w:szCs w:val="21"/>
        </w:rPr>
        <w:t xml:space="preserve">that </w:t>
      </w:r>
      <w:r w:rsidRPr="009B783C">
        <w:rPr>
          <w:szCs w:val="21"/>
        </w:rPr>
        <w:t>they would have attended an ED or called an ambulance compared with the newly established clinics.</w:t>
      </w:r>
      <w:r w:rsidR="008A611A" w:rsidRPr="009B783C">
        <w:rPr>
          <w:szCs w:val="21"/>
        </w:rPr>
        <w:t xml:space="preserve"> </w:t>
      </w:r>
    </w:p>
    <w:p w14:paraId="639D7F1A" w14:textId="195CB817" w:rsidR="0098687F" w:rsidRPr="009B783C" w:rsidRDefault="0098687F" w:rsidP="00F5425B">
      <w:pPr>
        <w:pStyle w:val="Bullet"/>
        <w:numPr>
          <w:ilvl w:val="0"/>
          <w:numId w:val="0"/>
        </w:numPr>
        <w:rPr>
          <w:szCs w:val="21"/>
        </w:rPr>
      </w:pPr>
      <w:r w:rsidRPr="009B783C">
        <w:rPr>
          <w:szCs w:val="21"/>
        </w:rPr>
        <w:t xml:space="preserve">These proportions are still fluctuating and will need to be explored in future phases of the evaluation when data is available over a longer period. Future phases of the evaluation will also explore the proportion of patients who present due to affordability and access to bulk billing. The evaluation notes that the data linkage would allow more robust program monitoring and assessment in the future but is not </w:t>
      </w:r>
      <w:r w:rsidR="00F6054D" w:rsidRPr="009B783C">
        <w:rPr>
          <w:szCs w:val="21"/>
        </w:rPr>
        <w:t>in scope</w:t>
      </w:r>
      <w:r w:rsidR="007845C9" w:rsidRPr="009B783C">
        <w:rPr>
          <w:szCs w:val="21"/>
        </w:rPr>
        <w:t xml:space="preserve"> for</w:t>
      </w:r>
      <w:r w:rsidRPr="009B783C">
        <w:rPr>
          <w:szCs w:val="21"/>
        </w:rPr>
        <w:t xml:space="preserve"> this evaluation.</w:t>
      </w:r>
    </w:p>
    <w:p w14:paraId="2262CA16" w14:textId="20380048" w:rsidR="00C47A8D" w:rsidRPr="009B783C" w:rsidRDefault="0098687F" w:rsidP="00F5425B">
      <w:pPr>
        <w:pStyle w:val="Bullet"/>
        <w:numPr>
          <w:ilvl w:val="0"/>
          <w:numId w:val="0"/>
        </w:numPr>
        <w:rPr>
          <w:szCs w:val="21"/>
        </w:rPr>
      </w:pPr>
      <w:r w:rsidRPr="009B783C">
        <w:rPr>
          <w:szCs w:val="21"/>
        </w:rPr>
        <w:t>The impact of Medicare UCCs on presentations to partner hospital EDs is discussed in Measure of Success 6</w:t>
      </w:r>
      <w:r w:rsidR="003B7E58" w:rsidRPr="009B783C">
        <w:rPr>
          <w:szCs w:val="21"/>
        </w:rPr>
        <w:t xml:space="preserve"> (section </w:t>
      </w:r>
      <w:r w:rsidR="003B7E58" w:rsidRPr="009B783C">
        <w:rPr>
          <w:szCs w:val="21"/>
        </w:rPr>
        <w:fldChar w:fldCharType="begin"/>
      </w:r>
      <w:r w:rsidR="003B7E58" w:rsidRPr="009B783C">
        <w:rPr>
          <w:szCs w:val="21"/>
        </w:rPr>
        <w:instrText xml:space="preserve"> REF _Ref185323061 \n \h </w:instrText>
      </w:r>
      <w:r w:rsidR="00F5425B" w:rsidRPr="009B783C">
        <w:rPr>
          <w:szCs w:val="21"/>
        </w:rPr>
        <w:instrText xml:space="preserve"> \* MERGEFORMAT </w:instrText>
      </w:r>
      <w:r w:rsidR="003B7E58" w:rsidRPr="009B783C">
        <w:rPr>
          <w:szCs w:val="21"/>
        </w:rPr>
      </w:r>
      <w:r w:rsidR="003B7E58" w:rsidRPr="009B783C">
        <w:rPr>
          <w:szCs w:val="21"/>
        </w:rPr>
        <w:fldChar w:fldCharType="separate"/>
      </w:r>
      <w:r w:rsidR="0031172E" w:rsidRPr="009B783C">
        <w:rPr>
          <w:szCs w:val="21"/>
        </w:rPr>
        <w:t>5.6</w:t>
      </w:r>
      <w:r w:rsidR="003B7E58" w:rsidRPr="009B783C">
        <w:rPr>
          <w:szCs w:val="21"/>
        </w:rPr>
        <w:fldChar w:fldCharType="end"/>
      </w:r>
      <w:r w:rsidR="003B7E58" w:rsidRPr="009B783C">
        <w:rPr>
          <w:szCs w:val="21"/>
        </w:rPr>
        <w:t>)</w:t>
      </w:r>
      <w:r w:rsidRPr="009B783C">
        <w:rPr>
          <w:szCs w:val="21"/>
        </w:rPr>
        <w:t xml:space="preserve">. </w:t>
      </w:r>
    </w:p>
    <w:p w14:paraId="75B476D1" w14:textId="62ED2184" w:rsidR="0079554F" w:rsidRPr="009B783C" w:rsidRDefault="0079554F" w:rsidP="0079554F">
      <w:pPr>
        <w:pStyle w:val="Caption"/>
        <w:rPr>
          <w:szCs w:val="21"/>
        </w:rPr>
      </w:pPr>
      <w:bookmarkStart w:id="171" w:name="_Ref185488649"/>
      <w:r w:rsidRPr="009B783C">
        <w:rPr>
          <w:szCs w:val="21"/>
        </w:rPr>
        <w:t xml:space="preserve">Figure </w:t>
      </w:r>
      <w:r w:rsidR="00E4498C" w:rsidRPr="009B783C">
        <w:rPr>
          <w:szCs w:val="21"/>
        </w:rPr>
        <w:fldChar w:fldCharType="begin"/>
      </w:r>
      <w:r w:rsidR="00E4498C" w:rsidRPr="009B783C">
        <w:rPr>
          <w:szCs w:val="21"/>
        </w:rPr>
        <w:instrText xml:space="preserve"> SEQ Figure \* ARABIC </w:instrText>
      </w:r>
      <w:r w:rsidR="00E4498C" w:rsidRPr="009B783C">
        <w:rPr>
          <w:szCs w:val="21"/>
        </w:rPr>
        <w:fldChar w:fldCharType="separate"/>
      </w:r>
      <w:r w:rsidR="00331823">
        <w:rPr>
          <w:noProof/>
          <w:szCs w:val="21"/>
        </w:rPr>
        <w:t>18</w:t>
      </w:r>
      <w:r w:rsidR="00E4498C" w:rsidRPr="009B783C">
        <w:rPr>
          <w:szCs w:val="21"/>
        </w:rPr>
        <w:fldChar w:fldCharType="end"/>
      </w:r>
      <w:bookmarkEnd w:id="171"/>
      <w:r w:rsidRPr="009B783C">
        <w:rPr>
          <w:szCs w:val="21"/>
        </w:rPr>
        <w:t xml:space="preserve"> | Presentations where it was reported that patient would have attended ED or called an ambulance if the Medicare UCC was not available, by week, February 2024 to September 2024</w:t>
      </w:r>
    </w:p>
    <w:p w14:paraId="07FE1BC4" w14:textId="68943596" w:rsidR="0098687F" w:rsidRPr="009B783C" w:rsidRDefault="007C2379" w:rsidP="0098687F">
      <w:pPr>
        <w:rPr>
          <w:lang w:eastAsia="en-AU"/>
        </w:rPr>
      </w:pPr>
      <w:r>
        <w:rPr>
          <w:noProof/>
        </w:rPr>
        <w:drawing>
          <wp:inline distT="0" distB="0" distL="0" distR="0" wp14:anchorId="12A08E07" wp14:editId="308888C4">
            <wp:extent cx="5670482" cy="3513908"/>
            <wp:effectExtent l="0" t="0" r="6985" b="0"/>
            <wp:docPr id="25" name="Picture 25" descr="This image presents a line graph showing percentage of presentations to Medicare UCCs where the patient would have otherwise attended ED or called an ambulance from date of opening for newly established and transitioned clin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This image presents a line graph showing percentage of presentations to Medicare UCCs where the patient would have otherwise attended ED or called an ambulance from date of opening for newly established and transitioned clinics."/>
                    <pic:cNvPicPr>
                      <a:picLocks noChangeAspect="1" noChangeArrowheads="1"/>
                    </pic:cNvPicPr>
                  </pic:nvPicPr>
                  <pic:blipFill rotWithShape="1">
                    <a:blip r:embed="rId50" cstate="print"/>
                    <a:srcRect b="14299"/>
                    <a:stretch/>
                  </pic:blipFill>
                  <pic:spPr bwMode="auto">
                    <a:xfrm>
                      <a:off x="0" y="0"/>
                      <a:ext cx="5670550" cy="3513950"/>
                    </a:xfrm>
                    <a:prstGeom prst="rect">
                      <a:avLst/>
                    </a:prstGeom>
                    <a:noFill/>
                    <a:ln>
                      <a:noFill/>
                    </a:ln>
                    <a:extLst>
                      <a:ext uri="{53640926-AAD7-44D8-BBD7-CCE9431645EC}">
                        <a14:shadowObscured xmlns:a14="http://schemas.microsoft.com/office/drawing/2010/main"/>
                      </a:ext>
                    </a:extLst>
                  </pic:spPr>
                </pic:pic>
              </a:graphicData>
            </a:graphic>
          </wp:inline>
        </w:drawing>
      </w:r>
    </w:p>
    <w:p w14:paraId="447B9DAE" w14:textId="718571DB" w:rsidR="00FF4E88" w:rsidRPr="009B783C" w:rsidRDefault="000D706D" w:rsidP="00FF4E88">
      <w:pPr>
        <w:rPr>
          <w:szCs w:val="21"/>
        </w:rPr>
      </w:pPr>
      <w:r>
        <w:rPr>
          <w:szCs w:val="21"/>
          <w:lang w:eastAsia="en-AU"/>
        </w:rPr>
        <w:lastRenderedPageBreak/>
        <w:t xml:space="preserve">Detailed </w:t>
      </w:r>
      <w:r w:rsidR="00FF4E88" w:rsidRPr="009B783C">
        <w:rPr>
          <w:szCs w:val="21"/>
        </w:rPr>
        <w:t>Description:</w:t>
      </w:r>
    </w:p>
    <w:p w14:paraId="555CFD64" w14:textId="4F468452" w:rsidR="00FF4E88" w:rsidRPr="009B783C" w:rsidRDefault="00FF4E88" w:rsidP="00FF4E88">
      <w:pPr>
        <w:rPr>
          <w:szCs w:val="21"/>
        </w:rPr>
      </w:pPr>
      <w:r w:rsidRPr="009B783C">
        <w:rPr>
          <w:szCs w:val="21"/>
        </w:rPr>
        <w:t xml:space="preserve">The graph depicts two lines </w:t>
      </w:r>
      <w:r w:rsidR="00B20AAE" w:rsidRPr="009B783C">
        <w:rPr>
          <w:szCs w:val="21"/>
        </w:rPr>
        <w:t xml:space="preserve">showing percentage of presentations to Medicare UCCs where the patient would have otherwise attended ED or called an ambulance from date of opening </w:t>
      </w:r>
      <w:r w:rsidR="00B20AAE">
        <w:rPr>
          <w:szCs w:val="21"/>
        </w:rPr>
        <w:t>f</w:t>
      </w:r>
      <w:r w:rsidR="00B20AAE" w:rsidRPr="009B783C">
        <w:rPr>
          <w:szCs w:val="21"/>
        </w:rPr>
        <w:t>or</w:t>
      </w:r>
      <w:r w:rsidR="00B20AAE">
        <w:rPr>
          <w:szCs w:val="21"/>
        </w:rPr>
        <w:t xml:space="preserve"> newly established or</w:t>
      </w:r>
      <w:r w:rsidR="00B20AAE" w:rsidRPr="009B783C">
        <w:rPr>
          <w:szCs w:val="21"/>
        </w:rPr>
        <w:t xml:space="preserve"> transition</w:t>
      </w:r>
      <w:r w:rsidR="00B20AAE">
        <w:rPr>
          <w:szCs w:val="21"/>
        </w:rPr>
        <w:t>ed clinics</w:t>
      </w:r>
      <w:r w:rsidR="00250487">
        <w:rPr>
          <w:szCs w:val="21"/>
        </w:rPr>
        <w:t xml:space="preserve">. </w:t>
      </w:r>
      <w:r w:rsidR="009E57EB" w:rsidRPr="009B783C">
        <w:rPr>
          <w:szCs w:val="21"/>
        </w:rPr>
        <w:t>The data is summarised in the following table.</w:t>
      </w:r>
    </w:p>
    <w:tbl>
      <w:tblPr>
        <w:tblStyle w:val="TableGrid"/>
        <w:tblW w:w="0" w:type="auto"/>
        <w:tblLook w:val="04A0" w:firstRow="1" w:lastRow="0" w:firstColumn="1" w:lastColumn="0" w:noHBand="0" w:noVBand="1"/>
      </w:tblPr>
      <w:tblGrid>
        <w:gridCol w:w="2973"/>
        <w:gridCol w:w="2973"/>
        <w:gridCol w:w="2974"/>
      </w:tblGrid>
      <w:tr w:rsidR="009E57EB" w:rsidRPr="009B783C" w14:paraId="6FF62555" w14:textId="77777777" w:rsidTr="00BC7584">
        <w:trPr>
          <w:tblHeader/>
        </w:trPr>
        <w:tc>
          <w:tcPr>
            <w:tcW w:w="29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547FCE84" w14:textId="15F414FA" w:rsidR="009E57EB" w:rsidRPr="009B783C" w:rsidRDefault="006433A1" w:rsidP="00EA1B80">
            <w:pPr>
              <w:pStyle w:val="TableNheader"/>
              <w:rPr>
                <w:rFonts w:asciiTheme="majorHAnsi" w:hAnsiTheme="majorHAnsi" w:cstheme="majorHAnsi"/>
              </w:rPr>
            </w:pPr>
            <w:r>
              <w:t>Date</w:t>
            </w:r>
          </w:p>
        </w:tc>
        <w:tc>
          <w:tcPr>
            <w:tcW w:w="29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46227193" w14:textId="2BDEFE6A" w:rsidR="009E57EB" w:rsidRPr="009B783C" w:rsidRDefault="003610D0" w:rsidP="00EA1B80">
            <w:pPr>
              <w:pStyle w:val="TableNheader"/>
              <w:rPr>
                <w:rFonts w:asciiTheme="majorHAnsi" w:hAnsiTheme="majorHAnsi" w:cstheme="majorHAnsi"/>
              </w:rPr>
            </w:pPr>
            <w:r w:rsidRPr="009B783C">
              <w:t>Presentations (%) to newly established Medicare UCCs</w:t>
            </w:r>
          </w:p>
        </w:tc>
        <w:tc>
          <w:tcPr>
            <w:tcW w:w="29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326BE327" w14:textId="4404B7EC" w:rsidR="009E57EB" w:rsidRPr="009B783C" w:rsidRDefault="003610D0" w:rsidP="00EA1B80">
            <w:pPr>
              <w:pStyle w:val="TableNheader"/>
              <w:rPr>
                <w:rFonts w:asciiTheme="majorHAnsi" w:hAnsiTheme="majorHAnsi" w:cstheme="majorHAnsi"/>
              </w:rPr>
            </w:pPr>
            <w:r w:rsidRPr="009B783C">
              <w:t>Presentations (%) to transitioned Medicare UCCs</w:t>
            </w:r>
          </w:p>
        </w:tc>
      </w:tr>
      <w:tr w:rsidR="007B6C0B" w:rsidRPr="009B783C" w14:paraId="0D88C825" w14:textId="77777777" w:rsidTr="007B6C0B">
        <w:tc>
          <w:tcPr>
            <w:tcW w:w="2973" w:type="dxa"/>
            <w:tcBorders>
              <w:top w:val="single" w:sz="4" w:space="0" w:color="FFFFFF" w:themeColor="background1"/>
            </w:tcBorders>
            <w:vAlign w:val="bottom"/>
          </w:tcPr>
          <w:p w14:paraId="510329BC" w14:textId="55043287" w:rsidR="007B6C0B" w:rsidRPr="009B783C" w:rsidRDefault="008B098A" w:rsidP="007B6C0B">
            <w:pPr>
              <w:rPr>
                <w:rFonts w:asciiTheme="minorHAnsi" w:hAnsiTheme="minorHAnsi" w:cstheme="minorHAnsi"/>
                <w:szCs w:val="21"/>
              </w:rPr>
            </w:pPr>
            <w:r>
              <w:rPr>
                <w:rFonts w:asciiTheme="minorHAnsi" w:hAnsiTheme="minorHAnsi" w:cstheme="minorHAnsi"/>
                <w:color w:val="000000"/>
                <w:szCs w:val="21"/>
              </w:rPr>
              <w:t xml:space="preserve">31 January </w:t>
            </w:r>
            <w:r w:rsidR="007B6C0B" w:rsidRPr="009B783C">
              <w:rPr>
                <w:rFonts w:asciiTheme="minorHAnsi" w:hAnsiTheme="minorHAnsi" w:cstheme="minorHAnsi"/>
                <w:color w:val="000000"/>
                <w:szCs w:val="21"/>
              </w:rPr>
              <w:t>2024</w:t>
            </w:r>
          </w:p>
        </w:tc>
        <w:tc>
          <w:tcPr>
            <w:tcW w:w="2973" w:type="dxa"/>
            <w:tcBorders>
              <w:top w:val="single" w:sz="4" w:space="0" w:color="FFFFFF" w:themeColor="background1"/>
            </w:tcBorders>
            <w:vAlign w:val="bottom"/>
          </w:tcPr>
          <w:p w14:paraId="0164F4E1" w14:textId="6C9B97EB"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41.8</w:t>
            </w:r>
          </w:p>
        </w:tc>
        <w:tc>
          <w:tcPr>
            <w:tcW w:w="2974" w:type="dxa"/>
            <w:tcBorders>
              <w:top w:val="single" w:sz="4" w:space="0" w:color="FFFFFF" w:themeColor="background1"/>
            </w:tcBorders>
            <w:vAlign w:val="bottom"/>
          </w:tcPr>
          <w:p w14:paraId="19131E94" w14:textId="2A48673A"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55.8</w:t>
            </w:r>
          </w:p>
        </w:tc>
      </w:tr>
      <w:tr w:rsidR="007B6C0B" w:rsidRPr="009B783C" w14:paraId="75DE57FF" w14:textId="77777777" w:rsidTr="00E40022">
        <w:tc>
          <w:tcPr>
            <w:tcW w:w="2973" w:type="dxa"/>
            <w:vAlign w:val="bottom"/>
          </w:tcPr>
          <w:p w14:paraId="6392EBB2" w14:textId="4018EF67" w:rsidR="007B6C0B" w:rsidRPr="009B783C" w:rsidRDefault="008B098A" w:rsidP="007B6C0B">
            <w:pPr>
              <w:rPr>
                <w:rFonts w:asciiTheme="minorHAnsi" w:hAnsiTheme="minorHAnsi" w:cstheme="minorHAnsi"/>
                <w:szCs w:val="21"/>
              </w:rPr>
            </w:pPr>
            <w:r>
              <w:rPr>
                <w:rFonts w:asciiTheme="minorHAnsi" w:hAnsiTheme="minorHAnsi" w:cstheme="minorHAnsi"/>
                <w:color w:val="000000"/>
                <w:szCs w:val="21"/>
              </w:rPr>
              <w:t>31 March 2024</w:t>
            </w:r>
          </w:p>
        </w:tc>
        <w:tc>
          <w:tcPr>
            <w:tcW w:w="2973" w:type="dxa"/>
            <w:vAlign w:val="bottom"/>
          </w:tcPr>
          <w:p w14:paraId="1668FFA8" w14:textId="54D3D25B"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45.8</w:t>
            </w:r>
          </w:p>
        </w:tc>
        <w:tc>
          <w:tcPr>
            <w:tcW w:w="2974" w:type="dxa"/>
            <w:vAlign w:val="bottom"/>
          </w:tcPr>
          <w:p w14:paraId="55248A66" w14:textId="330EC611"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61.1</w:t>
            </w:r>
          </w:p>
        </w:tc>
      </w:tr>
      <w:tr w:rsidR="007B6C0B" w:rsidRPr="009B783C" w14:paraId="632AE070" w14:textId="77777777" w:rsidTr="00E40022">
        <w:tc>
          <w:tcPr>
            <w:tcW w:w="2973" w:type="dxa"/>
            <w:vAlign w:val="bottom"/>
          </w:tcPr>
          <w:p w14:paraId="28C37006" w14:textId="306E5189" w:rsidR="007B6C0B" w:rsidRPr="009B783C" w:rsidRDefault="008B098A" w:rsidP="007B6C0B">
            <w:pPr>
              <w:rPr>
                <w:rFonts w:asciiTheme="minorHAnsi" w:hAnsiTheme="minorHAnsi" w:cstheme="minorHAnsi"/>
                <w:szCs w:val="21"/>
              </w:rPr>
            </w:pPr>
            <w:r>
              <w:rPr>
                <w:rFonts w:asciiTheme="minorHAnsi" w:hAnsiTheme="minorHAnsi" w:cstheme="minorHAnsi"/>
                <w:color w:val="000000"/>
                <w:szCs w:val="21"/>
              </w:rPr>
              <w:t>31 May 2024</w:t>
            </w:r>
          </w:p>
        </w:tc>
        <w:tc>
          <w:tcPr>
            <w:tcW w:w="2973" w:type="dxa"/>
            <w:vAlign w:val="bottom"/>
          </w:tcPr>
          <w:p w14:paraId="6CAD52CB" w14:textId="179A6F0F"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44.3</w:t>
            </w:r>
          </w:p>
        </w:tc>
        <w:tc>
          <w:tcPr>
            <w:tcW w:w="2974" w:type="dxa"/>
            <w:vAlign w:val="bottom"/>
          </w:tcPr>
          <w:p w14:paraId="504E33ED" w14:textId="68DD0919"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61.5</w:t>
            </w:r>
          </w:p>
        </w:tc>
      </w:tr>
      <w:tr w:rsidR="007B6C0B" w:rsidRPr="009B783C" w14:paraId="5FFCA1F4" w14:textId="77777777" w:rsidTr="00E40022">
        <w:tc>
          <w:tcPr>
            <w:tcW w:w="2973" w:type="dxa"/>
            <w:vAlign w:val="bottom"/>
          </w:tcPr>
          <w:p w14:paraId="64B6B382" w14:textId="5BCD7151" w:rsidR="007B6C0B" w:rsidRPr="009B783C" w:rsidRDefault="008B098A" w:rsidP="007B6C0B">
            <w:pPr>
              <w:rPr>
                <w:rFonts w:asciiTheme="minorHAnsi" w:hAnsiTheme="minorHAnsi" w:cstheme="minorHAnsi"/>
                <w:szCs w:val="21"/>
              </w:rPr>
            </w:pPr>
            <w:r>
              <w:rPr>
                <w:rFonts w:asciiTheme="minorHAnsi" w:hAnsiTheme="minorHAnsi" w:cstheme="minorHAnsi"/>
                <w:color w:val="000000"/>
                <w:szCs w:val="21"/>
              </w:rPr>
              <w:t>31 July 2024</w:t>
            </w:r>
          </w:p>
        </w:tc>
        <w:tc>
          <w:tcPr>
            <w:tcW w:w="2973" w:type="dxa"/>
            <w:vAlign w:val="bottom"/>
          </w:tcPr>
          <w:p w14:paraId="50117B16" w14:textId="6BDDC91D"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43.5</w:t>
            </w:r>
          </w:p>
        </w:tc>
        <w:tc>
          <w:tcPr>
            <w:tcW w:w="2974" w:type="dxa"/>
            <w:vAlign w:val="bottom"/>
          </w:tcPr>
          <w:p w14:paraId="49ABD44E" w14:textId="295C2F70"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52.7</w:t>
            </w:r>
          </w:p>
        </w:tc>
      </w:tr>
      <w:tr w:rsidR="007B6C0B" w:rsidRPr="009B783C" w14:paraId="69FDBA6E" w14:textId="77777777" w:rsidTr="00E40022">
        <w:tc>
          <w:tcPr>
            <w:tcW w:w="2973" w:type="dxa"/>
            <w:vAlign w:val="bottom"/>
          </w:tcPr>
          <w:p w14:paraId="79E1A646" w14:textId="5B010EA0" w:rsidR="007B6C0B" w:rsidRPr="009B783C" w:rsidRDefault="008B098A" w:rsidP="007B6C0B">
            <w:pPr>
              <w:rPr>
                <w:rFonts w:asciiTheme="minorHAnsi" w:hAnsiTheme="minorHAnsi" w:cstheme="minorHAnsi"/>
                <w:color w:val="000000"/>
                <w:szCs w:val="21"/>
              </w:rPr>
            </w:pPr>
            <w:r>
              <w:rPr>
                <w:rFonts w:asciiTheme="minorHAnsi" w:hAnsiTheme="minorHAnsi" w:cstheme="minorHAnsi"/>
                <w:color w:val="000000"/>
                <w:szCs w:val="21"/>
              </w:rPr>
              <w:t>30 September 2024</w:t>
            </w:r>
          </w:p>
        </w:tc>
        <w:tc>
          <w:tcPr>
            <w:tcW w:w="2973" w:type="dxa"/>
            <w:vAlign w:val="bottom"/>
          </w:tcPr>
          <w:p w14:paraId="60B4BFA4" w14:textId="0FB2C918"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39.8</w:t>
            </w:r>
          </w:p>
        </w:tc>
        <w:tc>
          <w:tcPr>
            <w:tcW w:w="2974" w:type="dxa"/>
            <w:vAlign w:val="bottom"/>
          </w:tcPr>
          <w:p w14:paraId="1128EC4B" w14:textId="7D9734B4" w:rsidR="007B6C0B" w:rsidRPr="009B783C" w:rsidRDefault="007B6C0B" w:rsidP="00664D4B">
            <w:pPr>
              <w:jc w:val="center"/>
              <w:rPr>
                <w:rFonts w:asciiTheme="minorHAnsi" w:hAnsiTheme="minorHAnsi" w:cstheme="minorHAnsi"/>
                <w:szCs w:val="21"/>
              </w:rPr>
            </w:pPr>
            <w:r w:rsidRPr="009B783C">
              <w:rPr>
                <w:rFonts w:asciiTheme="minorHAnsi" w:hAnsiTheme="minorHAnsi" w:cstheme="minorHAnsi"/>
                <w:color w:val="000000"/>
                <w:szCs w:val="21"/>
              </w:rPr>
              <w:t>53.9</w:t>
            </w:r>
          </w:p>
        </w:tc>
      </w:tr>
    </w:tbl>
    <w:p w14:paraId="4F80E70D" w14:textId="09603C6D" w:rsidR="007B6C0B" w:rsidRPr="009B783C" w:rsidRDefault="007B6C0B" w:rsidP="007B6C0B">
      <w:pPr>
        <w:rPr>
          <w:szCs w:val="21"/>
        </w:rPr>
      </w:pPr>
    </w:p>
    <w:p w14:paraId="2A0029BD" w14:textId="3494D15E" w:rsidR="0079554F" w:rsidRPr="009B783C" w:rsidRDefault="0079554F" w:rsidP="007B6C0B">
      <w:pPr>
        <w:rPr>
          <w:sz w:val="20"/>
          <w:szCs w:val="20"/>
          <w:lang w:val="en-US"/>
        </w:rPr>
      </w:pPr>
      <w:r w:rsidRPr="009B783C">
        <w:rPr>
          <w:sz w:val="20"/>
          <w:szCs w:val="20"/>
        </w:rPr>
        <w:t xml:space="preserve">Notes: Based on data from 53 clinics that opened before 31 December 2023 and had </w:t>
      </w:r>
      <w:r w:rsidR="004E7366" w:rsidRPr="009B783C">
        <w:rPr>
          <w:sz w:val="20"/>
          <w:szCs w:val="20"/>
        </w:rPr>
        <w:t>Module</w:t>
      </w:r>
      <w:r w:rsidRPr="009B783C">
        <w:rPr>
          <w:sz w:val="20"/>
          <w:szCs w:val="20"/>
        </w:rPr>
        <w:t xml:space="preserve"> data available.</w:t>
      </w:r>
      <w:r w:rsidR="008A611A" w:rsidRPr="009B783C">
        <w:rPr>
          <w:sz w:val="20"/>
          <w:szCs w:val="20"/>
        </w:rPr>
        <w:t xml:space="preserve"> </w:t>
      </w:r>
      <w:r w:rsidRPr="009B783C">
        <w:rPr>
          <w:sz w:val="20"/>
          <w:szCs w:val="20"/>
        </w:rPr>
        <w:t xml:space="preserve">Trends shown by week from 1 February 2024 to 30 September 2024, extracted 3 December 2024. This period was chosen to provide a more accurate reflection of activity once clinics were established. </w:t>
      </w:r>
    </w:p>
    <w:p w14:paraId="5C96C669" w14:textId="65D89189" w:rsidR="0098687F" w:rsidRPr="009B783C" w:rsidRDefault="0098687F" w:rsidP="000D706D">
      <w:pPr>
        <w:pStyle w:val="Heading3"/>
      </w:pPr>
      <w:r w:rsidRPr="009B783C">
        <w:t>Most patients are presenting directly to the Medicare UCCs rather than being referred from other services</w:t>
      </w:r>
    </w:p>
    <w:p w14:paraId="1F46A1A8" w14:textId="40B77F97" w:rsidR="0098687F" w:rsidRPr="009B783C" w:rsidRDefault="0098687F" w:rsidP="00F5425B">
      <w:pPr>
        <w:rPr>
          <w:szCs w:val="21"/>
          <w:lang w:eastAsia="en-AU"/>
        </w:rPr>
      </w:pPr>
      <w:r w:rsidRPr="009B783C">
        <w:rPr>
          <w:szCs w:val="21"/>
          <w:lang w:eastAsia="en-AU"/>
        </w:rPr>
        <w:t xml:space="preserve">Medicare UCC data indicates that most patients are coming directly to the Medicare UCCs, with 89.2 per cent presentations reported as walk-ins, as shown in </w:t>
      </w:r>
      <w:r w:rsidRPr="009B783C">
        <w:rPr>
          <w:szCs w:val="21"/>
          <w:lang w:eastAsia="en-AU"/>
        </w:rPr>
        <w:fldChar w:fldCharType="begin"/>
      </w:r>
      <w:r w:rsidRPr="009B783C">
        <w:rPr>
          <w:szCs w:val="21"/>
          <w:lang w:eastAsia="en-AU"/>
        </w:rPr>
        <w:instrText xml:space="preserve"> REF _Ref179628601 \h  \* MERGEFORMAT </w:instrText>
      </w:r>
      <w:r w:rsidRPr="009B783C">
        <w:rPr>
          <w:szCs w:val="21"/>
          <w:lang w:eastAsia="en-AU"/>
        </w:rPr>
      </w:r>
      <w:r w:rsidRPr="009B783C">
        <w:rPr>
          <w:szCs w:val="21"/>
          <w:lang w:eastAsia="en-AU"/>
        </w:rPr>
        <w:fldChar w:fldCharType="separate"/>
      </w:r>
      <w:r w:rsidR="006B459A" w:rsidRPr="009B783C">
        <w:rPr>
          <w:szCs w:val="21"/>
        </w:rPr>
        <w:t xml:space="preserve">Table </w:t>
      </w:r>
      <w:r w:rsidR="006B459A">
        <w:rPr>
          <w:szCs w:val="21"/>
        </w:rPr>
        <w:t>15</w:t>
      </w:r>
      <w:r w:rsidRPr="009B783C">
        <w:rPr>
          <w:szCs w:val="21"/>
          <w:lang w:eastAsia="en-AU"/>
        </w:rPr>
        <w:fldChar w:fldCharType="end"/>
      </w:r>
      <w:r w:rsidRPr="009B783C">
        <w:rPr>
          <w:szCs w:val="21"/>
          <w:lang w:eastAsia="en-AU"/>
        </w:rPr>
        <w:t xml:space="preserve">. There were minimal diversions from other services, with just 3.8 per cent of presentations reported to have been referred by a GP, 2.6 per cent from Healthdirect and 1.5 per cent from ED. </w:t>
      </w:r>
    </w:p>
    <w:p w14:paraId="22A91AD8" w14:textId="4C518F05" w:rsidR="00D937DA" w:rsidRPr="009B783C" w:rsidRDefault="006427A9" w:rsidP="00F5425B">
      <w:pPr>
        <w:rPr>
          <w:szCs w:val="21"/>
          <w:lang w:eastAsia="en-AU"/>
        </w:rPr>
      </w:pPr>
      <w:r w:rsidRPr="009B783C">
        <w:rPr>
          <w:szCs w:val="21"/>
          <w:lang w:eastAsia="en-AU"/>
        </w:rPr>
        <w:t>As previously described in Measure of Success 2 (</w:t>
      </w:r>
      <w:r w:rsidR="005407AC" w:rsidRPr="009B783C">
        <w:rPr>
          <w:szCs w:val="21"/>
          <w:lang w:eastAsia="en-AU"/>
        </w:rPr>
        <w:fldChar w:fldCharType="begin"/>
      </w:r>
      <w:r w:rsidR="005407AC" w:rsidRPr="009B783C">
        <w:rPr>
          <w:szCs w:val="21"/>
          <w:lang w:eastAsia="en-AU"/>
        </w:rPr>
        <w:instrText xml:space="preserve"> REF _Ref179619804 \h </w:instrText>
      </w:r>
      <w:r w:rsidR="00F5425B" w:rsidRPr="009B783C">
        <w:rPr>
          <w:szCs w:val="21"/>
          <w:lang w:eastAsia="en-AU"/>
        </w:rPr>
        <w:instrText xml:space="preserve"> \* MERGEFORMAT </w:instrText>
      </w:r>
      <w:r w:rsidR="005407AC" w:rsidRPr="009B783C">
        <w:rPr>
          <w:szCs w:val="21"/>
          <w:lang w:eastAsia="en-AU"/>
        </w:rPr>
      </w:r>
      <w:r w:rsidR="005407AC" w:rsidRPr="009B783C">
        <w:rPr>
          <w:szCs w:val="21"/>
          <w:lang w:eastAsia="en-AU"/>
        </w:rPr>
        <w:fldChar w:fldCharType="separate"/>
      </w:r>
      <w:r w:rsidR="006B459A" w:rsidRPr="009B783C">
        <w:rPr>
          <w:szCs w:val="21"/>
        </w:rPr>
        <w:t xml:space="preserve">Table </w:t>
      </w:r>
      <w:r w:rsidR="006B459A">
        <w:rPr>
          <w:szCs w:val="21"/>
        </w:rPr>
        <w:t>10</w:t>
      </w:r>
      <w:r w:rsidR="005407AC" w:rsidRPr="009B783C">
        <w:rPr>
          <w:szCs w:val="21"/>
          <w:lang w:eastAsia="en-AU"/>
        </w:rPr>
        <w:fldChar w:fldCharType="end"/>
      </w:r>
      <w:r w:rsidR="005407AC" w:rsidRPr="009B783C">
        <w:rPr>
          <w:szCs w:val="21"/>
          <w:lang w:eastAsia="en-AU"/>
        </w:rPr>
        <w:t>)</w:t>
      </w:r>
      <w:r w:rsidRPr="009B783C">
        <w:rPr>
          <w:szCs w:val="21"/>
          <w:lang w:eastAsia="en-AU"/>
        </w:rPr>
        <w:t xml:space="preserve">, most patients are presenting to Medicare UCCs </w:t>
      </w:r>
      <w:r w:rsidRPr="009B783C">
        <w:rPr>
          <w:szCs w:val="21"/>
        </w:rPr>
        <w:t>with acute illnesses (63 per cent) and acute injuries (26 per cent).</w:t>
      </w:r>
      <w:r w:rsidR="00312239" w:rsidRPr="009B783C">
        <w:rPr>
          <w:szCs w:val="21"/>
        </w:rPr>
        <w:t xml:space="preserve"> Available data also indicates Medicare UCC patients tend to be younger than patients attending EDs for similar care</w:t>
      </w:r>
      <w:r w:rsidR="0019691D" w:rsidRPr="009B783C">
        <w:rPr>
          <w:szCs w:val="21"/>
        </w:rPr>
        <w:t xml:space="preserve"> </w:t>
      </w:r>
      <w:r w:rsidR="00744B90" w:rsidRPr="009B783C">
        <w:rPr>
          <w:szCs w:val="21"/>
        </w:rPr>
        <w:t>(</w:t>
      </w:r>
      <w:r w:rsidR="000721C0" w:rsidRPr="009B783C">
        <w:rPr>
          <w:szCs w:val="21"/>
        </w:rPr>
        <w:fldChar w:fldCharType="begin"/>
      </w:r>
      <w:r w:rsidR="000721C0" w:rsidRPr="009B783C">
        <w:rPr>
          <w:szCs w:val="21"/>
        </w:rPr>
        <w:instrText xml:space="preserve"> REF _Ref185485581 \h </w:instrText>
      </w:r>
      <w:r w:rsidR="00F5425B" w:rsidRPr="009B783C">
        <w:rPr>
          <w:szCs w:val="21"/>
        </w:rPr>
        <w:instrText xml:space="preserve"> \* MERGEFORMAT </w:instrText>
      </w:r>
      <w:r w:rsidR="000721C0" w:rsidRPr="009B783C">
        <w:rPr>
          <w:szCs w:val="21"/>
        </w:rPr>
      </w:r>
      <w:r w:rsidR="000721C0" w:rsidRPr="009B783C">
        <w:rPr>
          <w:szCs w:val="21"/>
        </w:rPr>
        <w:fldChar w:fldCharType="separate"/>
      </w:r>
      <w:r w:rsidR="006B459A" w:rsidRPr="009B783C">
        <w:rPr>
          <w:szCs w:val="21"/>
        </w:rPr>
        <w:t xml:space="preserve">Figure </w:t>
      </w:r>
      <w:r w:rsidR="006B459A">
        <w:rPr>
          <w:szCs w:val="21"/>
        </w:rPr>
        <w:t>10</w:t>
      </w:r>
      <w:r w:rsidR="000721C0" w:rsidRPr="009B783C">
        <w:rPr>
          <w:szCs w:val="21"/>
        </w:rPr>
        <w:fldChar w:fldCharType="end"/>
      </w:r>
      <w:r w:rsidR="00D87A0F" w:rsidRPr="009B783C">
        <w:rPr>
          <w:szCs w:val="21"/>
        </w:rPr>
        <w:t xml:space="preserve">), as described previously in section </w:t>
      </w:r>
      <w:r w:rsidR="00737A46" w:rsidRPr="009B783C">
        <w:rPr>
          <w:szCs w:val="21"/>
        </w:rPr>
        <w:fldChar w:fldCharType="begin"/>
      </w:r>
      <w:r w:rsidR="00737A46" w:rsidRPr="009B783C">
        <w:rPr>
          <w:szCs w:val="21"/>
        </w:rPr>
        <w:instrText xml:space="preserve"> REF _Ref185510731 \r \h </w:instrText>
      </w:r>
      <w:r w:rsidR="00F5425B" w:rsidRPr="009B783C">
        <w:rPr>
          <w:szCs w:val="21"/>
        </w:rPr>
        <w:instrText xml:space="preserve"> \* MERGEFORMAT </w:instrText>
      </w:r>
      <w:r w:rsidR="00737A46" w:rsidRPr="009B783C">
        <w:rPr>
          <w:szCs w:val="21"/>
        </w:rPr>
      </w:r>
      <w:r w:rsidR="00737A46" w:rsidRPr="009B783C">
        <w:rPr>
          <w:szCs w:val="21"/>
        </w:rPr>
        <w:fldChar w:fldCharType="separate"/>
      </w:r>
      <w:r w:rsidR="0031172E" w:rsidRPr="009B783C">
        <w:rPr>
          <w:szCs w:val="21"/>
        </w:rPr>
        <w:t>4.6</w:t>
      </w:r>
      <w:r w:rsidR="00737A46" w:rsidRPr="009B783C">
        <w:rPr>
          <w:szCs w:val="21"/>
        </w:rPr>
        <w:fldChar w:fldCharType="end"/>
      </w:r>
      <w:r w:rsidR="00D87A0F" w:rsidRPr="009B783C">
        <w:rPr>
          <w:szCs w:val="21"/>
        </w:rPr>
        <w:t xml:space="preserve"> (Implementation). </w:t>
      </w:r>
      <w:r w:rsidR="007C0E05" w:rsidRPr="009B783C">
        <w:rPr>
          <w:szCs w:val="21"/>
        </w:rPr>
        <w:t xml:space="preserve">Characteristics of patients attending Medicare UCCs will be explored in </w:t>
      </w:r>
      <w:r w:rsidR="00C73F9F" w:rsidRPr="009B783C">
        <w:rPr>
          <w:szCs w:val="21"/>
        </w:rPr>
        <w:t xml:space="preserve">further detail in </w:t>
      </w:r>
      <w:r w:rsidR="007C0E05" w:rsidRPr="009B783C">
        <w:rPr>
          <w:szCs w:val="21"/>
        </w:rPr>
        <w:t>future phases of the evaluation</w:t>
      </w:r>
      <w:r w:rsidR="00C73F9F" w:rsidRPr="009B783C">
        <w:rPr>
          <w:szCs w:val="21"/>
        </w:rPr>
        <w:t xml:space="preserve">. </w:t>
      </w:r>
    </w:p>
    <w:p w14:paraId="73B47901" w14:textId="11EC965D" w:rsidR="0098687F" w:rsidRPr="009B783C" w:rsidRDefault="0098687F" w:rsidP="0098687F">
      <w:pPr>
        <w:pStyle w:val="Caption"/>
        <w:rPr>
          <w:szCs w:val="21"/>
        </w:rPr>
      </w:pPr>
      <w:bookmarkStart w:id="172" w:name="_Ref179628601"/>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6B459A">
        <w:rPr>
          <w:noProof/>
          <w:szCs w:val="21"/>
        </w:rPr>
        <w:t>15</w:t>
      </w:r>
      <w:r w:rsidRPr="009B783C">
        <w:rPr>
          <w:szCs w:val="21"/>
        </w:rPr>
        <w:fldChar w:fldCharType="end"/>
      </w:r>
      <w:bookmarkEnd w:id="172"/>
      <w:r w:rsidRPr="009B783C">
        <w:rPr>
          <w:szCs w:val="21"/>
        </w:rPr>
        <w:t xml:space="preserve"> | Point of entry to Medicare UCCs</w:t>
      </w:r>
    </w:p>
    <w:tbl>
      <w:tblPr>
        <w:tblW w:w="4997" w:type="pct"/>
        <w:jc w:val="center"/>
        <w:tblLook w:val="0420" w:firstRow="1" w:lastRow="0" w:firstColumn="0" w:lastColumn="0" w:noHBand="0" w:noVBand="1"/>
      </w:tblPr>
      <w:tblGrid>
        <w:gridCol w:w="4968"/>
        <w:gridCol w:w="1738"/>
        <w:gridCol w:w="2214"/>
      </w:tblGrid>
      <w:tr w:rsidR="0098687F" w:rsidRPr="009B783C" w14:paraId="7E16F81F" w14:textId="77777777" w:rsidTr="005A78EE">
        <w:trPr>
          <w:tblHeader/>
          <w:jc w:val="center"/>
        </w:trPr>
        <w:tc>
          <w:tcPr>
            <w:tcW w:w="2785" w:type="pct"/>
            <w:tcBorders>
              <w:top w:val="single" w:sz="8" w:space="0" w:color="FFFFFF"/>
              <w:left w:val="none" w:sz="0" w:space="0" w:color="000000"/>
              <w:bottom w:val="single" w:sz="4" w:space="0" w:color="00264D" w:themeColor="background2"/>
              <w:right w:val="single" w:sz="4" w:space="0" w:color="FFFFFF" w:themeColor="background1"/>
            </w:tcBorders>
            <w:shd w:val="clear" w:color="auto" w:fill="00264D" w:themeFill="background2"/>
            <w:tcMar>
              <w:top w:w="80" w:type="dxa"/>
              <w:left w:w="140" w:type="dxa"/>
              <w:bottom w:w="80" w:type="dxa"/>
              <w:right w:w="140" w:type="dxa"/>
            </w:tcMar>
            <w:vAlign w:val="center"/>
          </w:tcPr>
          <w:p w14:paraId="3851FE04" w14:textId="5A8B4543" w:rsidR="0098687F" w:rsidRPr="00EA1B80" w:rsidRDefault="000A1DF6">
            <w:pPr>
              <w:pStyle w:val="TableNheader"/>
            </w:pPr>
            <w:r w:rsidRPr="00EA1B80">
              <w:rPr>
                <w:rFonts w:eastAsia="Segoe UI Semibold"/>
              </w:rPr>
              <w:t>Point of entry to Medicare UCC</w:t>
            </w:r>
          </w:p>
        </w:tc>
        <w:tc>
          <w:tcPr>
            <w:tcW w:w="974" w:type="pct"/>
            <w:tcBorders>
              <w:top w:val="single" w:sz="6"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80" w:type="dxa"/>
              <w:left w:w="140" w:type="dxa"/>
              <w:bottom w:w="80" w:type="dxa"/>
              <w:right w:w="140" w:type="dxa"/>
            </w:tcMar>
            <w:vAlign w:val="center"/>
          </w:tcPr>
          <w:p w14:paraId="3C8AA31D" w14:textId="7C72D6A1" w:rsidR="0098687F" w:rsidRPr="00EA1B80" w:rsidRDefault="00EC23EB" w:rsidP="00EA1B80">
            <w:pPr>
              <w:pStyle w:val="TableNheader"/>
            </w:pPr>
            <w:r w:rsidRPr="00EA1B80">
              <w:t>Presentations</w:t>
            </w:r>
          </w:p>
        </w:tc>
        <w:tc>
          <w:tcPr>
            <w:tcW w:w="1241" w:type="pct"/>
            <w:tcBorders>
              <w:top w:val="single" w:sz="6"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80" w:type="dxa"/>
              <w:left w:w="140" w:type="dxa"/>
              <w:bottom w:w="80" w:type="dxa"/>
              <w:right w:w="140" w:type="dxa"/>
            </w:tcMar>
            <w:vAlign w:val="center"/>
          </w:tcPr>
          <w:p w14:paraId="2DA06A33" w14:textId="18401AE6" w:rsidR="0098687F" w:rsidRPr="00EA1B80" w:rsidRDefault="0043766F" w:rsidP="00EA1B80">
            <w:pPr>
              <w:pStyle w:val="TableNheader"/>
            </w:pPr>
            <w:r w:rsidRPr="00EA1B80">
              <w:rPr>
                <w:rFonts w:eastAsia="Segoe UI Semibold"/>
              </w:rPr>
              <w:t>Percentage of p</w:t>
            </w:r>
            <w:r w:rsidR="00F06734" w:rsidRPr="00EA1B80">
              <w:rPr>
                <w:rFonts w:eastAsia="Segoe UI Semibold"/>
              </w:rPr>
              <w:t>resentations that recorded a response</w:t>
            </w:r>
          </w:p>
        </w:tc>
      </w:tr>
      <w:tr w:rsidR="0098687F" w:rsidRPr="009B783C" w14:paraId="03E4E2DB"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239B60C" w14:textId="5D86365E" w:rsidR="0098687F" w:rsidRPr="009B783C" w:rsidRDefault="0098687F">
            <w:pPr>
              <w:pStyle w:val="TableNText"/>
              <w:rPr>
                <w:sz w:val="23"/>
                <w:szCs w:val="23"/>
              </w:rPr>
            </w:pPr>
            <w:r w:rsidRPr="009B783C">
              <w:rPr>
                <w:sz w:val="23"/>
                <w:szCs w:val="23"/>
              </w:rPr>
              <w:t>Walk-</w:t>
            </w:r>
            <w:r w:rsidR="00605957" w:rsidRPr="009B783C">
              <w:rPr>
                <w:sz w:val="23"/>
                <w:szCs w:val="23"/>
              </w:rPr>
              <w:t>i</w:t>
            </w:r>
            <w:r w:rsidRPr="009B783C">
              <w:rPr>
                <w:sz w:val="23"/>
                <w:szCs w:val="23"/>
              </w:rPr>
              <w:t>n</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B09BCB6" w14:textId="77777777" w:rsidR="0098687F" w:rsidRPr="009B783C" w:rsidRDefault="0098687F">
            <w:pPr>
              <w:pStyle w:val="TableNText"/>
              <w:jc w:val="center"/>
              <w:rPr>
                <w:sz w:val="23"/>
                <w:szCs w:val="23"/>
              </w:rPr>
            </w:pPr>
            <w:r w:rsidRPr="009B783C">
              <w:rPr>
                <w:sz w:val="23"/>
                <w:szCs w:val="23"/>
              </w:rPr>
              <w:t>362,298</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F993723" w14:textId="77777777" w:rsidR="0098687F" w:rsidRPr="009B783C" w:rsidRDefault="0098687F">
            <w:pPr>
              <w:pStyle w:val="TableNText"/>
              <w:jc w:val="center"/>
              <w:rPr>
                <w:sz w:val="23"/>
                <w:szCs w:val="23"/>
              </w:rPr>
            </w:pPr>
            <w:r w:rsidRPr="009B783C">
              <w:rPr>
                <w:sz w:val="23"/>
                <w:szCs w:val="23"/>
              </w:rPr>
              <w:t>89.2%</w:t>
            </w:r>
          </w:p>
        </w:tc>
      </w:tr>
      <w:tr w:rsidR="0098687F" w:rsidRPr="009B783C" w14:paraId="2D9771A7"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EDF9451" w14:textId="77777777" w:rsidR="0098687F" w:rsidRPr="009B783C" w:rsidRDefault="0098687F">
            <w:pPr>
              <w:pStyle w:val="TableNText"/>
              <w:rPr>
                <w:sz w:val="23"/>
                <w:szCs w:val="23"/>
              </w:rPr>
            </w:pPr>
            <w:r w:rsidRPr="009B783C">
              <w:rPr>
                <w:sz w:val="23"/>
                <w:szCs w:val="23"/>
              </w:rPr>
              <w:lastRenderedPageBreak/>
              <w:t>Local ED</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249E06F" w14:textId="77777777" w:rsidR="0098687F" w:rsidRPr="009B783C" w:rsidRDefault="0098687F">
            <w:pPr>
              <w:pStyle w:val="TableNText"/>
              <w:jc w:val="center"/>
              <w:rPr>
                <w:sz w:val="23"/>
                <w:szCs w:val="23"/>
              </w:rPr>
            </w:pPr>
            <w:r w:rsidRPr="009B783C">
              <w:rPr>
                <w:sz w:val="23"/>
                <w:szCs w:val="23"/>
              </w:rPr>
              <w:t>6,051</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733E9A6" w14:textId="77777777" w:rsidR="0098687F" w:rsidRPr="009B783C" w:rsidRDefault="0098687F">
            <w:pPr>
              <w:pStyle w:val="TableNText"/>
              <w:jc w:val="center"/>
              <w:rPr>
                <w:sz w:val="23"/>
                <w:szCs w:val="23"/>
              </w:rPr>
            </w:pPr>
            <w:r w:rsidRPr="009B783C">
              <w:rPr>
                <w:sz w:val="23"/>
                <w:szCs w:val="23"/>
              </w:rPr>
              <w:t>1.5%</w:t>
            </w:r>
          </w:p>
        </w:tc>
      </w:tr>
      <w:tr w:rsidR="0098687F" w:rsidRPr="009B783C" w14:paraId="1480AB20"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5EFE02C" w14:textId="77777777" w:rsidR="0098687F" w:rsidRPr="009B783C" w:rsidRDefault="0098687F">
            <w:pPr>
              <w:pStyle w:val="TableNText"/>
              <w:rPr>
                <w:sz w:val="23"/>
                <w:szCs w:val="23"/>
              </w:rPr>
            </w:pPr>
            <w:r w:rsidRPr="009B783C">
              <w:rPr>
                <w:sz w:val="23"/>
                <w:szCs w:val="23"/>
              </w:rPr>
              <w:t>Healthdirect</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E77BCEA" w14:textId="77777777" w:rsidR="0098687F" w:rsidRPr="009B783C" w:rsidRDefault="0098687F">
            <w:pPr>
              <w:pStyle w:val="TableNText"/>
              <w:jc w:val="center"/>
              <w:rPr>
                <w:sz w:val="23"/>
                <w:szCs w:val="23"/>
              </w:rPr>
            </w:pPr>
            <w:r w:rsidRPr="009B783C">
              <w:rPr>
                <w:sz w:val="23"/>
                <w:szCs w:val="23"/>
              </w:rPr>
              <w:t>10,603</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2976168" w14:textId="77777777" w:rsidR="0098687F" w:rsidRPr="009B783C" w:rsidRDefault="0098687F">
            <w:pPr>
              <w:pStyle w:val="TableNText"/>
              <w:jc w:val="center"/>
              <w:rPr>
                <w:sz w:val="23"/>
                <w:szCs w:val="23"/>
              </w:rPr>
            </w:pPr>
            <w:r w:rsidRPr="009B783C">
              <w:rPr>
                <w:sz w:val="23"/>
                <w:szCs w:val="23"/>
              </w:rPr>
              <w:t>2.6%</w:t>
            </w:r>
          </w:p>
        </w:tc>
      </w:tr>
      <w:tr w:rsidR="0098687F" w:rsidRPr="009B783C" w14:paraId="69A46220"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731A406" w14:textId="77777777" w:rsidR="0098687F" w:rsidRPr="009B783C" w:rsidRDefault="0098687F">
            <w:pPr>
              <w:pStyle w:val="TableNText"/>
              <w:rPr>
                <w:sz w:val="23"/>
                <w:szCs w:val="23"/>
              </w:rPr>
            </w:pPr>
            <w:r w:rsidRPr="009B783C">
              <w:rPr>
                <w:sz w:val="23"/>
                <w:szCs w:val="23"/>
              </w:rPr>
              <w:t>Ambulance</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66E32E7" w14:textId="77777777" w:rsidR="0098687F" w:rsidRPr="009B783C" w:rsidRDefault="0098687F">
            <w:pPr>
              <w:pStyle w:val="TableNText"/>
              <w:jc w:val="center"/>
              <w:rPr>
                <w:sz w:val="23"/>
                <w:szCs w:val="23"/>
              </w:rPr>
            </w:pPr>
            <w:r w:rsidRPr="009B783C">
              <w:rPr>
                <w:sz w:val="23"/>
                <w:szCs w:val="23"/>
              </w:rPr>
              <w:t>3,082</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CA38EA7" w14:textId="77777777" w:rsidR="0098687F" w:rsidRPr="009B783C" w:rsidRDefault="0098687F">
            <w:pPr>
              <w:pStyle w:val="TableNText"/>
              <w:jc w:val="center"/>
              <w:rPr>
                <w:sz w:val="23"/>
                <w:szCs w:val="23"/>
              </w:rPr>
            </w:pPr>
            <w:r w:rsidRPr="009B783C">
              <w:rPr>
                <w:sz w:val="23"/>
                <w:szCs w:val="23"/>
              </w:rPr>
              <w:t>0.8%</w:t>
            </w:r>
          </w:p>
        </w:tc>
      </w:tr>
      <w:tr w:rsidR="0098687F" w:rsidRPr="009B783C" w14:paraId="41A28877"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2554E13" w14:textId="77777777" w:rsidR="0098687F" w:rsidRPr="009B783C" w:rsidRDefault="0098687F">
            <w:pPr>
              <w:pStyle w:val="TableNText"/>
              <w:rPr>
                <w:sz w:val="23"/>
                <w:szCs w:val="23"/>
              </w:rPr>
            </w:pPr>
            <w:r w:rsidRPr="009B783C">
              <w:rPr>
                <w:sz w:val="23"/>
                <w:szCs w:val="23"/>
              </w:rPr>
              <w:t>GP</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DA110AE" w14:textId="77777777" w:rsidR="0098687F" w:rsidRPr="009B783C" w:rsidRDefault="0098687F">
            <w:pPr>
              <w:pStyle w:val="TableNText"/>
              <w:jc w:val="center"/>
              <w:rPr>
                <w:sz w:val="23"/>
                <w:szCs w:val="23"/>
              </w:rPr>
            </w:pPr>
            <w:r w:rsidRPr="009B783C">
              <w:rPr>
                <w:sz w:val="23"/>
                <w:szCs w:val="23"/>
              </w:rPr>
              <w:t>15,386</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709E4FD" w14:textId="77777777" w:rsidR="0098687F" w:rsidRPr="009B783C" w:rsidRDefault="0098687F">
            <w:pPr>
              <w:pStyle w:val="TableNText"/>
              <w:jc w:val="center"/>
              <w:rPr>
                <w:sz w:val="23"/>
                <w:szCs w:val="23"/>
              </w:rPr>
            </w:pPr>
            <w:r w:rsidRPr="009B783C">
              <w:rPr>
                <w:sz w:val="23"/>
                <w:szCs w:val="23"/>
              </w:rPr>
              <w:t>3.8%</w:t>
            </w:r>
          </w:p>
        </w:tc>
      </w:tr>
      <w:tr w:rsidR="0098687F" w:rsidRPr="009B783C" w14:paraId="30F4D32D"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35A0CCF" w14:textId="0C5078EF" w:rsidR="0098687F" w:rsidRPr="009B783C" w:rsidRDefault="0098687F">
            <w:pPr>
              <w:pStyle w:val="TableNText"/>
              <w:rPr>
                <w:sz w:val="23"/>
                <w:szCs w:val="23"/>
              </w:rPr>
            </w:pPr>
            <w:r w:rsidRPr="009B783C">
              <w:rPr>
                <w:sz w:val="23"/>
                <w:szCs w:val="23"/>
              </w:rPr>
              <w:t xml:space="preserve">Other </w:t>
            </w:r>
            <w:r w:rsidR="00605957" w:rsidRPr="009B783C">
              <w:rPr>
                <w:sz w:val="23"/>
                <w:szCs w:val="23"/>
              </w:rPr>
              <w:t>health professional</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0AA10EF" w14:textId="77777777" w:rsidR="0098687F" w:rsidRPr="009B783C" w:rsidRDefault="0098687F">
            <w:pPr>
              <w:pStyle w:val="TableNText"/>
              <w:jc w:val="center"/>
              <w:rPr>
                <w:sz w:val="23"/>
                <w:szCs w:val="23"/>
              </w:rPr>
            </w:pPr>
            <w:r w:rsidRPr="009B783C">
              <w:rPr>
                <w:sz w:val="23"/>
                <w:szCs w:val="23"/>
              </w:rPr>
              <w:t>5,934</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75848FD" w14:textId="77777777" w:rsidR="0098687F" w:rsidRPr="009B783C" w:rsidRDefault="0098687F">
            <w:pPr>
              <w:pStyle w:val="TableNText"/>
              <w:jc w:val="center"/>
              <w:rPr>
                <w:sz w:val="23"/>
                <w:szCs w:val="23"/>
              </w:rPr>
            </w:pPr>
            <w:r w:rsidRPr="009B783C">
              <w:rPr>
                <w:sz w:val="23"/>
                <w:szCs w:val="23"/>
              </w:rPr>
              <w:t>1.5%</w:t>
            </w:r>
          </w:p>
        </w:tc>
      </w:tr>
      <w:tr w:rsidR="0098687F" w:rsidRPr="009B783C" w14:paraId="37529CA1"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562C58" w14:textId="77777777" w:rsidR="0098687F" w:rsidRPr="009B783C" w:rsidRDefault="0098687F">
            <w:pPr>
              <w:pStyle w:val="TableNText"/>
              <w:rPr>
                <w:sz w:val="23"/>
                <w:szCs w:val="23"/>
              </w:rPr>
            </w:pPr>
            <w:r w:rsidRPr="009B783C">
              <w:rPr>
                <w:sz w:val="23"/>
                <w:szCs w:val="23"/>
              </w:rPr>
              <w:t>Other</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3EFF6A2" w14:textId="77777777" w:rsidR="0098687F" w:rsidRPr="009B783C" w:rsidRDefault="0098687F">
            <w:pPr>
              <w:pStyle w:val="TableNText"/>
              <w:jc w:val="center"/>
              <w:rPr>
                <w:sz w:val="23"/>
                <w:szCs w:val="23"/>
              </w:rPr>
            </w:pPr>
            <w:r w:rsidRPr="009B783C">
              <w:rPr>
                <w:sz w:val="23"/>
                <w:szCs w:val="23"/>
              </w:rPr>
              <w:t>2,686</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7D59219" w14:textId="77777777" w:rsidR="0098687F" w:rsidRPr="009B783C" w:rsidRDefault="0098687F">
            <w:pPr>
              <w:pStyle w:val="TableNText"/>
              <w:jc w:val="center"/>
              <w:rPr>
                <w:sz w:val="23"/>
                <w:szCs w:val="23"/>
              </w:rPr>
            </w:pPr>
            <w:r w:rsidRPr="009B783C">
              <w:rPr>
                <w:sz w:val="23"/>
                <w:szCs w:val="23"/>
              </w:rPr>
              <w:t>0.7%</w:t>
            </w:r>
          </w:p>
        </w:tc>
      </w:tr>
      <w:tr w:rsidR="00F06734" w:rsidRPr="009B783C" w14:paraId="003D3DDD"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C5EEF5A" w14:textId="2E9863FB" w:rsidR="00F06734" w:rsidRPr="009B783C" w:rsidRDefault="00F06734" w:rsidP="00F06734">
            <w:pPr>
              <w:pStyle w:val="TableNText"/>
              <w:rPr>
                <w:rFonts w:asciiTheme="majorHAnsi" w:hAnsiTheme="majorHAnsi" w:cstheme="majorHAnsi"/>
                <w:sz w:val="23"/>
                <w:szCs w:val="23"/>
              </w:rPr>
            </w:pPr>
            <w:r w:rsidRPr="009B783C">
              <w:rPr>
                <w:rFonts w:asciiTheme="majorHAnsi" w:hAnsiTheme="majorHAnsi" w:cstheme="majorHAnsi"/>
                <w:sz w:val="23"/>
                <w:szCs w:val="23"/>
              </w:rPr>
              <w:t>Total excluding “Not recorded” (from 63 Medicare UCCs)</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111335A" w14:textId="27406CE7" w:rsidR="00F06734" w:rsidRPr="009B783C" w:rsidRDefault="00F06734" w:rsidP="00F06734">
            <w:pPr>
              <w:pStyle w:val="TableNText"/>
              <w:jc w:val="center"/>
              <w:rPr>
                <w:rFonts w:asciiTheme="majorHAnsi" w:hAnsiTheme="majorHAnsi" w:cstheme="majorHAnsi"/>
                <w:sz w:val="23"/>
                <w:szCs w:val="23"/>
              </w:rPr>
            </w:pPr>
            <w:r w:rsidRPr="009B783C">
              <w:rPr>
                <w:rFonts w:asciiTheme="majorHAnsi" w:hAnsiTheme="majorHAnsi" w:cstheme="majorHAnsi"/>
                <w:sz w:val="23"/>
                <w:szCs w:val="23"/>
              </w:rPr>
              <w:t>406,040</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BEBCDA6" w14:textId="6D9E8FCA" w:rsidR="00F06734" w:rsidRPr="009B783C" w:rsidRDefault="00F06734" w:rsidP="00F06734">
            <w:pPr>
              <w:pStyle w:val="TableNText"/>
              <w:jc w:val="center"/>
              <w:rPr>
                <w:rFonts w:asciiTheme="majorHAnsi" w:hAnsiTheme="majorHAnsi" w:cstheme="majorHAnsi"/>
                <w:bCs/>
                <w:sz w:val="23"/>
                <w:szCs w:val="23"/>
              </w:rPr>
            </w:pPr>
            <w:r w:rsidRPr="009B783C">
              <w:rPr>
                <w:rFonts w:asciiTheme="majorHAnsi" w:hAnsiTheme="majorHAnsi" w:cstheme="majorHAnsi"/>
                <w:sz w:val="23"/>
                <w:szCs w:val="23"/>
              </w:rPr>
              <w:t>100.0%</w:t>
            </w:r>
          </w:p>
        </w:tc>
      </w:tr>
      <w:tr w:rsidR="0098687F" w:rsidRPr="009B783C" w14:paraId="51147A3E"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74F9444" w14:textId="77777777" w:rsidR="0098687F" w:rsidRPr="009B783C" w:rsidRDefault="0098687F">
            <w:pPr>
              <w:pStyle w:val="TableNText"/>
              <w:rPr>
                <w:sz w:val="23"/>
                <w:szCs w:val="23"/>
              </w:rPr>
            </w:pPr>
            <w:r w:rsidRPr="009B783C">
              <w:rPr>
                <w:sz w:val="23"/>
                <w:szCs w:val="23"/>
              </w:rPr>
              <w:t>Not recorded</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2F7F55B" w14:textId="77777777" w:rsidR="0098687F" w:rsidRPr="009B783C" w:rsidRDefault="0098687F">
            <w:pPr>
              <w:pStyle w:val="TableNText"/>
              <w:jc w:val="center"/>
              <w:rPr>
                <w:sz w:val="23"/>
                <w:szCs w:val="23"/>
              </w:rPr>
            </w:pPr>
            <w:r w:rsidRPr="009B783C">
              <w:rPr>
                <w:sz w:val="23"/>
                <w:szCs w:val="23"/>
              </w:rPr>
              <w:t>20,439</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D8C7941" w14:textId="77777777" w:rsidR="0098687F" w:rsidRPr="009B783C" w:rsidRDefault="0098687F">
            <w:pPr>
              <w:pStyle w:val="TableNText"/>
              <w:jc w:val="center"/>
              <w:rPr>
                <w:sz w:val="23"/>
                <w:szCs w:val="23"/>
              </w:rPr>
            </w:pPr>
          </w:p>
        </w:tc>
      </w:tr>
      <w:tr w:rsidR="0098687F" w:rsidRPr="009B783C" w14:paraId="70E54265"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64DAA22" w14:textId="283C1F6D" w:rsidR="0098687F" w:rsidRPr="009B783C" w:rsidRDefault="0098687F">
            <w:pPr>
              <w:pStyle w:val="TableNText"/>
              <w:rPr>
                <w:rFonts w:asciiTheme="majorHAnsi" w:hAnsiTheme="majorHAnsi" w:cstheme="majorHAnsi"/>
                <w:sz w:val="23"/>
                <w:szCs w:val="23"/>
              </w:rPr>
            </w:pPr>
            <w:r w:rsidRPr="009B783C">
              <w:rPr>
                <w:rFonts w:asciiTheme="majorHAnsi" w:hAnsiTheme="majorHAnsi" w:cstheme="majorHAnsi"/>
                <w:sz w:val="23"/>
                <w:szCs w:val="23"/>
              </w:rPr>
              <w:t xml:space="preserve">Total including </w:t>
            </w:r>
            <w:r w:rsidR="00605957" w:rsidRPr="009B783C">
              <w:rPr>
                <w:rFonts w:asciiTheme="majorHAnsi" w:hAnsiTheme="majorHAnsi" w:cstheme="majorHAnsi"/>
                <w:sz w:val="23"/>
                <w:szCs w:val="23"/>
              </w:rPr>
              <w:t>“</w:t>
            </w:r>
            <w:r w:rsidRPr="009B783C">
              <w:rPr>
                <w:rFonts w:asciiTheme="majorHAnsi" w:hAnsiTheme="majorHAnsi" w:cstheme="majorHAnsi"/>
                <w:sz w:val="23"/>
                <w:szCs w:val="23"/>
              </w:rPr>
              <w:t>Not recorded</w:t>
            </w:r>
            <w:r w:rsidR="00605957" w:rsidRPr="009B783C">
              <w:rPr>
                <w:rFonts w:asciiTheme="majorHAnsi" w:hAnsiTheme="majorHAnsi" w:cstheme="majorHAnsi"/>
                <w:sz w:val="23"/>
                <w:szCs w:val="23"/>
              </w:rPr>
              <w:t>”</w:t>
            </w:r>
            <w:r w:rsidRPr="009B783C">
              <w:rPr>
                <w:rFonts w:asciiTheme="majorHAnsi" w:hAnsiTheme="majorHAnsi" w:cstheme="majorHAnsi"/>
                <w:sz w:val="23"/>
                <w:szCs w:val="23"/>
              </w:rPr>
              <w:t xml:space="preserve"> (from 63 Medicare UCCs)</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C849A1D" w14:textId="77777777" w:rsidR="0098687F" w:rsidRPr="009B783C" w:rsidRDefault="0098687F">
            <w:pPr>
              <w:pStyle w:val="TableNText"/>
              <w:jc w:val="center"/>
              <w:rPr>
                <w:rFonts w:asciiTheme="majorHAnsi" w:hAnsiTheme="majorHAnsi" w:cstheme="majorHAnsi"/>
                <w:sz w:val="23"/>
                <w:szCs w:val="23"/>
              </w:rPr>
            </w:pPr>
            <w:r w:rsidRPr="009B783C">
              <w:rPr>
                <w:rFonts w:asciiTheme="majorHAnsi" w:hAnsiTheme="majorHAnsi" w:cstheme="majorHAnsi"/>
                <w:sz w:val="23"/>
                <w:szCs w:val="23"/>
              </w:rPr>
              <w:t>426,479</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6193A7A" w14:textId="77777777" w:rsidR="0098687F" w:rsidRPr="009B783C" w:rsidRDefault="0098687F">
            <w:pPr>
              <w:pStyle w:val="TableNText"/>
              <w:jc w:val="center"/>
              <w:rPr>
                <w:rFonts w:asciiTheme="majorHAnsi" w:hAnsiTheme="majorHAnsi" w:cstheme="majorHAnsi"/>
                <w:bCs/>
                <w:sz w:val="23"/>
                <w:szCs w:val="23"/>
              </w:rPr>
            </w:pPr>
          </w:p>
        </w:tc>
      </w:tr>
      <w:tr w:rsidR="0098687F" w:rsidRPr="009B783C" w14:paraId="60703B47"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63101FF" w14:textId="77777777" w:rsidR="0098687F" w:rsidRPr="009B783C" w:rsidRDefault="0098687F">
            <w:pPr>
              <w:pStyle w:val="TableNText"/>
              <w:rPr>
                <w:rFonts w:asciiTheme="majorHAnsi" w:hAnsiTheme="majorHAnsi" w:cstheme="majorHAnsi"/>
                <w:sz w:val="23"/>
                <w:szCs w:val="23"/>
              </w:rPr>
            </w:pPr>
            <w:r w:rsidRPr="009B783C">
              <w:rPr>
                <w:sz w:val="23"/>
                <w:szCs w:val="23"/>
              </w:rPr>
              <w:t>Aggregate and other unit records counts</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1265D4B" w14:textId="2DCCA305" w:rsidR="0098687F" w:rsidRPr="009B783C" w:rsidRDefault="0098687F">
            <w:pPr>
              <w:pStyle w:val="TableNText"/>
              <w:jc w:val="center"/>
              <w:rPr>
                <w:rFonts w:asciiTheme="majorHAnsi" w:hAnsiTheme="majorHAnsi" w:cstheme="majorHAnsi"/>
                <w:sz w:val="23"/>
                <w:szCs w:val="23"/>
              </w:rPr>
            </w:pPr>
            <w:r w:rsidRPr="009B783C">
              <w:rPr>
                <w:sz w:val="23"/>
                <w:szCs w:val="23"/>
              </w:rPr>
              <w:t>357,5</w:t>
            </w:r>
            <w:r w:rsidR="00EE4A25" w:rsidRPr="009B783C">
              <w:rPr>
                <w:sz w:val="23"/>
                <w:szCs w:val="23"/>
              </w:rPr>
              <w:t>92</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7D5CEEC" w14:textId="77777777" w:rsidR="0098687F" w:rsidRPr="009B783C" w:rsidRDefault="0098687F">
            <w:pPr>
              <w:pStyle w:val="TableNText"/>
              <w:jc w:val="center"/>
              <w:rPr>
                <w:rFonts w:asciiTheme="majorHAnsi" w:hAnsiTheme="majorHAnsi" w:cstheme="majorHAnsi"/>
                <w:bCs/>
                <w:sz w:val="23"/>
                <w:szCs w:val="23"/>
              </w:rPr>
            </w:pPr>
          </w:p>
        </w:tc>
      </w:tr>
      <w:tr w:rsidR="0098687F" w:rsidRPr="009B783C" w14:paraId="03B30801" w14:textId="77777777" w:rsidTr="005A78EE">
        <w:trPr>
          <w:jc w:val="center"/>
        </w:trPr>
        <w:tc>
          <w:tcPr>
            <w:tcW w:w="278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C9F0343" w14:textId="77777777" w:rsidR="0098687F" w:rsidRPr="009B783C" w:rsidRDefault="0098687F">
            <w:pPr>
              <w:pStyle w:val="TableNText"/>
              <w:rPr>
                <w:rFonts w:asciiTheme="majorHAnsi" w:hAnsiTheme="majorHAnsi" w:cstheme="majorHAnsi"/>
                <w:sz w:val="23"/>
                <w:szCs w:val="23"/>
              </w:rPr>
            </w:pPr>
            <w:r w:rsidRPr="009B783C">
              <w:rPr>
                <w:rFonts w:asciiTheme="majorHAnsi" w:hAnsiTheme="majorHAnsi" w:cstheme="majorHAnsi"/>
                <w:sz w:val="23"/>
                <w:szCs w:val="23"/>
              </w:rPr>
              <w:t>Total presentations (from 75 Medicare UCCs)</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B4CED78" w14:textId="404C811F" w:rsidR="0098687F" w:rsidRPr="009B783C" w:rsidRDefault="0098687F">
            <w:pPr>
              <w:pStyle w:val="TableNText"/>
              <w:jc w:val="center"/>
              <w:rPr>
                <w:rFonts w:asciiTheme="majorHAnsi" w:hAnsiTheme="majorHAnsi" w:cstheme="majorHAnsi"/>
                <w:sz w:val="23"/>
                <w:szCs w:val="23"/>
              </w:rPr>
            </w:pPr>
            <w:r w:rsidRPr="009B783C">
              <w:rPr>
                <w:rFonts w:asciiTheme="majorHAnsi" w:hAnsiTheme="majorHAnsi" w:cstheme="majorHAnsi"/>
                <w:sz w:val="23"/>
                <w:szCs w:val="23"/>
              </w:rPr>
              <w:t>784,0</w:t>
            </w:r>
            <w:r w:rsidR="00EE4A25" w:rsidRPr="009B783C">
              <w:rPr>
                <w:rFonts w:asciiTheme="majorHAnsi" w:hAnsiTheme="majorHAnsi" w:cstheme="majorHAnsi"/>
                <w:sz w:val="23"/>
                <w:szCs w:val="23"/>
              </w:rPr>
              <w:t>71</w:t>
            </w:r>
          </w:p>
        </w:tc>
        <w:tc>
          <w:tcPr>
            <w:tcW w:w="124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13EDD0D" w14:textId="77777777" w:rsidR="0098687F" w:rsidRPr="009B783C" w:rsidRDefault="0098687F">
            <w:pPr>
              <w:pStyle w:val="TableNText"/>
              <w:jc w:val="center"/>
              <w:rPr>
                <w:rFonts w:asciiTheme="majorHAnsi" w:hAnsiTheme="majorHAnsi" w:cstheme="majorHAnsi"/>
                <w:bCs/>
                <w:sz w:val="23"/>
                <w:szCs w:val="23"/>
              </w:rPr>
            </w:pPr>
          </w:p>
        </w:tc>
      </w:tr>
    </w:tbl>
    <w:p w14:paraId="0C30B7DC" w14:textId="765580AF" w:rsidR="00F5425B" w:rsidRPr="00ED1544" w:rsidRDefault="00F5425B" w:rsidP="00ED1544">
      <w:bookmarkStart w:id="173" w:name="_Toc179962846"/>
      <w:r w:rsidRPr="00ED1544">
        <w:t xml:space="preserve">Note: Table reflects data from 30 June 2023 to 30 September 2024 and extracted on 6 November 2024. See section </w:t>
      </w:r>
      <w:r w:rsidRPr="00ED1544">
        <w:fldChar w:fldCharType="begin"/>
      </w:r>
      <w:r w:rsidRPr="00ED1544">
        <w:instrText xml:space="preserve"> REF _Ref185478021 \n \h  \* MERGEFORMAT </w:instrText>
      </w:r>
      <w:r w:rsidRPr="00ED1544">
        <w:fldChar w:fldCharType="separate"/>
      </w:r>
      <w:r w:rsidRPr="00ED1544">
        <w:t>3.4</w:t>
      </w:r>
      <w:r w:rsidRPr="00ED1544">
        <w:fldChar w:fldCharType="end"/>
      </w:r>
      <w:r w:rsidRPr="00ED1544">
        <w:t xml:space="preserve"> for an overview of limitations related to the Medicare UCC data.</w:t>
      </w:r>
    </w:p>
    <w:p w14:paraId="6302ECB9" w14:textId="0DABA049" w:rsidR="0098687F" w:rsidRPr="009B783C" w:rsidRDefault="0098687F" w:rsidP="000D706D">
      <w:pPr>
        <w:pStyle w:val="Heading3"/>
        <w:rPr>
          <w:b/>
        </w:rPr>
      </w:pPr>
      <w:r w:rsidRPr="009B783C">
        <w:t xml:space="preserve">A comprehensive National Communication Strategy was implemented </w:t>
      </w:r>
      <w:bookmarkEnd w:id="173"/>
      <w:r w:rsidRPr="009B783C">
        <w:t>across multiple channels</w:t>
      </w:r>
    </w:p>
    <w:p w14:paraId="024072B7" w14:textId="77777777" w:rsidR="0098687F" w:rsidRPr="009B783C" w:rsidRDefault="0098687F" w:rsidP="00F5425B">
      <w:pPr>
        <w:rPr>
          <w:szCs w:val="21"/>
          <w:lang w:eastAsia="en-AU"/>
        </w:rPr>
      </w:pPr>
      <w:r w:rsidRPr="009B783C">
        <w:rPr>
          <w:szCs w:val="21"/>
          <w:lang w:eastAsia="en-AU"/>
        </w:rPr>
        <w:t xml:space="preserve">The Department developed an overarching National Communication Strategy to support rollout of the Medicare UCCs and a change in consumer behaviour to use Medicare UCCs instead of </w:t>
      </w:r>
      <w:proofErr w:type="spellStart"/>
      <w:r w:rsidRPr="009B783C">
        <w:rPr>
          <w:szCs w:val="21"/>
          <w:lang w:eastAsia="en-AU"/>
        </w:rPr>
        <w:t>EDs.</w:t>
      </w:r>
      <w:proofErr w:type="spellEnd"/>
      <w:r w:rsidRPr="009B783C">
        <w:rPr>
          <w:szCs w:val="21"/>
          <w:lang w:eastAsia="en-AU"/>
        </w:rPr>
        <w:t xml:space="preserve"> The Strategy included:</w:t>
      </w:r>
    </w:p>
    <w:p w14:paraId="7D7D9378" w14:textId="77777777" w:rsidR="0098687F" w:rsidRPr="009B783C" w:rsidRDefault="0098687F" w:rsidP="00F5425B">
      <w:pPr>
        <w:pStyle w:val="Bullet"/>
        <w:rPr>
          <w:szCs w:val="21"/>
        </w:rPr>
      </w:pPr>
      <w:r w:rsidRPr="009B783C">
        <w:rPr>
          <w:szCs w:val="21"/>
        </w:rPr>
        <w:t>Increasing awareness of the location and opening of each Medicare UCC in local communities.</w:t>
      </w:r>
    </w:p>
    <w:p w14:paraId="558F5D41" w14:textId="77777777" w:rsidR="0098687F" w:rsidRPr="009B783C" w:rsidRDefault="0098687F" w:rsidP="00F5425B">
      <w:pPr>
        <w:pStyle w:val="Bullet"/>
        <w:rPr>
          <w:szCs w:val="21"/>
        </w:rPr>
      </w:pPr>
      <w:r w:rsidRPr="009B783C">
        <w:rPr>
          <w:szCs w:val="21"/>
        </w:rPr>
        <w:t>Increasing understanding of the services available at Medicare UCCs to support appropriate presentations.</w:t>
      </w:r>
    </w:p>
    <w:p w14:paraId="77F95E5A" w14:textId="77777777" w:rsidR="0098687F" w:rsidRPr="009B783C" w:rsidRDefault="0098687F" w:rsidP="00F5425B">
      <w:pPr>
        <w:pStyle w:val="Bullet"/>
        <w:rPr>
          <w:szCs w:val="21"/>
        </w:rPr>
      </w:pPr>
      <w:r w:rsidRPr="009B783C">
        <w:rPr>
          <w:szCs w:val="21"/>
        </w:rPr>
        <w:t>Supporting patients to understand when they need to go to a Medicare UCC instead of their regular GP or the ED.</w:t>
      </w:r>
    </w:p>
    <w:p w14:paraId="34A5976F" w14:textId="6554B051" w:rsidR="0098687F" w:rsidRPr="009B783C" w:rsidRDefault="0098687F" w:rsidP="00F5425B">
      <w:pPr>
        <w:pStyle w:val="Bullet"/>
        <w:numPr>
          <w:ilvl w:val="0"/>
          <w:numId w:val="0"/>
        </w:numPr>
        <w:rPr>
          <w:szCs w:val="21"/>
        </w:rPr>
      </w:pPr>
      <w:r w:rsidRPr="009B783C">
        <w:rPr>
          <w:szCs w:val="21"/>
        </w:rPr>
        <w:lastRenderedPageBreak/>
        <w:t>Bursts of targeted paid advertising were conducted across multiple channels, including social media, radio, press and signage at clinics</w:t>
      </w:r>
      <w:r w:rsidR="004C17C0" w:rsidRPr="009B783C">
        <w:rPr>
          <w:szCs w:val="21"/>
        </w:rPr>
        <w:t xml:space="preserve"> and </w:t>
      </w:r>
      <w:r w:rsidRPr="009B783C">
        <w:rPr>
          <w:szCs w:val="21"/>
        </w:rPr>
        <w:t xml:space="preserve">in the community, at 52 Medicare UCC locations between December 2023 and April 2024. This was supported by national public relations and education activities, including social media content, video case studies and a webpage with an interactive map of Medicare UCCs and a range of resources that have been translated into over 15 languages and tailored for First Nations communities and people living with disabilities. </w:t>
      </w:r>
    </w:p>
    <w:p w14:paraId="4FAF572A" w14:textId="77777777" w:rsidR="0098687F" w:rsidRPr="009B783C" w:rsidRDefault="0098687F" w:rsidP="000D706D">
      <w:pPr>
        <w:pStyle w:val="Heading3"/>
      </w:pPr>
      <w:r w:rsidRPr="009B783C">
        <w:t>Separate analysis was conducted on the performance and early impact of the National Communications Strategy</w:t>
      </w:r>
    </w:p>
    <w:p w14:paraId="14AFB7EF" w14:textId="1E5A9A4B" w:rsidR="0098687F" w:rsidRPr="009B783C" w:rsidRDefault="0098687F" w:rsidP="00F5425B">
      <w:pPr>
        <w:rPr>
          <w:szCs w:val="21"/>
          <w:lang w:eastAsia="en-AU"/>
        </w:rPr>
      </w:pPr>
      <w:r w:rsidRPr="009B783C">
        <w:rPr>
          <w:szCs w:val="21"/>
          <w:lang w:eastAsia="en-AU"/>
        </w:rPr>
        <w:t>Performance reporting undertaken by the Department and provided to the evaluation shows that during the national communications campaign there were 148 million Medicare UCC social media impressions</w:t>
      </w:r>
      <w:r w:rsidRPr="009B783C">
        <w:rPr>
          <w:rStyle w:val="FootnoteReference"/>
          <w:szCs w:val="21"/>
          <w:lang w:eastAsia="en-AU"/>
        </w:rPr>
        <w:footnoteReference w:id="94"/>
      </w:r>
      <w:r w:rsidRPr="009B783C">
        <w:rPr>
          <w:szCs w:val="21"/>
          <w:lang w:eastAsia="en-AU"/>
        </w:rPr>
        <w:t xml:space="preserve"> with a click through rate of 0.15 per cent and 504,000 visits to the Department’s Medicare UCC website.</w:t>
      </w:r>
    </w:p>
    <w:p w14:paraId="342FFEDA" w14:textId="78701D1C" w:rsidR="0098687F" w:rsidRPr="009B783C" w:rsidRDefault="0098687F" w:rsidP="00F5425B">
      <w:pPr>
        <w:rPr>
          <w:szCs w:val="21"/>
          <w:lang w:eastAsia="en-AU"/>
        </w:rPr>
      </w:pPr>
      <w:r w:rsidRPr="009B783C">
        <w:rPr>
          <w:szCs w:val="21"/>
          <w:lang w:eastAsia="en-AU"/>
        </w:rPr>
        <w:t xml:space="preserve">The Department commissioned research to analyse the early impact of the National Communications Strategy. An online survey of adults aged 18 and over living within a defined radius of selected Medicare UCCs was undertaken between 30 November and 9 December 2023. Data to compare those who were and were not exposed to the campaign was not </w:t>
      </w:r>
      <w:r w:rsidR="007845C9" w:rsidRPr="009B783C">
        <w:rPr>
          <w:szCs w:val="21"/>
          <w:lang w:eastAsia="en-AU"/>
        </w:rPr>
        <w:t>available.</w:t>
      </w:r>
      <w:r w:rsidRPr="009B783C">
        <w:rPr>
          <w:szCs w:val="21"/>
          <w:lang w:eastAsia="en-AU"/>
        </w:rPr>
        <w:t xml:space="preserve"> The survey was completed by 1,140 respondents, with results showing:</w:t>
      </w:r>
    </w:p>
    <w:p w14:paraId="3050BF6C" w14:textId="4FF27EA7" w:rsidR="0098687F" w:rsidRPr="009B783C" w:rsidRDefault="0098687F" w:rsidP="00F5425B">
      <w:pPr>
        <w:pStyle w:val="Bullet"/>
        <w:rPr>
          <w:szCs w:val="21"/>
        </w:rPr>
      </w:pPr>
      <w:r w:rsidRPr="009B783C">
        <w:rPr>
          <w:szCs w:val="21"/>
        </w:rPr>
        <w:t>About 40 per cent of respondents had some awareness of Medicare UCCs and 25 per cent knew about a Medicare UCC in their local community. Relatively younger adults (18 to 54 years) and those with caregiving responsibilities, including parents and carers of individuals with disabilities or chronic conditions, showed higher awareness.</w:t>
      </w:r>
    </w:p>
    <w:p w14:paraId="24CC5DFD" w14:textId="77777777" w:rsidR="0098687F" w:rsidRPr="009B783C" w:rsidRDefault="0098687F" w:rsidP="00F5425B">
      <w:pPr>
        <w:pStyle w:val="Bullet"/>
        <w:rPr>
          <w:szCs w:val="21"/>
        </w:rPr>
      </w:pPr>
      <w:r w:rsidRPr="009B783C">
        <w:rPr>
          <w:szCs w:val="21"/>
        </w:rPr>
        <w:t xml:space="preserve">About 50 per cent of respondents were confident in identifying when to use a Medicare UCC over a GP, though slightly fewer were confident about choosing Medicare UCCs over </w:t>
      </w:r>
      <w:proofErr w:type="spellStart"/>
      <w:r w:rsidRPr="009B783C">
        <w:rPr>
          <w:szCs w:val="21"/>
        </w:rPr>
        <w:t>EDs.</w:t>
      </w:r>
      <w:proofErr w:type="spellEnd"/>
    </w:p>
    <w:p w14:paraId="4F3E7EE3" w14:textId="3E6E775B" w:rsidR="0098687F" w:rsidRPr="009B783C" w:rsidRDefault="0098687F" w:rsidP="00F5425B">
      <w:pPr>
        <w:pStyle w:val="Bullet"/>
        <w:rPr>
          <w:szCs w:val="21"/>
        </w:rPr>
      </w:pPr>
      <w:r w:rsidRPr="009B783C">
        <w:rPr>
          <w:szCs w:val="21"/>
        </w:rPr>
        <w:t>For respondents who had recently seen, heard, or read about Medicare UCCs, about 50 per cent understood that Medicare UCCs accept walk-in patients without appointments, provide bulk-billed services and have extended operating hours.</w:t>
      </w:r>
    </w:p>
    <w:p w14:paraId="2B96AB59" w14:textId="77777777" w:rsidR="0098687F" w:rsidRPr="009B783C" w:rsidRDefault="0098687F" w:rsidP="000D706D">
      <w:pPr>
        <w:pStyle w:val="Heading3"/>
      </w:pPr>
      <w:bookmarkStart w:id="174" w:name="_Toc179962848"/>
      <w:r w:rsidRPr="000D706D">
        <w:t>Commissioners</w:t>
      </w:r>
      <w:r w:rsidRPr="009B783C">
        <w:t xml:space="preserve"> have led complementary local communications strategies</w:t>
      </w:r>
      <w:bookmarkEnd w:id="174"/>
    </w:p>
    <w:p w14:paraId="4E3849DA" w14:textId="77777777" w:rsidR="0098687F" w:rsidRPr="009B783C" w:rsidRDefault="0098687F" w:rsidP="00F5425B">
      <w:pPr>
        <w:rPr>
          <w:szCs w:val="21"/>
          <w:lang w:eastAsia="en-AU"/>
        </w:rPr>
      </w:pPr>
      <w:r w:rsidRPr="009B783C">
        <w:rPr>
          <w:szCs w:val="21"/>
          <w:lang w:eastAsia="en-AU"/>
        </w:rPr>
        <w:t>The Department has also provided support to commissioners in sharing information to their local area, such as providing information that could be placed at key health service referral touchpoints like general practices, maternal and child health centres, and hospitals.</w:t>
      </w:r>
    </w:p>
    <w:p w14:paraId="607605D6" w14:textId="77777777" w:rsidR="0098687F" w:rsidRPr="009B783C" w:rsidRDefault="0098687F" w:rsidP="00F5425B">
      <w:pPr>
        <w:rPr>
          <w:szCs w:val="21"/>
          <w:lang w:eastAsia="en-AU"/>
        </w:rPr>
      </w:pPr>
      <w:r w:rsidRPr="009B783C">
        <w:rPr>
          <w:szCs w:val="21"/>
          <w:lang w:eastAsia="en-AU"/>
        </w:rPr>
        <w:t xml:space="preserve">Commissioners in some states and regions reported that they had deployed their own local communications strategies with some success. Examples discussed included: </w:t>
      </w:r>
    </w:p>
    <w:p w14:paraId="2ACAD42F" w14:textId="23A25317" w:rsidR="0098687F" w:rsidRPr="009B783C" w:rsidRDefault="00892829" w:rsidP="00F5425B">
      <w:pPr>
        <w:pStyle w:val="Bullet"/>
        <w:rPr>
          <w:rFonts w:eastAsiaTheme="minorHAnsi"/>
          <w:szCs w:val="21"/>
        </w:rPr>
      </w:pPr>
      <w:r w:rsidRPr="009B783C">
        <w:rPr>
          <w:rFonts w:eastAsiaTheme="minorHAnsi"/>
          <w:szCs w:val="21"/>
        </w:rPr>
        <w:t>A</w:t>
      </w:r>
      <w:r w:rsidR="0098687F" w:rsidRPr="009B783C">
        <w:rPr>
          <w:rFonts w:eastAsiaTheme="minorHAnsi"/>
          <w:szCs w:val="21"/>
        </w:rPr>
        <w:t xml:space="preserve"> local community Facebook group with regular post</w:t>
      </w:r>
      <w:r w:rsidR="0098687F" w:rsidRPr="009B783C">
        <w:rPr>
          <w:szCs w:val="21"/>
        </w:rPr>
        <w:t>s</w:t>
      </w:r>
      <w:r w:rsidR="0098687F" w:rsidRPr="009B783C">
        <w:rPr>
          <w:rFonts w:eastAsiaTheme="minorHAnsi"/>
          <w:szCs w:val="21"/>
        </w:rPr>
        <w:t xml:space="preserve"> on what urgent care </w:t>
      </w:r>
      <w:r w:rsidR="0098687F" w:rsidRPr="009B783C">
        <w:rPr>
          <w:szCs w:val="21"/>
        </w:rPr>
        <w:t xml:space="preserve">is </w:t>
      </w:r>
      <w:r w:rsidR="0098687F" w:rsidRPr="009B783C">
        <w:rPr>
          <w:rFonts w:eastAsiaTheme="minorHAnsi"/>
          <w:szCs w:val="21"/>
        </w:rPr>
        <w:t xml:space="preserve">and is </w:t>
      </w:r>
      <w:r w:rsidR="0098687F" w:rsidRPr="009B783C">
        <w:rPr>
          <w:szCs w:val="21"/>
        </w:rPr>
        <w:t>not, cases</w:t>
      </w:r>
      <w:r w:rsidR="0098687F" w:rsidRPr="009B783C">
        <w:rPr>
          <w:rFonts w:eastAsiaTheme="minorHAnsi"/>
          <w:szCs w:val="21"/>
        </w:rPr>
        <w:t xml:space="preserve"> the </w:t>
      </w:r>
      <w:r w:rsidR="00B35DCB" w:rsidRPr="009B783C">
        <w:rPr>
          <w:rFonts w:eastAsiaTheme="minorHAnsi"/>
          <w:szCs w:val="21"/>
        </w:rPr>
        <w:t>UCC</w:t>
      </w:r>
      <w:r w:rsidR="0098687F" w:rsidRPr="009B783C">
        <w:rPr>
          <w:rFonts w:eastAsiaTheme="minorHAnsi"/>
          <w:szCs w:val="21"/>
        </w:rPr>
        <w:t xml:space="preserve"> sees and seasonal </w:t>
      </w:r>
      <w:r w:rsidR="0098687F" w:rsidRPr="009B783C">
        <w:rPr>
          <w:szCs w:val="21"/>
        </w:rPr>
        <w:t>health updates</w:t>
      </w:r>
      <w:r w:rsidR="0098687F" w:rsidRPr="009B783C">
        <w:rPr>
          <w:rFonts w:eastAsiaTheme="minorHAnsi"/>
          <w:szCs w:val="21"/>
        </w:rPr>
        <w:t xml:space="preserve"> </w:t>
      </w:r>
      <w:r w:rsidR="0098687F" w:rsidRPr="009B783C">
        <w:rPr>
          <w:szCs w:val="21"/>
        </w:rPr>
        <w:t xml:space="preserve">on conditions </w:t>
      </w:r>
      <w:r w:rsidR="002F47A8" w:rsidRPr="009B783C">
        <w:rPr>
          <w:szCs w:val="21"/>
        </w:rPr>
        <w:t>that</w:t>
      </w:r>
      <w:r w:rsidR="002F47A8" w:rsidRPr="009B783C">
        <w:rPr>
          <w:rFonts w:eastAsiaTheme="minorHAnsi"/>
          <w:szCs w:val="21"/>
        </w:rPr>
        <w:t xml:space="preserve"> </w:t>
      </w:r>
      <w:r w:rsidR="0098687F" w:rsidRPr="009B783C">
        <w:rPr>
          <w:rFonts w:eastAsiaTheme="minorHAnsi"/>
          <w:szCs w:val="21"/>
        </w:rPr>
        <w:t>might be more prevalent at certain times of the year.</w:t>
      </w:r>
    </w:p>
    <w:p w14:paraId="423AE910" w14:textId="4B2523BB" w:rsidR="0098687F" w:rsidRPr="009B783C" w:rsidRDefault="00892829" w:rsidP="00F5425B">
      <w:pPr>
        <w:pStyle w:val="Bullet"/>
        <w:rPr>
          <w:szCs w:val="21"/>
        </w:rPr>
      </w:pPr>
      <w:r w:rsidRPr="009B783C">
        <w:rPr>
          <w:szCs w:val="21"/>
        </w:rPr>
        <w:lastRenderedPageBreak/>
        <w:t>P</w:t>
      </w:r>
      <w:r w:rsidR="0098687F" w:rsidRPr="009B783C">
        <w:rPr>
          <w:szCs w:val="21"/>
        </w:rPr>
        <w:t xml:space="preserve">roactive advertising on local commercial radio, in the newspaper and on bus wraps on the public transit buses. </w:t>
      </w:r>
    </w:p>
    <w:p w14:paraId="690BEA6B" w14:textId="209A6377" w:rsidR="0098687F" w:rsidRPr="009B783C" w:rsidRDefault="00202717" w:rsidP="00F5425B">
      <w:pPr>
        <w:pStyle w:val="Bullet"/>
        <w:rPr>
          <w:szCs w:val="21"/>
        </w:rPr>
      </w:pPr>
      <w:r w:rsidRPr="009B783C">
        <w:rPr>
          <w:szCs w:val="21"/>
        </w:rPr>
        <w:t>R</w:t>
      </w:r>
      <w:r w:rsidR="0098687F" w:rsidRPr="009B783C">
        <w:rPr>
          <w:szCs w:val="21"/>
        </w:rPr>
        <w:t xml:space="preserve">eaching out to local schools and sporting clubs (which cover a demographic that commonly has certain sporting, muscle and bone injuries) and letting them know about the Medicare UCCs as an alternative option for care. </w:t>
      </w:r>
    </w:p>
    <w:p w14:paraId="092D0263" w14:textId="2D9010D5" w:rsidR="0098687F" w:rsidRPr="009B783C" w:rsidRDefault="0098687F" w:rsidP="00F5425B">
      <w:pPr>
        <w:spacing w:after="160"/>
        <w:rPr>
          <w:szCs w:val="21"/>
          <w:lang w:val="en-US" w:eastAsia="en-AU"/>
        </w:rPr>
      </w:pPr>
      <w:r w:rsidRPr="009B783C">
        <w:rPr>
          <w:szCs w:val="21"/>
          <w:lang w:eastAsia="en-AU"/>
        </w:rPr>
        <w:t>Other commissioners said that they had</w:t>
      </w:r>
      <w:r w:rsidR="00A93A04" w:rsidRPr="009B783C">
        <w:rPr>
          <w:szCs w:val="21"/>
          <w:lang w:eastAsia="en-AU"/>
        </w:rPr>
        <w:t xml:space="preserve"> </w:t>
      </w:r>
      <w:r w:rsidRPr="009B783C">
        <w:rPr>
          <w:szCs w:val="21"/>
          <w:lang w:eastAsia="en-AU"/>
        </w:rPr>
        <w:t>n</w:t>
      </w:r>
      <w:r w:rsidR="00A93A04" w:rsidRPr="009B783C">
        <w:rPr>
          <w:szCs w:val="21"/>
          <w:lang w:eastAsia="en-AU"/>
        </w:rPr>
        <w:t>o</w:t>
      </w:r>
      <w:r w:rsidRPr="009B783C">
        <w:rPr>
          <w:szCs w:val="21"/>
          <w:lang w:eastAsia="en-AU"/>
        </w:rPr>
        <w:t xml:space="preserve">t seen a need to do any additional promotion because the national media campaign had been very effective in their locale. For example, team members from </w:t>
      </w:r>
      <w:r w:rsidR="00892829" w:rsidRPr="009B783C">
        <w:rPr>
          <w:szCs w:val="21"/>
          <w:lang w:eastAsia="en-AU"/>
        </w:rPr>
        <w:t>one</w:t>
      </w:r>
      <w:r w:rsidRPr="009B783C">
        <w:rPr>
          <w:szCs w:val="21"/>
          <w:lang w:eastAsia="en-AU"/>
        </w:rPr>
        <w:t xml:space="preserve"> PHN mentioned that the geo-targeted advertising in their area effectively spread the message within a particular radius via social media about their Medicare UCC, running small videos about the Medicare UCC’s existence and the circumstances it was suitable for. </w:t>
      </w:r>
    </w:p>
    <w:p w14:paraId="1EC13894" w14:textId="7DD5AFEF" w:rsidR="0098687F" w:rsidRPr="009B783C" w:rsidRDefault="0098687F" w:rsidP="000D706D">
      <w:pPr>
        <w:pStyle w:val="Heading3"/>
        <w:rPr>
          <w:rFonts w:asciiTheme="majorHAnsi" w:hAnsiTheme="majorHAnsi" w:cstheme="majorHAnsi"/>
          <w:bCs/>
        </w:rPr>
      </w:pPr>
      <w:bookmarkStart w:id="175" w:name="_Toc179962849"/>
      <w:r w:rsidRPr="009B783C">
        <w:t>Consumers continue to face challenges in understanding what urgent care entails and n</w:t>
      </w:r>
      <w:r w:rsidRPr="009B783C">
        <w:rPr>
          <w:rFonts w:asciiTheme="majorHAnsi" w:hAnsiTheme="majorHAnsi" w:cstheme="majorHAnsi"/>
          <w:bCs/>
        </w:rPr>
        <w:t xml:space="preserve">avigating the </w:t>
      </w:r>
      <w:r w:rsidRPr="000D706D">
        <w:t>variety</w:t>
      </w:r>
      <w:r w:rsidRPr="009B783C">
        <w:rPr>
          <w:rFonts w:asciiTheme="majorHAnsi" w:hAnsiTheme="majorHAnsi" w:cstheme="majorHAnsi"/>
          <w:bCs/>
        </w:rPr>
        <w:t xml:space="preserve"> of available service options </w:t>
      </w:r>
      <w:bookmarkEnd w:id="175"/>
    </w:p>
    <w:p w14:paraId="75A44A79" w14:textId="35CBC2AD" w:rsidR="0098687F" w:rsidRPr="009B783C" w:rsidRDefault="0098687F" w:rsidP="00F5425B">
      <w:pPr>
        <w:rPr>
          <w:szCs w:val="21"/>
          <w:lang w:eastAsia="en-AU"/>
        </w:rPr>
      </w:pPr>
      <w:r w:rsidRPr="009B783C">
        <w:rPr>
          <w:szCs w:val="21"/>
          <w:lang w:eastAsia="en-AU"/>
        </w:rPr>
        <w:t>Stakeholders reported that there is still confusion among consumers between the role of urgent care and the role of the ED. Similar issues were acknowledged in the recently published After Hours Review.</w:t>
      </w:r>
      <w:r w:rsidRPr="009B783C">
        <w:rPr>
          <w:rStyle w:val="FootnoteReference"/>
          <w:szCs w:val="21"/>
          <w:lang w:eastAsia="en-AU"/>
        </w:rPr>
        <w:footnoteReference w:id="95"/>
      </w:r>
      <w:r w:rsidRPr="009B783C">
        <w:rPr>
          <w:szCs w:val="21"/>
          <w:lang w:eastAsia="en-AU"/>
        </w:rPr>
        <w:t xml:space="preserve"> Challenges with the word ‘urgent’ were noted across several circumstances, including: </w:t>
      </w:r>
    </w:p>
    <w:p w14:paraId="3AC9F373" w14:textId="2F5D2DE8" w:rsidR="0098687F" w:rsidRPr="009B783C" w:rsidRDefault="0098687F" w:rsidP="00F5425B">
      <w:pPr>
        <w:pStyle w:val="Bullet"/>
        <w:rPr>
          <w:szCs w:val="21"/>
        </w:rPr>
      </w:pPr>
      <w:r w:rsidRPr="009B783C">
        <w:rPr>
          <w:szCs w:val="21"/>
        </w:rPr>
        <w:t>The difficulty for a lay person to distinguish between an incident that is ‘urgent’ versus one that</w:t>
      </w:r>
      <w:r w:rsidR="003875F4" w:rsidRPr="009B783C">
        <w:rPr>
          <w:szCs w:val="21"/>
        </w:rPr>
        <w:t xml:space="preserve"> i</w:t>
      </w:r>
      <w:r w:rsidRPr="009B783C">
        <w:rPr>
          <w:szCs w:val="21"/>
        </w:rPr>
        <w:t>s an ‘emergency’.</w:t>
      </w:r>
    </w:p>
    <w:p w14:paraId="708D6767" w14:textId="3E188840" w:rsidR="0098687F" w:rsidRPr="009B783C" w:rsidRDefault="0098687F" w:rsidP="00F5425B">
      <w:pPr>
        <w:pStyle w:val="Bullet"/>
        <w:rPr>
          <w:szCs w:val="21"/>
        </w:rPr>
      </w:pPr>
      <w:r w:rsidRPr="009B783C">
        <w:rPr>
          <w:szCs w:val="21"/>
        </w:rPr>
        <w:t>Distinguishing between what is urgent after</w:t>
      </w:r>
      <w:r w:rsidR="00A336E9" w:rsidRPr="009B783C">
        <w:rPr>
          <w:szCs w:val="21"/>
        </w:rPr>
        <w:t>-</w:t>
      </w:r>
      <w:r w:rsidRPr="009B783C">
        <w:rPr>
          <w:szCs w:val="21"/>
        </w:rPr>
        <w:t>hours versus what can wait until the next day.</w:t>
      </w:r>
    </w:p>
    <w:p w14:paraId="7BC4D872" w14:textId="655F574A" w:rsidR="0098687F" w:rsidRPr="009B783C" w:rsidRDefault="0098687F" w:rsidP="00F5425B">
      <w:pPr>
        <w:pStyle w:val="Bullet"/>
        <w:rPr>
          <w:szCs w:val="21"/>
        </w:rPr>
      </w:pPr>
      <w:r w:rsidRPr="009B783C">
        <w:rPr>
          <w:szCs w:val="21"/>
        </w:rPr>
        <w:t>The difference in a consumer’s baseline for urgent care, based on their individual past experiences and upbringing.</w:t>
      </w:r>
    </w:p>
    <w:p w14:paraId="49B07B55" w14:textId="0859FD22" w:rsidR="0098687F" w:rsidRPr="009B783C" w:rsidRDefault="0098687F" w:rsidP="00F5425B">
      <w:pPr>
        <w:pStyle w:val="Bullet"/>
        <w:rPr>
          <w:szCs w:val="21"/>
        </w:rPr>
      </w:pPr>
      <w:r w:rsidRPr="009B783C">
        <w:rPr>
          <w:szCs w:val="21"/>
        </w:rPr>
        <w:t xml:space="preserve">How it is interpreted by consumers who do not speak English as a first language, including those from </w:t>
      </w:r>
      <w:r w:rsidR="00AD1014" w:rsidRPr="009B783C">
        <w:rPr>
          <w:szCs w:val="21"/>
        </w:rPr>
        <w:t>CALD</w:t>
      </w:r>
      <w:r w:rsidRPr="009B783C">
        <w:rPr>
          <w:szCs w:val="21"/>
        </w:rPr>
        <w:t xml:space="preserve"> and First Nations communities.</w:t>
      </w:r>
    </w:p>
    <w:p w14:paraId="127857B4" w14:textId="2B3D12B6" w:rsidR="0098687F" w:rsidRPr="009B783C" w:rsidRDefault="0098687F" w:rsidP="00F5425B">
      <w:pPr>
        <w:rPr>
          <w:szCs w:val="21"/>
          <w:lang w:val="en-US" w:eastAsia="en-AU"/>
        </w:rPr>
      </w:pPr>
      <w:r w:rsidRPr="009B783C">
        <w:rPr>
          <w:szCs w:val="21"/>
          <w:lang w:eastAsia="en-AU"/>
        </w:rPr>
        <w:t xml:space="preserve">Stakeholders reported that the term ‘Medicare UCC’ could also be problematic because it might suggest to consumers that the service is only available to people with a Medicare card. The Department has advised that Medicare UCCs may make a business decision to not </w:t>
      </w:r>
      <w:r w:rsidR="00C00E71" w:rsidRPr="009B783C">
        <w:rPr>
          <w:szCs w:val="21"/>
          <w:lang w:eastAsia="en-AU"/>
        </w:rPr>
        <w:t xml:space="preserve">routinely </w:t>
      </w:r>
      <w:r w:rsidRPr="009B783C">
        <w:rPr>
          <w:szCs w:val="21"/>
          <w:lang w:eastAsia="en-AU"/>
        </w:rPr>
        <w:t>treat patients who are not eligible for Medicare. However, no patient treated at a Medicare UCC can be charged a fee and any presenting patient who is not treated must be referred to an appropriate service.</w:t>
      </w:r>
      <w:r w:rsidR="008A611A" w:rsidRPr="009B783C">
        <w:rPr>
          <w:szCs w:val="21"/>
          <w:lang w:eastAsia="en-AU"/>
        </w:rPr>
        <w:t xml:space="preserve"> </w:t>
      </w:r>
    </w:p>
    <w:p w14:paraId="2DC9567B" w14:textId="5F064E4B" w:rsidR="0098687F" w:rsidRPr="009B783C" w:rsidRDefault="0098687F" w:rsidP="00F5425B">
      <w:pPr>
        <w:rPr>
          <w:szCs w:val="21"/>
          <w:lang w:eastAsia="en-AU"/>
        </w:rPr>
      </w:pPr>
      <w:r w:rsidRPr="009B783C">
        <w:rPr>
          <w:szCs w:val="21"/>
          <w:lang w:eastAsia="en-AU"/>
        </w:rPr>
        <w:t xml:space="preserve">Beyond Medicare UCCs, there is a large variety of other urgent care options, which adds to a consumer’s challenges in navigating the system. These options offer slightly different services and operate under a variety of different names, including private EDs, private urgent care centres, state managed urgent care centres, after hours services, virtual urgent care services and satellite hospitals. These are different across jurisdictions, with different eligibility, referral criteria and fees. </w:t>
      </w:r>
    </w:p>
    <w:p w14:paraId="2007681B" w14:textId="77777777" w:rsidR="0098687F" w:rsidRPr="009B783C" w:rsidRDefault="0098687F" w:rsidP="00F5425B">
      <w:pPr>
        <w:rPr>
          <w:szCs w:val="21"/>
          <w:lang w:eastAsia="en-AU"/>
        </w:rPr>
      </w:pPr>
      <w:r w:rsidRPr="009B783C">
        <w:rPr>
          <w:szCs w:val="21"/>
          <w:lang w:eastAsia="en-AU"/>
        </w:rPr>
        <w:lastRenderedPageBreak/>
        <w:t xml:space="preserve">Adjacent services such as Healthdirect and 13-Health add to a consumer’s choices, potentially creating an environment that may confuse consumers. </w:t>
      </w:r>
    </w:p>
    <w:p w14:paraId="1E70002C" w14:textId="53CB2AF0" w:rsidR="008C4E7D" w:rsidRDefault="0098687F" w:rsidP="00A10383">
      <w:pPr>
        <w:rPr>
          <w:szCs w:val="21"/>
          <w:lang w:eastAsia="en-AU"/>
        </w:rPr>
      </w:pPr>
      <w:r w:rsidRPr="009B783C">
        <w:rPr>
          <w:szCs w:val="21"/>
          <w:lang w:eastAsia="en-AU"/>
        </w:rPr>
        <w:t xml:space="preserve">Medicare UCCs, being a new addition to primary care, will inherently take time to embed into the landscape. Stakeholders reported the continued need for clear communications about service navigation and where consumers should go to for what services. They flagged the need to work with any state operated services in the region that offer similar services, to align public messaging, and clearly articulate each service’s role and capacity.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98687F" w:rsidRPr="009B783C" w14:paraId="6E437C48" w14:textId="77777777" w:rsidTr="008C4E7D">
        <w:tc>
          <w:tcPr>
            <w:tcW w:w="8907" w:type="dxa"/>
          </w:tcPr>
          <w:p w14:paraId="225C2A7A" w14:textId="2D401E2D" w:rsidR="0098687F" w:rsidRPr="009B783C" w:rsidRDefault="00AB2F2B" w:rsidP="00F5425B">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44D659E5" w14:textId="77777777" w:rsidR="0098687F" w:rsidRPr="009B783C" w:rsidRDefault="0098687F" w:rsidP="00F5425B">
            <w:pPr>
              <w:pStyle w:val="Longformcallout"/>
              <w:rPr>
                <w:szCs w:val="21"/>
              </w:rPr>
            </w:pPr>
            <w:r w:rsidRPr="009B783C">
              <w:rPr>
                <w:szCs w:val="21"/>
              </w:rPr>
              <w:t xml:space="preserve">Stakeholders report that understanding what urgent care is and navigating the variety of local service options continues to be a challenge for consumers, despite comprehensive national and local communications campaigns. </w:t>
            </w:r>
          </w:p>
        </w:tc>
      </w:tr>
    </w:tbl>
    <w:p w14:paraId="3CB0A95D" w14:textId="77777777" w:rsidR="00737B1C" w:rsidRPr="009B783C" w:rsidRDefault="00737B1C" w:rsidP="00F5425B">
      <w:pPr>
        <w:rPr>
          <w:szCs w:val="21"/>
          <w:lang w:eastAsia="en-AU"/>
        </w:rPr>
        <w:sectPr w:rsidR="00737B1C" w:rsidRPr="009B783C" w:rsidSect="006B20E0">
          <w:pgSz w:w="11907" w:h="16839" w:code="9"/>
          <w:pgMar w:top="1247" w:right="1418" w:bottom="1276" w:left="1559" w:header="720" w:footer="720" w:gutter="0"/>
          <w:cols w:space="720"/>
          <w:docGrid w:linePitch="360"/>
        </w:sectPr>
      </w:pP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98687F" w:rsidRPr="009B783C" w14:paraId="4788FCC7" w14:textId="77777777" w:rsidTr="00E00EF9">
        <w:tc>
          <w:tcPr>
            <w:tcW w:w="8907" w:type="dxa"/>
            <w:tcBorders>
              <w:left w:val="single" w:sz="18" w:space="0" w:color="2D358E"/>
            </w:tcBorders>
          </w:tcPr>
          <w:p w14:paraId="62914C9F" w14:textId="14ED1AE7" w:rsidR="0098687F" w:rsidRPr="009B783C" w:rsidRDefault="00AB2F2B" w:rsidP="00F5425B">
            <w:pPr>
              <w:pStyle w:val="Longformcallout"/>
              <w:rPr>
                <w:rFonts w:asciiTheme="majorHAnsi" w:hAnsiTheme="majorHAnsi" w:cstheme="majorHAnsi"/>
                <w:color w:val="2D358E"/>
                <w:sz w:val="28"/>
                <w:szCs w:val="28"/>
              </w:rPr>
            </w:pPr>
            <w:r w:rsidRPr="009B783C">
              <w:rPr>
                <w:rFonts w:asciiTheme="majorHAnsi" w:hAnsiTheme="majorHAnsi" w:cstheme="majorHAnsi"/>
                <w:color w:val="2D358E"/>
                <w:sz w:val="28"/>
                <w:szCs w:val="28"/>
              </w:rPr>
              <w:t>Improvement opportunity</w:t>
            </w:r>
          </w:p>
          <w:p w14:paraId="7B35519D" w14:textId="5915F070" w:rsidR="0098687F" w:rsidRPr="009B783C" w:rsidRDefault="0098687F" w:rsidP="00F5425B">
            <w:pPr>
              <w:pStyle w:val="Longformcallout"/>
              <w:rPr>
                <w:szCs w:val="21"/>
                <w:lang w:val="en-US"/>
              </w:rPr>
            </w:pPr>
            <w:r w:rsidRPr="009B783C">
              <w:rPr>
                <w:szCs w:val="21"/>
              </w:rPr>
              <w:t>There is ongoing need for continued clear communications both nationally and locally about what urgent care is and to assist with service navigation.</w:t>
            </w:r>
            <w:r w:rsidR="008A611A" w:rsidRPr="009B783C">
              <w:rPr>
                <w:szCs w:val="21"/>
              </w:rPr>
              <w:t xml:space="preserve"> </w:t>
            </w:r>
          </w:p>
        </w:tc>
      </w:tr>
    </w:tbl>
    <w:p w14:paraId="6D564B29" w14:textId="77777777" w:rsidR="0098687F" w:rsidRPr="009B783C" w:rsidRDefault="0098687F" w:rsidP="000D706D">
      <w:pPr>
        <w:pStyle w:val="Heading3"/>
      </w:pPr>
      <w:r w:rsidRPr="009B783C">
        <w:t>Next steps</w:t>
      </w:r>
    </w:p>
    <w:p w14:paraId="5E31B7F7" w14:textId="71550E48" w:rsidR="0082526D" w:rsidRPr="009B783C" w:rsidRDefault="0098687F" w:rsidP="00F5425B">
      <w:pPr>
        <w:spacing w:after="240"/>
        <w:rPr>
          <w:szCs w:val="21"/>
          <w:lang w:eastAsia="en-AU"/>
        </w:rPr>
      </w:pPr>
      <w:r w:rsidRPr="009B783C">
        <w:rPr>
          <w:szCs w:val="21"/>
          <w:lang w:eastAsia="en-AU"/>
        </w:rPr>
        <w:t>In future phases of the evaluation, insights will be broadened through a survey of Medicare UCC patients and additional stakeholder engagement to understand reasons for changing behaviour over time to use Medicare UCC services, and barriers and enablers to using Medicare UCCs services for consumers. Differences by state</w:t>
      </w:r>
      <w:r w:rsidR="001A4128" w:rsidRPr="009B783C">
        <w:rPr>
          <w:szCs w:val="21"/>
          <w:lang w:eastAsia="en-AU"/>
        </w:rPr>
        <w:t xml:space="preserve"> and territory</w:t>
      </w:r>
      <w:r w:rsidRPr="009B783C">
        <w:rPr>
          <w:szCs w:val="21"/>
          <w:lang w:eastAsia="en-AU"/>
        </w:rPr>
        <w:t xml:space="preserve"> will also be considered for future phases of the evaluation.</w:t>
      </w:r>
      <w:bookmarkStart w:id="176" w:name="_Ref179527556"/>
      <w:bookmarkStart w:id="177" w:name="_Ref179528400"/>
    </w:p>
    <w:tbl>
      <w:tblPr>
        <w:tblStyle w:val="TableGrid"/>
        <w:tblW w:w="0" w:type="auto"/>
        <w:tblLook w:val="04A0" w:firstRow="1" w:lastRow="0" w:firstColumn="1" w:lastColumn="0" w:noHBand="0" w:noVBand="1"/>
      </w:tblPr>
      <w:tblGrid>
        <w:gridCol w:w="8920"/>
      </w:tblGrid>
      <w:tr w:rsidR="009711A2" w:rsidRPr="009B783C" w14:paraId="4873F250" w14:textId="77777777">
        <w:trPr>
          <w:trHeight w:val="215"/>
        </w:trPr>
        <w:tc>
          <w:tcPr>
            <w:tcW w:w="8920" w:type="dxa"/>
            <w:tcBorders>
              <w:top w:val="nil"/>
              <w:left w:val="nil"/>
              <w:bottom w:val="nil"/>
              <w:right w:val="nil"/>
            </w:tcBorders>
            <w:shd w:val="clear" w:color="auto" w:fill="25B3E0" w:themeFill="accent6"/>
          </w:tcPr>
          <w:p w14:paraId="17D45956" w14:textId="529725AF" w:rsidR="009711A2" w:rsidRPr="008C4E7D" w:rsidRDefault="00B56EA0">
            <w:pPr>
              <w:pStyle w:val="TableNheader"/>
              <w:rPr>
                <w:color w:val="00264D" w:themeColor="background2"/>
              </w:rPr>
            </w:pPr>
            <w:r w:rsidRPr="008C4E7D">
              <w:rPr>
                <w:color w:val="00264D" w:themeColor="background2"/>
              </w:rPr>
              <w:t>Measure Of Success 8</w:t>
            </w:r>
          </w:p>
        </w:tc>
      </w:tr>
    </w:tbl>
    <w:p w14:paraId="1C356D7E" w14:textId="20B6FE2A" w:rsidR="005B4C79" w:rsidRPr="009B783C" w:rsidRDefault="008C5913" w:rsidP="005B4C79">
      <w:pPr>
        <w:pStyle w:val="Heading2"/>
        <w:spacing w:before="120"/>
      </w:pPr>
      <w:bookmarkStart w:id="178" w:name="_Ref188979269"/>
      <w:bookmarkStart w:id="179" w:name="_Ref188979287"/>
      <w:bookmarkStart w:id="180" w:name="_Ref188979301"/>
      <w:bookmarkStart w:id="181" w:name="_Ref188979357"/>
      <w:bookmarkStart w:id="182" w:name="_Toc189639234"/>
      <w:bookmarkStart w:id="183" w:name="_Toc189772034"/>
      <w:r w:rsidRPr="009B783C">
        <w:t>Coordinated care within the health ecosystem</w:t>
      </w:r>
      <w:bookmarkEnd w:id="178"/>
      <w:bookmarkEnd w:id="179"/>
      <w:bookmarkEnd w:id="180"/>
      <w:bookmarkEnd w:id="181"/>
      <w:bookmarkEnd w:id="182"/>
      <w:bookmarkEnd w:id="183"/>
    </w:p>
    <w:p w14:paraId="75D2C056" w14:textId="6AC04B22" w:rsidR="005508B9" w:rsidRPr="009B783C" w:rsidRDefault="00900C42" w:rsidP="006D5CEE">
      <w:pPr>
        <w:rPr>
          <w:szCs w:val="21"/>
        </w:rPr>
      </w:pPr>
      <w:r w:rsidRPr="009B783C">
        <w:rPr>
          <w:szCs w:val="21"/>
        </w:rPr>
        <w:t xml:space="preserve">Measure of Success 8 agreed by the Australian, </w:t>
      </w:r>
      <w:r w:rsidR="00FD0CBC" w:rsidRPr="009B783C">
        <w:rPr>
          <w:szCs w:val="21"/>
        </w:rPr>
        <w:t xml:space="preserve">state and territory </w:t>
      </w:r>
      <w:r w:rsidR="00C27CAA" w:rsidRPr="009B783C">
        <w:rPr>
          <w:szCs w:val="21"/>
        </w:rPr>
        <w:t xml:space="preserve">governments </w:t>
      </w:r>
      <w:r w:rsidR="00FD0CBC" w:rsidRPr="009B783C">
        <w:rPr>
          <w:szCs w:val="21"/>
        </w:rPr>
        <w:t>is:</w:t>
      </w:r>
    </w:p>
    <w:p w14:paraId="29C7207A" w14:textId="2E020FEF" w:rsidR="00FD0CBC" w:rsidRPr="009B783C" w:rsidRDefault="00FD0CBC" w:rsidP="006D5CEE">
      <w:pPr>
        <w:pStyle w:val="Caption"/>
        <w:spacing w:line="276" w:lineRule="auto"/>
        <w:rPr>
          <w:szCs w:val="21"/>
        </w:rPr>
      </w:pPr>
      <w:r w:rsidRPr="009B783C">
        <w:rPr>
          <w:szCs w:val="21"/>
        </w:rPr>
        <w:t>“Medicare UCCs, PHNs, Healthdirect, jurisdictions and the health ecosystem have established an effective coordinated care option for people with urgent non-life-threatening conditions.”</w:t>
      </w:r>
    </w:p>
    <w:p w14:paraId="48B647B9" w14:textId="68754486" w:rsidR="005B4C79" w:rsidRPr="009B783C" w:rsidRDefault="005B4C79" w:rsidP="000D706D">
      <w:pPr>
        <w:pStyle w:val="Heading3"/>
      </w:pPr>
      <w:r w:rsidRPr="009B783C">
        <w:t xml:space="preserve">Care coordination </w:t>
      </w:r>
      <w:r w:rsidRPr="000D706D">
        <w:t>within</w:t>
      </w:r>
      <w:r w:rsidRPr="009B783C">
        <w:t xml:space="preserve"> the health ecosystem improves integration and efficiency for urgent non-life-threatening conditions</w:t>
      </w:r>
    </w:p>
    <w:p w14:paraId="13EA72F4" w14:textId="4FBDDE7A" w:rsidR="005B4C79" w:rsidRPr="009B783C" w:rsidRDefault="005B4C79" w:rsidP="006D5CEE">
      <w:pPr>
        <w:rPr>
          <w:szCs w:val="21"/>
          <w:lang w:val="en-US" w:eastAsia="en-AU"/>
        </w:rPr>
      </w:pPr>
      <w:r w:rsidRPr="009B783C">
        <w:rPr>
          <w:szCs w:val="21"/>
          <w:lang w:eastAsia="en-AU"/>
        </w:rPr>
        <w:t>As discussed under Measure of Success 3</w:t>
      </w:r>
      <w:r w:rsidR="00025484" w:rsidRPr="009B783C">
        <w:rPr>
          <w:szCs w:val="21"/>
          <w:lang w:eastAsia="en-AU"/>
        </w:rPr>
        <w:t xml:space="preserve"> (section </w:t>
      </w:r>
      <w:r w:rsidR="00025484" w:rsidRPr="009B783C">
        <w:rPr>
          <w:szCs w:val="21"/>
          <w:lang w:eastAsia="en-AU"/>
        </w:rPr>
        <w:fldChar w:fldCharType="begin"/>
      </w:r>
      <w:r w:rsidR="00025484" w:rsidRPr="009B783C">
        <w:rPr>
          <w:szCs w:val="21"/>
          <w:lang w:eastAsia="en-AU"/>
        </w:rPr>
        <w:instrText xml:space="preserve"> REF _Ref185323764 \n \h </w:instrText>
      </w:r>
      <w:r w:rsidR="006D5CEE" w:rsidRPr="009B783C">
        <w:rPr>
          <w:szCs w:val="21"/>
          <w:lang w:eastAsia="en-AU"/>
        </w:rPr>
        <w:instrText xml:space="preserve"> \* MERGEFORMAT </w:instrText>
      </w:r>
      <w:r w:rsidR="00025484" w:rsidRPr="009B783C">
        <w:rPr>
          <w:szCs w:val="21"/>
          <w:lang w:eastAsia="en-AU"/>
        </w:rPr>
      </w:r>
      <w:r w:rsidR="00025484" w:rsidRPr="009B783C">
        <w:rPr>
          <w:szCs w:val="21"/>
          <w:lang w:eastAsia="en-AU"/>
        </w:rPr>
        <w:fldChar w:fldCharType="separate"/>
      </w:r>
      <w:r w:rsidR="0031172E" w:rsidRPr="009B783C">
        <w:rPr>
          <w:szCs w:val="21"/>
          <w:lang w:eastAsia="en-AU"/>
        </w:rPr>
        <w:t>5.3</w:t>
      </w:r>
      <w:r w:rsidR="00025484" w:rsidRPr="009B783C">
        <w:rPr>
          <w:szCs w:val="21"/>
          <w:lang w:eastAsia="en-AU"/>
        </w:rPr>
        <w:fldChar w:fldCharType="end"/>
      </w:r>
      <w:r w:rsidR="00025484" w:rsidRPr="009B783C">
        <w:rPr>
          <w:szCs w:val="21"/>
          <w:lang w:eastAsia="en-AU"/>
        </w:rPr>
        <w:t>)</w:t>
      </w:r>
      <w:r w:rsidR="0082526D" w:rsidRPr="009B783C">
        <w:rPr>
          <w:szCs w:val="21"/>
          <w:lang w:eastAsia="en-AU"/>
        </w:rPr>
        <w:t>,</w:t>
      </w:r>
      <w:r w:rsidRPr="009B783C">
        <w:rPr>
          <w:szCs w:val="21"/>
          <w:lang w:eastAsia="en-AU"/>
        </w:rPr>
        <w:t xml:space="preserve"> coordination of care refers to an organised approach to managing a patient's health care across various providers and services.</w:t>
      </w:r>
      <w:r w:rsidRPr="35C5891D">
        <w:rPr>
          <w:rStyle w:val="FootnoteReference"/>
          <w:szCs w:val="21"/>
          <w:lang w:val="en-US" w:eastAsia="en-AU"/>
        </w:rPr>
        <w:footnoteReference w:id="96"/>
      </w:r>
      <w:r w:rsidRPr="009B783C">
        <w:rPr>
          <w:szCs w:val="21"/>
          <w:lang w:eastAsia="en-AU"/>
        </w:rPr>
        <w:t xml:space="preserve"> </w:t>
      </w:r>
      <w:r w:rsidRPr="009B783C">
        <w:rPr>
          <w:szCs w:val="21"/>
          <w:lang w:eastAsia="en-AU"/>
        </w:rPr>
        <w:lastRenderedPageBreak/>
        <w:t>It involves collaboration among health care professionals to ensure patients receive comprehensive, integrated, efficient and cost-effective care tailored to their individual needs. The</w:t>
      </w:r>
      <w:r w:rsidRPr="009B783C" w:rsidDel="007564F6">
        <w:rPr>
          <w:szCs w:val="21"/>
          <w:lang w:eastAsia="en-AU"/>
        </w:rPr>
        <w:t xml:space="preserve"> </w:t>
      </w:r>
      <w:r w:rsidRPr="009B783C">
        <w:rPr>
          <w:szCs w:val="21"/>
          <w:lang w:eastAsia="en-AU"/>
        </w:rPr>
        <w:t>aim is for all providers involved in a patient's care to be well-informed and aligned in the patient’s treatment.</w:t>
      </w:r>
      <w:r w:rsidRPr="35C5891D">
        <w:rPr>
          <w:rStyle w:val="FootnoteReference"/>
          <w:szCs w:val="21"/>
          <w:lang w:val="en-US" w:eastAsia="en-AU"/>
        </w:rPr>
        <w:footnoteReference w:id="97"/>
      </w:r>
      <w:r w:rsidRPr="009B783C">
        <w:rPr>
          <w:szCs w:val="21"/>
          <w:vertAlign w:val="superscript"/>
          <w:lang w:eastAsia="en-AU"/>
        </w:rPr>
        <w:t>,</w:t>
      </w:r>
      <w:r w:rsidRPr="35C5891D">
        <w:rPr>
          <w:rStyle w:val="FootnoteReference"/>
          <w:szCs w:val="21"/>
          <w:lang w:val="en-US" w:eastAsia="en-AU"/>
        </w:rPr>
        <w:footnoteReference w:id="98"/>
      </w:r>
      <w:r w:rsidRPr="009B783C">
        <w:rPr>
          <w:szCs w:val="21"/>
          <w:lang w:eastAsia="en-AU"/>
        </w:rPr>
        <w:t xml:space="preserve"> </w:t>
      </w:r>
    </w:p>
    <w:p w14:paraId="2448BFF4" w14:textId="420CD7BF" w:rsidR="005B4C79" w:rsidRPr="009B783C" w:rsidRDefault="0082526D" w:rsidP="006D5CEE">
      <w:pPr>
        <w:rPr>
          <w:szCs w:val="21"/>
          <w:lang w:val="en-US" w:eastAsia="en-AU"/>
        </w:rPr>
      </w:pPr>
      <w:r w:rsidRPr="009B783C">
        <w:rPr>
          <w:szCs w:val="21"/>
          <w:lang w:eastAsia="en-AU"/>
        </w:rPr>
        <w:t>While Measure of Success 3</w:t>
      </w:r>
      <w:r w:rsidR="0019634C" w:rsidRPr="009B783C">
        <w:rPr>
          <w:szCs w:val="21"/>
          <w:lang w:eastAsia="en-AU"/>
        </w:rPr>
        <w:t xml:space="preserve"> (section </w:t>
      </w:r>
      <w:r w:rsidR="0019634C" w:rsidRPr="009B783C">
        <w:rPr>
          <w:szCs w:val="21"/>
          <w:lang w:eastAsia="en-AU"/>
        </w:rPr>
        <w:fldChar w:fldCharType="begin"/>
      </w:r>
      <w:r w:rsidR="0019634C" w:rsidRPr="009B783C">
        <w:rPr>
          <w:szCs w:val="21"/>
          <w:lang w:eastAsia="en-AU"/>
        </w:rPr>
        <w:instrText xml:space="preserve"> REF _Ref185323764 \n \h </w:instrText>
      </w:r>
      <w:r w:rsidR="006D5CEE" w:rsidRPr="009B783C">
        <w:rPr>
          <w:szCs w:val="21"/>
          <w:lang w:eastAsia="en-AU"/>
        </w:rPr>
        <w:instrText xml:space="preserve"> \* MERGEFORMAT </w:instrText>
      </w:r>
      <w:r w:rsidR="0019634C" w:rsidRPr="009B783C">
        <w:rPr>
          <w:szCs w:val="21"/>
          <w:lang w:eastAsia="en-AU"/>
        </w:rPr>
      </w:r>
      <w:r w:rsidR="0019634C" w:rsidRPr="009B783C">
        <w:rPr>
          <w:szCs w:val="21"/>
          <w:lang w:eastAsia="en-AU"/>
        </w:rPr>
        <w:fldChar w:fldCharType="separate"/>
      </w:r>
      <w:r w:rsidR="0031172E" w:rsidRPr="009B783C">
        <w:rPr>
          <w:szCs w:val="21"/>
          <w:lang w:eastAsia="en-AU"/>
        </w:rPr>
        <w:t>5.3</w:t>
      </w:r>
      <w:r w:rsidR="0019634C" w:rsidRPr="009B783C">
        <w:rPr>
          <w:szCs w:val="21"/>
          <w:lang w:eastAsia="en-AU"/>
        </w:rPr>
        <w:fldChar w:fldCharType="end"/>
      </w:r>
      <w:r w:rsidR="0019634C" w:rsidRPr="009B783C">
        <w:rPr>
          <w:szCs w:val="21"/>
          <w:lang w:eastAsia="en-AU"/>
        </w:rPr>
        <w:t>)</w:t>
      </w:r>
      <w:r w:rsidR="005B4C79" w:rsidRPr="009B783C">
        <w:rPr>
          <w:szCs w:val="21"/>
          <w:lang w:eastAsia="en-AU"/>
        </w:rPr>
        <w:t xml:space="preserve"> focusses on Medicare UCCs’ role in facilitating care coordination through effective clinical handover and referrals, Measure of Success 8 focusses on collaboration between the various groups involved in the health ecosystem</w:t>
      </w:r>
      <w:r w:rsidR="00BD5235" w:rsidRPr="009B783C">
        <w:rPr>
          <w:szCs w:val="21"/>
          <w:lang w:eastAsia="en-AU"/>
        </w:rPr>
        <w:t xml:space="preserve"> – </w:t>
      </w:r>
      <w:r w:rsidR="005B4C79" w:rsidRPr="009B783C">
        <w:rPr>
          <w:szCs w:val="21"/>
          <w:lang w:eastAsia="en-AU"/>
        </w:rPr>
        <w:t>including Medicare UCCs, PHNs, state and territory-run health services and Healthdirect</w:t>
      </w:r>
      <w:r w:rsidR="00BD5235" w:rsidRPr="009B783C">
        <w:rPr>
          <w:szCs w:val="21"/>
          <w:lang w:eastAsia="en-AU"/>
        </w:rPr>
        <w:t xml:space="preserve"> – </w:t>
      </w:r>
      <w:r w:rsidR="005B4C79" w:rsidRPr="009B783C">
        <w:rPr>
          <w:szCs w:val="21"/>
          <w:lang w:eastAsia="en-AU"/>
        </w:rPr>
        <w:t>to provide effective care options for people with urgent non-life-threatening conditions. At this system level, care coordination involves establishing clear roles and pathways, fostering communication and aligning efforts across providers within the ecosystem, enabling a consistent and connected health care experience.</w:t>
      </w:r>
    </w:p>
    <w:p w14:paraId="15F8A7CB" w14:textId="77777777" w:rsidR="005B4C79" w:rsidRPr="009B783C" w:rsidRDefault="005B4C79" w:rsidP="006D5CEE">
      <w:pPr>
        <w:rPr>
          <w:szCs w:val="21"/>
          <w:lang w:eastAsia="en-AU"/>
        </w:rPr>
      </w:pPr>
      <w:r w:rsidRPr="009B783C">
        <w:rPr>
          <w:szCs w:val="21"/>
          <w:lang w:eastAsia="en-AU"/>
        </w:rPr>
        <w:t>Coordination at this system level delivers benefits</w:t>
      </w:r>
      <w:r w:rsidRPr="009B783C" w:rsidDel="008B43C7">
        <w:rPr>
          <w:szCs w:val="21"/>
          <w:lang w:eastAsia="en-AU"/>
        </w:rPr>
        <w:t xml:space="preserve"> </w:t>
      </w:r>
      <w:r w:rsidRPr="009B783C">
        <w:rPr>
          <w:szCs w:val="21"/>
          <w:lang w:eastAsia="en-AU"/>
        </w:rPr>
        <w:t xml:space="preserve">for managing urgent non-life-threatening conditions by: </w:t>
      </w:r>
    </w:p>
    <w:p w14:paraId="7F49DA67" w14:textId="77777777" w:rsidR="005B4C79" w:rsidRPr="009B783C" w:rsidRDefault="005B4C79" w:rsidP="006D5CEE">
      <w:pPr>
        <w:pStyle w:val="Bullet"/>
        <w:rPr>
          <w:szCs w:val="21"/>
        </w:rPr>
      </w:pPr>
      <w:r w:rsidRPr="009B783C">
        <w:rPr>
          <w:szCs w:val="21"/>
        </w:rPr>
        <w:t xml:space="preserve">Improved access to timely and appropriate care due to streamlined communication and collaboration across system entities, enabling faster referrals and better resource allocation. </w:t>
      </w:r>
    </w:p>
    <w:p w14:paraId="4F4CA272" w14:textId="77777777" w:rsidR="005B4C79" w:rsidRPr="009B783C" w:rsidRDefault="005B4C79" w:rsidP="006D5CEE">
      <w:pPr>
        <w:pStyle w:val="Bullet"/>
        <w:rPr>
          <w:szCs w:val="21"/>
        </w:rPr>
      </w:pPr>
      <w:r w:rsidRPr="009B783C">
        <w:rPr>
          <w:szCs w:val="21"/>
        </w:rPr>
        <w:t>Reduced likelihood of duplicate tests and procedures due to enhanced information sharing and alignment of processes across providers and organisations.</w:t>
      </w:r>
    </w:p>
    <w:p w14:paraId="4A00C129" w14:textId="77777777" w:rsidR="005B4C79" w:rsidRPr="009B783C" w:rsidRDefault="005B4C79" w:rsidP="006D5CEE">
      <w:pPr>
        <w:pStyle w:val="Bullet"/>
        <w:rPr>
          <w:szCs w:val="21"/>
        </w:rPr>
      </w:pPr>
      <w:r w:rsidRPr="009B783C">
        <w:rPr>
          <w:szCs w:val="21"/>
        </w:rPr>
        <w:t>Enhanced comprehensive management of interacting conditions and medications by leveraging shared information for a holistic view of a patient’s medical history.</w:t>
      </w:r>
    </w:p>
    <w:p w14:paraId="19FF2241" w14:textId="77777777" w:rsidR="005B4C79" w:rsidRPr="009B783C" w:rsidRDefault="005B4C79" w:rsidP="006D5CEE">
      <w:pPr>
        <w:rPr>
          <w:szCs w:val="21"/>
          <w:lang w:eastAsia="en-AU"/>
        </w:rPr>
      </w:pPr>
      <w:r w:rsidRPr="009B783C">
        <w:rPr>
          <w:szCs w:val="21"/>
          <w:lang w:eastAsia="en-AU"/>
        </w:rPr>
        <w:t xml:space="preserve">This Measure of Success focuses on assessing how effectively Medicare UCCs are integrated into and coordinated within the local health system and surrounding health services. For this Interim Evaluation Report 1, insights for this Measure of Success were gathered from interviews with commissioners. </w:t>
      </w:r>
    </w:p>
    <w:p w14:paraId="6BD1E1B7" w14:textId="77777777" w:rsidR="005B4C79" w:rsidRPr="009B783C" w:rsidRDefault="005B4C79" w:rsidP="000D706D">
      <w:pPr>
        <w:pStyle w:val="Heading3"/>
        <w:rPr>
          <w:b/>
        </w:rPr>
      </w:pPr>
      <w:bookmarkStart w:id="184" w:name="_Toc179962854"/>
      <w:r w:rsidRPr="009B783C">
        <w:t>Trusted stakeholder relationships, essential for successful integration of Medicare UCCs into the local health ecosystem</w:t>
      </w:r>
      <w:bookmarkEnd w:id="184"/>
      <w:r w:rsidRPr="009B783C">
        <w:t>, are being fostered</w:t>
      </w:r>
    </w:p>
    <w:p w14:paraId="70B6E7E9" w14:textId="2E2847E3" w:rsidR="005B4C79" w:rsidRPr="009B783C" w:rsidRDefault="005B4C79" w:rsidP="006D5CEE">
      <w:pPr>
        <w:rPr>
          <w:szCs w:val="21"/>
          <w:lang w:eastAsia="en-AU"/>
        </w:rPr>
      </w:pPr>
      <w:r w:rsidRPr="009B783C">
        <w:rPr>
          <w:szCs w:val="21"/>
          <w:lang w:eastAsia="en-AU"/>
        </w:rPr>
        <w:t>Commissioners reported variability in how Medicare UCCs are integrated within the health ecosystem across different regions, with some areas experiencing better integration and stronger relationships than others. Acknowledging that this is a new model of care in the primary care setting, commissioners initially focussed</w:t>
      </w:r>
      <w:r w:rsidRPr="009B783C" w:rsidDel="00D51793">
        <w:rPr>
          <w:szCs w:val="21"/>
          <w:lang w:eastAsia="en-AU"/>
        </w:rPr>
        <w:t xml:space="preserve"> </w:t>
      </w:r>
      <w:r w:rsidRPr="009B783C">
        <w:rPr>
          <w:szCs w:val="21"/>
          <w:lang w:eastAsia="en-AU"/>
        </w:rPr>
        <w:t>on establishing the Medicare UCCs. They are now shifting their efforts toward strengthening their integration and building partnerships.</w:t>
      </w:r>
    </w:p>
    <w:p w14:paraId="33EBC85C" w14:textId="77777777" w:rsidR="005B4C79" w:rsidRPr="009B783C" w:rsidRDefault="005B4C79" w:rsidP="006D5CEE">
      <w:pPr>
        <w:spacing w:before="120"/>
        <w:rPr>
          <w:szCs w:val="21"/>
          <w:lang w:eastAsia="en-AU"/>
        </w:rPr>
      </w:pPr>
      <w:r w:rsidRPr="009B783C">
        <w:rPr>
          <w:szCs w:val="21"/>
          <w:lang w:eastAsia="en-AU"/>
        </w:rPr>
        <w:t xml:space="preserve">For some commissioners, the process of establishing the Medicare UCCs served as an opportunity to build trust and familiarity amongst key stakeholders within the local ecosystem. Examples of these initiatives included: </w:t>
      </w:r>
    </w:p>
    <w:p w14:paraId="77724EDB" w14:textId="77777777" w:rsidR="005B4C79" w:rsidRPr="009B783C" w:rsidRDefault="005B4C79" w:rsidP="006D5CEE">
      <w:pPr>
        <w:pStyle w:val="Bullet"/>
        <w:rPr>
          <w:szCs w:val="21"/>
        </w:rPr>
      </w:pPr>
      <w:r w:rsidRPr="009B783C">
        <w:rPr>
          <w:szCs w:val="21"/>
        </w:rPr>
        <w:lastRenderedPageBreak/>
        <w:t>Co-design workshops held during procurement of the Medicare UCCs to develop pathways between local services.</w:t>
      </w:r>
    </w:p>
    <w:p w14:paraId="774814CD" w14:textId="77777777" w:rsidR="005B4C79" w:rsidRPr="009B783C" w:rsidRDefault="005B4C79" w:rsidP="006D5CEE">
      <w:pPr>
        <w:pStyle w:val="Bullet"/>
        <w:rPr>
          <w:szCs w:val="21"/>
        </w:rPr>
      </w:pPr>
      <w:r w:rsidRPr="009B783C">
        <w:rPr>
          <w:szCs w:val="21"/>
        </w:rPr>
        <w:t>Establishing</w:t>
      </w:r>
      <w:r w:rsidRPr="009B783C" w:rsidDel="00DB0180">
        <w:rPr>
          <w:szCs w:val="21"/>
        </w:rPr>
        <w:t xml:space="preserve"> </w:t>
      </w:r>
      <w:r w:rsidRPr="009B783C">
        <w:rPr>
          <w:szCs w:val="21"/>
        </w:rPr>
        <w:t>local working groups to address emerging issues, such as ensuring paramedics feel confident transporting patients to Medicare UCCs instead of EDs when appropriate or managing inappropriate drop-offs.</w:t>
      </w:r>
    </w:p>
    <w:p w14:paraId="2352F662" w14:textId="4E1EF4B7" w:rsidR="005B4C79" w:rsidRPr="009B783C" w:rsidRDefault="005B4C79" w:rsidP="006D5CEE">
      <w:pPr>
        <w:spacing w:before="240"/>
        <w:rPr>
          <w:szCs w:val="21"/>
        </w:rPr>
      </w:pPr>
      <w:r w:rsidRPr="009B783C">
        <w:rPr>
          <w:szCs w:val="21"/>
          <w:lang w:eastAsia="en-AU"/>
        </w:rPr>
        <w:t xml:space="preserve">Some of these initial initiatives </w:t>
      </w:r>
      <w:r w:rsidRPr="009B783C">
        <w:rPr>
          <w:szCs w:val="21"/>
        </w:rPr>
        <w:t>evolved into ongoing</w:t>
      </w:r>
      <w:r w:rsidRPr="009B783C">
        <w:rPr>
          <w:szCs w:val="21"/>
          <w:lang w:eastAsia="en-AU"/>
        </w:rPr>
        <w:t xml:space="preserve"> advisory or working groups, which supported continued </w:t>
      </w:r>
      <w:r w:rsidRPr="009B783C">
        <w:rPr>
          <w:szCs w:val="21"/>
        </w:rPr>
        <w:t xml:space="preserve">alignment among stakeholders and fostered building new pathways where required. </w:t>
      </w:r>
      <w:r w:rsidRPr="009B783C" w:rsidDel="00B717D9">
        <w:rPr>
          <w:szCs w:val="21"/>
          <w:lang w:eastAsia="en-AU"/>
        </w:rPr>
        <w:t xml:space="preserve">Examples of </w:t>
      </w:r>
      <w:r w:rsidRPr="009B783C">
        <w:rPr>
          <w:szCs w:val="21"/>
          <w:lang w:eastAsia="en-AU"/>
        </w:rPr>
        <w:t>these early developments</w:t>
      </w:r>
      <w:r w:rsidRPr="009B783C">
        <w:rPr>
          <w:szCs w:val="21"/>
        </w:rPr>
        <w:t xml:space="preserve"> are referral pathways to outpatient clinics at local hospitals</w:t>
      </w:r>
      <w:r w:rsidRPr="009B783C" w:rsidDel="0011447C">
        <w:rPr>
          <w:szCs w:val="21"/>
        </w:rPr>
        <w:t xml:space="preserve"> </w:t>
      </w:r>
      <w:r w:rsidRPr="009B783C">
        <w:rPr>
          <w:szCs w:val="21"/>
        </w:rPr>
        <w:t xml:space="preserve">for follow up care for conditions such as fractures and burns. These are described further in the case study </w:t>
      </w:r>
      <w:r w:rsidR="00D25F13">
        <w:rPr>
          <w:szCs w:val="21"/>
        </w:rPr>
        <w:t xml:space="preserve">(Outpatient Pathways in WA) </w:t>
      </w:r>
      <w:r w:rsidR="003D1B36" w:rsidRPr="009B783C">
        <w:rPr>
          <w:szCs w:val="21"/>
        </w:rPr>
        <w:t xml:space="preserve">in </w:t>
      </w:r>
      <w:r w:rsidR="00D25F13">
        <w:rPr>
          <w:szCs w:val="21"/>
        </w:rPr>
        <w:t>later in this section.</w:t>
      </w:r>
    </w:p>
    <w:p w14:paraId="40C2D575" w14:textId="77777777" w:rsidR="005B4C79" w:rsidRPr="009B783C" w:rsidRDefault="005B4C79" w:rsidP="006D5CEE">
      <w:pPr>
        <w:rPr>
          <w:szCs w:val="21"/>
          <w:lang w:eastAsia="en-AU"/>
        </w:rPr>
      </w:pPr>
      <w:r w:rsidRPr="009B783C">
        <w:rPr>
          <w:szCs w:val="21"/>
          <w:lang w:eastAsia="en-AU"/>
        </w:rPr>
        <w:t>Commissioners reported that personal engagement was particularly effective in building the confidence of local stakeholders in Medicare UCCs as a legitimate care option for appropriate patient presentations. For instance, Medicare UCC staff visited EDs to explain the scope and capabilities of their services, which helped strengthen trust and collaboration between the two settings. Similarly, ED staff were invited to Medicare UCCs.</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82526D" w:rsidRPr="009B783C" w14:paraId="640A1CA9" w14:textId="77777777">
        <w:trPr>
          <w:cantSplit/>
        </w:trPr>
        <w:tc>
          <w:tcPr>
            <w:tcW w:w="817" w:type="dxa"/>
            <w:shd w:val="clear" w:color="auto" w:fill="F2F2F2" w:themeFill="background1" w:themeFillShade="F2"/>
            <w:vAlign w:val="center"/>
          </w:tcPr>
          <w:bookmarkEnd w:id="176"/>
          <w:bookmarkEnd w:id="177"/>
          <w:p w14:paraId="2FD5E14D" w14:textId="77777777" w:rsidR="0082526D" w:rsidRPr="009B783C" w:rsidRDefault="0082526D" w:rsidP="006D5CEE">
            <w:pPr>
              <w:spacing w:before="120"/>
              <w:rPr>
                <w:rFonts w:asciiTheme="majorHAnsi" w:hAnsiTheme="majorHAnsi" w:cstheme="majorHAnsi"/>
                <w:szCs w:val="21"/>
              </w:rPr>
            </w:pPr>
            <w:r w:rsidRPr="009B783C">
              <w:rPr>
                <w:rFonts w:asciiTheme="majorHAnsi" w:hAnsiTheme="majorHAnsi" w:cstheme="majorHAnsi"/>
                <w:noProof/>
                <w:szCs w:val="21"/>
              </w:rPr>
              <w:drawing>
                <wp:inline distT="0" distB="0" distL="0" distR="0" wp14:anchorId="4898FDDB" wp14:editId="49C2D5C1">
                  <wp:extent cx="296915" cy="241300"/>
                  <wp:effectExtent l="0" t="0" r="8255" b="6350"/>
                  <wp:docPr id="1073835415"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835415"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3B310E9B" w14:textId="6F96998A" w:rsidR="0082526D" w:rsidRPr="009B783C" w:rsidRDefault="0082526D" w:rsidP="006D5CEE">
            <w:pPr>
              <w:spacing w:before="120"/>
              <w:rPr>
                <w:rFonts w:asciiTheme="majorHAnsi" w:hAnsiTheme="majorHAnsi" w:cstheme="majorBidi"/>
                <w:szCs w:val="21"/>
                <w:lang w:val="en-US"/>
              </w:rPr>
            </w:pPr>
            <w:r w:rsidRPr="009B783C">
              <w:rPr>
                <w:rFonts w:asciiTheme="majorHAnsi" w:hAnsiTheme="majorHAnsi" w:cstheme="majorBidi"/>
                <w:szCs w:val="21"/>
              </w:rPr>
              <w:t xml:space="preserve">“We’ve </w:t>
            </w:r>
            <w:proofErr w:type="gramStart"/>
            <w:r w:rsidRPr="009B783C">
              <w:rPr>
                <w:rFonts w:asciiTheme="majorHAnsi" w:hAnsiTheme="majorHAnsi" w:cstheme="majorBidi"/>
                <w:szCs w:val="21"/>
              </w:rPr>
              <w:t>actually had</w:t>
            </w:r>
            <w:proofErr w:type="gramEnd"/>
            <w:r w:rsidRPr="009B783C">
              <w:rPr>
                <w:rFonts w:asciiTheme="majorHAnsi" w:hAnsiTheme="majorHAnsi" w:cstheme="majorBidi"/>
                <w:szCs w:val="21"/>
              </w:rPr>
              <w:t xml:space="preserve"> some triage teams that have gone out to the site, met the staff, get familiar... They then have that level of comfort of, ‘Yep, it’s a real service.’” </w:t>
            </w:r>
            <w:r w:rsidRPr="009B783C">
              <w:rPr>
                <w:rFonts w:asciiTheme="minorHAnsi" w:hAnsiTheme="minorHAnsi"/>
                <w:szCs w:val="21"/>
              </w:rPr>
              <w:t>[Commissioner</w:t>
            </w:r>
            <w:r w:rsidR="00606C34">
              <w:rPr>
                <w:rFonts w:asciiTheme="minorHAnsi" w:hAnsiTheme="minorHAnsi"/>
                <w:szCs w:val="21"/>
              </w:rPr>
              <w:t>]</w:t>
            </w:r>
          </w:p>
        </w:tc>
      </w:tr>
    </w:tbl>
    <w:tbl>
      <w:tblPr>
        <w:tblpPr w:leftFromText="180" w:rightFromText="180" w:vertAnchor="text" w:horzAnchor="margin" w:tblpY="134"/>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82526D" w:rsidRPr="009B783C" w14:paraId="6EF759EB" w14:textId="77777777">
        <w:trPr>
          <w:cantSplit/>
        </w:trPr>
        <w:tc>
          <w:tcPr>
            <w:tcW w:w="817" w:type="dxa"/>
            <w:shd w:val="clear" w:color="auto" w:fill="F2F2F2" w:themeFill="background1" w:themeFillShade="F2"/>
            <w:vAlign w:val="center"/>
          </w:tcPr>
          <w:p w14:paraId="72FA5CC1" w14:textId="77777777" w:rsidR="0082526D" w:rsidRPr="009B783C" w:rsidRDefault="0082526D" w:rsidP="006D5CEE">
            <w:pPr>
              <w:spacing w:before="60" w:after="60"/>
              <w:rPr>
                <w:szCs w:val="21"/>
              </w:rPr>
            </w:pPr>
            <w:r w:rsidRPr="009B783C">
              <w:rPr>
                <w:noProof/>
                <w:szCs w:val="21"/>
              </w:rPr>
              <w:drawing>
                <wp:inline distT="0" distB="0" distL="0" distR="0" wp14:anchorId="79AEEB32" wp14:editId="528F338A">
                  <wp:extent cx="296915" cy="241300"/>
                  <wp:effectExtent l="0" t="0" r="8255" b="6350"/>
                  <wp:docPr id="1062362657"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362657"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09C53E65" w14:textId="77777777" w:rsidR="0082526D" w:rsidRPr="009B783C" w:rsidRDefault="0082526D" w:rsidP="006D5CEE">
            <w:pPr>
              <w:spacing w:before="60" w:after="60"/>
              <w:rPr>
                <w:rFonts w:asciiTheme="majorHAnsi" w:hAnsiTheme="majorHAnsi" w:cstheme="majorHAnsi"/>
                <w:szCs w:val="21"/>
              </w:rPr>
            </w:pPr>
            <w:r w:rsidRPr="009B783C">
              <w:rPr>
                <w:rFonts w:asciiTheme="majorHAnsi" w:hAnsiTheme="majorHAnsi" w:cstheme="majorHAnsi"/>
                <w:szCs w:val="21"/>
              </w:rPr>
              <w:t xml:space="preserve">“We've spent a lot of time in building that relationship… so they're at the point where they can pick up the phone to each other and really smooth those working relationships over and they're working as one as much as possible.” </w:t>
            </w:r>
            <w:r w:rsidRPr="009B783C">
              <w:rPr>
                <w:rFonts w:asciiTheme="minorHAnsi" w:hAnsiTheme="minorHAnsi" w:cstheme="minorHAnsi"/>
                <w:szCs w:val="21"/>
              </w:rPr>
              <w:t>[Commissioner]</w:t>
            </w:r>
          </w:p>
        </w:tc>
      </w:tr>
    </w:tbl>
    <w:p w14:paraId="422CAADF" w14:textId="77777777" w:rsidR="005B4C79" w:rsidRPr="009B783C" w:rsidRDefault="005B4C79" w:rsidP="006D5CEE">
      <w:pPr>
        <w:pStyle w:val="Bullet"/>
        <w:numPr>
          <w:ilvl w:val="0"/>
          <w:numId w:val="0"/>
        </w:numPr>
        <w:spacing w:before="120"/>
        <w:rPr>
          <w:szCs w:val="21"/>
        </w:rPr>
      </w:pPr>
      <w:r w:rsidRPr="009B783C">
        <w:rPr>
          <w:szCs w:val="21"/>
        </w:rPr>
        <w:t>Several stakeholders noted Medicare UCCs transitioning from state or territory run urgent care services were ahead in their relationship building and integrati</w:t>
      </w:r>
      <w:r w:rsidRPr="009B783C" w:rsidDel="00D3355E">
        <w:rPr>
          <w:szCs w:val="21"/>
        </w:rPr>
        <w:t>on</w:t>
      </w:r>
      <w:r w:rsidRPr="009B783C">
        <w:rPr>
          <w:szCs w:val="21"/>
        </w:rPr>
        <w:t xml:space="preserve"> into the health ecosystem. These clinics benefited from pre-existing connections, which they could leverage </w:t>
      </w:r>
      <w:r w:rsidRPr="009B783C" w:rsidDel="00851E64">
        <w:rPr>
          <w:szCs w:val="21"/>
        </w:rPr>
        <w:t xml:space="preserve">to </w:t>
      </w:r>
      <w:r w:rsidRPr="009B783C">
        <w:rPr>
          <w:szCs w:val="21"/>
        </w:rPr>
        <w:t xml:space="preserve">raise community awareness and further strengthen relationships with surrounding services and clinicians.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5B4C79" w:rsidRPr="009B783C" w14:paraId="6D7AB872" w14:textId="77777777" w:rsidTr="003E79FA">
        <w:tc>
          <w:tcPr>
            <w:tcW w:w="9146" w:type="dxa"/>
          </w:tcPr>
          <w:p w14:paraId="46A40ECB" w14:textId="26D676BB" w:rsidR="005B4C79" w:rsidRPr="009B783C" w:rsidRDefault="00B56EA0" w:rsidP="006D5CEE">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1ED85D29" w14:textId="77777777" w:rsidR="005B4C79" w:rsidRPr="009B783C" w:rsidRDefault="005B4C79" w:rsidP="006D5CEE">
            <w:pPr>
              <w:pStyle w:val="Longformcallout"/>
              <w:rPr>
                <w:szCs w:val="21"/>
              </w:rPr>
            </w:pPr>
            <w:r w:rsidRPr="009B783C">
              <w:rPr>
                <w:szCs w:val="21"/>
              </w:rPr>
              <w:t xml:space="preserve">Activities focused on relationship building and fostering trust and familiarity between Medicare UCCs and key local health stakeholders are in place in some regions and are helping to foster an integrated local health care system. </w:t>
            </w:r>
          </w:p>
        </w:tc>
      </w:tr>
    </w:tbl>
    <w:p w14:paraId="1802E35B" w14:textId="77777777" w:rsidR="005B4C79" w:rsidRPr="009B783C" w:rsidRDefault="005B4C79" w:rsidP="000D706D">
      <w:pPr>
        <w:pStyle w:val="Heading3"/>
        <w:rPr>
          <w:b/>
        </w:rPr>
      </w:pPr>
      <w:r w:rsidRPr="009B783C">
        <w:t>Effective referral pathways are still under development</w:t>
      </w:r>
    </w:p>
    <w:p w14:paraId="41D8C9F0" w14:textId="77777777" w:rsidR="005B4C79" w:rsidRPr="009B783C" w:rsidRDefault="006A5255" w:rsidP="006D5CEE">
      <w:pPr>
        <w:rPr>
          <w:szCs w:val="21"/>
          <w:lang w:eastAsia="en-AU"/>
        </w:rPr>
      </w:pPr>
      <w:r w:rsidRPr="009B783C">
        <w:rPr>
          <w:szCs w:val="21"/>
          <w:lang w:eastAsia="en-AU"/>
        </w:rPr>
        <w:t>C</w:t>
      </w:r>
      <w:r w:rsidR="00926CD7" w:rsidRPr="009B783C">
        <w:rPr>
          <w:szCs w:val="21"/>
          <w:lang w:eastAsia="en-AU"/>
        </w:rPr>
        <w:t>ommissioners reported that w</w:t>
      </w:r>
      <w:r w:rsidR="007B2691" w:rsidRPr="009B783C">
        <w:rPr>
          <w:szCs w:val="21"/>
          <w:lang w:eastAsia="en-AU"/>
        </w:rPr>
        <w:t xml:space="preserve">hile effective relationships </w:t>
      </w:r>
      <w:r w:rsidR="00926CD7" w:rsidRPr="009B783C">
        <w:rPr>
          <w:szCs w:val="21"/>
          <w:lang w:eastAsia="en-AU"/>
        </w:rPr>
        <w:t>were</w:t>
      </w:r>
      <w:r w:rsidR="007B2691" w:rsidRPr="009B783C">
        <w:rPr>
          <w:szCs w:val="21"/>
          <w:lang w:eastAsia="en-AU"/>
        </w:rPr>
        <w:t xml:space="preserve"> built at a high level, </w:t>
      </w:r>
      <w:r w:rsidR="000F2D23" w:rsidRPr="009B783C">
        <w:rPr>
          <w:szCs w:val="21"/>
          <w:lang w:eastAsia="en-AU"/>
        </w:rPr>
        <w:t>a</w:t>
      </w:r>
      <w:r w:rsidR="007B2691" w:rsidRPr="009B783C">
        <w:rPr>
          <w:szCs w:val="21"/>
          <w:lang w:eastAsia="en-AU"/>
        </w:rPr>
        <w:t xml:space="preserve"> </w:t>
      </w:r>
      <w:r w:rsidR="00926CD7" w:rsidRPr="009B783C">
        <w:rPr>
          <w:szCs w:val="21"/>
          <w:lang w:eastAsia="en-AU"/>
        </w:rPr>
        <w:t xml:space="preserve">remaining </w:t>
      </w:r>
      <w:r w:rsidR="007B2691" w:rsidRPr="009B783C">
        <w:rPr>
          <w:szCs w:val="21"/>
          <w:lang w:eastAsia="en-AU"/>
        </w:rPr>
        <w:t xml:space="preserve">challenge </w:t>
      </w:r>
      <w:r w:rsidR="00926CD7" w:rsidRPr="009B783C">
        <w:rPr>
          <w:szCs w:val="21"/>
          <w:lang w:eastAsia="en-AU"/>
        </w:rPr>
        <w:t>was</w:t>
      </w:r>
      <w:r w:rsidR="007B2691" w:rsidRPr="009B783C">
        <w:rPr>
          <w:szCs w:val="21"/>
          <w:lang w:eastAsia="en-AU"/>
        </w:rPr>
        <w:t xml:space="preserve"> operationalising these partnerships consistently across various settings. </w:t>
      </w:r>
    </w:p>
    <w:p w14:paraId="34C7D8A6" w14:textId="7DA92034" w:rsidR="007B2691" w:rsidRPr="009B783C" w:rsidRDefault="007B2691" w:rsidP="006D5CEE">
      <w:pPr>
        <w:rPr>
          <w:szCs w:val="21"/>
          <w:lang w:eastAsia="en-AU"/>
        </w:rPr>
      </w:pPr>
      <w:r w:rsidRPr="009B783C">
        <w:rPr>
          <w:szCs w:val="21"/>
          <w:lang w:eastAsia="en-AU"/>
        </w:rPr>
        <w:lastRenderedPageBreak/>
        <w:t xml:space="preserve">Several commissioners noted difficulties in getting ED staff to refer patients to </w:t>
      </w:r>
      <w:r w:rsidR="00B57C2B" w:rsidRPr="009B783C">
        <w:rPr>
          <w:szCs w:val="21"/>
          <w:lang w:eastAsia="en-AU"/>
        </w:rPr>
        <w:t xml:space="preserve">Medicare </w:t>
      </w:r>
      <w:r w:rsidRPr="009B783C">
        <w:rPr>
          <w:szCs w:val="21"/>
          <w:lang w:eastAsia="en-AU"/>
        </w:rPr>
        <w:t xml:space="preserve">UCCs, as frontline practices sometimes diverged from </w:t>
      </w:r>
      <w:r w:rsidR="00775821" w:rsidRPr="009B783C">
        <w:rPr>
          <w:szCs w:val="21"/>
          <w:lang w:eastAsia="en-AU"/>
        </w:rPr>
        <w:t>Local Hospital Network (</w:t>
      </w:r>
      <w:r w:rsidR="0082526D" w:rsidRPr="009B783C">
        <w:rPr>
          <w:szCs w:val="21"/>
          <w:lang w:eastAsia="en-AU"/>
        </w:rPr>
        <w:t>LHN</w:t>
      </w:r>
      <w:r w:rsidR="00775821" w:rsidRPr="009B783C">
        <w:rPr>
          <w:szCs w:val="21"/>
          <w:lang w:eastAsia="en-AU"/>
        </w:rPr>
        <w:t>)</w:t>
      </w:r>
      <w:r w:rsidR="0020331F" w:rsidRPr="009B783C">
        <w:rPr>
          <w:szCs w:val="21"/>
          <w:lang w:eastAsia="en-AU"/>
        </w:rPr>
        <w:t xml:space="preserve"> directives</w:t>
      </w:r>
      <w:r w:rsidR="00512EEA" w:rsidRPr="009B783C">
        <w:rPr>
          <w:szCs w:val="21"/>
          <w:lang w:eastAsia="en-AU"/>
        </w:rPr>
        <w:t>.</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82526D" w:rsidRPr="009B783C" w14:paraId="0B1B5B2A" w14:textId="77777777">
        <w:trPr>
          <w:cantSplit/>
        </w:trPr>
        <w:tc>
          <w:tcPr>
            <w:tcW w:w="817" w:type="dxa"/>
            <w:shd w:val="clear" w:color="auto" w:fill="F2F2F2" w:themeFill="background1" w:themeFillShade="F2"/>
            <w:vAlign w:val="center"/>
          </w:tcPr>
          <w:p w14:paraId="52701588" w14:textId="77777777" w:rsidR="0082526D" w:rsidRPr="009B783C" w:rsidRDefault="0082526D" w:rsidP="006D5CEE">
            <w:pPr>
              <w:spacing w:before="120"/>
              <w:rPr>
                <w:szCs w:val="21"/>
              </w:rPr>
            </w:pPr>
            <w:r w:rsidRPr="009B783C">
              <w:rPr>
                <w:noProof/>
                <w:szCs w:val="21"/>
              </w:rPr>
              <w:drawing>
                <wp:inline distT="0" distB="0" distL="0" distR="0" wp14:anchorId="7DC02035" wp14:editId="5AB91A96">
                  <wp:extent cx="296915" cy="241300"/>
                  <wp:effectExtent l="0" t="0" r="8255" b="6350"/>
                  <wp:docPr id="993287160"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3287160"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30F6E77C" w14:textId="0C649CA9" w:rsidR="0082526D" w:rsidRPr="009B783C" w:rsidRDefault="0082526D" w:rsidP="006D5CEE">
            <w:pPr>
              <w:spacing w:before="120"/>
              <w:rPr>
                <w:rFonts w:asciiTheme="majorHAnsi" w:hAnsiTheme="majorHAnsi" w:cstheme="majorBidi"/>
                <w:szCs w:val="21"/>
                <w:lang w:val="en-US"/>
              </w:rPr>
            </w:pPr>
            <w:r w:rsidRPr="009B783C">
              <w:rPr>
                <w:rFonts w:asciiTheme="majorHAnsi" w:hAnsiTheme="majorHAnsi" w:cstheme="majorBidi"/>
                <w:szCs w:val="21"/>
              </w:rPr>
              <w:t xml:space="preserve">“There's a </w:t>
            </w:r>
            <w:proofErr w:type="gramStart"/>
            <w:r w:rsidRPr="009B783C">
              <w:rPr>
                <w:rFonts w:asciiTheme="majorHAnsi" w:hAnsiTheme="majorHAnsi" w:cstheme="majorBidi"/>
                <w:szCs w:val="21"/>
              </w:rPr>
              <w:t>really big</w:t>
            </w:r>
            <w:proofErr w:type="gramEnd"/>
            <w:r w:rsidRPr="009B783C">
              <w:rPr>
                <w:rFonts w:asciiTheme="majorHAnsi" w:hAnsiTheme="majorHAnsi" w:cstheme="majorBidi"/>
                <w:szCs w:val="21"/>
              </w:rPr>
              <w:t xml:space="preserve"> disconnect between what the executive of the [LHN] believe, would like to see and advocate for, and then operationalising that. That everybody would be getting triaged away to urgent care, if the executive of the [LHN] had had their desired </w:t>
            </w:r>
            <w:proofErr w:type="gramStart"/>
            <w:r w:rsidRPr="009B783C">
              <w:rPr>
                <w:rFonts w:asciiTheme="majorHAnsi" w:hAnsiTheme="majorHAnsi" w:cstheme="majorBidi"/>
                <w:szCs w:val="21"/>
              </w:rPr>
              <w:t>outcome, but</w:t>
            </w:r>
            <w:proofErr w:type="gramEnd"/>
            <w:r w:rsidRPr="009B783C">
              <w:rPr>
                <w:rFonts w:asciiTheme="majorHAnsi" w:hAnsiTheme="majorHAnsi" w:cstheme="majorBidi"/>
                <w:szCs w:val="21"/>
              </w:rPr>
              <w:t xml:space="preserve"> actually getting that happening on the ground is very difficult.” </w:t>
            </w:r>
            <w:r w:rsidRPr="009B783C">
              <w:rPr>
                <w:rFonts w:asciiTheme="minorHAnsi" w:hAnsiTheme="minorHAnsi"/>
                <w:szCs w:val="21"/>
              </w:rPr>
              <w:t>[Commissioner]</w:t>
            </w:r>
          </w:p>
        </w:tc>
      </w:tr>
    </w:tbl>
    <w:p w14:paraId="72F44D53" w14:textId="77777777" w:rsidR="005B4C79" w:rsidRPr="009B783C" w:rsidRDefault="005B4C79" w:rsidP="006D5CEE">
      <w:pPr>
        <w:spacing w:before="120"/>
        <w:rPr>
          <w:szCs w:val="21"/>
          <w:lang w:eastAsia="en-AU"/>
        </w:rPr>
      </w:pPr>
      <w:r w:rsidRPr="009B783C">
        <w:rPr>
          <w:szCs w:val="21"/>
          <w:lang w:eastAsia="en-AU"/>
        </w:rPr>
        <w:t xml:space="preserve">These operational barriers often stemmed from several factors, including: </w:t>
      </w:r>
    </w:p>
    <w:p w14:paraId="21476336" w14:textId="053E63D0" w:rsidR="005B4C79" w:rsidRPr="009B783C" w:rsidRDefault="008B09D6" w:rsidP="006D5CEE">
      <w:pPr>
        <w:pStyle w:val="Bullet"/>
        <w:rPr>
          <w:szCs w:val="21"/>
        </w:rPr>
      </w:pPr>
      <w:r w:rsidRPr="009B783C">
        <w:rPr>
          <w:szCs w:val="21"/>
        </w:rPr>
        <w:t>variability</w:t>
      </w:r>
      <w:r w:rsidR="005B4C79" w:rsidRPr="009B783C">
        <w:rPr>
          <w:szCs w:val="21"/>
        </w:rPr>
        <w:t xml:space="preserve"> in ED staff understanding of Medicare UCC services</w:t>
      </w:r>
    </w:p>
    <w:p w14:paraId="4AB5E469" w14:textId="69E9B0BE" w:rsidR="005B4C79" w:rsidRPr="009B783C" w:rsidRDefault="008B09D6" w:rsidP="006D5CEE">
      <w:pPr>
        <w:pStyle w:val="Bullet"/>
        <w:rPr>
          <w:szCs w:val="21"/>
        </w:rPr>
      </w:pPr>
      <w:r w:rsidRPr="009B783C">
        <w:rPr>
          <w:szCs w:val="21"/>
        </w:rPr>
        <w:t>reluctance</w:t>
      </w:r>
      <w:r w:rsidR="005B4C79" w:rsidRPr="009B783C">
        <w:rPr>
          <w:szCs w:val="21"/>
        </w:rPr>
        <w:t xml:space="preserve"> to refer patients</w:t>
      </w:r>
    </w:p>
    <w:p w14:paraId="3F086929" w14:textId="5FB2EA34" w:rsidR="005B4C79" w:rsidRPr="009B783C" w:rsidRDefault="008B09D6" w:rsidP="006D5CEE">
      <w:pPr>
        <w:pStyle w:val="Bullet"/>
        <w:rPr>
          <w:szCs w:val="21"/>
        </w:rPr>
      </w:pPr>
      <w:r w:rsidRPr="009B783C">
        <w:rPr>
          <w:szCs w:val="21"/>
        </w:rPr>
        <w:t>lack</w:t>
      </w:r>
      <w:r w:rsidR="005B4C79" w:rsidRPr="009B783C">
        <w:rPr>
          <w:szCs w:val="21"/>
        </w:rPr>
        <w:t xml:space="preserve"> of clear, unified policies</w:t>
      </w:r>
      <w:r w:rsidR="00001955" w:rsidRPr="009B783C">
        <w:rPr>
          <w:szCs w:val="21"/>
        </w:rPr>
        <w:t xml:space="preserve"> within the </w:t>
      </w:r>
      <w:r w:rsidR="00EA5A5C" w:rsidRPr="009B783C">
        <w:rPr>
          <w:szCs w:val="21"/>
        </w:rPr>
        <w:t xml:space="preserve">ED about </w:t>
      </w:r>
      <w:r w:rsidR="00DF3A08" w:rsidRPr="009B783C">
        <w:rPr>
          <w:szCs w:val="21"/>
        </w:rPr>
        <w:t>which patients can be referred to Medicare UCCs, how and when</w:t>
      </w:r>
      <w:r w:rsidR="005B4C79" w:rsidRPr="009B783C">
        <w:rPr>
          <w:szCs w:val="21"/>
        </w:rPr>
        <w:t xml:space="preserve">. </w:t>
      </w:r>
    </w:p>
    <w:p w14:paraId="40B71BA4" w14:textId="77777777" w:rsidR="005B4C79" w:rsidRPr="009B783C" w:rsidRDefault="005B4C79" w:rsidP="006D5CEE">
      <w:pPr>
        <w:spacing w:before="120"/>
        <w:rPr>
          <w:szCs w:val="21"/>
          <w:lang w:eastAsia="en-AU"/>
        </w:rPr>
      </w:pPr>
      <w:r w:rsidRPr="009B783C">
        <w:rPr>
          <w:szCs w:val="21"/>
          <w:lang w:eastAsia="en-AU"/>
        </w:rPr>
        <w:t>For example, staff understanding varied significantly, with some ED teams unaware of Medicare UCCs or not having the confidence to refer patients. Even when pathways were established, staff reluctance to redirect patients persisted due to concerns about duty of care.</w:t>
      </w:r>
    </w:p>
    <w:p w14:paraId="4BAC42EF" w14:textId="1EFAA84E" w:rsidR="005B4C79" w:rsidRPr="009B783C" w:rsidRDefault="005B4C79" w:rsidP="006D5CEE">
      <w:pPr>
        <w:pStyle w:val="Bullet"/>
        <w:numPr>
          <w:ilvl w:val="0"/>
          <w:numId w:val="0"/>
        </w:numPr>
        <w:rPr>
          <w:szCs w:val="21"/>
        </w:rPr>
      </w:pPr>
      <w:r w:rsidRPr="009B783C">
        <w:rPr>
          <w:szCs w:val="21"/>
        </w:rPr>
        <w:t>Medicare UCC data indicates that 1.5 per cent of Medicare UCC patients are redirected from local EDs</w:t>
      </w:r>
      <w:r w:rsidR="00384DA1" w:rsidRPr="009B783C">
        <w:rPr>
          <w:szCs w:val="21"/>
        </w:rPr>
        <w:t xml:space="preserve"> (see </w:t>
      </w:r>
      <w:r w:rsidR="00384DA1" w:rsidRPr="009B783C">
        <w:rPr>
          <w:szCs w:val="21"/>
        </w:rPr>
        <w:fldChar w:fldCharType="begin"/>
      </w:r>
      <w:r w:rsidR="00384DA1" w:rsidRPr="009B783C">
        <w:rPr>
          <w:szCs w:val="21"/>
        </w:rPr>
        <w:instrText xml:space="preserve"> REF _Ref179628601 \h </w:instrText>
      </w:r>
      <w:r w:rsidR="006D5CEE" w:rsidRPr="009B783C">
        <w:rPr>
          <w:szCs w:val="21"/>
        </w:rPr>
        <w:instrText xml:space="preserve"> \* MERGEFORMAT </w:instrText>
      </w:r>
      <w:r w:rsidR="00384DA1" w:rsidRPr="009B783C">
        <w:rPr>
          <w:szCs w:val="21"/>
        </w:rPr>
      </w:r>
      <w:r w:rsidR="00384DA1" w:rsidRPr="009B783C">
        <w:rPr>
          <w:szCs w:val="21"/>
        </w:rPr>
        <w:fldChar w:fldCharType="separate"/>
      </w:r>
      <w:r w:rsidR="00BF5685" w:rsidRPr="009B783C">
        <w:rPr>
          <w:szCs w:val="21"/>
        </w:rPr>
        <w:t xml:space="preserve">Table </w:t>
      </w:r>
      <w:r w:rsidR="00BF5685">
        <w:rPr>
          <w:szCs w:val="21"/>
        </w:rPr>
        <w:t>15</w:t>
      </w:r>
      <w:r w:rsidR="00384DA1" w:rsidRPr="009B783C">
        <w:rPr>
          <w:szCs w:val="21"/>
        </w:rPr>
        <w:fldChar w:fldCharType="end"/>
      </w:r>
      <w:r w:rsidR="00384DA1" w:rsidRPr="009B783C">
        <w:rPr>
          <w:szCs w:val="21"/>
        </w:rPr>
        <w:t>)</w:t>
      </w:r>
      <w:r w:rsidR="0082526D" w:rsidRPr="009B783C">
        <w:rPr>
          <w:szCs w:val="21"/>
        </w:rPr>
        <w:t>.</w:t>
      </w:r>
      <w:r w:rsidRPr="009B783C">
        <w:rPr>
          <w:szCs w:val="21"/>
        </w:rPr>
        <w:t xml:space="preserve"> This suggests an opportunity to strengthen awareness </w:t>
      </w:r>
      <w:proofErr w:type="gramStart"/>
      <w:r w:rsidRPr="009B783C">
        <w:rPr>
          <w:szCs w:val="21"/>
        </w:rPr>
        <w:t>of,</w:t>
      </w:r>
      <w:proofErr w:type="gramEnd"/>
      <w:r w:rsidRPr="009B783C">
        <w:rPr>
          <w:szCs w:val="21"/>
        </w:rPr>
        <w:t xml:space="preserve"> trust in and collaboration with Medicare UCC services.</w:t>
      </w:r>
      <w:r w:rsidR="008A611A" w:rsidRPr="009B783C">
        <w:rPr>
          <w:szCs w:val="21"/>
        </w:rPr>
        <w:t xml:space="preserve"> </w:t>
      </w:r>
    </w:p>
    <w:p w14:paraId="2A90BB4B" w14:textId="60C80878" w:rsidR="005B4C79" w:rsidRPr="009B783C" w:rsidRDefault="005B4C79" w:rsidP="006D5CEE">
      <w:pPr>
        <w:spacing w:before="120" w:after="240"/>
        <w:rPr>
          <w:szCs w:val="21"/>
          <w:lang w:eastAsia="en-AU"/>
        </w:rPr>
      </w:pPr>
      <w:r w:rsidRPr="009B783C">
        <w:rPr>
          <w:szCs w:val="21"/>
          <w:lang w:eastAsia="en-AU"/>
        </w:rPr>
        <w:t>Some regions have made a strong start in this. For example, in one regional area, when an ambulance picks up a patient with an urgent but non-life-threatening condition, they will call ahead to one of the local Medicare UCCs to provide a warm handover and bring them to the Medicare UCC instead of the local hospital ED. Stakeholders stressed that a high level of communication and engagement with the ambulance service</w:t>
      </w:r>
      <w:r w:rsidR="00C124F3" w:rsidRPr="009B783C">
        <w:rPr>
          <w:szCs w:val="21"/>
          <w:lang w:eastAsia="en-AU"/>
        </w:rPr>
        <w:t xml:space="preserve"> – </w:t>
      </w:r>
      <w:r w:rsidRPr="009B783C">
        <w:rPr>
          <w:szCs w:val="21"/>
          <w:lang w:eastAsia="en-AU"/>
        </w:rPr>
        <w:t>including as part of the co-design process for the stand up of the Medicare UCCs, education and flyer drops at local ambulance depots</w:t>
      </w:r>
      <w:r w:rsidR="00C124F3" w:rsidRPr="009B783C">
        <w:rPr>
          <w:szCs w:val="21"/>
          <w:lang w:eastAsia="en-AU"/>
        </w:rPr>
        <w:t xml:space="preserve"> – </w:t>
      </w:r>
      <w:r w:rsidRPr="009B783C">
        <w:rPr>
          <w:szCs w:val="21"/>
          <w:lang w:eastAsia="en-AU"/>
        </w:rPr>
        <w:t>have been critical in getting to this stage. In this region, there are plans to expand the current system to include a shared management plan for the LHN, EDs and ambulance service for high frequency presentations.</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82526D" w:rsidRPr="009B783C" w14:paraId="1F5E8B0C" w14:textId="77777777" w:rsidTr="00E00EF9">
        <w:tc>
          <w:tcPr>
            <w:tcW w:w="8908" w:type="dxa"/>
            <w:tcBorders>
              <w:left w:val="single" w:sz="18" w:space="0" w:color="2D358E"/>
            </w:tcBorders>
          </w:tcPr>
          <w:p w14:paraId="592C16BF" w14:textId="4C86E59A" w:rsidR="0082526D" w:rsidRPr="009B783C" w:rsidRDefault="00BF5685" w:rsidP="006D5CEE">
            <w:pPr>
              <w:pStyle w:val="Longformcallout"/>
              <w:rPr>
                <w:rFonts w:asciiTheme="majorHAnsi" w:hAnsiTheme="majorHAnsi" w:cstheme="majorHAnsi"/>
                <w:color w:val="2D358E"/>
                <w:sz w:val="28"/>
                <w:szCs w:val="28"/>
              </w:rPr>
            </w:pPr>
            <w:r w:rsidRPr="009B783C">
              <w:rPr>
                <w:rFonts w:asciiTheme="majorHAnsi" w:hAnsiTheme="majorHAnsi" w:cstheme="majorHAnsi"/>
                <w:color w:val="2D358E"/>
                <w:sz w:val="28"/>
                <w:szCs w:val="28"/>
              </w:rPr>
              <w:t>Improvement opportunity</w:t>
            </w:r>
          </w:p>
          <w:p w14:paraId="0B71949A" w14:textId="615AE325" w:rsidR="0082526D" w:rsidRPr="009B783C" w:rsidRDefault="0082526D" w:rsidP="006D5CEE">
            <w:pPr>
              <w:pStyle w:val="Longformcallout"/>
              <w:rPr>
                <w:szCs w:val="21"/>
                <w:lang w:val="en-US"/>
              </w:rPr>
            </w:pPr>
            <w:r w:rsidRPr="009B783C">
              <w:rPr>
                <w:szCs w:val="21"/>
              </w:rPr>
              <w:t>Ongoing work is required by Medicare UCCs and commissioners to strengthen awareness, relationships and trust of key local stakeholders (including local ED and ambulance staff) in Medicare UCC services.</w:t>
            </w:r>
            <w:r w:rsidR="008A611A" w:rsidRPr="009B783C">
              <w:rPr>
                <w:szCs w:val="21"/>
              </w:rPr>
              <w:t xml:space="preserve"> </w:t>
            </w:r>
          </w:p>
        </w:tc>
      </w:tr>
    </w:tbl>
    <w:p w14:paraId="3EA934ED" w14:textId="1A7A45DB" w:rsidR="005B4C79" w:rsidRPr="009B783C" w:rsidRDefault="005B4C79" w:rsidP="006D5CEE">
      <w:pPr>
        <w:spacing w:before="240"/>
        <w:rPr>
          <w:szCs w:val="21"/>
          <w:lang w:eastAsia="en-AU"/>
        </w:rPr>
      </w:pPr>
      <w:r w:rsidRPr="009B783C">
        <w:rPr>
          <w:szCs w:val="21"/>
          <w:lang w:eastAsia="en-AU"/>
        </w:rPr>
        <w:t xml:space="preserve">Barriers to effective referral pathways were also present in the other direction, from the Medicare UCCs to other services. The ability of Medicare UCCs to refer patients into hospital outpatient clinics has posed challenges for many Medicare UCCs. Early on, barriers including a lack of after-hours imaging services and reluctance of hospital outpatient clinics to accept non-hospital referrals prevented Medicare UCC staff from making direct referrals to hospital-based clinics. This was particularly true for management of fractures by Medicare UCCs. This hindered </w:t>
      </w:r>
      <w:r w:rsidRPr="009B783C">
        <w:rPr>
          <w:szCs w:val="21"/>
          <w:lang w:eastAsia="en-AU"/>
        </w:rPr>
        <w:lastRenderedPageBreak/>
        <w:t xml:space="preserve">their ability to provide continuity of care for basic fractures as per the Operational Guidance. WA has made significant progress in addressing this issue, as described in the case study </w:t>
      </w:r>
      <w:r w:rsidR="009F2196" w:rsidRPr="009B783C">
        <w:rPr>
          <w:szCs w:val="21"/>
          <w:lang w:eastAsia="en-AU"/>
        </w:rPr>
        <w:t>below</w:t>
      </w:r>
      <w:r w:rsidR="0082526D" w:rsidRPr="009B783C">
        <w:rPr>
          <w:szCs w:val="21"/>
          <w:lang w:eastAsia="en-AU"/>
        </w:rPr>
        <w:t>.</w:t>
      </w:r>
      <w:r w:rsidR="008A611A" w:rsidRPr="009B783C">
        <w:rPr>
          <w:szCs w:val="21"/>
          <w:lang w:eastAsia="en-AU"/>
        </w:rPr>
        <w:t xml:space="preserve"> </w:t>
      </w:r>
    </w:p>
    <w:p w14:paraId="7C602C21" w14:textId="77777777" w:rsidR="005B4C79" w:rsidRPr="009B783C" w:rsidRDefault="005B4C79" w:rsidP="006D5CEE">
      <w:pPr>
        <w:spacing w:after="240"/>
        <w:rPr>
          <w:szCs w:val="21"/>
          <w:lang w:eastAsia="en-AU"/>
        </w:rPr>
      </w:pPr>
      <w:r w:rsidRPr="009B783C">
        <w:rPr>
          <w:szCs w:val="21"/>
          <w:lang w:eastAsia="en-AU"/>
        </w:rPr>
        <w:t>Commissioners reported that they worked closely with local EDs and outpatient departments to overcome these barriers and establish more seamless referral pathways, avoiding situations where patients might need duplicate X-rays or unnecessary additional appointments.</w:t>
      </w:r>
    </w:p>
    <w:tbl>
      <w:tblPr>
        <w:tblStyle w:val="NousLongformcallout"/>
        <w:tblW w:w="5000" w:type="pct"/>
        <w:tblBorders>
          <w:left w:val="single" w:sz="18" w:space="0" w:color="F25E21" w:themeColor="accent2"/>
        </w:tblBorders>
        <w:tblCellMar>
          <w:top w:w="170" w:type="dxa"/>
          <w:bottom w:w="170" w:type="dxa"/>
        </w:tblCellMar>
        <w:tblLook w:val="04A0" w:firstRow="1" w:lastRow="0" w:firstColumn="1" w:lastColumn="0" w:noHBand="0" w:noVBand="1"/>
      </w:tblPr>
      <w:tblGrid>
        <w:gridCol w:w="8907"/>
      </w:tblGrid>
      <w:tr w:rsidR="005B4C79" w:rsidRPr="009B783C" w14:paraId="50A5BA27" w14:textId="77777777" w:rsidTr="00E00EF9">
        <w:tc>
          <w:tcPr>
            <w:tcW w:w="8908" w:type="dxa"/>
            <w:tcBorders>
              <w:left w:val="single" w:sz="18" w:space="0" w:color="2D358E"/>
            </w:tcBorders>
          </w:tcPr>
          <w:p w14:paraId="6F36E1FE" w14:textId="5577AA25" w:rsidR="005B4C79" w:rsidRPr="009B783C" w:rsidRDefault="00BF5685" w:rsidP="006D5CEE">
            <w:pPr>
              <w:pStyle w:val="Longformcallout"/>
              <w:rPr>
                <w:rFonts w:asciiTheme="majorHAnsi" w:hAnsiTheme="majorHAnsi" w:cstheme="majorHAnsi"/>
                <w:color w:val="2D358E"/>
                <w:sz w:val="28"/>
                <w:szCs w:val="28"/>
              </w:rPr>
            </w:pPr>
            <w:r w:rsidRPr="009B783C">
              <w:rPr>
                <w:rFonts w:asciiTheme="majorHAnsi" w:hAnsiTheme="majorHAnsi" w:cstheme="majorHAnsi"/>
                <w:color w:val="2D358E"/>
                <w:sz w:val="28"/>
                <w:szCs w:val="28"/>
              </w:rPr>
              <w:t>Improvement opportunity</w:t>
            </w:r>
          </w:p>
          <w:p w14:paraId="161C2435" w14:textId="1B57A37E" w:rsidR="005B4C79" w:rsidRPr="009B783C" w:rsidRDefault="005B4C79" w:rsidP="006D5CEE">
            <w:pPr>
              <w:pStyle w:val="Longformcallout"/>
              <w:rPr>
                <w:szCs w:val="21"/>
              </w:rPr>
            </w:pPr>
            <w:r w:rsidRPr="009B783C">
              <w:rPr>
                <w:szCs w:val="21"/>
              </w:rPr>
              <w:t xml:space="preserve">Addressing barriers to effective referral pathways will increase efficiency and effectiveness of care. This requires continuous engagement, </w:t>
            </w:r>
            <w:r w:rsidR="0082526D" w:rsidRPr="009B783C">
              <w:rPr>
                <w:szCs w:val="21"/>
              </w:rPr>
              <w:t>educatio</w:t>
            </w:r>
            <w:r w:rsidR="00F21B3F" w:rsidRPr="009B783C">
              <w:rPr>
                <w:szCs w:val="21"/>
              </w:rPr>
              <w:t>n</w:t>
            </w:r>
            <w:r w:rsidRPr="009B783C">
              <w:rPr>
                <w:szCs w:val="21"/>
              </w:rPr>
              <w:t xml:space="preserve"> and efforts to ensure that all staff members understand and follow agreed-upon pathways.</w:t>
            </w:r>
          </w:p>
        </w:tc>
      </w:tr>
    </w:tbl>
    <w:p w14:paraId="2B13829F" w14:textId="74F6B9D6" w:rsidR="005B4C79" w:rsidRPr="009B783C" w:rsidRDefault="005B4C79" w:rsidP="005B4C79">
      <w:pPr>
        <w:rPr>
          <w:lang w:eastAsia="en-AU"/>
        </w:rPr>
      </w:pPr>
    </w:p>
    <w:p w14:paraId="2F905602" w14:textId="3571858C" w:rsidR="00FA0709" w:rsidRPr="00BF5685" w:rsidRDefault="00711643" w:rsidP="00711643">
      <w:pPr>
        <w:rPr>
          <w:b/>
          <w:bCs/>
          <w:color w:val="00264D" w:themeColor="background2"/>
          <w:sz w:val="28"/>
          <w:szCs w:val="28"/>
          <w:lang w:eastAsia="en-AU"/>
        </w:rPr>
      </w:pPr>
      <w:r w:rsidRPr="00BF5685">
        <w:rPr>
          <w:b/>
          <w:bCs/>
          <w:color w:val="00264D" w:themeColor="background2"/>
          <w:sz w:val="28"/>
          <w:szCs w:val="28"/>
          <w:lang w:eastAsia="en-AU"/>
        </w:rPr>
        <w:t>Case study: Outpatient pathways in WA</w:t>
      </w:r>
    </w:p>
    <w:p w14:paraId="73F6897E" w14:textId="77777777" w:rsidR="00711643" w:rsidRPr="0098572E" w:rsidRDefault="00711643" w:rsidP="00711643">
      <w:pPr>
        <w:rPr>
          <w:b/>
          <w:bCs/>
          <w:color w:val="00264D" w:themeColor="background2"/>
          <w:szCs w:val="21"/>
          <w:lang w:eastAsia="en-AU"/>
        </w:rPr>
      </w:pPr>
      <w:r w:rsidRPr="0098572E">
        <w:rPr>
          <w:b/>
          <w:bCs/>
          <w:color w:val="00264D" w:themeColor="background2"/>
          <w:szCs w:val="21"/>
          <w:lang w:eastAsia="en-AU"/>
        </w:rPr>
        <w:t>Fracture clinic pathways</w:t>
      </w:r>
    </w:p>
    <w:p w14:paraId="54059BA9" w14:textId="77777777" w:rsidR="00711643" w:rsidRPr="009B783C" w:rsidRDefault="00711643" w:rsidP="00711643">
      <w:pPr>
        <w:rPr>
          <w:szCs w:val="21"/>
          <w:lang w:eastAsia="en-AU"/>
        </w:rPr>
      </w:pPr>
      <w:r w:rsidRPr="009B783C">
        <w:rPr>
          <w:szCs w:val="21"/>
          <w:lang w:eastAsia="en-AU"/>
        </w:rPr>
        <w:t xml:space="preserve">Medicare UCCs in WA, with the support of the WA Primary Health Alliance (WAPHA) have been successful in developing relationships with local hospitals and making direct referrals to fracture clinics. This has enhanced their ability to provide continuity of care for basic fractures. </w:t>
      </w:r>
    </w:p>
    <w:p w14:paraId="76318A04" w14:textId="77777777" w:rsidR="00711643" w:rsidRPr="009B783C" w:rsidRDefault="00711643" w:rsidP="00711643">
      <w:pPr>
        <w:rPr>
          <w:szCs w:val="21"/>
          <w:lang w:eastAsia="en-AU"/>
        </w:rPr>
      </w:pPr>
      <w:r w:rsidRPr="009B783C">
        <w:rPr>
          <w:szCs w:val="21"/>
          <w:lang w:eastAsia="en-AU"/>
        </w:rPr>
        <w:t xml:space="preserve">At least three Medicare UCCs in the state have direct access to the fracture clinic at their local hospital, with one Medicare UCC also having the option of referring to the hospital’s musculoskeletal clinic when imaging is not </w:t>
      </w:r>
      <w:proofErr w:type="gramStart"/>
      <w:r w:rsidRPr="009B783C">
        <w:rPr>
          <w:szCs w:val="21"/>
          <w:lang w:eastAsia="en-AU"/>
        </w:rPr>
        <w:t>available</w:t>
      </w:r>
      <w:proofErr w:type="gramEnd"/>
      <w:r w:rsidRPr="009B783C">
        <w:rPr>
          <w:szCs w:val="21"/>
          <w:lang w:eastAsia="en-AU"/>
        </w:rPr>
        <w:t xml:space="preserve"> or the Medicare UCC is at capacity. </w:t>
      </w:r>
    </w:p>
    <w:p w14:paraId="3B4F4020" w14:textId="6588C3AC" w:rsidR="00711643" w:rsidRPr="009B783C" w:rsidRDefault="00711643" w:rsidP="00711643">
      <w:pPr>
        <w:rPr>
          <w:szCs w:val="21"/>
          <w:lang w:eastAsia="en-AU"/>
        </w:rPr>
      </w:pPr>
      <w:r w:rsidRPr="009B783C">
        <w:rPr>
          <w:szCs w:val="21"/>
          <w:lang w:eastAsia="en-AU"/>
        </w:rPr>
        <w:t xml:space="preserve">Medicare UCCs will still </w:t>
      </w:r>
      <w:proofErr w:type="gramStart"/>
      <w:r w:rsidRPr="009B783C">
        <w:rPr>
          <w:szCs w:val="21"/>
          <w:lang w:eastAsia="en-AU"/>
        </w:rPr>
        <w:t>refer back</w:t>
      </w:r>
      <w:proofErr w:type="gramEnd"/>
      <w:r w:rsidRPr="009B783C">
        <w:rPr>
          <w:szCs w:val="21"/>
          <w:lang w:eastAsia="en-AU"/>
        </w:rPr>
        <w:t xml:space="preserve"> to the GP for ongoing care even when they are referring into fracture clinics. In WA, hospitals are only able to provide correspondence back to one GP practice, so it is </w:t>
      </w:r>
      <w:proofErr w:type="gramStart"/>
      <w:r w:rsidRPr="009B783C">
        <w:rPr>
          <w:szCs w:val="21"/>
          <w:lang w:eastAsia="en-AU"/>
        </w:rPr>
        <w:t>generally  most</w:t>
      </w:r>
      <w:proofErr w:type="gramEnd"/>
      <w:r w:rsidRPr="009B783C">
        <w:rPr>
          <w:szCs w:val="21"/>
          <w:lang w:eastAsia="en-AU"/>
        </w:rPr>
        <w:t xml:space="preserve"> appropriate for correspondence to return to a patient’s regular GP.</w:t>
      </w:r>
    </w:p>
    <w:p w14:paraId="37203A66" w14:textId="77777777" w:rsidR="00711643" w:rsidRPr="0098572E" w:rsidRDefault="00711643" w:rsidP="00711643">
      <w:pPr>
        <w:rPr>
          <w:b/>
          <w:bCs/>
          <w:color w:val="00264D" w:themeColor="background2"/>
          <w:szCs w:val="21"/>
          <w:lang w:eastAsia="en-AU"/>
        </w:rPr>
      </w:pPr>
      <w:r w:rsidRPr="0098572E">
        <w:rPr>
          <w:b/>
          <w:bCs/>
          <w:color w:val="00264D" w:themeColor="background2"/>
          <w:szCs w:val="21"/>
          <w:lang w:eastAsia="en-AU"/>
        </w:rPr>
        <w:t>After hours imaging pathways</w:t>
      </w:r>
    </w:p>
    <w:p w14:paraId="6A6D1C3D" w14:textId="77777777" w:rsidR="00711643" w:rsidRPr="009B783C" w:rsidRDefault="00711643" w:rsidP="00711643">
      <w:pPr>
        <w:rPr>
          <w:szCs w:val="21"/>
          <w:lang w:eastAsia="en-AU"/>
        </w:rPr>
      </w:pPr>
      <w:r w:rsidRPr="009B783C">
        <w:rPr>
          <w:szCs w:val="21"/>
          <w:lang w:eastAsia="en-AU"/>
        </w:rPr>
        <w:t xml:space="preserve">Numerous Medicare UCCs in WA in both regional and metropolitan areas have access to radiology at the local hospital which can be accessed separately to the ED. Based on reports from stakeholders, local hospitals have generally prioritised getting reports back to the Medicare UCCs relatively quickly. </w:t>
      </w:r>
    </w:p>
    <w:p w14:paraId="3CFD0FA6" w14:textId="7F73DA93" w:rsidR="00711643" w:rsidRPr="009B783C" w:rsidRDefault="00711643" w:rsidP="00711643">
      <w:pPr>
        <w:rPr>
          <w:szCs w:val="21"/>
          <w:lang w:eastAsia="en-AU"/>
        </w:rPr>
      </w:pPr>
      <w:r w:rsidRPr="009B783C">
        <w:rPr>
          <w:szCs w:val="21"/>
          <w:lang w:eastAsia="en-AU"/>
        </w:rPr>
        <w:t xml:space="preserve">This alternative radiology access pathway does not tend to be staffed on public holidays, so patients generally </w:t>
      </w:r>
      <w:proofErr w:type="gramStart"/>
      <w:r w:rsidRPr="009B783C">
        <w:rPr>
          <w:szCs w:val="21"/>
          <w:lang w:eastAsia="en-AU"/>
        </w:rPr>
        <w:t>have to</w:t>
      </w:r>
      <w:proofErr w:type="gramEnd"/>
      <w:r w:rsidRPr="009B783C">
        <w:rPr>
          <w:szCs w:val="21"/>
          <w:lang w:eastAsia="en-AU"/>
        </w:rPr>
        <w:t xml:space="preserve"> access imaging through the ED on public holidays. </w:t>
      </w:r>
    </w:p>
    <w:p w14:paraId="534E195D" w14:textId="77777777" w:rsidR="00711643" w:rsidRPr="0098572E" w:rsidRDefault="00711643" w:rsidP="00711643">
      <w:pPr>
        <w:rPr>
          <w:b/>
          <w:bCs/>
          <w:color w:val="00264D" w:themeColor="background2"/>
          <w:szCs w:val="21"/>
          <w:lang w:eastAsia="en-AU"/>
        </w:rPr>
      </w:pPr>
      <w:r w:rsidRPr="0098572E">
        <w:rPr>
          <w:b/>
          <w:bCs/>
          <w:color w:val="00264D" w:themeColor="background2"/>
          <w:szCs w:val="21"/>
          <w:lang w:eastAsia="en-AU"/>
        </w:rPr>
        <w:t>Other outpatient clinic pathways</w:t>
      </w:r>
    </w:p>
    <w:p w14:paraId="762FD841" w14:textId="77777777" w:rsidR="00711643" w:rsidRPr="009B783C" w:rsidRDefault="00711643" w:rsidP="00711643">
      <w:pPr>
        <w:rPr>
          <w:szCs w:val="21"/>
          <w:lang w:eastAsia="en-AU"/>
        </w:rPr>
      </w:pPr>
      <w:r w:rsidRPr="009B783C">
        <w:rPr>
          <w:szCs w:val="21"/>
          <w:lang w:eastAsia="en-AU"/>
        </w:rPr>
        <w:t>There are numerous other outpatient clinic pathways which have been established in WA, including an early pregnancy assessment clinic, eye clinic and wound clinic pathways between individual Medicare UCCs and their local hospitals, and a state-wide burns clinic service available to all Medicare UCCs in WA.</w:t>
      </w:r>
    </w:p>
    <w:p w14:paraId="3B568027" w14:textId="24881CCB" w:rsidR="00711643" w:rsidRPr="009B783C" w:rsidRDefault="00711643" w:rsidP="00711643">
      <w:pPr>
        <w:rPr>
          <w:szCs w:val="21"/>
          <w:lang w:eastAsia="en-AU"/>
        </w:rPr>
      </w:pPr>
      <w:r w:rsidRPr="009B783C">
        <w:rPr>
          <w:szCs w:val="21"/>
          <w:lang w:eastAsia="en-AU"/>
        </w:rPr>
        <w:t>In the future, WAPHA hope to help Medicare UCCs establish a cardiology pathway, standard referral templates for all outpatient clinics and a process for handling rejected referrals.</w:t>
      </w:r>
    </w:p>
    <w:p w14:paraId="2686E31C" w14:textId="77777777" w:rsidR="005B4C79" w:rsidRPr="009B783C" w:rsidRDefault="005B4C79" w:rsidP="000D706D">
      <w:pPr>
        <w:pStyle w:val="Heading3"/>
        <w:rPr>
          <w:b/>
          <w:i/>
        </w:rPr>
      </w:pPr>
      <w:bookmarkStart w:id="185" w:name="_Toc179962856"/>
      <w:r w:rsidRPr="009B783C">
        <w:rPr>
          <w:rFonts w:eastAsiaTheme="majorEastAsia"/>
        </w:rPr>
        <w:lastRenderedPageBreak/>
        <w:t>Integration may differ between rural and urban Medicare UCCs due to variations in service availability and access</w:t>
      </w:r>
      <w:bookmarkEnd w:id="185"/>
    </w:p>
    <w:p w14:paraId="1FC363E1" w14:textId="77777777" w:rsidR="005B4C79" w:rsidRPr="009B783C" w:rsidRDefault="005B4C79" w:rsidP="006D5CEE">
      <w:pPr>
        <w:rPr>
          <w:szCs w:val="21"/>
          <w:lang w:eastAsia="en-AU"/>
        </w:rPr>
      </w:pPr>
      <w:r w:rsidRPr="009B783C">
        <w:rPr>
          <w:szCs w:val="21"/>
          <w:lang w:eastAsia="en-AU"/>
        </w:rPr>
        <w:t>Commissioners</w:t>
      </w:r>
      <w:r w:rsidRPr="009B783C" w:rsidDel="00615E01">
        <w:rPr>
          <w:szCs w:val="21"/>
          <w:lang w:eastAsia="en-AU"/>
        </w:rPr>
        <w:t xml:space="preserve"> </w:t>
      </w:r>
      <w:r w:rsidRPr="009B783C">
        <w:rPr>
          <w:szCs w:val="21"/>
          <w:lang w:eastAsia="en-AU"/>
        </w:rPr>
        <w:t xml:space="preserve">suggested that Medicare UCCs in rural and regional areas face distinct challenges compared to their metropolitan counterparts, largely due to differences in service availability. The nature of these reported challenges has also differed across jurisdictions. Some examples include: </w:t>
      </w:r>
    </w:p>
    <w:p w14:paraId="25DB8180" w14:textId="77777777" w:rsidR="005B4C79" w:rsidRPr="009B783C" w:rsidRDefault="005B4C79" w:rsidP="006D5CEE">
      <w:pPr>
        <w:pStyle w:val="Bullet"/>
        <w:rPr>
          <w:szCs w:val="21"/>
        </w:rPr>
      </w:pPr>
      <w:r w:rsidRPr="009B783C">
        <w:rPr>
          <w:szCs w:val="21"/>
        </w:rPr>
        <w:t>A broader scope of presentations sometimes stretching beyond typical urgent care criteria in rural settings where primary care access is limited.</w:t>
      </w:r>
    </w:p>
    <w:p w14:paraId="7103C3A8" w14:textId="77777777" w:rsidR="005B4C79" w:rsidRPr="009B783C" w:rsidRDefault="005B4C79" w:rsidP="006D5CEE">
      <w:pPr>
        <w:pStyle w:val="Bullet"/>
        <w:rPr>
          <w:szCs w:val="21"/>
        </w:rPr>
      </w:pPr>
      <w:r w:rsidRPr="009B783C">
        <w:rPr>
          <w:szCs w:val="21"/>
        </w:rPr>
        <w:t>Entrenched practices in some regional areas where EDs are treated as comprehensive healthcare hubs after hours.</w:t>
      </w:r>
    </w:p>
    <w:p w14:paraId="3875F669" w14:textId="77777777" w:rsidR="005B4C79" w:rsidRPr="009B783C" w:rsidRDefault="005B4C79" w:rsidP="006D5CEE">
      <w:pPr>
        <w:pStyle w:val="Bullet"/>
        <w:rPr>
          <w:szCs w:val="21"/>
        </w:rPr>
      </w:pPr>
      <w:r w:rsidRPr="009B783C">
        <w:rPr>
          <w:szCs w:val="21"/>
        </w:rPr>
        <w:t>A sole primary care provider in remote communities that functions as the de facto ED and is also now the Medicare UCC.</w:t>
      </w:r>
    </w:p>
    <w:p w14:paraId="207AEB72" w14:textId="77777777" w:rsidR="005B4C79" w:rsidRPr="009B783C" w:rsidRDefault="005B4C79" w:rsidP="006D5CEE">
      <w:pPr>
        <w:rPr>
          <w:szCs w:val="21"/>
          <w:lang w:eastAsia="en-AU"/>
        </w:rPr>
      </w:pPr>
      <w:r w:rsidRPr="009B783C">
        <w:rPr>
          <w:szCs w:val="21"/>
          <w:lang w:eastAsia="en-AU"/>
        </w:rPr>
        <w:t xml:space="preserve">These issues and other differences between rural and urban Medicare UCCs will be explored further in future evaluation reports. </w:t>
      </w:r>
    </w:p>
    <w:p w14:paraId="26A72AF7" w14:textId="77777777" w:rsidR="005B4C79" w:rsidRPr="009B783C" w:rsidRDefault="005B4C79" w:rsidP="000D706D">
      <w:pPr>
        <w:pStyle w:val="Heading3"/>
        <w:rPr>
          <w:rFonts w:eastAsiaTheme="majorEastAsia"/>
        </w:rPr>
      </w:pPr>
      <w:r w:rsidRPr="009B783C">
        <w:rPr>
          <w:rFonts w:eastAsiaTheme="majorEastAsia"/>
        </w:rPr>
        <w:t>Communities of practice promote consistent practices and strengthen local partnerships</w:t>
      </w:r>
    </w:p>
    <w:p w14:paraId="76280232" w14:textId="2742408E" w:rsidR="005B4C79" w:rsidRPr="009B783C" w:rsidRDefault="005B4C79" w:rsidP="006D5CEE">
      <w:pPr>
        <w:spacing w:before="120"/>
        <w:rPr>
          <w:szCs w:val="21"/>
          <w:lang w:eastAsia="en-AU"/>
        </w:rPr>
      </w:pPr>
      <w:r w:rsidRPr="009B783C">
        <w:rPr>
          <w:szCs w:val="21"/>
          <w:lang w:eastAsia="en-AU"/>
        </w:rPr>
        <w:t xml:space="preserve">The establishment of national and local communities of practice as shared learning platforms have allowed commissioners and Medicare UCCs to exchange experiences, share triage protocols and develop strategies to enhance patient coordination and care. </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82526D" w:rsidRPr="009B783C" w14:paraId="7E689D75" w14:textId="77777777">
        <w:trPr>
          <w:cantSplit/>
        </w:trPr>
        <w:tc>
          <w:tcPr>
            <w:tcW w:w="817" w:type="dxa"/>
            <w:shd w:val="clear" w:color="auto" w:fill="F2F2F2" w:themeFill="background1" w:themeFillShade="F2"/>
            <w:vAlign w:val="center"/>
          </w:tcPr>
          <w:p w14:paraId="579084A6" w14:textId="77777777" w:rsidR="0082526D" w:rsidRPr="009B783C" w:rsidRDefault="0082526D" w:rsidP="006D5CEE">
            <w:pPr>
              <w:spacing w:before="120"/>
              <w:rPr>
                <w:rFonts w:asciiTheme="majorHAnsi" w:hAnsiTheme="majorHAnsi" w:cstheme="majorHAnsi"/>
                <w:szCs w:val="21"/>
              </w:rPr>
            </w:pPr>
            <w:r w:rsidRPr="009B783C">
              <w:rPr>
                <w:rFonts w:asciiTheme="majorHAnsi" w:hAnsiTheme="majorHAnsi" w:cstheme="majorHAnsi"/>
                <w:noProof/>
                <w:szCs w:val="21"/>
              </w:rPr>
              <w:drawing>
                <wp:inline distT="0" distB="0" distL="0" distR="0" wp14:anchorId="0B0EA719" wp14:editId="7B7F174C">
                  <wp:extent cx="296915" cy="241300"/>
                  <wp:effectExtent l="0" t="0" r="8255" b="6350"/>
                  <wp:docPr id="687085584"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085584"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5E3DA826" w14:textId="77777777" w:rsidR="0082526D" w:rsidRPr="009B783C" w:rsidRDefault="0082526D" w:rsidP="006D5CEE">
            <w:pPr>
              <w:spacing w:before="120"/>
              <w:rPr>
                <w:rFonts w:asciiTheme="majorHAnsi" w:hAnsiTheme="majorHAnsi" w:cstheme="majorHAnsi"/>
                <w:szCs w:val="21"/>
              </w:rPr>
            </w:pPr>
            <w:r w:rsidRPr="009B783C">
              <w:rPr>
                <w:rFonts w:asciiTheme="majorHAnsi" w:hAnsiTheme="majorHAnsi" w:cstheme="majorHAnsi"/>
                <w:szCs w:val="21"/>
              </w:rPr>
              <w:t xml:space="preserve">“It would be very much led by the clinics and …that conversation is really valuable because there are a lot of shared learnings.” </w:t>
            </w:r>
            <w:r w:rsidRPr="009B783C">
              <w:rPr>
                <w:rFonts w:asciiTheme="minorHAnsi" w:hAnsiTheme="minorHAnsi" w:cstheme="minorHAnsi"/>
                <w:szCs w:val="21"/>
              </w:rPr>
              <w:t>[Commissioner]</w:t>
            </w:r>
          </w:p>
        </w:tc>
      </w:tr>
    </w:tbl>
    <w:p w14:paraId="5D4FBDE6" w14:textId="77777777" w:rsidR="005B4C79" w:rsidRPr="009B783C" w:rsidRDefault="005B4C79" w:rsidP="006D5CEE">
      <w:pPr>
        <w:spacing w:before="120"/>
        <w:rPr>
          <w:szCs w:val="21"/>
          <w:lang w:eastAsia="en-AU"/>
        </w:rPr>
      </w:pPr>
      <w:r w:rsidRPr="009B783C">
        <w:rPr>
          <w:szCs w:val="21"/>
          <w:lang w:eastAsia="en-AU"/>
        </w:rPr>
        <w:t>Examples of session content described by commissioners included:</w:t>
      </w:r>
    </w:p>
    <w:p w14:paraId="5734FE24" w14:textId="16DA1517" w:rsidR="005B4C79" w:rsidRPr="009B783C" w:rsidRDefault="005B4C79" w:rsidP="006D5CEE">
      <w:pPr>
        <w:pStyle w:val="Bullet"/>
        <w:rPr>
          <w:szCs w:val="21"/>
        </w:rPr>
      </w:pPr>
      <w:r w:rsidRPr="009B783C">
        <w:rPr>
          <w:szCs w:val="21"/>
        </w:rPr>
        <w:t>Presentations from established Medicare UCCs that had worked with their LHNs to develop suitable care and referral pathways, which helped enable emerging Medicare UCCs navigate challenges they had engaging with their LHNs</w:t>
      </w:r>
      <w:r w:rsidR="00FD58B0" w:rsidRPr="009B783C">
        <w:rPr>
          <w:szCs w:val="21"/>
        </w:rPr>
        <w:t>.</w:t>
      </w:r>
    </w:p>
    <w:p w14:paraId="27067FE6" w14:textId="77777777" w:rsidR="005B4C79" w:rsidRPr="009B783C" w:rsidRDefault="005B4C79" w:rsidP="006D5CEE">
      <w:pPr>
        <w:pStyle w:val="Bullet"/>
        <w:rPr>
          <w:szCs w:val="21"/>
        </w:rPr>
      </w:pPr>
      <w:r w:rsidRPr="009B783C">
        <w:rPr>
          <w:szCs w:val="21"/>
        </w:rPr>
        <w:t xml:space="preserve">A presentation from one of the city’s major hospitals providing an update on fracture management guidelines and central referral pathways. </w:t>
      </w:r>
    </w:p>
    <w:p w14:paraId="3F6565B5" w14:textId="77777777" w:rsidR="005B4C79" w:rsidRPr="009B783C" w:rsidRDefault="005B4C79" w:rsidP="006D5CEE">
      <w:pPr>
        <w:pStyle w:val="Bullet"/>
        <w:rPr>
          <w:szCs w:val="21"/>
        </w:rPr>
      </w:pPr>
      <w:r w:rsidRPr="009B783C">
        <w:rPr>
          <w:szCs w:val="21"/>
        </w:rPr>
        <w:t>A presentation from a major hospital burns unit on burns referral pathways.</w:t>
      </w:r>
    </w:p>
    <w:p w14:paraId="2FFBB1B6" w14:textId="77777777" w:rsidR="005B4C79" w:rsidRPr="009B783C" w:rsidRDefault="005B4C79" w:rsidP="006D5CEE">
      <w:pPr>
        <w:pStyle w:val="Bullet"/>
        <w:rPr>
          <w:szCs w:val="21"/>
        </w:rPr>
      </w:pPr>
      <w:r w:rsidRPr="009B783C">
        <w:rPr>
          <w:szCs w:val="21"/>
        </w:rPr>
        <w:t>A virtual whiteboard where participants shared highlights and barriers from the first year of the Medicare UCC’s operation.</w:t>
      </w:r>
    </w:p>
    <w:p w14:paraId="65DD6E9A" w14:textId="77777777" w:rsidR="005B4C79" w:rsidRPr="009B783C" w:rsidRDefault="005B4C79" w:rsidP="006D5CEE">
      <w:pPr>
        <w:pStyle w:val="Bullet"/>
        <w:rPr>
          <w:szCs w:val="21"/>
        </w:rPr>
      </w:pPr>
      <w:r w:rsidRPr="009B783C">
        <w:rPr>
          <w:szCs w:val="21"/>
        </w:rPr>
        <w:t>Specific sessions for regional Medicare UCCs to connect and discuss issues that are specific to regional areas, which may be different to challenges faced by clinics in metropolitan areas.</w:t>
      </w:r>
    </w:p>
    <w:p w14:paraId="7AE901D4" w14:textId="77777777" w:rsidR="005B4C79" w:rsidRPr="009B783C" w:rsidRDefault="005B4C79" w:rsidP="006D5CEE">
      <w:pPr>
        <w:pStyle w:val="Bullet"/>
        <w:rPr>
          <w:szCs w:val="21"/>
        </w:rPr>
      </w:pPr>
      <w:r w:rsidRPr="009B783C">
        <w:rPr>
          <w:szCs w:val="21"/>
        </w:rPr>
        <w:t>Guest speakers from the ambulance service provider, local GPs and local Medicare UCCs.</w:t>
      </w:r>
    </w:p>
    <w:p w14:paraId="57F813D5" w14:textId="77777777" w:rsidR="005B4C79" w:rsidRPr="009B783C" w:rsidRDefault="005B4C79" w:rsidP="006D5CEE">
      <w:pPr>
        <w:pStyle w:val="Bullet"/>
        <w:numPr>
          <w:ilvl w:val="0"/>
          <w:numId w:val="0"/>
        </w:numPr>
        <w:spacing w:after="240"/>
        <w:rPr>
          <w:szCs w:val="21"/>
        </w:rPr>
      </w:pPr>
      <w:r w:rsidRPr="009B783C">
        <w:rPr>
          <w:rFonts w:eastAsiaTheme="minorHAnsi" w:cstheme="minorBidi"/>
          <w:szCs w:val="21"/>
        </w:rPr>
        <w:lastRenderedPageBreak/>
        <w:t>By facilitating these shared learning opportunities, communities of practice have provided a valuable platform for Medicare UCCs to enhance their integration and operational effectiveness within the broader health system</w:t>
      </w:r>
      <w:r w:rsidRPr="009B783C">
        <w:rPr>
          <w:szCs w:val="21"/>
        </w:rPr>
        <w:t>.</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5B4C79" w:rsidRPr="009B783C" w14:paraId="31F3E9A8" w14:textId="77777777" w:rsidTr="003E79FA">
        <w:tc>
          <w:tcPr>
            <w:tcW w:w="9146" w:type="dxa"/>
          </w:tcPr>
          <w:p w14:paraId="631DA8EB" w14:textId="2DCBCC51" w:rsidR="005B4C79" w:rsidRPr="009B783C" w:rsidRDefault="00BF5685" w:rsidP="006D5CEE">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03E637B6" w14:textId="77777777" w:rsidR="005B4C79" w:rsidRPr="009B783C" w:rsidRDefault="005B4C79" w:rsidP="006D5CEE">
            <w:pPr>
              <w:pStyle w:val="Longformcallout"/>
              <w:rPr>
                <w:szCs w:val="21"/>
              </w:rPr>
            </w:pPr>
            <w:r w:rsidRPr="009B783C">
              <w:rPr>
                <w:szCs w:val="21"/>
              </w:rPr>
              <w:t xml:space="preserve">Communities of practice have helped Medicare UCC staff share experiences and learn from each other and local health system stakeholders. They are helping to build local health ecosystem relationships and integration. </w:t>
            </w:r>
          </w:p>
        </w:tc>
      </w:tr>
    </w:tbl>
    <w:p w14:paraId="75578FC5" w14:textId="77777777" w:rsidR="005B4C79" w:rsidRPr="009B783C" w:rsidRDefault="005B4C79" w:rsidP="000D706D">
      <w:pPr>
        <w:pStyle w:val="Heading3"/>
      </w:pPr>
      <w:r w:rsidRPr="009B783C">
        <w:t>Support from commissioning organisations and PHNs has helped Medicare UCCs build local relationships</w:t>
      </w:r>
    </w:p>
    <w:p w14:paraId="3B336C2E" w14:textId="69542690" w:rsidR="005B4C79" w:rsidRPr="009B783C" w:rsidRDefault="005B4C79" w:rsidP="006D5CEE">
      <w:pPr>
        <w:rPr>
          <w:szCs w:val="21"/>
          <w:lang w:val="en-US" w:eastAsia="en-AU"/>
        </w:rPr>
      </w:pPr>
      <w:r w:rsidRPr="009B783C">
        <w:rPr>
          <w:szCs w:val="21"/>
          <w:lang w:eastAsia="en-AU"/>
        </w:rPr>
        <w:t xml:space="preserve">The nature of support from commissioning organisations (PHNs and state and territory governments) has evolved as the Medicare UCC Program has matured. </w:t>
      </w:r>
    </w:p>
    <w:p w14:paraId="3ECA050A" w14:textId="0B5173B4" w:rsidR="005B4C79" w:rsidRPr="009B783C" w:rsidRDefault="005B4C79" w:rsidP="006D5CEE">
      <w:pPr>
        <w:rPr>
          <w:szCs w:val="21"/>
          <w:lang w:val="en-US" w:eastAsia="en-AU"/>
        </w:rPr>
      </w:pPr>
      <w:r w:rsidRPr="009B783C">
        <w:rPr>
          <w:szCs w:val="21"/>
          <w:lang w:eastAsia="en-AU"/>
        </w:rPr>
        <w:t>Commissioners reported providing significant hands-on support to Medicare UCCs during their establishment. This included help with recruitment, establishing policies</w:t>
      </w:r>
      <w:r w:rsidR="0082526D" w:rsidRPr="009B783C">
        <w:rPr>
          <w:szCs w:val="21"/>
          <w:lang w:eastAsia="en-AU"/>
        </w:rPr>
        <w:t>/</w:t>
      </w:r>
      <w:r w:rsidRPr="009B783C">
        <w:rPr>
          <w:szCs w:val="21"/>
          <w:lang w:eastAsia="en-AU"/>
        </w:rPr>
        <w:t xml:space="preserve">procedures (including triaging and use of the </w:t>
      </w:r>
      <w:r w:rsidR="004E7366" w:rsidRPr="009B783C">
        <w:rPr>
          <w:szCs w:val="21"/>
          <w:lang w:eastAsia="en-AU"/>
        </w:rPr>
        <w:t>Module</w:t>
      </w:r>
      <w:r w:rsidR="00DA41C4" w:rsidRPr="009B783C">
        <w:rPr>
          <w:szCs w:val="21"/>
          <w:lang w:eastAsia="en-AU"/>
        </w:rPr>
        <w:t xml:space="preserve"> data</w:t>
      </w:r>
      <w:r w:rsidRPr="009B783C">
        <w:rPr>
          <w:szCs w:val="21"/>
          <w:lang w:eastAsia="en-AU"/>
        </w:rPr>
        <w:t xml:space="preserve">), facilitating provider training, building community and local provider awareness and establishing local governance arrangements. </w:t>
      </w:r>
    </w:p>
    <w:p w14:paraId="673032C9" w14:textId="56D04B11" w:rsidR="005B4C79" w:rsidRPr="009B783C" w:rsidRDefault="005B4C79" w:rsidP="006D5CEE">
      <w:pPr>
        <w:rPr>
          <w:szCs w:val="21"/>
          <w:lang w:eastAsia="en-AU"/>
        </w:rPr>
      </w:pPr>
      <w:r w:rsidRPr="009B783C">
        <w:rPr>
          <w:szCs w:val="21"/>
        </w:rPr>
        <w:t xml:space="preserve">Evolving </w:t>
      </w:r>
      <w:r w:rsidRPr="009B783C">
        <w:rPr>
          <w:szCs w:val="21"/>
          <w:lang w:eastAsia="en-AU"/>
        </w:rPr>
        <w:t xml:space="preserve">areas of focus identified by commissioners </w:t>
      </w:r>
      <w:r w:rsidR="00DA41C4" w:rsidRPr="009B783C">
        <w:rPr>
          <w:szCs w:val="21"/>
          <w:lang w:eastAsia="en-AU"/>
        </w:rPr>
        <w:t>contain</w:t>
      </w:r>
      <w:r w:rsidRPr="009B783C">
        <w:rPr>
          <w:szCs w:val="21"/>
          <w:lang w:eastAsia="en-AU"/>
        </w:rPr>
        <w:t xml:space="preserve"> many of the factors critical to effective coordinated care discussed earlier, including:</w:t>
      </w:r>
    </w:p>
    <w:p w14:paraId="3F194746" w14:textId="5C752CBC" w:rsidR="005B4C79" w:rsidRPr="009B783C" w:rsidRDefault="005B4C79" w:rsidP="006D5CEE">
      <w:pPr>
        <w:pStyle w:val="Bullet"/>
        <w:rPr>
          <w:szCs w:val="21"/>
        </w:rPr>
      </w:pPr>
      <w:r w:rsidRPr="009B783C">
        <w:rPr>
          <w:szCs w:val="21"/>
        </w:rPr>
        <w:t xml:space="preserve">Building relationships in the local health ecosystem, including with local EDs, ambulance services, Healthdirect and local general practices. </w:t>
      </w:r>
    </w:p>
    <w:p w14:paraId="47D024BE" w14:textId="77777777" w:rsidR="005B4C79" w:rsidRPr="009B783C" w:rsidRDefault="005B4C79" w:rsidP="006D5CEE">
      <w:pPr>
        <w:pStyle w:val="Bullet"/>
        <w:rPr>
          <w:szCs w:val="21"/>
        </w:rPr>
      </w:pPr>
      <w:r w:rsidRPr="009B783C">
        <w:rPr>
          <w:szCs w:val="21"/>
        </w:rPr>
        <w:t>Refining referral pathways that were developed during establishment.</w:t>
      </w:r>
    </w:p>
    <w:p w14:paraId="171E5E79" w14:textId="77777777" w:rsidR="005B4C79" w:rsidRPr="009B783C" w:rsidRDefault="005B4C79" w:rsidP="006D5CEE">
      <w:pPr>
        <w:pStyle w:val="Bullet"/>
        <w:rPr>
          <w:szCs w:val="21"/>
        </w:rPr>
      </w:pPr>
      <w:r w:rsidRPr="009B783C">
        <w:rPr>
          <w:szCs w:val="21"/>
        </w:rPr>
        <w:t>Establishing and growing local communities of practice with Medicare UCCs.</w:t>
      </w:r>
    </w:p>
    <w:p w14:paraId="031B0C72" w14:textId="77777777" w:rsidR="005B4C79" w:rsidRPr="009B783C" w:rsidRDefault="005B4C79" w:rsidP="006D5CEE">
      <w:pPr>
        <w:pStyle w:val="Bullet"/>
        <w:rPr>
          <w:szCs w:val="21"/>
        </w:rPr>
      </w:pPr>
      <w:r w:rsidRPr="009B783C">
        <w:rPr>
          <w:szCs w:val="21"/>
        </w:rPr>
        <w:t>Exploring flexible workforce models to support the clinics during periods of peak demand, such as nurse practitioners and extended scope paramedics.</w:t>
      </w:r>
    </w:p>
    <w:p w14:paraId="3FB925A4" w14:textId="77777777" w:rsidR="005B4C79" w:rsidRPr="009B783C" w:rsidRDefault="005B4C79" w:rsidP="006D5CEE">
      <w:pPr>
        <w:pStyle w:val="Bullet"/>
        <w:rPr>
          <w:szCs w:val="21"/>
        </w:rPr>
      </w:pPr>
      <w:r w:rsidRPr="009B783C">
        <w:rPr>
          <w:szCs w:val="21"/>
        </w:rPr>
        <w:t>Using insights from patient experience surveys and other data to prioritise quality improvement activities.</w:t>
      </w:r>
    </w:p>
    <w:p w14:paraId="3CE5CF36" w14:textId="77777777" w:rsidR="005B4C79" w:rsidRPr="009B783C" w:rsidRDefault="005B4C79" w:rsidP="006D5CEE">
      <w:pPr>
        <w:pStyle w:val="Bullet"/>
        <w:rPr>
          <w:rFonts w:asciiTheme="majorHAnsi" w:hAnsiTheme="majorHAnsi" w:cstheme="majorHAnsi"/>
          <w:szCs w:val="21"/>
        </w:rPr>
      </w:pPr>
      <w:r w:rsidRPr="009B783C">
        <w:rPr>
          <w:szCs w:val="21"/>
        </w:rPr>
        <w:t>Ongoing communications campaigns to build community awareness.</w:t>
      </w:r>
    </w:p>
    <w:p w14:paraId="574B11CC" w14:textId="77777777" w:rsidR="005B4C79" w:rsidRPr="009B783C" w:rsidRDefault="005B4C79" w:rsidP="006D5CEE">
      <w:pPr>
        <w:pStyle w:val="Bullet"/>
        <w:rPr>
          <w:szCs w:val="21"/>
        </w:rPr>
      </w:pPr>
      <w:r w:rsidRPr="009B783C">
        <w:rPr>
          <w:szCs w:val="21"/>
        </w:rPr>
        <w:t xml:space="preserve">Ongoing recruitment support, including advertising on PHN websites. </w:t>
      </w:r>
    </w:p>
    <w:p w14:paraId="75F6AE60" w14:textId="3EDD5A06" w:rsidR="005B4C79" w:rsidRPr="009B783C" w:rsidRDefault="005B4C79" w:rsidP="006D5CEE">
      <w:pPr>
        <w:pStyle w:val="Bullet"/>
        <w:numPr>
          <w:ilvl w:val="0"/>
          <w:numId w:val="0"/>
        </w:numPr>
        <w:rPr>
          <w:szCs w:val="21"/>
        </w:rPr>
      </w:pPr>
      <w:r w:rsidRPr="009B783C">
        <w:rPr>
          <w:szCs w:val="21"/>
        </w:rPr>
        <w:t xml:space="preserve">In some jurisdictions, PHNs not acting in a commissioning capacity also have an important role to play in the integration of Medicare UCCs in the local health ecosystem. Recognising this, the Victorian Department of Health as a commissioning organisation has agreements in place with selected PHNs to manage some commissioning functions, including local contract management and supporting integration of the Medicare UCCs within the local health ecosystem. </w:t>
      </w:r>
    </w:p>
    <w:tbl>
      <w:tblPr>
        <w:tblW w:w="0" w:type="auto"/>
        <w:shd w:val="clear" w:color="auto" w:fill="F2F2F2" w:themeFill="background1" w:themeFillShade="F2"/>
        <w:tblCellMar>
          <w:top w:w="57" w:type="dxa"/>
          <w:bottom w:w="57" w:type="dxa"/>
        </w:tblCellMar>
        <w:tblLook w:val="04A0" w:firstRow="1" w:lastRow="0" w:firstColumn="1" w:lastColumn="0" w:noHBand="0" w:noVBand="1"/>
      </w:tblPr>
      <w:tblGrid>
        <w:gridCol w:w="813"/>
        <w:gridCol w:w="8117"/>
      </w:tblGrid>
      <w:tr w:rsidR="0082526D" w:rsidRPr="009B783C" w14:paraId="5C82CCB3" w14:textId="77777777">
        <w:trPr>
          <w:cantSplit/>
        </w:trPr>
        <w:tc>
          <w:tcPr>
            <w:tcW w:w="817" w:type="dxa"/>
            <w:shd w:val="clear" w:color="auto" w:fill="F2F2F2" w:themeFill="background1" w:themeFillShade="F2"/>
            <w:vAlign w:val="center"/>
          </w:tcPr>
          <w:p w14:paraId="04F516D6" w14:textId="77777777" w:rsidR="0082526D" w:rsidRPr="009B783C" w:rsidRDefault="0082526D" w:rsidP="006D5CEE">
            <w:pPr>
              <w:spacing w:before="120"/>
              <w:rPr>
                <w:rFonts w:asciiTheme="majorHAnsi" w:hAnsiTheme="majorHAnsi" w:cstheme="majorHAnsi"/>
                <w:szCs w:val="21"/>
              </w:rPr>
            </w:pPr>
            <w:r w:rsidRPr="009B783C">
              <w:rPr>
                <w:rFonts w:asciiTheme="majorHAnsi" w:hAnsiTheme="majorHAnsi" w:cstheme="majorHAnsi"/>
                <w:noProof/>
                <w:szCs w:val="21"/>
              </w:rPr>
              <w:lastRenderedPageBreak/>
              <w:drawing>
                <wp:inline distT="0" distB="0" distL="0" distR="0" wp14:anchorId="786C78C9" wp14:editId="757348EA">
                  <wp:extent cx="296915" cy="241300"/>
                  <wp:effectExtent l="0" t="0" r="8255" b="6350"/>
                  <wp:docPr id="354954788" name="Picture 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954788" name="Picture 68">
                            <a:extLst>
                              <a:ext uri="{C183D7F6-B498-43B3-948B-1728B52AA6E4}">
                                <adec:decorative xmlns:adec="http://schemas.microsoft.com/office/drawing/2017/decorative" val="1"/>
                              </a:ext>
                            </a:extLst>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04137" cy="247169"/>
                          </a:xfrm>
                          <a:prstGeom prst="rect">
                            <a:avLst/>
                          </a:prstGeom>
                          <a:noFill/>
                        </pic:spPr>
                      </pic:pic>
                    </a:graphicData>
                  </a:graphic>
                </wp:inline>
              </w:drawing>
            </w:r>
          </w:p>
        </w:tc>
        <w:tc>
          <w:tcPr>
            <w:tcW w:w="8329" w:type="dxa"/>
            <w:shd w:val="clear" w:color="auto" w:fill="F2F2F2" w:themeFill="background1" w:themeFillShade="F2"/>
            <w:vAlign w:val="center"/>
          </w:tcPr>
          <w:p w14:paraId="4979B0DC" w14:textId="76467EB7" w:rsidR="0082526D" w:rsidRPr="009B783C" w:rsidRDefault="0082526D" w:rsidP="006D5CEE">
            <w:pPr>
              <w:spacing w:before="120"/>
              <w:rPr>
                <w:rFonts w:asciiTheme="majorHAnsi" w:hAnsiTheme="majorHAnsi" w:cstheme="majorBidi"/>
                <w:szCs w:val="21"/>
                <w:lang w:val="en-US"/>
              </w:rPr>
            </w:pPr>
            <w:r w:rsidRPr="009B783C">
              <w:rPr>
                <w:rFonts w:asciiTheme="majorHAnsi" w:hAnsiTheme="majorHAnsi" w:cstheme="majorBidi"/>
                <w:szCs w:val="21"/>
              </w:rPr>
              <w:t>“The PHN</w:t>
            </w:r>
            <w:r w:rsidR="00164989" w:rsidRPr="009B783C">
              <w:rPr>
                <w:rFonts w:asciiTheme="majorHAnsi" w:hAnsiTheme="majorHAnsi" w:cstheme="majorBidi"/>
                <w:szCs w:val="21"/>
              </w:rPr>
              <w:t>s</w:t>
            </w:r>
            <w:r w:rsidRPr="009B783C">
              <w:rPr>
                <w:rFonts w:asciiTheme="majorHAnsi" w:hAnsiTheme="majorHAnsi" w:cstheme="majorBidi"/>
                <w:szCs w:val="21"/>
              </w:rPr>
              <w:t xml:space="preserve"> have set up these local working groups to develop the bidirectional referral pathways between the health service, Ambulance Victoria and the Medicare UCCs. That localised approach has been </w:t>
            </w:r>
            <w:proofErr w:type="gramStart"/>
            <w:r w:rsidRPr="009B783C">
              <w:rPr>
                <w:rFonts w:asciiTheme="majorHAnsi" w:hAnsiTheme="majorHAnsi" w:cstheme="majorBidi"/>
                <w:szCs w:val="21"/>
              </w:rPr>
              <w:t>really successful</w:t>
            </w:r>
            <w:proofErr w:type="gramEnd"/>
            <w:r w:rsidRPr="009B783C">
              <w:rPr>
                <w:rFonts w:asciiTheme="majorHAnsi" w:hAnsiTheme="majorHAnsi" w:cstheme="majorBidi"/>
                <w:szCs w:val="21"/>
              </w:rPr>
              <w:t xml:space="preserve"> in building that trust and forging really good integrated models.” </w:t>
            </w:r>
            <w:r w:rsidRPr="009B783C">
              <w:rPr>
                <w:rFonts w:asciiTheme="minorHAnsi" w:hAnsiTheme="minorHAnsi"/>
                <w:szCs w:val="21"/>
              </w:rPr>
              <w:t>[Commissioner]</w:t>
            </w:r>
          </w:p>
        </w:tc>
      </w:tr>
    </w:tbl>
    <w:p w14:paraId="6DC18D9D" w14:textId="645A1570" w:rsidR="005B4C79" w:rsidRPr="009B783C" w:rsidRDefault="005B4C79" w:rsidP="006D5CEE">
      <w:pPr>
        <w:spacing w:before="240"/>
        <w:rPr>
          <w:szCs w:val="21"/>
          <w:lang w:val="en-US"/>
        </w:rPr>
      </w:pPr>
      <w:r w:rsidRPr="009B783C">
        <w:rPr>
          <w:szCs w:val="21"/>
        </w:rPr>
        <w:t xml:space="preserve">For example, </w:t>
      </w:r>
      <w:proofErr w:type="gramStart"/>
      <w:r w:rsidRPr="009B783C">
        <w:rPr>
          <w:szCs w:val="21"/>
        </w:rPr>
        <w:t>North West</w:t>
      </w:r>
      <w:proofErr w:type="gramEnd"/>
      <w:r w:rsidRPr="009B783C">
        <w:rPr>
          <w:szCs w:val="21"/>
        </w:rPr>
        <w:t xml:space="preserve"> Melbourne PHN receives funding from the </w:t>
      </w:r>
      <w:r w:rsidR="00207DD5" w:rsidRPr="009B783C">
        <w:rPr>
          <w:szCs w:val="21"/>
        </w:rPr>
        <w:t xml:space="preserve">Victorian </w:t>
      </w:r>
      <w:r w:rsidRPr="009B783C">
        <w:rPr>
          <w:szCs w:val="21"/>
        </w:rPr>
        <w:t xml:space="preserve">Department of Health for two state-wide coordination roles. These positions coordinate a Medicare UCC </w:t>
      </w:r>
      <w:r w:rsidR="004704B0" w:rsidRPr="009B783C">
        <w:rPr>
          <w:szCs w:val="21"/>
        </w:rPr>
        <w:t>C</w:t>
      </w:r>
      <w:r w:rsidR="0082526D" w:rsidRPr="009B783C">
        <w:rPr>
          <w:szCs w:val="21"/>
        </w:rPr>
        <w:t>ommunity</w:t>
      </w:r>
      <w:r w:rsidRPr="009B783C">
        <w:rPr>
          <w:szCs w:val="21"/>
        </w:rPr>
        <w:t xml:space="preserve"> of </w:t>
      </w:r>
      <w:r w:rsidR="004704B0" w:rsidRPr="009B783C">
        <w:rPr>
          <w:szCs w:val="21"/>
        </w:rPr>
        <w:t>P</w:t>
      </w:r>
      <w:r w:rsidR="0082526D" w:rsidRPr="009B783C">
        <w:rPr>
          <w:szCs w:val="21"/>
        </w:rPr>
        <w:t xml:space="preserve">ractice </w:t>
      </w:r>
      <w:r w:rsidR="004704B0" w:rsidRPr="009B783C">
        <w:rPr>
          <w:szCs w:val="21"/>
        </w:rPr>
        <w:t>(CoP)</w:t>
      </w:r>
      <w:r w:rsidRPr="009B783C">
        <w:rPr>
          <w:szCs w:val="21"/>
        </w:rPr>
        <w:t xml:space="preserve"> and support PHNs in </w:t>
      </w:r>
      <w:r w:rsidR="003643AE" w:rsidRPr="009B783C">
        <w:rPr>
          <w:szCs w:val="21"/>
        </w:rPr>
        <w:t>VIC</w:t>
      </w:r>
      <w:r w:rsidRPr="009B783C">
        <w:rPr>
          <w:szCs w:val="21"/>
        </w:rPr>
        <w:t xml:space="preserve"> to manage the Medicare UCCs in a more consistent way, which </w:t>
      </w:r>
      <w:proofErr w:type="gramStart"/>
      <w:r w:rsidRPr="009B783C">
        <w:rPr>
          <w:szCs w:val="21"/>
        </w:rPr>
        <w:t>North West</w:t>
      </w:r>
      <w:proofErr w:type="gramEnd"/>
      <w:r w:rsidRPr="009B783C">
        <w:rPr>
          <w:szCs w:val="21"/>
        </w:rPr>
        <w:t xml:space="preserve"> Melbourne PHN reports has enabled some efficiencies when dealing with common providers.</w:t>
      </w:r>
    </w:p>
    <w:p w14:paraId="45310A04" w14:textId="399FE950" w:rsidR="0082526D" w:rsidRPr="009B783C" w:rsidRDefault="0082526D" w:rsidP="006D5CEE">
      <w:pPr>
        <w:spacing w:after="240"/>
        <w:rPr>
          <w:szCs w:val="21"/>
          <w:lang w:val="en-US"/>
        </w:rPr>
      </w:pPr>
      <w:r w:rsidRPr="009B783C">
        <w:rPr>
          <w:szCs w:val="21"/>
        </w:rPr>
        <w:t>Stakeholders report that i</w:t>
      </w:r>
      <w:r w:rsidR="008E0F25" w:rsidRPr="009B783C">
        <w:rPr>
          <w:szCs w:val="21"/>
        </w:rPr>
        <w:t>n</w:t>
      </w:r>
      <w:r w:rsidRPr="009B783C">
        <w:rPr>
          <w:szCs w:val="21"/>
        </w:rPr>
        <w:t xml:space="preserve"> some other jurisdictions PHNs not acting in a commissioning capacity have </w:t>
      </w:r>
      <w:r w:rsidRPr="009B783C" w:rsidDel="00A55C3B">
        <w:rPr>
          <w:szCs w:val="21"/>
        </w:rPr>
        <w:t xml:space="preserve">not </w:t>
      </w:r>
      <w:r w:rsidRPr="009B783C">
        <w:rPr>
          <w:szCs w:val="21"/>
        </w:rPr>
        <w:t>played an active role in supporting integration</w:t>
      </w:r>
      <w:r w:rsidR="00207DD5" w:rsidRPr="009B783C">
        <w:rPr>
          <w:szCs w:val="21"/>
        </w:rPr>
        <w:t xml:space="preserve"> – </w:t>
      </w:r>
      <w:r w:rsidRPr="009B783C">
        <w:rPr>
          <w:szCs w:val="21"/>
        </w:rPr>
        <w:t xml:space="preserve">this will be explored in future evaluations. </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5B4C79" w:rsidRPr="009B783C" w14:paraId="72047185" w14:textId="77777777" w:rsidTr="003E79FA">
        <w:tc>
          <w:tcPr>
            <w:tcW w:w="9146" w:type="dxa"/>
          </w:tcPr>
          <w:p w14:paraId="289DF419" w14:textId="436FC461" w:rsidR="005B4C79" w:rsidRPr="009B783C" w:rsidRDefault="00BF5685" w:rsidP="006D5CEE">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4EAA301C" w14:textId="649C0B0C" w:rsidR="005B4C79" w:rsidRPr="009B783C" w:rsidRDefault="005B4C79" w:rsidP="006D5CEE">
            <w:pPr>
              <w:pStyle w:val="Longformcallout"/>
              <w:rPr>
                <w:szCs w:val="21"/>
                <w:lang w:val="en-US"/>
              </w:rPr>
            </w:pPr>
            <w:r w:rsidRPr="009B783C">
              <w:rPr>
                <w:szCs w:val="21"/>
              </w:rPr>
              <w:t xml:space="preserve">Commissioning organisations (PHNs and state and territory governments) are playing a beneficial role in building relationships with local GPs and health services and navigating workforce challenges. </w:t>
            </w:r>
          </w:p>
        </w:tc>
      </w:tr>
    </w:tbl>
    <w:p w14:paraId="2F83E2DE" w14:textId="77777777" w:rsidR="005B4C79" w:rsidRPr="009B783C" w:rsidRDefault="005B4C79" w:rsidP="000D706D">
      <w:pPr>
        <w:pStyle w:val="Heading3"/>
      </w:pPr>
      <w:r w:rsidRPr="009B783C">
        <w:t>Next steps</w:t>
      </w:r>
    </w:p>
    <w:p w14:paraId="3C00FBC9" w14:textId="0A54CAB3" w:rsidR="005B4C79" w:rsidRPr="009B783C" w:rsidRDefault="005B4C79" w:rsidP="006D5CEE">
      <w:pPr>
        <w:spacing w:after="240"/>
        <w:rPr>
          <w:szCs w:val="21"/>
        </w:rPr>
      </w:pPr>
      <w:r w:rsidRPr="009B783C">
        <w:rPr>
          <w:szCs w:val="21"/>
          <w:lang w:eastAsia="en-AU"/>
        </w:rPr>
        <w:t xml:space="preserve">In later evaluation phases, a broader range of stakeholders will be </w:t>
      </w:r>
      <w:proofErr w:type="gramStart"/>
      <w:r w:rsidRPr="009B783C">
        <w:rPr>
          <w:szCs w:val="21"/>
          <w:lang w:eastAsia="en-AU"/>
        </w:rPr>
        <w:t>engaged</w:t>
      </w:r>
      <w:proofErr w:type="gramEnd"/>
      <w:r w:rsidRPr="009B783C">
        <w:rPr>
          <w:szCs w:val="21"/>
          <w:lang w:eastAsia="en-AU"/>
        </w:rPr>
        <w:t xml:space="preserve"> and Medicare UCCs will be surveyed to provide additional insights on this Measure</w:t>
      </w:r>
      <w:r w:rsidR="00DC60E5" w:rsidRPr="009B783C">
        <w:rPr>
          <w:szCs w:val="21"/>
          <w:lang w:eastAsia="en-AU"/>
        </w:rPr>
        <w:t xml:space="preserve"> of Success</w:t>
      </w:r>
      <w:r w:rsidR="0082526D" w:rsidRPr="009B783C">
        <w:rPr>
          <w:szCs w:val="21"/>
          <w:lang w:eastAsia="en-AU"/>
        </w:rPr>
        <w:t>.</w:t>
      </w:r>
      <w:r w:rsidRPr="009B783C">
        <w:rPr>
          <w:szCs w:val="21"/>
        </w:rPr>
        <w:t xml:space="preserve"> </w:t>
      </w:r>
      <w:r w:rsidRPr="009B783C">
        <w:rPr>
          <w:rFonts w:asciiTheme="minorHAnsi" w:hAnsiTheme="minorHAnsi" w:cstheme="minorHAnsi"/>
          <w:szCs w:val="21"/>
        </w:rPr>
        <w:t>Staff and other healthcare providers perspectives on referrals to other services</w:t>
      </w:r>
      <w:r w:rsidRPr="009B783C">
        <w:rPr>
          <w:szCs w:val="21"/>
        </w:rPr>
        <w:t xml:space="preserve"> and ways for Medicare </w:t>
      </w:r>
      <w:r w:rsidRPr="009B783C">
        <w:rPr>
          <w:rFonts w:asciiTheme="minorHAnsi" w:hAnsiTheme="minorHAnsi" w:cstheme="minorHAnsi"/>
          <w:szCs w:val="21"/>
        </w:rPr>
        <w:t>UCCs to understand referral pathways and relationships will be explored moving forwards.</w:t>
      </w:r>
    </w:p>
    <w:tbl>
      <w:tblPr>
        <w:tblStyle w:val="TableGrid"/>
        <w:tblW w:w="0" w:type="auto"/>
        <w:tblLook w:val="04A0" w:firstRow="1" w:lastRow="0" w:firstColumn="1" w:lastColumn="0" w:noHBand="0" w:noVBand="1"/>
      </w:tblPr>
      <w:tblGrid>
        <w:gridCol w:w="8920"/>
      </w:tblGrid>
      <w:tr w:rsidR="009711A2" w:rsidRPr="009B783C" w14:paraId="26BE70D9" w14:textId="77777777">
        <w:trPr>
          <w:trHeight w:val="215"/>
        </w:trPr>
        <w:tc>
          <w:tcPr>
            <w:tcW w:w="8920" w:type="dxa"/>
            <w:tcBorders>
              <w:top w:val="nil"/>
              <w:left w:val="nil"/>
              <w:bottom w:val="nil"/>
              <w:right w:val="nil"/>
            </w:tcBorders>
            <w:shd w:val="clear" w:color="auto" w:fill="25B3E0" w:themeFill="accent6"/>
          </w:tcPr>
          <w:p w14:paraId="2C8C8B08" w14:textId="2919E28C" w:rsidR="009711A2" w:rsidRPr="008C4E7D" w:rsidRDefault="009F2196">
            <w:pPr>
              <w:pStyle w:val="TableNheader"/>
              <w:rPr>
                <w:color w:val="00264D" w:themeColor="background2"/>
              </w:rPr>
            </w:pPr>
            <w:r w:rsidRPr="008C4E7D">
              <w:rPr>
                <w:color w:val="00264D" w:themeColor="background2"/>
              </w:rPr>
              <w:t>Measure Of Success 9</w:t>
            </w:r>
          </w:p>
        </w:tc>
      </w:tr>
    </w:tbl>
    <w:p w14:paraId="119A3C12" w14:textId="0FDCC1B7" w:rsidR="00D60DD8" w:rsidRPr="009B783C" w:rsidRDefault="008C5913" w:rsidP="00333920">
      <w:pPr>
        <w:pStyle w:val="Heading2"/>
        <w:spacing w:before="120"/>
        <w:ind w:left="578" w:hanging="578"/>
      </w:pPr>
      <w:bookmarkStart w:id="186" w:name="_Ref185246478"/>
      <w:bookmarkStart w:id="187" w:name="_Ref185248397"/>
      <w:bookmarkStart w:id="188" w:name="_Ref185400248"/>
      <w:bookmarkStart w:id="189" w:name="_Toc189639235"/>
      <w:bookmarkStart w:id="190" w:name="_Toc189772035"/>
      <w:r w:rsidRPr="009B783C">
        <w:t>C</w:t>
      </w:r>
      <w:r w:rsidR="00D60DD8" w:rsidRPr="009B783C">
        <w:t>ost effective</w:t>
      </w:r>
      <w:bookmarkEnd w:id="186"/>
      <w:bookmarkEnd w:id="187"/>
      <w:bookmarkEnd w:id="188"/>
      <w:r w:rsidRPr="009B783C">
        <w:t>ness</w:t>
      </w:r>
      <w:bookmarkEnd w:id="189"/>
      <w:bookmarkEnd w:id="190"/>
    </w:p>
    <w:p w14:paraId="5860F60C" w14:textId="7F74CBDC" w:rsidR="008C5913" w:rsidRPr="009B783C" w:rsidRDefault="008C5913" w:rsidP="00D22BDB">
      <w:pPr>
        <w:rPr>
          <w:szCs w:val="21"/>
        </w:rPr>
      </w:pPr>
      <w:r w:rsidRPr="009B783C">
        <w:rPr>
          <w:szCs w:val="21"/>
        </w:rPr>
        <w:t xml:space="preserve">Measure of Success 9 agreed by the Australian, state and territory </w:t>
      </w:r>
      <w:r w:rsidR="003A73C7" w:rsidRPr="009B783C">
        <w:rPr>
          <w:szCs w:val="21"/>
        </w:rPr>
        <w:t xml:space="preserve">governments </w:t>
      </w:r>
      <w:r w:rsidRPr="009B783C">
        <w:rPr>
          <w:szCs w:val="21"/>
        </w:rPr>
        <w:t>is:</w:t>
      </w:r>
    </w:p>
    <w:p w14:paraId="32E886E1" w14:textId="6E28BFD8" w:rsidR="008C5913" w:rsidRPr="009B783C" w:rsidRDefault="008C5913" w:rsidP="00D22BDB">
      <w:pPr>
        <w:pStyle w:val="Caption"/>
        <w:spacing w:line="276" w:lineRule="auto"/>
        <w:rPr>
          <w:szCs w:val="21"/>
        </w:rPr>
      </w:pPr>
      <w:r w:rsidRPr="009B783C">
        <w:rPr>
          <w:szCs w:val="21"/>
        </w:rPr>
        <w:t>“Medicare UCCs are cost effective.”</w:t>
      </w:r>
    </w:p>
    <w:p w14:paraId="44EFC427" w14:textId="51D324D7" w:rsidR="003D1CCE" w:rsidRPr="009B783C" w:rsidRDefault="003D1CCE" w:rsidP="00D22BDB">
      <w:pPr>
        <w:rPr>
          <w:szCs w:val="21"/>
          <w:lang w:val="en-US"/>
        </w:rPr>
      </w:pPr>
      <w:r w:rsidRPr="009B783C">
        <w:rPr>
          <w:szCs w:val="21"/>
        </w:rPr>
        <w:t>The Australian Government has allocated $759.9 million over five years from 2022</w:t>
      </w:r>
      <w:r w:rsidR="000F29AD" w:rsidRPr="009B783C">
        <w:rPr>
          <w:szCs w:val="21"/>
        </w:rPr>
        <w:t>-</w:t>
      </w:r>
      <w:r w:rsidRPr="009B783C">
        <w:rPr>
          <w:szCs w:val="21"/>
        </w:rPr>
        <w:t xml:space="preserve">23 to pilot the Medicare UCC Program. A total of 87 Medicare UCCs </w:t>
      </w:r>
      <w:proofErr w:type="gramStart"/>
      <w:r w:rsidRPr="009B783C">
        <w:rPr>
          <w:szCs w:val="21"/>
        </w:rPr>
        <w:t>are</w:t>
      </w:r>
      <w:proofErr w:type="gramEnd"/>
      <w:r w:rsidRPr="009B783C">
        <w:rPr>
          <w:szCs w:val="21"/>
        </w:rPr>
        <w:t xml:space="preserve"> expected to be in place across Australia by the full roll out. Of these, 58 clinics were implemented by 31 December 2023, with a further 29 clinics being implemented progressively from 1 July 2024. By 30 September 2024, a total 75 Medicare UCCs had opened.</w:t>
      </w:r>
    </w:p>
    <w:p w14:paraId="3D44F60B" w14:textId="7D9CED0E" w:rsidR="003D1CCE" w:rsidRPr="009B783C" w:rsidRDefault="003D1CCE" w:rsidP="00D22BDB">
      <w:pPr>
        <w:rPr>
          <w:szCs w:val="21"/>
          <w:lang w:val="en-US"/>
        </w:rPr>
      </w:pPr>
      <w:r w:rsidRPr="009B783C">
        <w:rPr>
          <w:szCs w:val="21"/>
        </w:rPr>
        <w:t>Through the program, grants have been made to Medicare UCCs through Medicare UCC commissioners. As describe</w:t>
      </w:r>
      <w:r w:rsidR="009B65CB" w:rsidRPr="009B783C">
        <w:rPr>
          <w:szCs w:val="21"/>
        </w:rPr>
        <w:t>d</w:t>
      </w:r>
      <w:r w:rsidRPr="009B783C">
        <w:rPr>
          <w:szCs w:val="21"/>
        </w:rPr>
        <w:t xml:space="preserve"> previously, in some jurisdictions, the state or territory government has taken on the role of Commissioner (</w:t>
      </w:r>
      <w:r w:rsidR="00980150" w:rsidRPr="009B783C">
        <w:rPr>
          <w:szCs w:val="21"/>
        </w:rPr>
        <w:t>VIC, TAS</w:t>
      </w:r>
      <w:r w:rsidRPr="009B783C">
        <w:rPr>
          <w:szCs w:val="21"/>
        </w:rPr>
        <w:t xml:space="preserve">, NT and ACT), while in the remainder of the states, PHNs have taken on </w:t>
      </w:r>
      <w:r w:rsidR="008C6856" w:rsidRPr="009B783C">
        <w:rPr>
          <w:szCs w:val="21"/>
        </w:rPr>
        <w:t>this</w:t>
      </w:r>
      <w:r w:rsidRPr="009B783C">
        <w:rPr>
          <w:szCs w:val="21"/>
        </w:rPr>
        <w:t xml:space="preserve"> role. Grants to the Medicare UCCs cover operational costs, and </w:t>
      </w:r>
      <w:r w:rsidRPr="009B783C">
        <w:rPr>
          <w:szCs w:val="21"/>
        </w:rPr>
        <w:lastRenderedPageBreak/>
        <w:t xml:space="preserve">capital and equipment costs. Medicare UCCs may also receive funding support from state or territory governments, and for one Medicare UCC, the operational grant </w:t>
      </w:r>
      <w:r w:rsidR="00E870CA" w:rsidRPr="009B783C">
        <w:rPr>
          <w:szCs w:val="21"/>
        </w:rPr>
        <w:t xml:space="preserve">is </w:t>
      </w:r>
      <w:r w:rsidRPr="009B783C">
        <w:rPr>
          <w:szCs w:val="21"/>
        </w:rPr>
        <w:t xml:space="preserve">provided by </w:t>
      </w:r>
      <w:r w:rsidR="00E870CA" w:rsidRPr="009B783C">
        <w:rPr>
          <w:szCs w:val="21"/>
        </w:rPr>
        <w:t>the</w:t>
      </w:r>
      <w:r w:rsidRPr="009B783C">
        <w:rPr>
          <w:szCs w:val="21"/>
        </w:rPr>
        <w:t xml:space="preserve"> </w:t>
      </w:r>
      <w:r w:rsidR="0023772D" w:rsidRPr="009B783C">
        <w:rPr>
          <w:szCs w:val="21"/>
        </w:rPr>
        <w:t>s</w:t>
      </w:r>
      <w:r w:rsidRPr="009B783C">
        <w:rPr>
          <w:szCs w:val="21"/>
        </w:rPr>
        <w:t xml:space="preserve">tate government. </w:t>
      </w:r>
    </w:p>
    <w:p w14:paraId="199FD0BA" w14:textId="4955D747" w:rsidR="003D1CCE" w:rsidRPr="009B783C" w:rsidRDefault="003D1CCE" w:rsidP="00D22BDB">
      <w:pPr>
        <w:rPr>
          <w:szCs w:val="21"/>
          <w:lang w:val="en-US"/>
        </w:rPr>
      </w:pPr>
      <w:r w:rsidRPr="009B783C">
        <w:rPr>
          <w:szCs w:val="21"/>
        </w:rPr>
        <w:t xml:space="preserve">In addition to grants, clinicians at Medicare UCCs may be able to submit </w:t>
      </w:r>
      <w:r w:rsidR="00BB78BF" w:rsidRPr="009B783C">
        <w:rPr>
          <w:szCs w:val="21"/>
        </w:rPr>
        <w:t>MBS</w:t>
      </w:r>
      <w:r w:rsidRPr="009B783C">
        <w:rPr>
          <w:szCs w:val="21"/>
        </w:rPr>
        <w:t xml:space="preserve"> claims </w:t>
      </w:r>
      <w:r w:rsidR="00FF67AC" w:rsidRPr="009B783C">
        <w:rPr>
          <w:szCs w:val="21"/>
        </w:rPr>
        <w:t xml:space="preserve">through </w:t>
      </w:r>
      <w:r w:rsidRPr="009B783C">
        <w:rPr>
          <w:szCs w:val="21"/>
        </w:rPr>
        <w:t xml:space="preserve">exemptions under s19(2) of the </w:t>
      </w:r>
      <w:r w:rsidRPr="009B783C">
        <w:rPr>
          <w:i/>
          <w:szCs w:val="21"/>
        </w:rPr>
        <w:t>Health Insurance Act 1973</w:t>
      </w:r>
      <w:r w:rsidRPr="009B783C">
        <w:rPr>
          <w:szCs w:val="21"/>
        </w:rPr>
        <w:t xml:space="preserve">. </w:t>
      </w:r>
      <w:r w:rsidR="00FF67AC" w:rsidRPr="009B783C">
        <w:rPr>
          <w:szCs w:val="21"/>
        </w:rPr>
        <w:t>These</w:t>
      </w:r>
      <w:r w:rsidRPr="009B783C">
        <w:rPr>
          <w:szCs w:val="21"/>
        </w:rPr>
        <w:t xml:space="preserve"> claims are limited to specified MBS items and are required to be bulk billed. Section 19(2) </w:t>
      </w:r>
      <w:r w:rsidR="00BA7EAA" w:rsidRPr="009B783C">
        <w:rPr>
          <w:szCs w:val="21"/>
        </w:rPr>
        <w:t>exemptions have</w:t>
      </w:r>
      <w:r w:rsidRPr="009B783C">
        <w:rPr>
          <w:szCs w:val="21"/>
        </w:rPr>
        <w:t xml:space="preserve"> not been made for some Medicare UCCs, including the ACT Medicare UCCs. In addition to grants to Medicare UCCs, program funding has also been allocated to facilitate implementation of other aspects of the program. This includes allocations to the commissioner</w:t>
      </w:r>
      <w:r w:rsidR="0044015E" w:rsidRPr="009B783C">
        <w:rPr>
          <w:szCs w:val="21"/>
        </w:rPr>
        <w:t>s</w:t>
      </w:r>
      <w:r w:rsidRPr="009B783C">
        <w:rPr>
          <w:szCs w:val="21"/>
        </w:rPr>
        <w:t xml:space="preserve"> for managing funding, monitoring and ongoing management of the relationship</w:t>
      </w:r>
      <w:r w:rsidR="00A116F7" w:rsidRPr="009B783C">
        <w:rPr>
          <w:szCs w:val="21"/>
        </w:rPr>
        <w:t>s</w:t>
      </w:r>
      <w:r w:rsidRPr="009B783C">
        <w:rPr>
          <w:szCs w:val="21"/>
        </w:rPr>
        <w:t xml:space="preserve"> with Medicare UCCs</w:t>
      </w:r>
      <w:r w:rsidR="000F29AD" w:rsidRPr="009B783C">
        <w:rPr>
          <w:szCs w:val="21"/>
        </w:rPr>
        <w:t>.</w:t>
      </w:r>
      <w:r w:rsidR="008A611A" w:rsidRPr="009B783C">
        <w:rPr>
          <w:szCs w:val="21"/>
        </w:rPr>
        <w:t xml:space="preserve"> </w:t>
      </w:r>
    </w:p>
    <w:p w14:paraId="0ED10D5E" w14:textId="43F9F2BA" w:rsidR="00B34D2C" w:rsidRPr="009B783C" w:rsidRDefault="00B34D2C" w:rsidP="00D22BDB">
      <w:pPr>
        <w:rPr>
          <w:szCs w:val="21"/>
          <w:lang w:eastAsia="en-AU"/>
        </w:rPr>
      </w:pPr>
      <w:r w:rsidRPr="009B783C">
        <w:rPr>
          <w:szCs w:val="21"/>
          <w:lang w:eastAsia="en-AU"/>
        </w:rPr>
        <w:t>For this Interim Evaluation Report 1, Measure of Success 9 is assessed through:</w:t>
      </w:r>
    </w:p>
    <w:p w14:paraId="04FA93A3" w14:textId="24E7B7DB" w:rsidR="00B34D2C" w:rsidRPr="009B783C" w:rsidRDefault="00B34D2C" w:rsidP="00D22BDB">
      <w:pPr>
        <w:pStyle w:val="Bullet"/>
        <w:rPr>
          <w:szCs w:val="21"/>
        </w:rPr>
      </w:pPr>
      <w:r w:rsidRPr="009B783C">
        <w:rPr>
          <w:rFonts w:asciiTheme="majorHAnsi" w:hAnsiTheme="majorHAnsi" w:cstheme="majorHAnsi"/>
          <w:szCs w:val="21"/>
        </w:rPr>
        <w:t>Unit cost per Medicare UCC presentation.</w:t>
      </w:r>
      <w:r w:rsidRPr="009B783C">
        <w:rPr>
          <w:b/>
          <w:bCs/>
          <w:szCs w:val="21"/>
        </w:rPr>
        <w:t xml:space="preserve"> </w:t>
      </w:r>
      <w:r w:rsidRPr="009B783C">
        <w:rPr>
          <w:szCs w:val="21"/>
        </w:rPr>
        <w:t xml:space="preserve">Costs assessed for this measure are the costs to the Australian Government, based on grants made to Medicare UCCs, aggregate counts of presentations at each Medicare UCC, other Medicare UCC data and MBS data. </w:t>
      </w:r>
    </w:p>
    <w:p w14:paraId="1BFE8871" w14:textId="5DC5A344" w:rsidR="00B34D2C" w:rsidRPr="009B783C" w:rsidRDefault="00B34D2C" w:rsidP="00D22BDB">
      <w:pPr>
        <w:pStyle w:val="Bullet"/>
        <w:rPr>
          <w:szCs w:val="21"/>
        </w:rPr>
      </w:pPr>
      <w:r w:rsidRPr="009B783C">
        <w:rPr>
          <w:rFonts w:asciiTheme="majorHAnsi" w:hAnsiTheme="majorHAnsi" w:cstheme="majorHAnsi"/>
          <w:szCs w:val="21"/>
        </w:rPr>
        <w:t>Costs for avoided ED attendances.</w:t>
      </w:r>
      <w:r w:rsidR="008A611A" w:rsidRPr="009B783C">
        <w:rPr>
          <w:szCs w:val="21"/>
        </w:rPr>
        <w:t xml:space="preserve"> </w:t>
      </w:r>
      <w:r w:rsidRPr="009B783C">
        <w:rPr>
          <w:szCs w:val="21"/>
        </w:rPr>
        <w:t xml:space="preserve">Costs assessed for this measure are the costs to the Australian and state/territory governments, based on funding at the NEP recommended by the </w:t>
      </w:r>
      <w:r w:rsidR="00D66056" w:rsidRPr="009B783C">
        <w:rPr>
          <w:szCs w:val="21"/>
        </w:rPr>
        <w:t>IHACPA</w:t>
      </w:r>
      <w:r w:rsidRPr="009B783C">
        <w:rPr>
          <w:szCs w:val="21"/>
        </w:rPr>
        <w:t>, offset by the unit cost per Medicare UCC presentation.</w:t>
      </w:r>
    </w:p>
    <w:p w14:paraId="76268A2E" w14:textId="3EFA981D" w:rsidR="00913EDC" w:rsidRPr="009B783C" w:rsidRDefault="00EB01FA" w:rsidP="00D22BDB">
      <w:pPr>
        <w:rPr>
          <w:szCs w:val="21"/>
        </w:rPr>
      </w:pPr>
      <w:r w:rsidRPr="009B783C">
        <w:rPr>
          <w:szCs w:val="21"/>
        </w:rPr>
        <w:t xml:space="preserve">Methods for deriving these measures are described </w:t>
      </w:r>
      <w:r w:rsidR="007A6DBF" w:rsidRPr="009B783C">
        <w:rPr>
          <w:szCs w:val="21"/>
        </w:rPr>
        <w:t xml:space="preserve">in </w:t>
      </w:r>
      <w:r w:rsidR="00980150" w:rsidRPr="009B783C">
        <w:rPr>
          <w:szCs w:val="21"/>
        </w:rPr>
        <w:fldChar w:fldCharType="begin"/>
      </w:r>
      <w:r w:rsidR="00980150" w:rsidRPr="009B783C">
        <w:rPr>
          <w:szCs w:val="21"/>
        </w:rPr>
        <w:instrText xml:space="preserve"> REF _Ref185400257 \n \h </w:instrText>
      </w:r>
      <w:r w:rsidR="00D22BDB" w:rsidRPr="009B783C">
        <w:rPr>
          <w:szCs w:val="21"/>
        </w:rPr>
        <w:instrText xml:space="preserve"> \* MERGEFORMAT </w:instrText>
      </w:r>
      <w:r w:rsidR="00980150" w:rsidRPr="009B783C">
        <w:rPr>
          <w:szCs w:val="21"/>
        </w:rPr>
      </w:r>
      <w:r w:rsidR="00980150" w:rsidRPr="009B783C">
        <w:rPr>
          <w:szCs w:val="21"/>
        </w:rPr>
        <w:fldChar w:fldCharType="separate"/>
      </w:r>
      <w:r w:rsidR="0031172E" w:rsidRPr="009B783C">
        <w:rPr>
          <w:szCs w:val="21"/>
        </w:rPr>
        <w:t>Appendix D</w:t>
      </w:r>
      <w:r w:rsidR="00980150" w:rsidRPr="009B783C">
        <w:rPr>
          <w:szCs w:val="21"/>
        </w:rPr>
        <w:fldChar w:fldCharType="end"/>
      </w:r>
      <w:r w:rsidR="007A6DBF" w:rsidRPr="009B783C">
        <w:rPr>
          <w:szCs w:val="21"/>
        </w:rPr>
        <w:t>.</w:t>
      </w:r>
    </w:p>
    <w:p w14:paraId="0EC521AF" w14:textId="08CA51C5" w:rsidR="00B34D2C" w:rsidRPr="009B783C" w:rsidRDefault="00B34D2C" w:rsidP="000D706D">
      <w:pPr>
        <w:pStyle w:val="Heading3"/>
      </w:pPr>
      <w:r w:rsidRPr="009B783C">
        <w:t xml:space="preserve">Australian Government funding per Medicare UCCs presentation is </w:t>
      </w:r>
      <w:r w:rsidR="00373554" w:rsidRPr="009B783C">
        <w:t xml:space="preserve">estimated to be </w:t>
      </w:r>
      <w:r w:rsidRPr="009B783C">
        <w:t xml:space="preserve">$216 </w:t>
      </w:r>
      <w:r w:rsidR="00373554" w:rsidRPr="009B783C">
        <w:t xml:space="preserve">on an </w:t>
      </w:r>
      <w:r w:rsidRPr="009B783C">
        <w:t>annualised</w:t>
      </w:r>
      <w:r w:rsidR="00373554" w:rsidRPr="009B783C">
        <w:t xml:space="preserve"> basis</w:t>
      </w:r>
    </w:p>
    <w:p w14:paraId="3BA9E6C1" w14:textId="3A899B15" w:rsidR="00B34D2C" w:rsidRPr="009B783C" w:rsidRDefault="00496565" w:rsidP="00D22BDB">
      <w:pPr>
        <w:rPr>
          <w:szCs w:val="21"/>
          <w:lang w:val="en-US"/>
        </w:rPr>
      </w:pPr>
      <w:r>
        <w:rPr>
          <w:szCs w:val="21"/>
        </w:rPr>
        <w:fldChar w:fldCharType="begin"/>
      </w:r>
      <w:r>
        <w:rPr>
          <w:szCs w:val="21"/>
        </w:rPr>
        <w:instrText xml:space="preserve"> REF _Ref189770648 \h </w:instrText>
      </w:r>
      <w:r>
        <w:rPr>
          <w:szCs w:val="21"/>
        </w:rPr>
      </w:r>
      <w:r>
        <w:rPr>
          <w:szCs w:val="21"/>
        </w:rPr>
        <w:fldChar w:fldCharType="separate"/>
      </w:r>
      <w:r w:rsidRPr="009B783C">
        <w:rPr>
          <w:szCs w:val="21"/>
        </w:rPr>
        <w:t xml:space="preserve">Table </w:t>
      </w:r>
      <w:r>
        <w:rPr>
          <w:noProof/>
          <w:szCs w:val="21"/>
        </w:rPr>
        <w:t>16</w:t>
      </w:r>
      <w:r>
        <w:rPr>
          <w:szCs w:val="21"/>
        </w:rPr>
        <w:fldChar w:fldCharType="end"/>
      </w:r>
      <w:r>
        <w:rPr>
          <w:szCs w:val="21"/>
        </w:rPr>
        <w:t xml:space="preserve"> </w:t>
      </w:r>
      <w:r w:rsidR="00B34D2C" w:rsidRPr="009B783C">
        <w:rPr>
          <w:szCs w:val="21"/>
        </w:rPr>
        <w:t xml:space="preserve">shows that during </w:t>
      </w:r>
      <w:r w:rsidR="00980150" w:rsidRPr="009B783C">
        <w:rPr>
          <w:szCs w:val="21"/>
        </w:rPr>
        <w:t>q</w:t>
      </w:r>
      <w:r w:rsidR="00B34D2C" w:rsidRPr="009B783C">
        <w:rPr>
          <w:szCs w:val="21"/>
        </w:rPr>
        <w:t xml:space="preserve">uarters </w:t>
      </w:r>
      <w:r w:rsidR="00980150" w:rsidRPr="009B783C">
        <w:rPr>
          <w:szCs w:val="21"/>
        </w:rPr>
        <w:t>three</w:t>
      </w:r>
      <w:r w:rsidR="00B34D2C" w:rsidRPr="009B783C">
        <w:rPr>
          <w:szCs w:val="21"/>
        </w:rPr>
        <w:t xml:space="preserve"> (January to March) and </w:t>
      </w:r>
      <w:r w:rsidR="00980150" w:rsidRPr="009B783C">
        <w:rPr>
          <w:szCs w:val="21"/>
        </w:rPr>
        <w:t>four</w:t>
      </w:r>
      <w:r w:rsidR="00B34D2C" w:rsidRPr="009B783C">
        <w:rPr>
          <w:szCs w:val="21"/>
        </w:rPr>
        <w:t xml:space="preserve"> (April to June) of 2023</w:t>
      </w:r>
      <w:r w:rsidR="005C30AB" w:rsidRPr="009B783C">
        <w:rPr>
          <w:szCs w:val="21"/>
        </w:rPr>
        <w:t>-</w:t>
      </w:r>
      <w:r w:rsidR="00B34D2C" w:rsidRPr="009B783C">
        <w:rPr>
          <w:szCs w:val="21"/>
        </w:rPr>
        <w:t xml:space="preserve">24, Australian Government funding per Medicare UCC presentation was $319. In </w:t>
      </w:r>
      <w:r w:rsidR="00980150" w:rsidRPr="009B783C">
        <w:rPr>
          <w:szCs w:val="21"/>
        </w:rPr>
        <w:t>quarter one</w:t>
      </w:r>
      <w:r w:rsidR="00B34D2C" w:rsidRPr="009B783C">
        <w:rPr>
          <w:szCs w:val="21"/>
        </w:rPr>
        <w:t xml:space="preserve"> of 2024</w:t>
      </w:r>
      <w:r w:rsidR="005C30AB" w:rsidRPr="009B783C">
        <w:rPr>
          <w:szCs w:val="21"/>
        </w:rPr>
        <w:t>-</w:t>
      </w:r>
      <w:r w:rsidR="00B34D2C" w:rsidRPr="009B783C">
        <w:rPr>
          <w:szCs w:val="21"/>
        </w:rPr>
        <w:t xml:space="preserve">25 (July to September), this amount decreased to $234 per presentation. </w:t>
      </w:r>
      <w:r w:rsidR="003E1F70" w:rsidRPr="009B783C">
        <w:rPr>
          <w:szCs w:val="21"/>
        </w:rPr>
        <w:t xml:space="preserve">The </w:t>
      </w:r>
      <w:r w:rsidR="00EB3374" w:rsidRPr="009B783C">
        <w:rPr>
          <w:szCs w:val="21"/>
        </w:rPr>
        <w:t xml:space="preserve">main </w:t>
      </w:r>
      <w:r w:rsidR="003E1F70" w:rsidRPr="009B783C">
        <w:rPr>
          <w:szCs w:val="21"/>
        </w:rPr>
        <w:t xml:space="preserve">factor influencing this </w:t>
      </w:r>
      <w:r w:rsidR="00B34D2C" w:rsidRPr="009B783C">
        <w:rPr>
          <w:szCs w:val="21"/>
        </w:rPr>
        <w:t xml:space="preserve">reduction </w:t>
      </w:r>
      <w:r w:rsidR="00314187" w:rsidRPr="009B783C">
        <w:rPr>
          <w:szCs w:val="21"/>
        </w:rPr>
        <w:t xml:space="preserve">is </w:t>
      </w:r>
      <w:r w:rsidR="005A1170" w:rsidRPr="009B783C">
        <w:rPr>
          <w:szCs w:val="21"/>
        </w:rPr>
        <w:t>the increase in presentations that occurred following the opening of each Medicare UCC</w:t>
      </w:r>
      <w:r w:rsidR="009E3DC6" w:rsidRPr="009B783C">
        <w:rPr>
          <w:szCs w:val="21"/>
        </w:rPr>
        <w:t xml:space="preserve">. As described </w:t>
      </w:r>
      <w:r w:rsidR="004268DC" w:rsidRPr="009B783C">
        <w:rPr>
          <w:szCs w:val="21"/>
        </w:rPr>
        <w:t>elsewhere</w:t>
      </w:r>
      <w:r w:rsidR="00606513" w:rsidRPr="009B783C">
        <w:rPr>
          <w:szCs w:val="21"/>
        </w:rPr>
        <w:t xml:space="preserve"> in this report, Medicare UCC</w:t>
      </w:r>
      <w:r w:rsidR="00F10657" w:rsidRPr="009B783C">
        <w:rPr>
          <w:szCs w:val="21"/>
        </w:rPr>
        <w:t>s</w:t>
      </w:r>
      <w:r w:rsidR="00606513" w:rsidRPr="009B783C">
        <w:rPr>
          <w:szCs w:val="21"/>
        </w:rPr>
        <w:t xml:space="preserve"> </w:t>
      </w:r>
      <w:r w:rsidR="004268DC" w:rsidRPr="009B783C">
        <w:rPr>
          <w:szCs w:val="21"/>
        </w:rPr>
        <w:t xml:space="preserve">generally took up to </w:t>
      </w:r>
      <w:r w:rsidR="00980150" w:rsidRPr="009B783C">
        <w:rPr>
          <w:szCs w:val="21"/>
        </w:rPr>
        <w:t>four</w:t>
      </w:r>
      <w:r w:rsidR="00793B93" w:rsidRPr="009B783C">
        <w:rPr>
          <w:szCs w:val="21"/>
        </w:rPr>
        <w:t xml:space="preserve"> months </w:t>
      </w:r>
      <w:r w:rsidR="004268DC" w:rsidRPr="009B783C">
        <w:rPr>
          <w:szCs w:val="21"/>
        </w:rPr>
        <w:t>to achieve a stable level of activity</w:t>
      </w:r>
      <w:r w:rsidR="00552F5B" w:rsidRPr="009B783C">
        <w:rPr>
          <w:szCs w:val="21"/>
        </w:rPr>
        <w:t xml:space="preserve"> (see discussion in </w:t>
      </w:r>
      <w:r w:rsidR="00980150" w:rsidRPr="009B783C">
        <w:rPr>
          <w:szCs w:val="21"/>
        </w:rPr>
        <w:fldChar w:fldCharType="begin"/>
      </w:r>
      <w:r w:rsidR="00980150" w:rsidRPr="009B783C">
        <w:rPr>
          <w:szCs w:val="21"/>
        </w:rPr>
        <w:instrText xml:space="preserve"> REF _Ref185400257 \n \h </w:instrText>
      </w:r>
      <w:r w:rsidR="00D22BDB" w:rsidRPr="009B783C">
        <w:rPr>
          <w:szCs w:val="21"/>
        </w:rPr>
        <w:instrText xml:space="preserve"> \* MERGEFORMAT </w:instrText>
      </w:r>
      <w:r w:rsidR="00980150" w:rsidRPr="009B783C">
        <w:rPr>
          <w:szCs w:val="21"/>
        </w:rPr>
      </w:r>
      <w:r w:rsidR="00980150" w:rsidRPr="009B783C">
        <w:rPr>
          <w:szCs w:val="21"/>
        </w:rPr>
        <w:fldChar w:fldCharType="separate"/>
      </w:r>
      <w:r w:rsidR="0031172E" w:rsidRPr="009B783C">
        <w:rPr>
          <w:szCs w:val="21"/>
        </w:rPr>
        <w:t>Appendix D</w:t>
      </w:r>
      <w:r w:rsidR="00980150" w:rsidRPr="009B783C">
        <w:rPr>
          <w:szCs w:val="21"/>
        </w:rPr>
        <w:fldChar w:fldCharType="end"/>
      </w:r>
      <w:r w:rsidR="00CA77A5" w:rsidRPr="009B783C">
        <w:rPr>
          <w:szCs w:val="21"/>
        </w:rPr>
        <w:t>)</w:t>
      </w:r>
      <w:r w:rsidR="004268DC" w:rsidRPr="009B783C">
        <w:rPr>
          <w:szCs w:val="21"/>
        </w:rPr>
        <w:t>.</w:t>
      </w:r>
      <w:r w:rsidR="00793B93" w:rsidRPr="009B783C">
        <w:rPr>
          <w:szCs w:val="21"/>
        </w:rPr>
        <w:t xml:space="preserve"> </w:t>
      </w:r>
      <w:r w:rsidR="001B6591" w:rsidRPr="009B783C">
        <w:rPr>
          <w:szCs w:val="21"/>
        </w:rPr>
        <w:t xml:space="preserve">The impact of </w:t>
      </w:r>
      <w:proofErr w:type="gramStart"/>
      <w:r w:rsidR="001B6591" w:rsidRPr="009B783C">
        <w:rPr>
          <w:szCs w:val="21"/>
        </w:rPr>
        <w:t xml:space="preserve">longer </w:t>
      </w:r>
      <w:r w:rsidR="008E5264" w:rsidRPr="009B783C">
        <w:rPr>
          <w:szCs w:val="21"/>
        </w:rPr>
        <w:t>term</w:t>
      </w:r>
      <w:proofErr w:type="gramEnd"/>
      <w:r w:rsidR="008E5264" w:rsidRPr="009B783C">
        <w:rPr>
          <w:szCs w:val="21"/>
        </w:rPr>
        <w:t xml:space="preserve"> factors influencing </w:t>
      </w:r>
      <w:r w:rsidR="00D47BCD" w:rsidRPr="009B783C">
        <w:rPr>
          <w:szCs w:val="21"/>
        </w:rPr>
        <w:t>demand</w:t>
      </w:r>
      <w:r w:rsidR="005D405C" w:rsidRPr="009B783C">
        <w:rPr>
          <w:szCs w:val="21"/>
        </w:rPr>
        <w:t>,</w:t>
      </w:r>
      <w:r w:rsidR="00D47BCD" w:rsidRPr="009B783C">
        <w:rPr>
          <w:szCs w:val="21"/>
        </w:rPr>
        <w:t xml:space="preserve"> </w:t>
      </w:r>
      <w:r w:rsidR="008E5264" w:rsidRPr="009B783C">
        <w:rPr>
          <w:szCs w:val="21"/>
        </w:rPr>
        <w:t xml:space="preserve">such as population growth </w:t>
      </w:r>
      <w:r w:rsidR="00D47BCD" w:rsidRPr="009B783C">
        <w:rPr>
          <w:szCs w:val="21"/>
        </w:rPr>
        <w:t xml:space="preserve">and </w:t>
      </w:r>
      <w:r w:rsidR="000F7E19" w:rsidRPr="009B783C">
        <w:rPr>
          <w:szCs w:val="21"/>
        </w:rPr>
        <w:t>improved community awareness</w:t>
      </w:r>
      <w:r w:rsidR="005D405C" w:rsidRPr="009B783C">
        <w:rPr>
          <w:szCs w:val="21"/>
        </w:rPr>
        <w:t>,</w:t>
      </w:r>
      <w:r w:rsidR="000F7E19" w:rsidRPr="009B783C">
        <w:rPr>
          <w:szCs w:val="21"/>
        </w:rPr>
        <w:t xml:space="preserve"> </w:t>
      </w:r>
      <w:r w:rsidR="00CE4299" w:rsidRPr="009B783C">
        <w:rPr>
          <w:szCs w:val="21"/>
        </w:rPr>
        <w:t>are not yet evident</w:t>
      </w:r>
      <w:r w:rsidR="00C34A72" w:rsidRPr="009B783C">
        <w:rPr>
          <w:szCs w:val="21"/>
        </w:rPr>
        <w:t xml:space="preserve">. </w:t>
      </w:r>
      <w:r w:rsidR="00B34D2C" w:rsidRPr="009B783C">
        <w:rPr>
          <w:szCs w:val="21"/>
        </w:rPr>
        <w:t xml:space="preserve">If all Medicare UCCs were operating at their </w:t>
      </w:r>
      <w:r w:rsidR="0062135B" w:rsidRPr="009B783C">
        <w:rPr>
          <w:szCs w:val="21"/>
        </w:rPr>
        <w:t>stable</w:t>
      </w:r>
      <w:r w:rsidR="00B34D2C" w:rsidRPr="009B783C">
        <w:rPr>
          <w:szCs w:val="21"/>
        </w:rPr>
        <w:t xml:space="preserve"> activity levels post-opening (referred to as the "annualised" estimate), the funding would be $</w:t>
      </w:r>
      <w:r w:rsidR="00BF4E26" w:rsidRPr="009B783C">
        <w:rPr>
          <w:szCs w:val="21"/>
        </w:rPr>
        <w:t>246.5</w:t>
      </w:r>
      <w:r w:rsidR="00B12618" w:rsidRPr="009B783C">
        <w:rPr>
          <w:szCs w:val="21"/>
        </w:rPr>
        <w:t>0</w:t>
      </w:r>
      <w:r w:rsidR="0016267C" w:rsidRPr="009B783C">
        <w:rPr>
          <w:szCs w:val="21"/>
        </w:rPr>
        <w:t xml:space="preserve"> </w:t>
      </w:r>
      <w:r w:rsidR="00B34D2C" w:rsidRPr="009B783C">
        <w:rPr>
          <w:szCs w:val="21"/>
        </w:rPr>
        <w:t>per presentation</w:t>
      </w:r>
      <w:r w:rsidR="00DD7B1E" w:rsidRPr="009B783C">
        <w:rPr>
          <w:szCs w:val="21"/>
        </w:rPr>
        <w:t>, e</w:t>
      </w:r>
      <w:r w:rsidR="00B616D8" w:rsidRPr="009B783C">
        <w:rPr>
          <w:szCs w:val="21"/>
        </w:rPr>
        <w:t xml:space="preserve">xcluding the </w:t>
      </w:r>
      <w:r w:rsidR="008F0C7D" w:rsidRPr="009B783C">
        <w:rPr>
          <w:szCs w:val="21"/>
        </w:rPr>
        <w:t>five</w:t>
      </w:r>
      <w:r w:rsidR="00B616D8" w:rsidRPr="009B783C">
        <w:rPr>
          <w:szCs w:val="21"/>
        </w:rPr>
        <w:t xml:space="preserve"> ACT Medicare UCCs, where MBS claims cannot be made, and the</w:t>
      </w:r>
      <w:r w:rsidR="00E64E0E" w:rsidRPr="009B783C">
        <w:rPr>
          <w:szCs w:val="21"/>
        </w:rPr>
        <w:t xml:space="preserve"> </w:t>
      </w:r>
      <w:r w:rsidR="005C4A59" w:rsidRPr="009B783C">
        <w:rPr>
          <w:szCs w:val="21"/>
        </w:rPr>
        <w:t xml:space="preserve">seven </w:t>
      </w:r>
      <w:r w:rsidR="00B616D8" w:rsidRPr="009B783C">
        <w:rPr>
          <w:szCs w:val="21"/>
        </w:rPr>
        <w:t>Medicare UCCs in which Module data, including MBS items, is not yet reported</w:t>
      </w:r>
      <w:r w:rsidR="000F2765" w:rsidRPr="009B783C">
        <w:rPr>
          <w:szCs w:val="21"/>
        </w:rPr>
        <w:t xml:space="preserve">. The </w:t>
      </w:r>
      <w:r w:rsidR="00B616D8" w:rsidRPr="009B783C">
        <w:rPr>
          <w:szCs w:val="21"/>
        </w:rPr>
        <w:t xml:space="preserve">annualised Australian Government's funding </w:t>
      </w:r>
      <w:r w:rsidR="000F2765" w:rsidRPr="009B783C">
        <w:rPr>
          <w:szCs w:val="21"/>
        </w:rPr>
        <w:t xml:space="preserve">across all Medicare UCCs </w:t>
      </w:r>
      <w:r w:rsidR="00B616D8" w:rsidRPr="009B783C">
        <w:rPr>
          <w:szCs w:val="21"/>
        </w:rPr>
        <w:t>is $</w:t>
      </w:r>
      <w:r w:rsidR="001C238F" w:rsidRPr="009B783C">
        <w:rPr>
          <w:szCs w:val="21"/>
        </w:rPr>
        <w:t>216</w:t>
      </w:r>
      <w:r w:rsidR="00B616D8" w:rsidRPr="009B783C">
        <w:rPr>
          <w:szCs w:val="21"/>
        </w:rPr>
        <w:t xml:space="preserve"> per presentation.</w:t>
      </w:r>
      <w:r w:rsidR="00B17982" w:rsidRPr="009B783C">
        <w:rPr>
          <w:szCs w:val="21"/>
        </w:rPr>
        <w:t xml:space="preserve"> This value also varies across different subsets of Medicare UCC presentations. For example, for the 63 Medicare UCCs, the value is $248 per presentation where it is reported the patient would have attended an ED or called an ambulance if the Medicare UCC was not available.</w:t>
      </w:r>
    </w:p>
    <w:p w14:paraId="48D6F2B2" w14:textId="77777777" w:rsidR="00521967" w:rsidRPr="009B783C" w:rsidRDefault="00521967" w:rsidP="00444910">
      <w:pPr>
        <w:pStyle w:val="Caption"/>
        <w:rPr>
          <w:szCs w:val="21"/>
        </w:rPr>
        <w:sectPr w:rsidR="00521967" w:rsidRPr="009B783C" w:rsidSect="00737B1C">
          <w:type w:val="continuous"/>
          <w:pgSz w:w="11907" w:h="16839" w:code="9"/>
          <w:pgMar w:top="1247" w:right="1418" w:bottom="1276" w:left="1559" w:header="720" w:footer="720" w:gutter="0"/>
          <w:cols w:space="720"/>
          <w:docGrid w:linePitch="360"/>
        </w:sectPr>
      </w:pPr>
      <w:bookmarkStart w:id="191" w:name="_Ref185410322"/>
    </w:p>
    <w:p w14:paraId="00302477" w14:textId="328ABB01" w:rsidR="00497270" w:rsidRPr="009B783C" w:rsidRDefault="00B34D2C" w:rsidP="00444910">
      <w:pPr>
        <w:pStyle w:val="Caption"/>
        <w:rPr>
          <w:szCs w:val="21"/>
        </w:rPr>
      </w:pPr>
      <w:bookmarkStart w:id="192" w:name="_Ref189770648"/>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6565">
        <w:rPr>
          <w:noProof/>
          <w:szCs w:val="21"/>
        </w:rPr>
        <w:t>16</w:t>
      </w:r>
      <w:r w:rsidRPr="009B783C">
        <w:rPr>
          <w:szCs w:val="21"/>
        </w:rPr>
        <w:fldChar w:fldCharType="end"/>
      </w:r>
      <w:bookmarkEnd w:id="191"/>
      <w:bookmarkEnd w:id="192"/>
      <w:r w:rsidR="00444910" w:rsidRPr="009B783C">
        <w:rPr>
          <w:szCs w:val="21"/>
        </w:rPr>
        <w:t xml:space="preserve"> | Estimates of </w:t>
      </w:r>
      <w:r w:rsidR="00980150" w:rsidRPr="009B783C">
        <w:rPr>
          <w:szCs w:val="21"/>
        </w:rPr>
        <w:t>g</w:t>
      </w:r>
      <w:r w:rsidR="00444910" w:rsidRPr="009B783C">
        <w:rPr>
          <w:szCs w:val="21"/>
        </w:rPr>
        <w:t xml:space="preserve">overnment funding support per presentation for Medicare UCCs </w:t>
      </w:r>
    </w:p>
    <w:tbl>
      <w:tblPr>
        <w:tblW w:w="5000" w:type="pct"/>
        <w:tblLook w:val="0420" w:firstRow="1" w:lastRow="0" w:firstColumn="0" w:lastColumn="0" w:noHBand="0" w:noVBand="1"/>
      </w:tblPr>
      <w:tblGrid>
        <w:gridCol w:w="1702"/>
        <w:gridCol w:w="2266"/>
        <w:gridCol w:w="1187"/>
        <w:gridCol w:w="1695"/>
        <w:gridCol w:w="2486"/>
        <w:gridCol w:w="2486"/>
        <w:gridCol w:w="2484"/>
      </w:tblGrid>
      <w:tr w:rsidR="00521967" w:rsidRPr="009B783C" w14:paraId="07046DE2" w14:textId="77777777" w:rsidTr="00521967">
        <w:trPr>
          <w:tblHeader/>
        </w:trPr>
        <w:tc>
          <w:tcPr>
            <w:tcW w:w="595" w:type="pct"/>
            <w:tcBorders>
              <w:top w:val="single" w:sz="8" w:space="0" w:color="FFFFFF"/>
              <w:left w:val="none" w:sz="0" w:space="0" w:color="000000"/>
              <w:bottom w:val="single" w:sz="4" w:space="0" w:color="00264D" w:themeColor="background2"/>
              <w:right w:val="single" w:sz="8" w:space="0" w:color="FFFFFF"/>
            </w:tcBorders>
            <w:shd w:val="clear" w:color="auto" w:fill="00264D" w:themeFill="background2"/>
            <w:vAlign w:val="center"/>
          </w:tcPr>
          <w:p w14:paraId="1DB4851C" w14:textId="569601A3" w:rsidR="005A78EE" w:rsidRPr="009B783C" w:rsidRDefault="00521967" w:rsidP="00521967">
            <w:pPr>
              <w:pStyle w:val="TableNheader"/>
              <w:rPr>
                <w:rFonts w:eastAsia="Segoe UI Semibold"/>
              </w:rPr>
            </w:pPr>
            <w:r w:rsidRPr="009B783C">
              <w:rPr>
                <w:rFonts w:eastAsia="Segoe UI Semibold"/>
              </w:rPr>
              <w:t>Time period</w:t>
            </w:r>
          </w:p>
        </w:tc>
        <w:tc>
          <w:tcPr>
            <w:tcW w:w="792" w:type="pct"/>
            <w:tcBorders>
              <w:top w:val="single" w:sz="8" w:space="0" w:color="FFFFFF"/>
              <w:left w:val="none" w:sz="0" w:space="0" w:color="000000"/>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406B2956" w14:textId="7C427CA3" w:rsidR="005A78EE" w:rsidRPr="009B783C" w:rsidRDefault="005A78EE" w:rsidP="00521967">
            <w:pPr>
              <w:pStyle w:val="TableNheader"/>
            </w:pPr>
            <w:r w:rsidRPr="009B783C">
              <w:rPr>
                <w:rFonts w:eastAsia="Segoe UI Semibold"/>
              </w:rPr>
              <w:t>Period analysed/ Medicare UCC group</w:t>
            </w:r>
          </w:p>
        </w:tc>
        <w:tc>
          <w:tcPr>
            <w:tcW w:w="415"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6A1DAE71" w14:textId="3CAC7A7E" w:rsidR="005A78EE" w:rsidRPr="009B783C" w:rsidRDefault="005A78EE" w:rsidP="00521967">
            <w:pPr>
              <w:pStyle w:val="TableNheader"/>
            </w:pPr>
            <w:r w:rsidRPr="009B783C">
              <w:rPr>
                <w:rFonts w:eastAsia="Segoe UI Semibold"/>
              </w:rPr>
              <w:t>Clinics</w:t>
            </w:r>
          </w:p>
        </w:tc>
        <w:tc>
          <w:tcPr>
            <w:tcW w:w="592"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0FBA1BF7" w14:textId="3FE40DC3" w:rsidR="005A78EE" w:rsidRPr="009B783C" w:rsidRDefault="005A78EE" w:rsidP="00521967">
            <w:pPr>
              <w:pStyle w:val="TableNheader"/>
            </w:pPr>
            <w:r w:rsidRPr="009B783C">
              <w:rPr>
                <w:rFonts w:eastAsia="Segoe UI Semibold"/>
              </w:rPr>
              <w:t>Presentations</w:t>
            </w:r>
          </w:p>
        </w:tc>
        <w:tc>
          <w:tcPr>
            <w:tcW w:w="869"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71CF9052" w14:textId="0FD87B16" w:rsidR="005A78EE" w:rsidRPr="009B783C" w:rsidRDefault="005A78EE" w:rsidP="00521967">
            <w:pPr>
              <w:pStyle w:val="TableNheader"/>
            </w:pPr>
            <w:r w:rsidRPr="009B783C">
              <w:rPr>
                <w:rFonts w:eastAsia="Segoe UI Semibold"/>
              </w:rPr>
              <w:t>Australian Government funding per presentation $, Grants</w:t>
            </w:r>
          </w:p>
        </w:tc>
        <w:tc>
          <w:tcPr>
            <w:tcW w:w="869"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42E07F78" w14:textId="3B5B7E4F" w:rsidR="005A78EE" w:rsidRPr="009B783C" w:rsidRDefault="005A78EE" w:rsidP="00521967">
            <w:pPr>
              <w:pStyle w:val="TableNheader"/>
            </w:pPr>
            <w:r w:rsidRPr="009B783C">
              <w:rPr>
                <w:rFonts w:eastAsia="Segoe UI Semibold"/>
              </w:rPr>
              <w:t>Australian Government funding per presentation $, Estimated MBS</w:t>
            </w:r>
          </w:p>
        </w:tc>
        <w:tc>
          <w:tcPr>
            <w:tcW w:w="868"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3986E4CD" w14:textId="6BF65D25" w:rsidR="005A78EE" w:rsidRPr="009B783C" w:rsidRDefault="005A78EE" w:rsidP="00521967">
            <w:pPr>
              <w:pStyle w:val="TableNheader"/>
            </w:pPr>
            <w:r w:rsidRPr="009B783C">
              <w:rPr>
                <w:rFonts w:eastAsia="Segoe UI Semibold"/>
              </w:rPr>
              <w:t>Australian Government funding per presentation $, Total</w:t>
            </w:r>
          </w:p>
        </w:tc>
      </w:tr>
      <w:tr w:rsidR="00521967" w:rsidRPr="009B783C" w14:paraId="1B0430F6"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202287FF" w14:textId="7A37384A" w:rsidR="005A78EE" w:rsidRPr="009B783C" w:rsidRDefault="00521967" w:rsidP="00980150">
            <w:pPr>
              <w:pStyle w:val="TableNText"/>
              <w:rPr>
                <w:sz w:val="21"/>
                <w:szCs w:val="21"/>
              </w:rPr>
            </w:pPr>
            <w:r w:rsidRPr="009B783C">
              <w:rPr>
                <w:rFonts w:asciiTheme="majorHAnsi" w:hAnsiTheme="majorHAnsi" w:cstheme="majorHAnsi"/>
                <w:sz w:val="21"/>
                <w:szCs w:val="21"/>
              </w:rPr>
              <w:t>2023-24 quarters three and four</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A3D5FA4" w14:textId="0C5B2837" w:rsidR="005A78EE" w:rsidRPr="009B783C" w:rsidRDefault="005A78EE" w:rsidP="00980150">
            <w:pPr>
              <w:pStyle w:val="TableNText"/>
              <w:rPr>
                <w:sz w:val="21"/>
                <w:szCs w:val="21"/>
              </w:rPr>
            </w:pPr>
            <w:r w:rsidRPr="009B783C">
              <w:rPr>
                <w:sz w:val="21"/>
                <w:szCs w:val="21"/>
              </w:rPr>
              <w:t>Medicare UCCs where Module and MBS was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F8AFE5B" w14:textId="7458A242" w:rsidR="005A78EE" w:rsidRPr="009B783C" w:rsidRDefault="005A78EE" w:rsidP="00980150">
            <w:pPr>
              <w:pStyle w:val="TableNText"/>
              <w:jc w:val="center"/>
              <w:rPr>
                <w:sz w:val="21"/>
                <w:szCs w:val="21"/>
              </w:rPr>
            </w:pPr>
            <w:r w:rsidRPr="009B783C">
              <w:rPr>
                <w:sz w:val="21"/>
                <w:szCs w:val="21"/>
              </w:rPr>
              <w:t>53</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24CB27E" w14:textId="0755C560" w:rsidR="005A78EE" w:rsidRPr="009B783C" w:rsidRDefault="005A78EE" w:rsidP="00980150">
            <w:pPr>
              <w:pStyle w:val="TableNText"/>
              <w:jc w:val="center"/>
              <w:rPr>
                <w:sz w:val="21"/>
                <w:szCs w:val="21"/>
              </w:rPr>
            </w:pPr>
            <w:r w:rsidRPr="009B783C">
              <w:rPr>
                <w:sz w:val="21"/>
                <w:szCs w:val="21"/>
              </w:rPr>
              <w:t>330,402</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3683F8C" w14:textId="0081B00C" w:rsidR="005A78EE" w:rsidRPr="009B783C" w:rsidRDefault="005A78EE" w:rsidP="00980150">
            <w:pPr>
              <w:pStyle w:val="TableNText"/>
              <w:jc w:val="center"/>
              <w:rPr>
                <w:sz w:val="21"/>
                <w:szCs w:val="21"/>
              </w:rPr>
            </w:pPr>
            <w:r w:rsidRPr="009B783C">
              <w:rPr>
                <w:sz w:val="21"/>
                <w:szCs w:val="21"/>
              </w:rPr>
              <w:t>289.7</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15ACB68" w14:textId="0A4B6A5E" w:rsidR="005A78EE" w:rsidRPr="009B783C" w:rsidRDefault="005A78EE" w:rsidP="00980150">
            <w:pPr>
              <w:pStyle w:val="TableNText"/>
              <w:jc w:val="center"/>
              <w:rPr>
                <w:sz w:val="21"/>
                <w:szCs w:val="21"/>
              </w:rPr>
            </w:pPr>
            <w:r w:rsidRPr="009B783C">
              <w:rPr>
                <w:sz w:val="21"/>
                <w:szCs w:val="21"/>
              </w:rPr>
              <w:t>83.4</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33A34B0" w14:textId="0A3C5FDC" w:rsidR="005A78EE" w:rsidRPr="009B783C" w:rsidRDefault="005A78EE" w:rsidP="00980150">
            <w:pPr>
              <w:pStyle w:val="TableNText"/>
              <w:jc w:val="center"/>
              <w:rPr>
                <w:sz w:val="21"/>
                <w:szCs w:val="21"/>
              </w:rPr>
            </w:pPr>
            <w:r w:rsidRPr="009B783C">
              <w:rPr>
                <w:sz w:val="21"/>
                <w:szCs w:val="21"/>
              </w:rPr>
              <w:t>373.1</w:t>
            </w:r>
          </w:p>
        </w:tc>
      </w:tr>
      <w:tr w:rsidR="00521967" w:rsidRPr="009B783C" w14:paraId="27050467"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225ABFF4" w14:textId="33776066" w:rsidR="005A78EE" w:rsidRPr="009B783C" w:rsidRDefault="00521967" w:rsidP="00980150">
            <w:pPr>
              <w:pStyle w:val="TableNText"/>
              <w:rPr>
                <w:sz w:val="21"/>
                <w:szCs w:val="21"/>
              </w:rPr>
            </w:pPr>
            <w:r w:rsidRPr="009B783C">
              <w:rPr>
                <w:rFonts w:asciiTheme="majorHAnsi" w:hAnsiTheme="majorHAnsi" w:cstheme="majorHAnsi"/>
                <w:sz w:val="21"/>
                <w:szCs w:val="21"/>
              </w:rPr>
              <w:t>2023-24 quarters three and four</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AD70BF0" w14:textId="7D00CA38" w:rsidR="005A78EE" w:rsidRPr="009B783C" w:rsidRDefault="005A78EE" w:rsidP="00980150">
            <w:pPr>
              <w:pStyle w:val="TableNText"/>
              <w:rPr>
                <w:sz w:val="21"/>
                <w:szCs w:val="21"/>
              </w:rPr>
            </w:pPr>
            <w:r w:rsidRPr="009B783C">
              <w:rPr>
                <w:sz w:val="21"/>
                <w:szCs w:val="21"/>
              </w:rPr>
              <w:t>ACT Medicare UCCs</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6F19CFF" w14:textId="49363361" w:rsidR="005A78EE" w:rsidRPr="009B783C" w:rsidRDefault="005A78EE" w:rsidP="00980150">
            <w:pPr>
              <w:pStyle w:val="TableNText"/>
              <w:jc w:val="center"/>
              <w:rPr>
                <w:sz w:val="21"/>
                <w:szCs w:val="21"/>
              </w:rPr>
            </w:pPr>
            <w:r w:rsidRPr="009B783C">
              <w:rPr>
                <w:sz w:val="21"/>
                <w:szCs w:val="21"/>
              </w:rPr>
              <w:t>5</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E20E64A" w14:textId="3F5DF820" w:rsidR="005A78EE" w:rsidRPr="009B783C" w:rsidRDefault="005A78EE" w:rsidP="00980150">
            <w:pPr>
              <w:pStyle w:val="TableNText"/>
              <w:jc w:val="center"/>
              <w:rPr>
                <w:sz w:val="21"/>
                <w:szCs w:val="21"/>
              </w:rPr>
            </w:pPr>
            <w:r w:rsidRPr="009B783C">
              <w:rPr>
                <w:sz w:val="21"/>
                <w:szCs w:val="21"/>
              </w:rPr>
              <w:t>63,903</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F2F5DE7" w14:textId="1304CABB" w:rsidR="005A78EE" w:rsidRPr="009B783C" w:rsidRDefault="005A78EE" w:rsidP="00980150">
            <w:pPr>
              <w:pStyle w:val="TableNText"/>
              <w:jc w:val="center"/>
              <w:rPr>
                <w:sz w:val="21"/>
                <w:szCs w:val="21"/>
              </w:rPr>
            </w:pPr>
            <w:r w:rsidRPr="009B783C">
              <w:rPr>
                <w:sz w:val="21"/>
                <w:szCs w:val="21"/>
              </w:rPr>
              <w:t>40.2</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7324987" w14:textId="39E21903" w:rsidR="005A78EE" w:rsidRPr="009B783C" w:rsidRDefault="005A78EE" w:rsidP="00980150">
            <w:pPr>
              <w:pStyle w:val="TableNText"/>
              <w:jc w:val="center"/>
              <w:rPr>
                <w:sz w:val="21"/>
                <w:szCs w:val="21"/>
              </w:rPr>
            </w:pPr>
            <w:r w:rsidRPr="009B783C">
              <w:rPr>
                <w:sz w:val="21"/>
                <w:szCs w:val="21"/>
              </w:rPr>
              <w:t>0.0</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F3B7504" w14:textId="31E660F5" w:rsidR="005A78EE" w:rsidRPr="009B783C" w:rsidRDefault="005A78EE" w:rsidP="00980150">
            <w:pPr>
              <w:pStyle w:val="TableNText"/>
              <w:jc w:val="center"/>
              <w:rPr>
                <w:sz w:val="21"/>
                <w:szCs w:val="21"/>
              </w:rPr>
            </w:pPr>
            <w:r w:rsidRPr="009B783C">
              <w:rPr>
                <w:sz w:val="21"/>
                <w:szCs w:val="21"/>
              </w:rPr>
              <w:t>40.2</w:t>
            </w:r>
          </w:p>
        </w:tc>
      </w:tr>
      <w:tr w:rsidR="00521967" w:rsidRPr="009B783C" w14:paraId="2F21D16E"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25D502BA" w14:textId="05BA0A17" w:rsidR="005A78EE" w:rsidRPr="009B783C" w:rsidRDefault="00521967"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2023-24 quarters three and four</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686B744" w14:textId="6E7F5461" w:rsidR="005A78EE" w:rsidRPr="009B783C" w:rsidRDefault="005A78EE"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Total</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93168FE" w14:textId="6E225AD0"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58</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795C870" w14:textId="3702C62A"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394,305</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8376DBE" w14:textId="0079029E"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249.2</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179F202" w14:textId="3D661435"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69.9</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E46045B" w14:textId="10220090"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319.1</w:t>
            </w:r>
          </w:p>
        </w:tc>
      </w:tr>
      <w:tr w:rsidR="00521967" w:rsidRPr="009B783C" w14:paraId="7EF109BD"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53319095" w14:textId="1B0039FA" w:rsidR="005A78EE" w:rsidRPr="009B783C" w:rsidRDefault="00521967" w:rsidP="00980150">
            <w:pPr>
              <w:pStyle w:val="TableNText"/>
              <w:rPr>
                <w:sz w:val="21"/>
                <w:szCs w:val="21"/>
              </w:rPr>
            </w:pPr>
            <w:r w:rsidRPr="009B783C">
              <w:rPr>
                <w:rFonts w:asciiTheme="majorHAnsi" w:hAnsiTheme="majorHAnsi" w:cstheme="majorHAnsi"/>
                <w:sz w:val="21"/>
                <w:szCs w:val="21"/>
              </w:rPr>
              <w:t>2024-25 quarter one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2690AEE" w14:textId="27DC8D9D" w:rsidR="005A78EE" w:rsidRPr="009B783C" w:rsidRDefault="005A78EE" w:rsidP="00980150">
            <w:pPr>
              <w:pStyle w:val="TableNText"/>
              <w:rPr>
                <w:sz w:val="21"/>
                <w:szCs w:val="21"/>
              </w:rPr>
            </w:pPr>
            <w:r w:rsidRPr="009B783C">
              <w:rPr>
                <w:sz w:val="21"/>
                <w:szCs w:val="21"/>
              </w:rPr>
              <w:t>Medicare UCCs where Module and MBS was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2D52D7F" w14:textId="1E147751" w:rsidR="005A78EE" w:rsidRPr="009B783C" w:rsidRDefault="005A78EE" w:rsidP="00980150">
            <w:pPr>
              <w:pStyle w:val="TableNText"/>
              <w:jc w:val="center"/>
              <w:rPr>
                <w:sz w:val="21"/>
                <w:szCs w:val="21"/>
              </w:rPr>
            </w:pPr>
            <w:r w:rsidRPr="009B783C">
              <w:rPr>
                <w:sz w:val="21"/>
                <w:szCs w:val="21"/>
              </w:rPr>
              <w:t>63</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73F1D3B" w14:textId="1232246A" w:rsidR="005A78EE" w:rsidRPr="009B783C" w:rsidRDefault="005A78EE" w:rsidP="00980150">
            <w:pPr>
              <w:pStyle w:val="TableNText"/>
              <w:jc w:val="center"/>
              <w:rPr>
                <w:sz w:val="21"/>
                <w:szCs w:val="21"/>
              </w:rPr>
            </w:pPr>
            <w:r w:rsidRPr="009B783C">
              <w:rPr>
                <w:sz w:val="21"/>
                <w:szCs w:val="21"/>
              </w:rPr>
              <w:t>193,365</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B512DD6" w14:textId="28ABB3A7" w:rsidR="005A78EE" w:rsidRPr="009B783C" w:rsidRDefault="005A78EE" w:rsidP="00980150">
            <w:pPr>
              <w:pStyle w:val="TableNText"/>
              <w:jc w:val="center"/>
              <w:rPr>
                <w:sz w:val="21"/>
                <w:szCs w:val="21"/>
              </w:rPr>
            </w:pPr>
            <w:r w:rsidRPr="009B783C">
              <w:rPr>
                <w:sz w:val="21"/>
                <w:szCs w:val="21"/>
              </w:rPr>
              <w:t>176.5</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4584D92" w14:textId="5E17C989" w:rsidR="005A78EE" w:rsidRPr="009B783C" w:rsidRDefault="005A78EE" w:rsidP="00980150">
            <w:pPr>
              <w:pStyle w:val="TableNText"/>
              <w:jc w:val="center"/>
              <w:rPr>
                <w:sz w:val="21"/>
                <w:szCs w:val="21"/>
              </w:rPr>
            </w:pPr>
            <w:r w:rsidRPr="009B783C">
              <w:rPr>
                <w:sz w:val="21"/>
                <w:szCs w:val="21"/>
              </w:rPr>
              <w:t>84.2</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AA4CA48" w14:textId="519B6BA1" w:rsidR="005A78EE" w:rsidRPr="009B783C" w:rsidRDefault="005A78EE" w:rsidP="00980150">
            <w:pPr>
              <w:pStyle w:val="TableNText"/>
              <w:jc w:val="center"/>
              <w:rPr>
                <w:sz w:val="21"/>
                <w:szCs w:val="21"/>
              </w:rPr>
            </w:pPr>
            <w:r w:rsidRPr="009B783C">
              <w:rPr>
                <w:sz w:val="21"/>
                <w:szCs w:val="21"/>
              </w:rPr>
              <w:t>260.7</w:t>
            </w:r>
          </w:p>
        </w:tc>
      </w:tr>
      <w:tr w:rsidR="00521967" w:rsidRPr="009B783C" w14:paraId="02F8C7CB"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76D3BCD0" w14:textId="72BCDA6C" w:rsidR="005A78EE" w:rsidRPr="009B783C" w:rsidRDefault="00521967" w:rsidP="00980150">
            <w:pPr>
              <w:pStyle w:val="TableNText"/>
              <w:rPr>
                <w:sz w:val="21"/>
                <w:szCs w:val="21"/>
              </w:rPr>
            </w:pPr>
            <w:r w:rsidRPr="009B783C">
              <w:rPr>
                <w:rFonts w:asciiTheme="majorHAnsi" w:hAnsiTheme="majorHAnsi" w:cstheme="majorHAnsi"/>
                <w:sz w:val="21"/>
                <w:szCs w:val="21"/>
              </w:rPr>
              <w:t>2024-25 quarter one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00F92D9" w14:textId="710563D4" w:rsidR="005A78EE" w:rsidRPr="009B783C" w:rsidRDefault="005A78EE" w:rsidP="00980150">
            <w:pPr>
              <w:pStyle w:val="TableNText"/>
              <w:rPr>
                <w:sz w:val="21"/>
                <w:szCs w:val="21"/>
              </w:rPr>
            </w:pPr>
            <w:r w:rsidRPr="009B783C">
              <w:rPr>
                <w:sz w:val="21"/>
                <w:szCs w:val="21"/>
              </w:rPr>
              <w:t>ACT Medicare UCCs</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081339F" w14:textId="527CD7AE" w:rsidR="005A78EE" w:rsidRPr="009B783C" w:rsidRDefault="005A78EE" w:rsidP="00980150">
            <w:pPr>
              <w:pStyle w:val="TableNText"/>
              <w:jc w:val="center"/>
              <w:rPr>
                <w:sz w:val="21"/>
                <w:szCs w:val="21"/>
              </w:rPr>
            </w:pPr>
            <w:r w:rsidRPr="009B783C">
              <w:rPr>
                <w:sz w:val="21"/>
                <w:szCs w:val="21"/>
              </w:rPr>
              <w:t>5</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7A63BB9" w14:textId="1A6B0009" w:rsidR="005A78EE" w:rsidRPr="009B783C" w:rsidRDefault="005A78EE" w:rsidP="00980150">
            <w:pPr>
              <w:pStyle w:val="TableNText"/>
              <w:jc w:val="center"/>
              <w:rPr>
                <w:sz w:val="21"/>
                <w:szCs w:val="21"/>
              </w:rPr>
            </w:pPr>
            <w:r w:rsidRPr="009B783C">
              <w:rPr>
                <w:sz w:val="21"/>
                <w:szCs w:val="21"/>
              </w:rPr>
              <w:t>32,763</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F4DEB1F" w14:textId="15ED1A3C" w:rsidR="005A78EE" w:rsidRPr="009B783C" w:rsidRDefault="005A78EE" w:rsidP="00980150">
            <w:pPr>
              <w:pStyle w:val="TableNText"/>
              <w:jc w:val="center"/>
              <w:rPr>
                <w:sz w:val="21"/>
                <w:szCs w:val="21"/>
              </w:rPr>
            </w:pPr>
            <w:r w:rsidRPr="009B783C">
              <w:rPr>
                <w:sz w:val="21"/>
                <w:szCs w:val="21"/>
              </w:rPr>
              <w:t>28.6</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B41BF9B" w14:textId="441435C8" w:rsidR="005A78EE" w:rsidRPr="009B783C" w:rsidRDefault="005A78EE" w:rsidP="00980150">
            <w:pPr>
              <w:pStyle w:val="TableNText"/>
              <w:jc w:val="center"/>
              <w:rPr>
                <w:sz w:val="21"/>
                <w:szCs w:val="21"/>
              </w:rPr>
            </w:pPr>
            <w:r w:rsidRPr="009B783C">
              <w:rPr>
                <w:sz w:val="21"/>
                <w:szCs w:val="21"/>
              </w:rPr>
              <w:t>0.0</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46071C2" w14:textId="56600628" w:rsidR="005A78EE" w:rsidRPr="009B783C" w:rsidRDefault="005A78EE" w:rsidP="00980150">
            <w:pPr>
              <w:pStyle w:val="TableNText"/>
              <w:jc w:val="center"/>
              <w:rPr>
                <w:sz w:val="21"/>
                <w:szCs w:val="21"/>
              </w:rPr>
            </w:pPr>
            <w:r w:rsidRPr="009B783C">
              <w:rPr>
                <w:sz w:val="21"/>
                <w:szCs w:val="21"/>
              </w:rPr>
              <w:t>28.6</w:t>
            </w:r>
          </w:p>
        </w:tc>
      </w:tr>
      <w:tr w:rsidR="00521967" w:rsidRPr="009B783C" w14:paraId="32356829"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5D84F59C" w14:textId="521460B0" w:rsidR="005A78EE" w:rsidRPr="009B783C" w:rsidRDefault="00521967" w:rsidP="00980150">
            <w:pPr>
              <w:pStyle w:val="TableNText"/>
              <w:rPr>
                <w:sz w:val="21"/>
                <w:szCs w:val="21"/>
              </w:rPr>
            </w:pPr>
            <w:r w:rsidRPr="009B783C">
              <w:rPr>
                <w:rFonts w:asciiTheme="majorHAnsi" w:hAnsiTheme="majorHAnsi" w:cstheme="majorHAnsi"/>
                <w:sz w:val="21"/>
                <w:szCs w:val="21"/>
              </w:rPr>
              <w:t>2024-25 quarter one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D155F96" w14:textId="5E2F7413" w:rsidR="005A78EE" w:rsidRPr="009B783C" w:rsidRDefault="005A78EE" w:rsidP="00980150">
            <w:pPr>
              <w:pStyle w:val="TableNText"/>
              <w:rPr>
                <w:sz w:val="21"/>
                <w:szCs w:val="21"/>
              </w:rPr>
            </w:pPr>
            <w:r w:rsidRPr="009B783C">
              <w:rPr>
                <w:sz w:val="21"/>
                <w:szCs w:val="21"/>
              </w:rPr>
              <w:t xml:space="preserve">Remote NT Medicare UCCs where Module </w:t>
            </w:r>
            <w:r w:rsidRPr="009B783C">
              <w:rPr>
                <w:sz w:val="21"/>
                <w:szCs w:val="21"/>
              </w:rPr>
              <w:lastRenderedPageBreak/>
              <w:t>and MBS was not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800B0BF" w14:textId="3CD917D4" w:rsidR="005A78EE" w:rsidRPr="009B783C" w:rsidRDefault="005A78EE" w:rsidP="00980150">
            <w:pPr>
              <w:pStyle w:val="TableNText"/>
              <w:jc w:val="center"/>
              <w:rPr>
                <w:sz w:val="21"/>
                <w:szCs w:val="21"/>
              </w:rPr>
            </w:pPr>
            <w:r w:rsidRPr="009B783C">
              <w:rPr>
                <w:sz w:val="21"/>
                <w:szCs w:val="21"/>
              </w:rPr>
              <w:lastRenderedPageBreak/>
              <w:t>3</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D896328" w14:textId="6F73FE0C" w:rsidR="005A78EE" w:rsidRPr="009B783C" w:rsidRDefault="005A78EE" w:rsidP="00980150">
            <w:pPr>
              <w:pStyle w:val="TableNText"/>
              <w:jc w:val="center"/>
              <w:rPr>
                <w:sz w:val="21"/>
                <w:szCs w:val="21"/>
              </w:rPr>
            </w:pPr>
            <w:r w:rsidRPr="009B783C">
              <w:rPr>
                <w:sz w:val="21"/>
                <w:szCs w:val="21"/>
              </w:rPr>
              <w:t>2,175</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AADD239" w14:textId="4FE610FD" w:rsidR="005A78EE" w:rsidRPr="009B783C" w:rsidRDefault="005A78EE" w:rsidP="00980150">
            <w:pPr>
              <w:pStyle w:val="TableNText"/>
              <w:jc w:val="center"/>
              <w:rPr>
                <w:sz w:val="21"/>
                <w:szCs w:val="21"/>
              </w:rPr>
            </w:pPr>
            <w:r w:rsidRPr="009B783C">
              <w:rPr>
                <w:sz w:val="21"/>
                <w:szCs w:val="21"/>
              </w:rPr>
              <w:t>292.6</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9667C45" w14:textId="482692DA" w:rsidR="005A78EE" w:rsidRPr="009B783C" w:rsidRDefault="005A78EE" w:rsidP="00980150">
            <w:pPr>
              <w:pStyle w:val="TableNText"/>
              <w:jc w:val="center"/>
              <w:rPr>
                <w:sz w:val="21"/>
                <w:szCs w:val="21"/>
              </w:rPr>
            </w:pPr>
            <w:r w:rsidRPr="009B783C">
              <w:rPr>
                <w:sz w:val="21"/>
                <w:szCs w:val="21"/>
              </w:rPr>
              <w:t>0.0</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BBA394E" w14:textId="0ADC7FFA" w:rsidR="005A78EE" w:rsidRPr="009B783C" w:rsidRDefault="005A78EE" w:rsidP="00980150">
            <w:pPr>
              <w:pStyle w:val="TableNText"/>
              <w:jc w:val="center"/>
              <w:rPr>
                <w:sz w:val="21"/>
                <w:szCs w:val="21"/>
              </w:rPr>
            </w:pPr>
            <w:r w:rsidRPr="009B783C">
              <w:rPr>
                <w:sz w:val="21"/>
                <w:szCs w:val="21"/>
              </w:rPr>
              <w:t>292.6</w:t>
            </w:r>
          </w:p>
        </w:tc>
      </w:tr>
      <w:tr w:rsidR="00521967" w:rsidRPr="009B783C" w14:paraId="0CB2C84D"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1DC8ADD8" w14:textId="72CE18BA" w:rsidR="005A78EE" w:rsidRPr="009B783C" w:rsidRDefault="00521967" w:rsidP="00980150">
            <w:pPr>
              <w:pStyle w:val="TableNText"/>
              <w:rPr>
                <w:sz w:val="21"/>
                <w:szCs w:val="21"/>
              </w:rPr>
            </w:pPr>
            <w:r w:rsidRPr="009B783C">
              <w:rPr>
                <w:rFonts w:asciiTheme="majorHAnsi" w:hAnsiTheme="majorHAnsi" w:cstheme="majorHAnsi"/>
                <w:sz w:val="21"/>
                <w:szCs w:val="21"/>
              </w:rPr>
              <w:t>2024-25 quarter one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5E9CC6E" w14:textId="26F4F0DA" w:rsidR="005A78EE" w:rsidRPr="009B783C" w:rsidRDefault="005A78EE" w:rsidP="00980150">
            <w:pPr>
              <w:pStyle w:val="TableNText"/>
              <w:rPr>
                <w:sz w:val="21"/>
                <w:szCs w:val="21"/>
              </w:rPr>
            </w:pPr>
            <w:r w:rsidRPr="009B783C">
              <w:rPr>
                <w:sz w:val="21"/>
                <w:szCs w:val="21"/>
              </w:rPr>
              <w:t>Other Medicare UCCs where Module and MBS was not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5546224" w14:textId="482657F0" w:rsidR="005A78EE" w:rsidRPr="009B783C" w:rsidRDefault="005A78EE" w:rsidP="00980150">
            <w:pPr>
              <w:pStyle w:val="TableNText"/>
              <w:jc w:val="center"/>
              <w:rPr>
                <w:sz w:val="21"/>
                <w:szCs w:val="21"/>
              </w:rPr>
            </w:pPr>
            <w:r w:rsidRPr="009B783C">
              <w:rPr>
                <w:sz w:val="21"/>
                <w:szCs w:val="21"/>
              </w:rPr>
              <w:t>4</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145D22E" w14:textId="02085BEC" w:rsidR="005A78EE" w:rsidRPr="009B783C" w:rsidRDefault="005A78EE" w:rsidP="00980150">
            <w:pPr>
              <w:pStyle w:val="TableNText"/>
              <w:jc w:val="center"/>
              <w:rPr>
                <w:sz w:val="21"/>
                <w:szCs w:val="21"/>
              </w:rPr>
            </w:pPr>
            <w:r w:rsidRPr="009B783C">
              <w:rPr>
                <w:sz w:val="21"/>
                <w:szCs w:val="21"/>
              </w:rPr>
              <w:t>4,175</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E9CCCAE" w14:textId="15BB1606" w:rsidR="005A78EE" w:rsidRPr="009B783C" w:rsidRDefault="005A78EE" w:rsidP="00980150">
            <w:pPr>
              <w:pStyle w:val="TableNText"/>
              <w:jc w:val="center"/>
              <w:rPr>
                <w:sz w:val="21"/>
                <w:szCs w:val="21"/>
              </w:rPr>
            </w:pPr>
            <w:r w:rsidRPr="009B783C">
              <w:rPr>
                <w:sz w:val="21"/>
                <w:szCs w:val="21"/>
              </w:rPr>
              <w:t>464.3</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065223B" w14:textId="45489AE1" w:rsidR="005A78EE" w:rsidRPr="009B783C" w:rsidRDefault="005A78EE" w:rsidP="00980150">
            <w:pPr>
              <w:pStyle w:val="TableNText"/>
              <w:jc w:val="center"/>
              <w:rPr>
                <w:sz w:val="21"/>
                <w:szCs w:val="21"/>
              </w:rPr>
            </w:pPr>
            <w:r w:rsidRPr="009B783C">
              <w:rPr>
                <w:sz w:val="21"/>
                <w:szCs w:val="21"/>
              </w:rPr>
              <w:t>84.2</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2DEE98F" w14:textId="0D6A8B26" w:rsidR="005A78EE" w:rsidRPr="009B783C" w:rsidRDefault="005A78EE" w:rsidP="00980150">
            <w:pPr>
              <w:pStyle w:val="TableNText"/>
              <w:jc w:val="center"/>
              <w:rPr>
                <w:sz w:val="21"/>
                <w:szCs w:val="21"/>
              </w:rPr>
            </w:pPr>
            <w:r w:rsidRPr="009B783C">
              <w:rPr>
                <w:sz w:val="21"/>
                <w:szCs w:val="21"/>
              </w:rPr>
              <w:t>548.5</w:t>
            </w:r>
          </w:p>
        </w:tc>
      </w:tr>
      <w:tr w:rsidR="00521967" w:rsidRPr="009B783C" w14:paraId="0FDDFA6E"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3355F69F" w14:textId="67977AC6" w:rsidR="005A78EE" w:rsidRPr="009B783C" w:rsidRDefault="00521967"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2024-25 quarter one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1BAF209" w14:textId="1E54B950" w:rsidR="005A78EE" w:rsidRPr="009B783C" w:rsidRDefault="005A78EE"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Total</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E428B9" w14:textId="4B68E960"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75</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AFB18CD" w14:textId="12CDE709"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232,478</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DF330E9" w14:textId="002511F9"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161.9</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5A83C94" w14:textId="292F3ECC"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71.6</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228BCC1" w14:textId="1488DA93"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233.5</w:t>
            </w:r>
          </w:p>
        </w:tc>
      </w:tr>
      <w:tr w:rsidR="00521967" w:rsidRPr="009B783C" w14:paraId="4B62754C"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66734595" w14:textId="4868E705" w:rsidR="005A78EE" w:rsidRPr="009B783C" w:rsidRDefault="00521967" w:rsidP="00980150">
            <w:pPr>
              <w:pStyle w:val="TableNText"/>
              <w:rPr>
                <w:sz w:val="21"/>
                <w:szCs w:val="21"/>
              </w:rPr>
            </w:pPr>
            <w:r w:rsidRPr="009B783C">
              <w:rPr>
                <w:rFonts w:asciiTheme="majorHAnsi" w:hAnsiTheme="majorHAnsi" w:cstheme="majorHAnsi"/>
                <w:sz w:val="21"/>
                <w:szCs w:val="21"/>
              </w:rPr>
              <w:t>Annualised estimate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40BD5B2" w14:textId="4AC79A32" w:rsidR="005A78EE" w:rsidRPr="009B783C" w:rsidRDefault="005A78EE" w:rsidP="00980150">
            <w:pPr>
              <w:pStyle w:val="TableNText"/>
              <w:rPr>
                <w:sz w:val="21"/>
                <w:szCs w:val="21"/>
              </w:rPr>
            </w:pPr>
            <w:r w:rsidRPr="009B783C">
              <w:rPr>
                <w:sz w:val="21"/>
                <w:szCs w:val="21"/>
              </w:rPr>
              <w:t>Medicare UCCs where Module and MBS was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511F909" w14:textId="23ACE632" w:rsidR="005A78EE" w:rsidRPr="009B783C" w:rsidRDefault="005A78EE" w:rsidP="00980150">
            <w:pPr>
              <w:pStyle w:val="TableNText"/>
              <w:jc w:val="center"/>
              <w:rPr>
                <w:sz w:val="21"/>
                <w:szCs w:val="21"/>
              </w:rPr>
            </w:pPr>
            <w:r w:rsidRPr="009B783C">
              <w:rPr>
                <w:sz w:val="21"/>
                <w:szCs w:val="21"/>
              </w:rPr>
              <w:t>63</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D8BB345" w14:textId="3B07D7B1" w:rsidR="005A78EE" w:rsidRPr="009B783C" w:rsidRDefault="005A78EE" w:rsidP="00980150">
            <w:pPr>
              <w:pStyle w:val="TableNText"/>
              <w:jc w:val="center"/>
              <w:rPr>
                <w:sz w:val="21"/>
                <w:szCs w:val="21"/>
              </w:rPr>
            </w:pPr>
            <w:r w:rsidRPr="009B783C">
              <w:rPr>
                <w:sz w:val="21"/>
                <w:szCs w:val="21"/>
              </w:rPr>
              <w:t>833,259</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3695892" w14:textId="36EA7EBD" w:rsidR="005A78EE" w:rsidRPr="009B783C" w:rsidRDefault="005A78EE" w:rsidP="00980150">
            <w:pPr>
              <w:pStyle w:val="TableNText"/>
              <w:jc w:val="center"/>
              <w:rPr>
                <w:sz w:val="21"/>
                <w:szCs w:val="21"/>
              </w:rPr>
            </w:pPr>
            <w:r w:rsidRPr="009B783C">
              <w:rPr>
                <w:sz w:val="21"/>
                <w:szCs w:val="21"/>
              </w:rPr>
              <w:t>163.8</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B77D8A5" w14:textId="5D0CDF8A" w:rsidR="005A78EE" w:rsidRPr="009B783C" w:rsidRDefault="005A78EE" w:rsidP="00980150">
            <w:pPr>
              <w:pStyle w:val="TableNText"/>
              <w:jc w:val="center"/>
              <w:rPr>
                <w:sz w:val="21"/>
                <w:szCs w:val="21"/>
              </w:rPr>
            </w:pPr>
            <w:r w:rsidRPr="009B783C">
              <w:rPr>
                <w:sz w:val="21"/>
                <w:szCs w:val="21"/>
              </w:rPr>
              <w:t>82.7</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FBEF24E" w14:textId="51E8AAE4" w:rsidR="005A78EE" w:rsidRPr="009B783C" w:rsidRDefault="005A78EE" w:rsidP="00980150">
            <w:pPr>
              <w:pStyle w:val="TableNText"/>
              <w:jc w:val="center"/>
              <w:rPr>
                <w:sz w:val="21"/>
                <w:szCs w:val="21"/>
              </w:rPr>
            </w:pPr>
            <w:r w:rsidRPr="009B783C">
              <w:rPr>
                <w:sz w:val="21"/>
                <w:szCs w:val="21"/>
              </w:rPr>
              <w:t>246.5</w:t>
            </w:r>
          </w:p>
        </w:tc>
      </w:tr>
      <w:tr w:rsidR="00521967" w:rsidRPr="009B783C" w14:paraId="1C4B99D1"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78CE3D7B" w14:textId="7B7383C1" w:rsidR="005A78EE" w:rsidRPr="009B783C" w:rsidRDefault="00521967" w:rsidP="00980150">
            <w:pPr>
              <w:pStyle w:val="TableNText"/>
              <w:rPr>
                <w:sz w:val="21"/>
                <w:szCs w:val="21"/>
              </w:rPr>
            </w:pPr>
            <w:r w:rsidRPr="009B783C">
              <w:rPr>
                <w:rFonts w:asciiTheme="majorHAnsi" w:hAnsiTheme="majorHAnsi" w:cstheme="majorHAnsi"/>
                <w:sz w:val="21"/>
                <w:szCs w:val="21"/>
              </w:rPr>
              <w:t>Annualised estimate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B3AD215" w14:textId="307AF9CF" w:rsidR="005A78EE" w:rsidRPr="009B783C" w:rsidRDefault="005A78EE" w:rsidP="00980150">
            <w:pPr>
              <w:pStyle w:val="TableNText"/>
              <w:rPr>
                <w:sz w:val="21"/>
                <w:szCs w:val="21"/>
              </w:rPr>
            </w:pPr>
            <w:r w:rsidRPr="009B783C">
              <w:rPr>
                <w:sz w:val="21"/>
                <w:szCs w:val="21"/>
              </w:rPr>
              <w:t>ACT Medicare UCCs</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A9A3191" w14:textId="65F0CD09" w:rsidR="005A78EE" w:rsidRPr="009B783C" w:rsidRDefault="005A78EE" w:rsidP="00980150">
            <w:pPr>
              <w:pStyle w:val="TableNText"/>
              <w:jc w:val="center"/>
              <w:rPr>
                <w:sz w:val="21"/>
                <w:szCs w:val="21"/>
              </w:rPr>
            </w:pPr>
            <w:r w:rsidRPr="009B783C">
              <w:rPr>
                <w:sz w:val="21"/>
                <w:szCs w:val="21"/>
              </w:rPr>
              <w:t>5</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86C5B85" w14:textId="61F6B4CC" w:rsidR="005A78EE" w:rsidRPr="009B783C" w:rsidRDefault="005A78EE" w:rsidP="00980150">
            <w:pPr>
              <w:pStyle w:val="TableNText"/>
              <w:jc w:val="center"/>
              <w:rPr>
                <w:sz w:val="21"/>
                <w:szCs w:val="21"/>
              </w:rPr>
            </w:pPr>
            <w:r w:rsidRPr="009B783C">
              <w:rPr>
                <w:sz w:val="21"/>
                <w:szCs w:val="21"/>
              </w:rPr>
              <w:t>128,796</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FFFE0F8" w14:textId="5082F0D7" w:rsidR="005A78EE" w:rsidRPr="009B783C" w:rsidRDefault="005A78EE" w:rsidP="00980150">
            <w:pPr>
              <w:pStyle w:val="TableNText"/>
              <w:jc w:val="center"/>
              <w:rPr>
                <w:sz w:val="21"/>
                <w:szCs w:val="21"/>
              </w:rPr>
            </w:pPr>
            <w:r w:rsidRPr="009B783C">
              <w:rPr>
                <w:sz w:val="21"/>
                <w:szCs w:val="21"/>
              </w:rPr>
              <w:t>29.1</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6667A44" w14:textId="4A5E562D" w:rsidR="005A78EE" w:rsidRPr="009B783C" w:rsidRDefault="005A78EE" w:rsidP="00980150">
            <w:pPr>
              <w:pStyle w:val="TableNText"/>
              <w:jc w:val="center"/>
              <w:rPr>
                <w:sz w:val="21"/>
                <w:szCs w:val="21"/>
              </w:rPr>
            </w:pPr>
            <w:r w:rsidRPr="009B783C">
              <w:rPr>
                <w:sz w:val="21"/>
                <w:szCs w:val="21"/>
              </w:rPr>
              <w:t>0.0</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46D3307" w14:textId="201CCFAC" w:rsidR="005A78EE" w:rsidRPr="009B783C" w:rsidRDefault="005A78EE" w:rsidP="00980150">
            <w:pPr>
              <w:pStyle w:val="TableNText"/>
              <w:jc w:val="center"/>
              <w:rPr>
                <w:sz w:val="21"/>
                <w:szCs w:val="21"/>
              </w:rPr>
            </w:pPr>
            <w:r w:rsidRPr="009B783C">
              <w:rPr>
                <w:sz w:val="21"/>
                <w:szCs w:val="21"/>
              </w:rPr>
              <w:t>29.1</w:t>
            </w:r>
          </w:p>
        </w:tc>
      </w:tr>
      <w:tr w:rsidR="00521967" w:rsidRPr="009B783C" w14:paraId="3533D3B8"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5E0020AF" w14:textId="19927442" w:rsidR="005A78EE" w:rsidRPr="009B783C" w:rsidRDefault="00521967" w:rsidP="00980150">
            <w:pPr>
              <w:pStyle w:val="TableNText"/>
              <w:rPr>
                <w:sz w:val="21"/>
                <w:szCs w:val="21"/>
              </w:rPr>
            </w:pPr>
            <w:r w:rsidRPr="009B783C">
              <w:rPr>
                <w:rFonts w:asciiTheme="majorHAnsi" w:hAnsiTheme="majorHAnsi" w:cstheme="majorHAnsi"/>
                <w:sz w:val="21"/>
                <w:szCs w:val="21"/>
              </w:rPr>
              <w:t>Annualised estimate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B58AD96" w14:textId="3F6342A2" w:rsidR="005A78EE" w:rsidRPr="009B783C" w:rsidRDefault="005A78EE" w:rsidP="00980150">
            <w:pPr>
              <w:pStyle w:val="TableNText"/>
              <w:rPr>
                <w:sz w:val="21"/>
                <w:szCs w:val="21"/>
              </w:rPr>
            </w:pPr>
            <w:r w:rsidRPr="009B783C">
              <w:rPr>
                <w:sz w:val="21"/>
                <w:szCs w:val="21"/>
              </w:rPr>
              <w:t>Remote NT Medicare UCCs where Module and MBS was not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40811FC" w14:textId="0C57AC5D" w:rsidR="005A78EE" w:rsidRPr="009B783C" w:rsidRDefault="005A78EE" w:rsidP="00980150">
            <w:pPr>
              <w:pStyle w:val="TableNText"/>
              <w:jc w:val="center"/>
              <w:rPr>
                <w:sz w:val="21"/>
                <w:szCs w:val="21"/>
              </w:rPr>
            </w:pPr>
            <w:r w:rsidRPr="009B783C">
              <w:rPr>
                <w:sz w:val="21"/>
                <w:szCs w:val="21"/>
              </w:rPr>
              <w:t>3</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4A6B6C1" w14:textId="1A7C2C14" w:rsidR="005A78EE" w:rsidRPr="009B783C" w:rsidRDefault="005A78EE" w:rsidP="00980150">
            <w:pPr>
              <w:pStyle w:val="TableNText"/>
              <w:jc w:val="center"/>
              <w:rPr>
                <w:sz w:val="21"/>
                <w:szCs w:val="21"/>
              </w:rPr>
            </w:pPr>
            <w:r w:rsidRPr="009B783C">
              <w:rPr>
                <w:sz w:val="21"/>
                <w:szCs w:val="21"/>
              </w:rPr>
              <w:t>13,567</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ABDEB84" w14:textId="28B3A8E6" w:rsidR="005A78EE" w:rsidRPr="009B783C" w:rsidRDefault="005A78EE" w:rsidP="00980150">
            <w:pPr>
              <w:pStyle w:val="TableNText"/>
              <w:jc w:val="center"/>
              <w:rPr>
                <w:sz w:val="21"/>
                <w:szCs w:val="21"/>
              </w:rPr>
            </w:pPr>
            <w:r w:rsidRPr="009B783C">
              <w:rPr>
                <w:sz w:val="21"/>
                <w:szCs w:val="21"/>
              </w:rPr>
              <w:t>187.6</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012C40" w14:textId="0F634AC9" w:rsidR="005A78EE" w:rsidRPr="009B783C" w:rsidRDefault="005A78EE" w:rsidP="00980150">
            <w:pPr>
              <w:pStyle w:val="TableNText"/>
              <w:jc w:val="center"/>
              <w:rPr>
                <w:sz w:val="21"/>
                <w:szCs w:val="21"/>
              </w:rPr>
            </w:pPr>
            <w:r w:rsidRPr="009B783C">
              <w:rPr>
                <w:sz w:val="21"/>
                <w:szCs w:val="21"/>
              </w:rPr>
              <w:t>0.0</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F0B727C" w14:textId="6F38C294" w:rsidR="005A78EE" w:rsidRPr="009B783C" w:rsidRDefault="005A78EE" w:rsidP="00980150">
            <w:pPr>
              <w:pStyle w:val="TableNText"/>
              <w:jc w:val="center"/>
              <w:rPr>
                <w:sz w:val="21"/>
                <w:szCs w:val="21"/>
              </w:rPr>
            </w:pPr>
            <w:r w:rsidRPr="009B783C">
              <w:rPr>
                <w:sz w:val="21"/>
                <w:szCs w:val="21"/>
              </w:rPr>
              <w:t>187.6</w:t>
            </w:r>
          </w:p>
        </w:tc>
      </w:tr>
      <w:tr w:rsidR="00521967" w:rsidRPr="009B783C" w14:paraId="48684934"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420A9DB9" w14:textId="2282C63E" w:rsidR="005A78EE" w:rsidRPr="009B783C" w:rsidRDefault="00521967" w:rsidP="00980150">
            <w:pPr>
              <w:pStyle w:val="TableNText"/>
              <w:rPr>
                <w:sz w:val="21"/>
                <w:szCs w:val="21"/>
              </w:rPr>
            </w:pPr>
            <w:r w:rsidRPr="009B783C">
              <w:rPr>
                <w:rFonts w:asciiTheme="majorHAnsi" w:hAnsiTheme="majorHAnsi" w:cstheme="majorHAnsi"/>
                <w:sz w:val="21"/>
                <w:szCs w:val="21"/>
              </w:rPr>
              <w:lastRenderedPageBreak/>
              <w:t>Annualised estimate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04DF710" w14:textId="14C41948" w:rsidR="005A78EE" w:rsidRPr="009B783C" w:rsidRDefault="005A78EE" w:rsidP="00980150">
            <w:pPr>
              <w:pStyle w:val="TableNText"/>
              <w:rPr>
                <w:sz w:val="21"/>
                <w:szCs w:val="21"/>
              </w:rPr>
            </w:pPr>
            <w:r w:rsidRPr="009B783C">
              <w:rPr>
                <w:sz w:val="21"/>
                <w:szCs w:val="21"/>
              </w:rPr>
              <w:t>Other Medicare UCCs where Module and MBS was not reported</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A0BE3A5" w14:textId="6F8DA57E" w:rsidR="005A78EE" w:rsidRPr="009B783C" w:rsidRDefault="005A78EE" w:rsidP="00980150">
            <w:pPr>
              <w:pStyle w:val="TableNText"/>
              <w:jc w:val="center"/>
              <w:rPr>
                <w:sz w:val="21"/>
                <w:szCs w:val="21"/>
              </w:rPr>
            </w:pPr>
            <w:r w:rsidRPr="009B783C">
              <w:rPr>
                <w:sz w:val="21"/>
                <w:szCs w:val="21"/>
              </w:rPr>
              <w:t>4</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529320A" w14:textId="2812CB2F" w:rsidR="005A78EE" w:rsidRPr="009B783C" w:rsidRDefault="005A78EE" w:rsidP="00980150">
            <w:pPr>
              <w:pStyle w:val="TableNText"/>
              <w:jc w:val="center"/>
              <w:rPr>
                <w:sz w:val="21"/>
                <w:szCs w:val="21"/>
              </w:rPr>
            </w:pPr>
            <w:r w:rsidRPr="009B783C">
              <w:rPr>
                <w:sz w:val="21"/>
                <w:szCs w:val="21"/>
              </w:rPr>
              <w:t>68,081</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871A88F" w14:textId="7409A004" w:rsidR="005A78EE" w:rsidRPr="009B783C" w:rsidRDefault="005A78EE" w:rsidP="00980150">
            <w:pPr>
              <w:pStyle w:val="TableNText"/>
              <w:jc w:val="center"/>
              <w:rPr>
                <w:sz w:val="21"/>
                <w:szCs w:val="21"/>
              </w:rPr>
            </w:pPr>
            <w:r w:rsidRPr="009B783C">
              <w:rPr>
                <w:sz w:val="21"/>
                <w:szCs w:val="21"/>
              </w:rPr>
              <w:t>113.9</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5C6A9D" w14:textId="304CA068" w:rsidR="005A78EE" w:rsidRPr="009B783C" w:rsidRDefault="005A78EE" w:rsidP="00980150">
            <w:pPr>
              <w:pStyle w:val="TableNText"/>
              <w:jc w:val="center"/>
              <w:rPr>
                <w:sz w:val="21"/>
                <w:szCs w:val="21"/>
              </w:rPr>
            </w:pPr>
            <w:r w:rsidRPr="009B783C">
              <w:rPr>
                <w:sz w:val="21"/>
                <w:szCs w:val="21"/>
              </w:rPr>
              <w:t>82.7</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72DBD4" w14:textId="06B27F71" w:rsidR="005A78EE" w:rsidRPr="009B783C" w:rsidRDefault="005A78EE" w:rsidP="00980150">
            <w:pPr>
              <w:pStyle w:val="TableNText"/>
              <w:jc w:val="center"/>
              <w:rPr>
                <w:sz w:val="21"/>
                <w:szCs w:val="21"/>
              </w:rPr>
            </w:pPr>
            <w:r w:rsidRPr="009B783C">
              <w:rPr>
                <w:sz w:val="21"/>
                <w:szCs w:val="21"/>
              </w:rPr>
              <w:t>196.6</w:t>
            </w:r>
          </w:p>
        </w:tc>
      </w:tr>
      <w:tr w:rsidR="00521967" w:rsidRPr="009B783C" w14:paraId="767C124D" w14:textId="77777777" w:rsidTr="00521967">
        <w:tc>
          <w:tcPr>
            <w:tcW w:w="59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Pr>
          <w:p w14:paraId="7631B590" w14:textId="0DFC1031" w:rsidR="005A78EE" w:rsidRPr="009B783C" w:rsidRDefault="00521967"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Annualised estimate</w:t>
            </w:r>
          </w:p>
        </w:tc>
        <w:tc>
          <w:tcPr>
            <w:tcW w:w="7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CD2D06" w14:textId="3E9506C6" w:rsidR="005A78EE" w:rsidRPr="009B783C" w:rsidRDefault="005A78EE" w:rsidP="00980150">
            <w:pPr>
              <w:pStyle w:val="TableNText"/>
              <w:rPr>
                <w:rFonts w:asciiTheme="majorHAnsi" w:hAnsiTheme="majorHAnsi" w:cstheme="majorHAnsi"/>
                <w:sz w:val="21"/>
                <w:szCs w:val="21"/>
              </w:rPr>
            </w:pPr>
            <w:r w:rsidRPr="009B783C">
              <w:rPr>
                <w:rFonts w:asciiTheme="majorHAnsi" w:hAnsiTheme="majorHAnsi" w:cstheme="majorHAnsi"/>
                <w:sz w:val="21"/>
                <w:szCs w:val="21"/>
              </w:rPr>
              <w:t>Total</w:t>
            </w:r>
          </w:p>
        </w:tc>
        <w:tc>
          <w:tcPr>
            <w:tcW w:w="41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14536EA" w14:textId="08CFB45F"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75</w:t>
            </w:r>
          </w:p>
        </w:tc>
        <w:tc>
          <w:tcPr>
            <w:tcW w:w="59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75892E3" w14:textId="23475B55"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1,043,703</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C07ED2C" w14:textId="038795E9"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144.3</w:t>
            </w:r>
          </w:p>
        </w:tc>
        <w:tc>
          <w:tcPr>
            <w:tcW w:w="86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722A199" w14:textId="038ED0CF"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71.4</w:t>
            </w:r>
          </w:p>
        </w:tc>
        <w:tc>
          <w:tcPr>
            <w:tcW w:w="86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69E6B03" w14:textId="18ED3B6A" w:rsidR="005A78EE" w:rsidRPr="009B783C" w:rsidRDefault="005A78EE" w:rsidP="00980150">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215.7</w:t>
            </w:r>
          </w:p>
        </w:tc>
      </w:tr>
    </w:tbl>
    <w:p w14:paraId="79296FAD" w14:textId="4865BD4A" w:rsidR="00521967" w:rsidRPr="00ED1544" w:rsidRDefault="00D22BDB" w:rsidP="00ED1544">
      <w:pPr>
        <w:sectPr w:rsidR="00521967" w:rsidRPr="00ED1544" w:rsidSect="00521967">
          <w:pgSz w:w="16839" w:h="11907" w:orient="landscape" w:code="9"/>
          <w:pgMar w:top="1559" w:right="1247" w:bottom="1418" w:left="1276" w:header="720" w:footer="720" w:gutter="0"/>
          <w:cols w:space="720"/>
          <w:docGrid w:linePitch="360"/>
        </w:sectPr>
      </w:pPr>
      <w:r w:rsidRPr="00ED1544">
        <w:t xml:space="preserve">Notes: The methods for these analyses are described in </w:t>
      </w:r>
      <w:r w:rsidRPr="00ED1544">
        <w:fldChar w:fldCharType="begin"/>
      </w:r>
      <w:r w:rsidRPr="00ED1544">
        <w:instrText xml:space="preserve"> REF _Ref185400257 \n \h </w:instrText>
      </w:r>
      <w:r w:rsidR="00A13D5B" w:rsidRPr="00ED1544">
        <w:instrText xml:space="preserve"> \* MERGEFORMAT </w:instrText>
      </w:r>
      <w:r w:rsidRPr="00ED1544">
        <w:fldChar w:fldCharType="separate"/>
      </w:r>
      <w:r w:rsidRPr="00ED1544">
        <w:t>Appendix D</w:t>
      </w:r>
      <w:r w:rsidRPr="00ED1544">
        <w:fldChar w:fldCharType="end"/>
      </w:r>
      <w:r w:rsidRPr="00ED1544">
        <w:t>. The mean value of MBS benefits is estimated based on data reported in the Medicare UCC Module. Pathology and diagnostic imaging provided on the same day and billed under a provider number that was not a Medicare UCC was also estimated ($16.76 per presentation, sourced from MBS data). MBS benefits are not claimed for ACT Medicare UCCs and were not reported for seven other clinics (as the Medicare UCC Module data was yet to be fully implemented). For these seven clinics, MBS payments per presentation were based on the mean for other Medicare UCCs that reported MBS data. The estimate of MBS benefits per presentation shown in this table are based on the Module</w:t>
      </w:r>
      <w:r w:rsidRPr="00ED1544" w:rsidDel="00E67E3A">
        <w:t xml:space="preserve"> </w:t>
      </w:r>
      <w:r w:rsidRPr="00ED1544">
        <w:t>data and are close to the estimate derived directly from analysis of MBS data for Medicare UCC provider numbers. Some minor adjustments were made to the</w:t>
      </w:r>
      <w:r w:rsidRPr="00ED1544" w:rsidDel="00E67E3A">
        <w:t xml:space="preserve"> </w:t>
      </w:r>
      <w:r w:rsidRPr="00ED1544">
        <w:t>Module data to take account of situations where an MBS item was reported but was unlikely to have been claimed. Reported MBS items and benefits were set to zero for presentations where the episode end status was “Did not wait” and where it was reported the patients did not have a Medicare Card. Where more than one consultation item was reported in the</w:t>
      </w:r>
      <w:r w:rsidRPr="00ED1544" w:rsidDel="004D4E98">
        <w:t xml:space="preserve"> </w:t>
      </w:r>
      <w:r w:rsidRPr="00ED1544">
        <w:t>Module data (that is, consultations Levels A – D), the item with the highest benefit level was included in the analysis and other consultations items set to zero. Additional variation arises from estimating the value of MBS benefits where this was missing in the Module data. The mean from available data for each Medicare UCC was applied to presentations in which MBS data was not available, for example, where aggregate counts of activity only were available. An additional point is that the annualised estimate for MBS is slightly lower than the estimate for quarter one of 2024-25. This arises from a different mix in activity at the Medicare UCCs level from quarter one of 2024-25.</w:t>
      </w:r>
    </w:p>
    <w:p w14:paraId="24424A23" w14:textId="03E7ED81" w:rsidR="00B34D2C" w:rsidRPr="009B783C" w:rsidRDefault="00B34D2C" w:rsidP="00672B2A">
      <w:pPr>
        <w:rPr>
          <w:szCs w:val="21"/>
          <w:lang w:val="en-US"/>
        </w:rPr>
      </w:pPr>
      <w:r w:rsidRPr="009B783C">
        <w:rPr>
          <w:szCs w:val="21"/>
        </w:rPr>
        <w:lastRenderedPageBreak/>
        <w:t xml:space="preserve">The Australian Government's funding for Medicare UCCs consists of grants and MBS payments, with grants making up the largest share. For example, under the annualised estimate, $144 per presentation comes from grants, while the remaining $71 represents the </w:t>
      </w:r>
      <w:r w:rsidR="00A92BFC" w:rsidRPr="009B783C">
        <w:rPr>
          <w:szCs w:val="21"/>
        </w:rPr>
        <w:t xml:space="preserve">estimated </w:t>
      </w:r>
      <w:r w:rsidRPr="009B783C">
        <w:rPr>
          <w:szCs w:val="21"/>
        </w:rPr>
        <w:t>MBS</w:t>
      </w:r>
      <w:r w:rsidR="008A611A" w:rsidRPr="009B783C">
        <w:rPr>
          <w:szCs w:val="21"/>
        </w:rPr>
        <w:t xml:space="preserve"> </w:t>
      </w:r>
      <w:r w:rsidR="00A92BFC" w:rsidRPr="009B783C">
        <w:rPr>
          <w:szCs w:val="21"/>
        </w:rPr>
        <w:t>costs</w:t>
      </w:r>
      <w:r w:rsidRPr="009B783C">
        <w:rPr>
          <w:szCs w:val="21"/>
        </w:rPr>
        <w:t xml:space="preserve"> for items billed by the clinic ($54 per presentation on average), and pathology and imaging services billed by providers outside of the Medicare UCCs ($</w:t>
      </w:r>
      <w:r w:rsidR="0069768B" w:rsidRPr="009B783C">
        <w:rPr>
          <w:szCs w:val="21"/>
        </w:rPr>
        <w:t xml:space="preserve">16.76 </w:t>
      </w:r>
      <w:r w:rsidRPr="009B783C">
        <w:rPr>
          <w:szCs w:val="21"/>
        </w:rPr>
        <w:t>per presentation on average). Pathology and imaging billing is averaged across all patients, as not every patient undergoes diagnostic testing. About 99,000 Medicare UCC presentations (19.4</w:t>
      </w:r>
      <w:r w:rsidR="009D1BE4" w:rsidRPr="009B783C">
        <w:rPr>
          <w:szCs w:val="21"/>
        </w:rPr>
        <w:t xml:space="preserve"> per cent</w:t>
      </w:r>
      <w:r w:rsidRPr="009B783C">
        <w:rPr>
          <w:szCs w:val="21"/>
        </w:rPr>
        <w:t>) had an additional pathology or diagnostic imaging item claimed on the same day as the Medicare UCC presentations under a provider number that was not associated with a Medicare UCC.</w:t>
      </w:r>
    </w:p>
    <w:p w14:paraId="1E22E1E8" w14:textId="57D3EE44" w:rsidR="00B34D2C" w:rsidRPr="009B783C" w:rsidRDefault="00B34D2C" w:rsidP="00672B2A">
      <w:pPr>
        <w:rPr>
          <w:szCs w:val="21"/>
          <w:lang w:val="en-US" w:eastAsia="en-AU"/>
        </w:rPr>
      </w:pPr>
      <w:r w:rsidRPr="009B783C">
        <w:rPr>
          <w:szCs w:val="21"/>
        </w:rPr>
        <w:t>Grants to Medicare UCCs started in 2022</w:t>
      </w:r>
      <w:r w:rsidR="00D40B3B" w:rsidRPr="009B783C">
        <w:rPr>
          <w:szCs w:val="21"/>
        </w:rPr>
        <w:t>-</w:t>
      </w:r>
      <w:r w:rsidRPr="009B783C">
        <w:rPr>
          <w:szCs w:val="21"/>
        </w:rPr>
        <w:t>23 and will continue through to 2025</w:t>
      </w:r>
      <w:r w:rsidR="00D40B3B" w:rsidRPr="009B783C">
        <w:rPr>
          <w:szCs w:val="21"/>
        </w:rPr>
        <w:t>-</w:t>
      </w:r>
      <w:r w:rsidRPr="009B783C">
        <w:rPr>
          <w:szCs w:val="21"/>
        </w:rPr>
        <w:t xml:space="preserve">26. They are for operational expenses, equipment and capital. </w:t>
      </w:r>
      <w:r w:rsidRPr="009B783C">
        <w:rPr>
          <w:szCs w:val="21"/>
          <w:lang w:eastAsia="en-AU"/>
        </w:rPr>
        <w:t xml:space="preserve">There is considerable variation in </w:t>
      </w:r>
      <w:r w:rsidR="00CC1374" w:rsidRPr="009B783C">
        <w:rPr>
          <w:szCs w:val="21"/>
          <w:lang w:eastAsia="en-AU"/>
        </w:rPr>
        <w:t>the</w:t>
      </w:r>
      <w:r w:rsidRPr="009B783C">
        <w:rPr>
          <w:szCs w:val="21"/>
          <w:lang w:eastAsia="en-AU"/>
        </w:rPr>
        <w:t xml:space="preserve"> level of </w:t>
      </w:r>
      <w:r w:rsidR="009D1BE4" w:rsidRPr="009B783C">
        <w:rPr>
          <w:szCs w:val="21"/>
          <w:lang w:eastAsia="en-AU"/>
        </w:rPr>
        <w:t>Australian</w:t>
      </w:r>
      <w:r w:rsidRPr="009B783C">
        <w:rPr>
          <w:szCs w:val="21"/>
          <w:lang w:eastAsia="en-AU"/>
        </w:rPr>
        <w:t xml:space="preserve"> Government </w:t>
      </w:r>
      <w:r w:rsidR="00EF519E" w:rsidRPr="009B783C">
        <w:rPr>
          <w:szCs w:val="21"/>
          <w:lang w:eastAsia="en-AU"/>
        </w:rPr>
        <w:t xml:space="preserve">funding </w:t>
      </w:r>
      <w:r w:rsidRPr="009B783C">
        <w:rPr>
          <w:szCs w:val="21"/>
          <w:lang w:eastAsia="en-AU"/>
        </w:rPr>
        <w:t>per presentation. This is driven by:</w:t>
      </w:r>
    </w:p>
    <w:p w14:paraId="3B4135CE" w14:textId="40D831E6" w:rsidR="00B34D2C" w:rsidRPr="009B783C" w:rsidRDefault="00B34D2C" w:rsidP="00672B2A">
      <w:pPr>
        <w:pStyle w:val="Bullet"/>
        <w:numPr>
          <w:ilvl w:val="0"/>
          <w:numId w:val="15"/>
        </w:numPr>
        <w:spacing w:before="120"/>
        <w:rPr>
          <w:szCs w:val="21"/>
        </w:rPr>
      </w:pPr>
      <w:r w:rsidRPr="009B783C">
        <w:rPr>
          <w:szCs w:val="21"/>
        </w:rPr>
        <w:t xml:space="preserve">The level of activity at each Medicare UCC. Medicare UCCs with lower levels of activity have higher levels of grant funding per presentation. </w:t>
      </w:r>
    </w:p>
    <w:p w14:paraId="4FBA0656" w14:textId="3B23D3B8" w:rsidR="00B34D2C" w:rsidRPr="009B783C" w:rsidRDefault="00B34D2C" w:rsidP="00672B2A">
      <w:pPr>
        <w:pStyle w:val="Bullet"/>
        <w:numPr>
          <w:ilvl w:val="0"/>
          <w:numId w:val="15"/>
        </w:numPr>
        <w:spacing w:before="120"/>
        <w:rPr>
          <w:szCs w:val="21"/>
        </w:rPr>
      </w:pPr>
      <w:r w:rsidRPr="009B783C">
        <w:rPr>
          <w:szCs w:val="21"/>
        </w:rPr>
        <w:t xml:space="preserve">Medicare UCC location. </w:t>
      </w:r>
      <w:r w:rsidR="00DF419B" w:rsidRPr="009B783C">
        <w:rPr>
          <w:szCs w:val="21"/>
        </w:rPr>
        <w:t>From 2024</w:t>
      </w:r>
      <w:r w:rsidR="00D40B3B" w:rsidRPr="009B783C">
        <w:rPr>
          <w:szCs w:val="21"/>
        </w:rPr>
        <w:t>-</w:t>
      </w:r>
      <w:r w:rsidR="00DF419B" w:rsidRPr="009B783C">
        <w:rPr>
          <w:szCs w:val="21"/>
        </w:rPr>
        <w:t xml:space="preserve">25 selected </w:t>
      </w:r>
      <w:r w:rsidRPr="009B783C">
        <w:rPr>
          <w:szCs w:val="21"/>
        </w:rPr>
        <w:t xml:space="preserve">Medicare UCCs operating in </w:t>
      </w:r>
      <w:r w:rsidR="00007A74" w:rsidRPr="009B783C">
        <w:rPr>
          <w:szCs w:val="21"/>
        </w:rPr>
        <w:t xml:space="preserve">regional, </w:t>
      </w:r>
      <w:r w:rsidRPr="009B783C">
        <w:rPr>
          <w:szCs w:val="21"/>
        </w:rPr>
        <w:t>rural and remote regions receive</w:t>
      </w:r>
      <w:r w:rsidR="00007A74" w:rsidRPr="009B783C">
        <w:rPr>
          <w:szCs w:val="21"/>
        </w:rPr>
        <w:t>d</w:t>
      </w:r>
      <w:r w:rsidR="00DF419B" w:rsidRPr="009B783C">
        <w:rPr>
          <w:szCs w:val="21"/>
        </w:rPr>
        <w:t xml:space="preserve"> additional </w:t>
      </w:r>
      <w:r w:rsidR="00C57E75" w:rsidRPr="009B783C">
        <w:rPr>
          <w:szCs w:val="21"/>
        </w:rPr>
        <w:t>funding</w:t>
      </w:r>
      <w:r w:rsidR="009D1BE4" w:rsidRPr="009B783C">
        <w:rPr>
          <w:szCs w:val="21"/>
        </w:rPr>
        <w:t xml:space="preserve"> – </w:t>
      </w:r>
      <w:r w:rsidR="00C94309" w:rsidRPr="009B783C">
        <w:rPr>
          <w:szCs w:val="21"/>
        </w:rPr>
        <w:t>a</w:t>
      </w:r>
      <w:r w:rsidR="009D1BE4" w:rsidRPr="009B783C">
        <w:rPr>
          <w:szCs w:val="21"/>
        </w:rPr>
        <w:t>n MMM</w:t>
      </w:r>
      <w:r w:rsidR="004773C7" w:rsidRPr="009B783C">
        <w:rPr>
          <w:szCs w:val="21"/>
        </w:rPr>
        <w:t xml:space="preserve"> adjustment</w:t>
      </w:r>
      <w:r w:rsidR="009D1BE4" w:rsidRPr="009B783C">
        <w:rPr>
          <w:szCs w:val="21"/>
        </w:rPr>
        <w:t xml:space="preserve"> – </w:t>
      </w:r>
      <w:r w:rsidR="004773C7" w:rsidRPr="009B783C">
        <w:rPr>
          <w:szCs w:val="21"/>
        </w:rPr>
        <w:t xml:space="preserve">that recognises </w:t>
      </w:r>
      <w:r w:rsidR="00A833AB" w:rsidRPr="009B783C">
        <w:rPr>
          <w:szCs w:val="21"/>
        </w:rPr>
        <w:t xml:space="preserve">higher </w:t>
      </w:r>
      <w:r w:rsidR="0050039B" w:rsidRPr="009B783C">
        <w:rPr>
          <w:szCs w:val="21"/>
        </w:rPr>
        <w:t xml:space="preserve">costs for </w:t>
      </w:r>
      <w:r w:rsidR="00A833AB" w:rsidRPr="009B783C">
        <w:rPr>
          <w:szCs w:val="21"/>
        </w:rPr>
        <w:t xml:space="preserve">workforce </w:t>
      </w:r>
      <w:r w:rsidR="00007A74" w:rsidRPr="009B783C">
        <w:rPr>
          <w:szCs w:val="21"/>
        </w:rPr>
        <w:t xml:space="preserve">and extended </w:t>
      </w:r>
      <w:r w:rsidR="0050039B" w:rsidRPr="009B783C">
        <w:rPr>
          <w:szCs w:val="21"/>
        </w:rPr>
        <w:t xml:space="preserve">opening hours </w:t>
      </w:r>
      <w:r w:rsidR="00076435" w:rsidRPr="009B783C">
        <w:rPr>
          <w:szCs w:val="21"/>
        </w:rPr>
        <w:t xml:space="preserve">in </w:t>
      </w:r>
      <w:r w:rsidR="00007A74" w:rsidRPr="009B783C">
        <w:rPr>
          <w:szCs w:val="21"/>
        </w:rPr>
        <w:t>these regions</w:t>
      </w:r>
      <w:r w:rsidR="0050039B" w:rsidRPr="009B783C">
        <w:rPr>
          <w:szCs w:val="21"/>
        </w:rPr>
        <w:t>.</w:t>
      </w:r>
      <w:r w:rsidR="008A15DC" w:rsidRPr="009B783C">
        <w:rPr>
          <w:szCs w:val="21"/>
        </w:rPr>
        <w:t xml:space="preserve"> Location also impact</w:t>
      </w:r>
      <w:r w:rsidR="002527A6" w:rsidRPr="009B783C">
        <w:rPr>
          <w:szCs w:val="21"/>
        </w:rPr>
        <w:t>s</w:t>
      </w:r>
      <w:r w:rsidR="008A15DC" w:rsidRPr="009B783C">
        <w:rPr>
          <w:szCs w:val="21"/>
        </w:rPr>
        <w:t xml:space="preserve"> the level of demand for Medicare UCCs, with those located in rural and remote locations generall</w:t>
      </w:r>
      <w:r w:rsidR="00FC46FC" w:rsidRPr="009B783C">
        <w:rPr>
          <w:szCs w:val="21"/>
        </w:rPr>
        <w:t xml:space="preserve">y </w:t>
      </w:r>
      <w:r w:rsidR="002527A6" w:rsidRPr="009B783C">
        <w:rPr>
          <w:szCs w:val="21"/>
        </w:rPr>
        <w:t>having lower levels of activity</w:t>
      </w:r>
      <w:r w:rsidR="0020079C" w:rsidRPr="009B783C">
        <w:rPr>
          <w:szCs w:val="21"/>
        </w:rPr>
        <w:t>.</w:t>
      </w:r>
      <w:r w:rsidR="00C957AC" w:rsidRPr="009B783C">
        <w:rPr>
          <w:szCs w:val="21"/>
        </w:rPr>
        <w:t xml:space="preserve"> </w:t>
      </w:r>
    </w:p>
    <w:p w14:paraId="2E91FDAA" w14:textId="610405B3" w:rsidR="00B34D2C" w:rsidRPr="009B783C" w:rsidRDefault="00B34D2C" w:rsidP="00672B2A">
      <w:pPr>
        <w:pStyle w:val="Bullet"/>
        <w:numPr>
          <w:ilvl w:val="0"/>
          <w:numId w:val="15"/>
        </w:numPr>
        <w:spacing w:before="120"/>
        <w:rPr>
          <w:szCs w:val="21"/>
        </w:rPr>
      </w:pPr>
      <w:r w:rsidRPr="009B783C">
        <w:rPr>
          <w:szCs w:val="21"/>
        </w:rPr>
        <w:t>Medicare UCCs that transitioned from a previous arrangement did not receive equipment or capital grants.</w:t>
      </w:r>
      <w:r w:rsidR="00B109DA" w:rsidRPr="009B783C">
        <w:rPr>
          <w:szCs w:val="21"/>
        </w:rPr>
        <w:t xml:space="preserve"> This </w:t>
      </w:r>
      <w:r w:rsidR="00B127F2" w:rsidRPr="009B783C">
        <w:rPr>
          <w:szCs w:val="21"/>
        </w:rPr>
        <w:t xml:space="preserve">recognised that </w:t>
      </w:r>
      <w:r w:rsidR="00E331F9" w:rsidRPr="009B783C">
        <w:rPr>
          <w:szCs w:val="21"/>
        </w:rPr>
        <w:t xml:space="preserve">required infrastructure to operate as a Medicare UCC was generally in place for these </w:t>
      </w:r>
      <w:r w:rsidR="00B643F0" w:rsidRPr="009B783C">
        <w:rPr>
          <w:szCs w:val="21"/>
        </w:rPr>
        <w:t>services.</w:t>
      </w:r>
    </w:p>
    <w:p w14:paraId="31BD363B" w14:textId="345D5E09" w:rsidR="00B34D2C" w:rsidRPr="009B783C" w:rsidRDefault="00B34D2C" w:rsidP="00672B2A">
      <w:pPr>
        <w:pStyle w:val="Bullet"/>
        <w:spacing w:before="120"/>
        <w:rPr>
          <w:szCs w:val="21"/>
        </w:rPr>
      </w:pPr>
      <w:r w:rsidRPr="009B783C">
        <w:rPr>
          <w:szCs w:val="21"/>
        </w:rPr>
        <w:t xml:space="preserve">Access to MBS. For example, the ACT </w:t>
      </w:r>
      <w:r w:rsidR="00691CFE" w:rsidRPr="009B783C">
        <w:rPr>
          <w:szCs w:val="21"/>
        </w:rPr>
        <w:t xml:space="preserve">Medicare UCCs </w:t>
      </w:r>
      <w:r w:rsidRPr="009B783C">
        <w:rPr>
          <w:szCs w:val="21"/>
        </w:rPr>
        <w:t>do not claim MBS</w:t>
      </w:r>
      <w:r w:rsidR="00CA1447" w:rsidRPr="009B783C">
        <w:rPr>
          <w:szCs w:val="21"/>
        </w:rPr>
        <w:t>, as the</w:t>
      </w:r>
      <w:r w:rsidR="00EE6941" w:rsidRPr="009B783C">
        <w:rPr>
          <w:szCs w:val="21"/>
        </w:rPr>
        <w:t xml:space="preserve"> services </w:t>
      </w:r>
      <w:r w:rsidR="004E2E02" w:rsidRPr="009B783C">
        <w:rPr>
          <w:szCs w:val="21"/>
        </w:rPr>
        <w:t xml:space="preserve">receive additional state funding contributions through the National Health Reform Agreement. </w:t>
      </w:r>
    </w:p>
    <w:p w14:paraId="42D6363F" w14:textId="77777777" w:rsidR="00B34D2C" w:rsidRPr="009B783C" w:rsidRDefault="00B34D2C" w:rsidP="00672B2A">
      <w:pPr>
        <w:pStyle w:val="Bullet"/>
        <w:numPr>
          <w:ilvl w:val="0"/>
          <w:numId w:val="0"/>
        </w:numPr>
        <w:spacing w:before="120"/>
        <w:rPr>
          <w:szCs w:val="21"/>
        </w:rPr>
      </w:pPr>
      <w:r w:rsidRPr="009B783C">
        <w:rPr>
          <w:szCs w:val="21"/>
        </w:rPr>
        <w:t xml:space="preserve">The figures above do not include grants or other financial contributions made by state and territory governments. Details of these were not available at the time this report was prepared but will be sought for future reports. </w:t>
      </w:r>
    </w:p>
    <w:p w14:paraId="2EEBED4C" w14:textId="218D6768" w:rsidR="00B34D2C" w:rsidRPr="009B783C" w:rsidRDefault="00041823" w:rsidP="000D706D">
      <w:pPr>
        <w:pStyle w:val="Heading3"/>
      </w:pPr>
      <w:r w:rsidRPr="009B783C">
        <w:t>S</w:t>
      </w:r>
      <w:r w:rsidR="00BB3661" w:rsidRPr="009B783C">
        <w:t>avings for</w:t>
      </w:r>
      <w:r w:rsidR="00257485" w:rsidRPr="009B783C">
        <w:t xml:space="preserve"> governments </w:t>
      </w:r>
      <w:r w:rsidR="00BB3661" w:rsidRPr="009B783C">
        <w:t xml:space="preserve">associated with </w:t>
      </w:r>
      <w:r w:rsidR="00B34D2C" w:rsidRPr="009B783C">
        <w:t>avoid</w:t>
      </w:r>
      <w:r w:rsidRPr="009B783C">
        <w:t>ed</w:t>
      </w:r>
      <w:r w:rsidR="00B34D2C" w:rsidRPr="009B783C">
        <w:t xml:space="preserve"> ED visits </w:t>
      </w:r>
      <w:r w:rsidR="00BB3661" w:rsidRPr="009B783C">
        <w:t>are</w:t>
      </w:r>
      <w:r w:rsidR="00F7451E" w:rsidRPr="009B783C">
        <w:t xml:space="preserve"> estimated</w:t>
      </w:r>
      <w:r w:rsidR="00BB3661" w:rsidRPr="009B783C">
        <w:t xml:space="preserve"> to be</w:t>
      </w:r>
      <w:r w:rsidR="00F7451E" w:rsidRPr="009B783C">
        <w:t xml:space="preserve"> </w:t>
      </w:r>
      <w:r w:rsidR="00B34D2C" w:rsidRPr="009B783C">
        <w:t>$</w:t>
      </w:r>
      <w:r w:rsidR="00835EBB" w:rsidRPr="009B783C">
        <w:t xml:space="preserve">368 </w:t>
      </w:r>
      <w:r w:rsidR="00595148" w:rsidRPr="009B783C">
        <w:t xml:space="preserve">per presentation made up of reduced ED funding </w:t>
      </w:r>
      <w:r w:rsidR="005E0A92" w:rsidRPr="009B783C">
        <w:t>which is offset by</w:t>
      </w:r>
      <w:r w:rsidR="00595148" w:rsidRPr="009B783C">
        <w:t xml:space="preserve"> the </w:t>
      </w:r>
      <w:r w:rsidR="005E0A92" w:rsidRPr="009B783C">
        <w:t xml:space="preserve">cost of </w:t>
      </w:r>
      <w:r w:rsidR="00595148" w:rsidRPr="009B783C">
        <w:t xml:space="preserve">the </w:t>
      </w:r>
      <w:r w:rsidR="005E0A92" w:rsidRPr="009B783C">
        <w:t>associated Medicare UCC attendance</w:t>
      </w:r>
      <w:r w:rsidR="000D1FFC" w:rsidRPr="009B783C">
        <w:t>s</w:t>
      </w:r>
      <w:r w:rsidR="000C0D5D" w:rsidRPr="009B783C">
        <w:t>;</w:t>
      </w:r>
      <w:r w:rsidR="00F976F6" w:rsidRPr="009B783C">
        <w:t xml:space="preserve"> </w:t>
      </w:r>
      <w:r w:rsidR="000C0D5D" w:rsidRPr="009B783C">
        <w:t>t</w:t>
      </w:r>
      <w:r w:rsidR="00F976F6" w:rsidRPr="009B783C">
        <w:t>his is an interim estimate only</w:t>
      </w:r>
    </w:p>
    <w:p w14:paraId="2BFB515B" w14:textId="63DA8A3E" w:rsidR="00B34D2C" w:rsidRPr="009B783C" w:rsidRDefault="00B34D2C" w:rsidP="00672B2A">
      <w:pPr>
        <w:rPr>
          <w:szCs w:val="21"/>
          <w:lang w:val="en-US" w:eastAsia="en-AU"/>
        </w:rPr>
      </w:pPr>
      <w:r w:rsidRPr="009B783C">
        <w:rPr>
          <w:szCs w:val="21"/>
          <w:lang w:eastAsia="en-AU"/>
        </w:rPr>
        <w:t xml:space="preserve">This Interim Evaluation Report 1 estimates the savings to government from Medicare UCC attendances that substitute for ED visits. These are those Medicare UCC presentations for whom it was reported they would have attended an ED if the Medicare UCC was not available. </w:t>
      </w:r>
      <w:r w:rsidR="001155A9" w:rsidRPr="009B783C">
        <w:rPr>
          <w:szCs w:val="21"/>
          <w:lang w:eastAsia="en-AU"/>
        </w:rPr>
        <w:t>Th</w:t>
      </w:r>
      <w:r w:rsidR="0033090B" w:rsidRPr="009B783C">
        <w:rPr>
          <w:szCs w:val="21"/>
          <w:lang w:eastAsia="en-AU"/>
        </w:rPr>
        <w:t>e</w:t>
      </w:r>
      <w:r w:rsidR="001155A9" w:rsidRPr="009B783C">
        <w:rPr>
          <w:szCs w:val="21"/>
          <w:lang w:eastAsia="en-AU"/>
        </w:rPr>
        <w:t xml:space="preserve"> issues in using this </w:t>
      </w:r>
      <w:r w:rsidR="006D759B" w:rsidRPr="009B783C">
        <w:rPr>
          <w:szCs w:val="21"/>
          <w:lang w:eastAsia="en-AU"/>
        </w:rPr>
        <w:t xml:space="preserve">variable from the Medicare UCC </w:t>
      </w:r>
      <w:r w:rsidR="004E7366" w:rsidRPr="009B783C">
        <w:rPr>
          <w:szCs w:val="21"/>
          <w:lang w:eastAsia="en-AU"/>
        </w:rPr>
        <w:t>Module</w:t>
      </w:r>
      <w:r w:rsidR="006D759B" w:rsidRPr="009B783C">
        <w:rPr>
          <w:szCs w:val="21"/>
          <w:lang w:eastAsia="en-AU"/>
        </w:rPr>
        <w:t xml:space="preserve"> data</w:t>
      </w:r>
      <w:r w:rsidR="00ED2B79" w:rsidRPr="009B783C">
        <w:rPr>
          <w:szCs w:val="21"/>
          <w:lang w:eastAsia="en-AU"/>
        </w:rPr>
        <w:t xml:space="preserve"> have been discussed under Measure of Success </w:t>
      </w:r>
      <w:r w:rsidR="0009673F" w:rsidRPr="009B783C">
        <w:rPr>
          <w:szCs w:val="21"/>
          <w:lang w:eastAsia="en-AU"/>
        </w:rPr>
        <w:t>6</w:t>
      </w:r>
      <w:r w:rsidR="005C31E6" w:rsidRPr="009B783C">
        <w:rPr>
          <w:szCs w:val="21"/>
          <w:lang w:eastAsia="en-AU"/>
        </w:rPr>
        <w:t xml:space="preserve"> (</w:t>
      </w:r>
      <w:r w:rsidR="009D1BE4" w:rsidRPr="009B783C">
        <w:rPr>
          <w:szCs w:val="21"/>
          <w:lang w:eastAsia="en-AU"/>
        </w:rPr>
        <w:t xml:space="preserve">section </w:t>
      </w:r>
      <w:r w:rsidR="009D1BE4" w:rsidRPr="009B783C">
        <w:rPr>
          <w:szCs w:val="21"/>
          <w:lang w:eastAsia="en-AU"/>
        </w:rPr>
        <w:fldChar w:fldCharType="begin"/>
      </w:r>
      <w:r w:rsidR="009D1BE4" w:rsidRPr="009B783C">
        <w:rPr>
          <w:szCs w:val="21"/>
          <w:lang w:eastAsia="en-AU"/>
        </w:rPr>
        <w:instrText xml:space="preserve"> REF _Ref185522428 \n \h </w:instrText>
      </w:r>
      <w:r w:rsidR="00672B2A" w:rsidRPr="009B783C">
        <w:rPr>
          <w:szCs w:val="21"/>
          <w:lang w:eastAsia="en-AU"/>
        </w:rPr>
        <w:instrText xml:space="preserve"> \* MERGEFORMAT </w:instrText>
      </w:r>
      <w:r w:rsidR="009D1BE4" w:rsidRPr="009B783C">
        <w:rPr>
          <w:szCs w:val="21"/>
          <w:lang w:eastAsia="en-AU"/>
        </w:rPr>
      </w:r>
      <w:r w:rsidR="009D1BE4" w:rsidRPr="009B783C">
        <w:rPr>
          <w:szCs w:val="21"/>
          <w:lang w:eastAsia="en-AU"/>
        </w:rPr>
        <w:fldChar w:fldCharType="separate"/>
      </w:r>
      <w:r w:rsidR="0031172E" w:rsidRPr="009B783C">
        <w:rPr>
          <w:szCs w:val="21"/>
          <w:lang w:eastAsia="en-AU"/>
        </w:rPr>
        <w:t>5.6</w:t>
      </w:r>
      <w:r w:rsidR="009D1BE4" w:rsidRPr="009B783C">
        <w:rPr>
          <w:szCs w:val="21"/>
          <w:lang w:eastAsia="en-AU"/>
        </w:rPr>
        <w:fldChar w:fldCharType="end"/>
      </w:r>
      <w:r w:rsidR="005C31E6" w:rsidRPr="009B783C">
        <w:rPr>
          <w:szCs w:val="21"/>
          <w:lang w:eastAsia="en-AU"/>
        </w:rPr>
        <w:t>)</w:t>
      </w:r>
      <w:r w:rsidR="00956AD4" w:rsidRPr="009B783C">
        <w:rPr>
          <w:szCs w:val="21"/>
          <w:lang w:eastAsia="en-AU"/>
        </w:rPr>
        <w:t>.</w:t>
      </w:r>
      <w:r w:rsidR="00101CBB" w:rsidRPr="009B783C">
        <w:rPr>
          <w:szCs w:val="21"/>
          <w:lang w:eastAsia="en-AU"/>
        </w:rPr>
        <w:t xml:space="preserve"> As described in </w:t>
      </w:r>
      <w:r w:rsidR="009D1BE4" w:rsidRPr="009B783C">
        <w:rPr>
          <w:szCs w:val="21"/>
          <w:lang w:eastAsia="en-AU"/>
        </w:rPr>
        <w:fldChar w:fldCharType="begin"/>
      </w:r>
      <w:r w:rsidR="009D1BE4" w:rsidRPr="009B783C">
        <w:rPr>
          <w:szCs w:val="21"/>
          <w:lang w:eastAsia="en-AU"/>
        </w:rPr>
        <w:instrText xml:space="preserve"> REF _Ref185400257 \n \h </w:instrText>
      </w:r>
      <w:r w:rsidR="00672B2A" w:rsidRPr="009B783C">
        <w:rPr>
          <w:szCs w:val="21"/>
          <w:lang w:eastAsia="en-AU"/>
        </w:rPr>
        <w:instrText xml:space="preserve"> \* MERGEFORMAT </w:instrText>
      </w:r>
      <w:r w:rsidR="009D1BE4" w:rsidRPr="009B783C">
        <w:rPr>
          <w:szCs w:val="21"/>
          <w:lang w:eastAsia="en-AU"/>
        </w:rPr>
      </w:r>
      <w:r w:rsidR="009D1BE4" w:rsidRPr="009B783C">
        <w:rPr>
          <w:szCs w:val="21"/>
          <w:lang w:eastAsia="en-AU"/>
        </w:rPr>
        <w:fldChar w:fldCharType="separate"/>
      </w:r>
      <w:r w:rsidR="0031172E" w:rsidRPr="009B783C">
        <w:rPr>
          <w:szCs w:val="21"/>
          <w:lang w:eastAsia="en-AU"/>
        </w:rPr>
        <w:t>Appendix D</w:t>
      </w:r>
      <w:r w:rsidR="009D1BE4" w:rsidRPr="009B783C">
        <w:rPr>
          <w:szCs w:val="21"/>
          <w:lang w:eastAsia="en-AU"/>
        </w:rPr>
        <w:fldChar w:fldCharType="end"/>
      </w:r>
      <w:r w:rsidR="00101CBB" w:rsidRPr="009B783C">
        <w:rPr>
          <w:szCs w:val="21"/>
          <w:lang w:eastAsia="en-AU"/>
        </w:rPr>
        <w:t xml:space="preserve">, </w:t>
      </w:r>
      <w:r w:rsidR="003D6E9F" w:rsidRPr="009B783C">
        <w:rPr>
          <w:szCs w:val="21"/>
          <w:lang w:eastAsia="en-AU"/>
        </w:rPr>
        <w:t xml:space="preserve">presentations </w:t>
      </w:r>
      <w:r w:rsidR="00896550" w:rsidRPr="009B783C">
        <w:rPr>
          <w:szCs w:val="21"/>
          <w:lang w:eastAsia="en-AU"/>
        </w:rPr>
        <w:t>have been excluded from this analysis where the patient did not wait or was subsequently referred to an ED</w:t>
      </w:r>
      <w:r w:rsidR="00ED3392" w:rsidRPr="009B783C">
        <w:rPr>
          <w:szCs w:val="21"/>
          <w:lang w:eastAsia="en-AU"/>
        </w:rPr>
        <w:t xml:space="preserve">. </w:t>
      </w:r>
      <w:r w:rsidR="0004663C" w:rsidRPr="009B783C">
        <w:rPr>
          <w:szCs w:val="21"/>
          <w:lang w:eastAsia="en-AU"/>
        </w:rPr>
        <w:t>It is ackno</w:t>
      </w:r>
      <w:r w:rsidR="003211A2" w:rsidRPr="009B783C">
        <w:rPr>
          <w:szCs w:val="21"/>
          <w:lang w:eastAsia="en-AU"/>
        </w:rPr>
        <w:t xml:space="preserve">wledged that </w:t>
      </w:r>
      <w:r w:rsidR="000327FF" w:rsidRPr="009B783C">
        <w:rPr>
          <w:szCs w:val="21"/>
          <w:lang w:eastAsia="en-AU"/>
        </w:rPr>
        <w:t>there are issues in relying solely on this variable</w:t>
      </w:r>
      <w:r w:rsidR="00661AC2" w:rsidRPr="009B783C">
        <w:rPr>
          <w:szCs w:val="21"/>
          <w:lang w:eastAsia="en-AU"/>
        </w:rPr>
        <w:t xml:space="preserve"> to estimate the level </w:t>
      </w:r>
      <w:r w:rsidR="00661AC2" w:rsidRPr="009B783C">
        <w:rPr>
          <w:szCs w:val="21"/>
          <w:lang w:eastAsia="en-AU"/>
        </w:rPr>
        <w:lastRenderedPageBreak/>
        <w:t>of ED avoidance. Other methods to triangulate this estimate will be appl</w:t>
      </w:r>
      <w:r w:rsidR="006C2254" w:rsidRPr="009B783C">
        <w:rPr>
          <w:szCs w:val="21"/>
          <w:lang w:eastAsia="en-AU"/>
        </w:rPr>
        <w:t xml:space="preserve">ied in further </w:t>
      </w:r>
      <w:r w:rsidR="00FE22C4" w:rsidRPr="009B783C">
        <w:rPr>
          <w:szCs w:val="21"/>
          <w:lang w:eastAsia="en-AU"/>
        </w:rPr>
        <w:t xml:space="preserve">evaluation reports (see </w:t>
      </w:r>
      <w:r w:rsidR="008F5B3C" w:rsidRPr="009B783C">
        <w:rPr>
          <w:szCs w:val="21"/>
          <w:lang w:eastAsia="en-AU"/>
        </w:rPr>
        <w:t xml:space="preserve">discussion </w:t>
      </w:r>
      <w:r w:rsidR="00F0766F" w:rsidRPr="009B783C">
        <w:rPr>
          <w:szCs w:val="21"/>
          <w:lang w:eastAsia="en-AU"/>
        </w:rPr>
        <w:t xml:space="preserve">under </w:t>
      </w:r>
      <w:r w:rsidR="00FF5F59" w:rsidRPr="009B783C">
        <w:rPr>
          <w:szCs w:val="21"/>
          <w:lang w:eastAsia="en-AU"/>
        </w:rPr>
        <w:t>Measure of Success 6</w:t>
      </w:r>
      <w:r w:rsidR="009D1BE4" w:rsidRPr="009B783C">
        <w:rPr>
          <w:szCs w:val="21"/>
          <w:lang w:eastAsia="en-AU"/>
        </w:rPr>
        <w:t xml:space="preserve">, section </w:t>
      </w:r>
      <w:r w:rsidR="009D1BE4" w:rsidRPr="009B783C">
        <w:rPr>
          <w:szCs w:val="21"/>
          <w:lang w:eastAsia="en-AU"/>
        </w:rPr>
        <w:fldChar w:fldCharType="begin"/>
      </w:r>
      <w:r w:rsidR="009D1BE4" w:rsidRPr="009B783C">
        <w:rPr>
          <w:szCs w:val="21"/>
          <w:lang w:eastAsia="en-AU"/>
        </w:rPr>
        <w:instrText xml:space="preserve"> REF _Ref185522471 \n \h </w:instrText>
      </w:r>
      <w:r w:rsidR="00672B2A" w:rsidRPr="009B783C">
        <w:rPr>
          <w:szCs w:val="21"/>
          <w:lang w:eastAsia="en-AU"/>
        </w:rPr>
        <w:instrText xml:space="preserve"> \* MERGEFORMAT </w:instrText>
      </w:r>
      <w:r w:rsidR="009D1BE4" w:rsidRPr="009B783C">
        <w:rPr>
          <w:szCs w:val="21"/>
          <w:lang w:eastAsia="en-AU"/>
        </w:rPr>
      </w:r>
      <w:r w:rsidR="009D1BE4" w:rsidRPr="009B783C">
        <w:rPr>
          <w:szCs w:val="21"/>
          <w:lang w:eastAsia="en-AU"/>
        </w:rPr>
        <w:fldChar w:fldCharType="separate"/>
      </w:r>
      <w:r w:rsidR="0031172E" w:rsidRPr="009B783C">
        <w:rPr>
          <w:szCs w:val="21"/>
          <w:lang w:eastAsia="en-AU"/>
        </w:rPr>
        <w:t>5.6</w:t>
      </w:r>
      <w:r w:rsidR="009D1BE4" w:rsidRPr="009B783C">
        <w:rPr>
          <w:szCs w:val="21"/>
          <w:lang w:eastAsia="en-AU"/>
        </w:rPr>
        <w:fldChar w:fldCharType="end"/>
      </w:r>
      <w:r w:rsidR="00FE22C4" w:rsidRPr="009B783C">
        <w:rPr>
          <w:szCs w:val="21"/>
          <w:lang w:eastAsia="en-AU"/>
        </w:rPr>
        <w:t>).</w:t>
      </w:r>
      <w:r w:rsidR="00E90C2C" w:rsidRPr="009B783C">
        <w:rPr>
          <w:szCs w:val="21"/>
          <w:lang w:eastAsia="en-AU"/>
        </w:rPr>
        <w:t xml:space="preserve"> </w:t>
      </w:r>
    </w:p>
    <w:p w14:paraId="636CD43E" w14:textId="2D26DB0A" w:rsidR="00B34D2C" w:rsidRPr="009B783C" w:rsidRDefault="00B34D2C" w:rsidP="00672B2A">
      <w:pPr>
        <w:rPr>
          <w:szCs w:val="21"/>
          <w:lang w:val="en-US"/>
        </w:rPr>
      </w:pPr>
      <w:r w:rsidRPr="009B783C">
        <w:rPr>
          <w:szCs w:val="21"/>
        </w:rPr>
        <w:t xml:space="preserve">During </w:t>
      </w:r>
      <w:r w:rsidR="009D1BE4" w:rsidRPr="009B783C">
        <w:rPr>
          <w:szCs w:val="21"/>
        </w:rPr>
        <w:t>q</w:t>
      </w:r>
      <w:r w:rsidRPr="009B783C">
        <w:rPr>
          <w:szCs w:val="21"/>
        </w:rPr>
        <w:t xml:space="preserve">uarters </w:t>
      </w:r>
      <w:r w:rsidR="009D1BE4" w:rsidRPr="009B783C">
        <w:rPr>
          <w:szCs w:val="21"/>
        </w:rPr>
        <w:t>three</w:t>
      </w:r>
      <w:r w:rsidRPr="009B783C">
        <w:rPr>
          <w:szCs w:val="21"/>
        </w:rPr>
        <w:t xml:space="preserve"> (January to March) and </w:t>
      </w:r>
      <w:r w:rsidR="009D1BE4" w:rsidRPr="009B783C">
        <w:rPr>
          <w:szCs w:val="21"/>
        </w:rPr>
        <w:t>four</w:t>
      </w:r>
      <w:r w:rsidRPr="009B783C">
        <w:rPr>
          <w:szCs w:val="21"/>
        </w:rPr>
        <w:t xml:space="preserve"> (April to June) of 2023</w:t>
      </w:r>
      <w:r w:rsidR="005F191A" w:rsidRPr="009B783C">
        <w:rPr>
          <w:szCs w:val="21"/>
        </w:rPr>
        <w:t>-</w:t>
      </w:r>
      <w:r w:rsidRPr="009B783C">
        <w:rPr>
          <w:szCs w:val="21"/>
        </w:rPr>
        <w:t>24, it was estimated that approximately 135,000 ED visits were avoided due to the availability of the 5</w:t>
      </w:r>
      <w:r w:rsidR="0069631B" w:rsidRPr="009B783C">
        <w:rPr>
          <w:szCs w:val="21"/>
        </w:rPr>
        <w:t>3</w:t>
      </w:r>
      <w:r w:rsidRPr="009B783C">
        <w:rPr>
          <w:szCs w:val="21"/>
        </w:rPr>
        <w:t xml:space="preserve"> Medicare UCCs that opened before 31 December 2023</w:t>
      </w:r>
      <w:r w:rsidR="00FD5953" w:rsidRPr="009B783C">
        <w:rPr>
          <w:szCs w:val="21"/>
        </w:rPr>
        <w:t xml:space="preserve"> and where </w:t>
      </w:r>
      <w:r w:rsidR="003F748E" w:rsidRPr="009B783C">
        <w:rPr>
          <w:szCs w:val="21"/>
        </w:rPr>
        <w:t>Module data was available</w:t>
      </w:r>
      <w:r w:rsidRPr="009B783C">
        <w:rPr>
          <w:szCs w:val="21"/>
        </w:rPr>
        <w:t xml:space="preserve">. </w:t>
      </w:r>
      <w:r w:rsidR="003C580C" w:rsidRPr="009B783C">
        <w:rPr>
          <w:szCs w:val="21"/>
        </w:rPr>
        <w:t>During the first quarter of 202</w:t>
      </w:r>
      <w:r w:rsidR="00FF3D47" w:rsidRPr="009B783C">
        <w:rPr>
          <w:szCs w:val="21"/>
        </w:rPr>
        <w:t>4</w:t>
      </w:r>
      <w:r w:rsidR="005F191A" w:rsidRPr="009B783C">
        <w:rPr>
          <w:szCs w:val="21"/>
        </w:rPr>
        <w:t>-</w:t>
      </w:r>
      <w:r w:rsidR="003C580C" w:rsidRPr="009B783C">
        <w:rPr>
          <w:szCs w:val="21"/>
        </w:rPr>
        <w:t>2</w:t>
      </w:r>
      <w:r w:rsidR="00FF3D47" w:rsidRPr="009B783C">
        <w:rPr>
          <w:szCs w:val="21"/>
        </w:rPr>
        <w:t>5</w:t>
      </w:r>
      <w:r w:rsidR="003C580C" w:rsidRPr="009B783C">
        <w:rPr>
          <w:szCs w:val="21"/>
        </w:rPr>
        <w:t>, it was estimated a further 74,000 ED visits were avoided</w:t>
      </w:r>
      <w:r w:rsidR="003F748E" w:rsidRPr="009B783C">
        <w:rPr>
          <w:szCs w:val="21"/>
        </w:rPr>
        <w:t xml:space="preserve">, for </w:t>
      </w:r>
      <w:r w:rsidR="00344D29" w:rsidRPr="009B783C">
        <w:rPr>
          <w:szCs w:val="21"/>
        </w:rPr>
        <w:t xml:space="preserve">63 clinics </w:t>
      </w:r>
      <w:r w:rsidR="0009625A" w:rsidRPr="009B783C">
        <w:rPr>
          <w:szCs w:val="21"/>
        </w:rPr>
        <w:t xml:space="preserve">that opened before </w:t>
      </w:r>
      <w:r w:rsidR="00DA73C9" w:rsidRPr="009B783C">
        <w:rPr>
          <w:szCs w:val="21"/>
        </w:rPr>
        <w:t xml:space="preserve">30 September </w:t>
      </w:r>
      <w:r w:rsidR="0009625A" w:rsidRPr="009B783C">
        <w:rPr>
          <w:szCs w:val="21"/>
        </w:rPr>
        <w:t>202</w:t>
      </w:r>
      <w:r w:rsidR="00DA73C9" w:rsidRPr="009B783C">
        <w:rPr>
          <w:szCs w:val="21"/>
        </w:rPr>
        <w:t>4</w:t>
      </w:r>
      <w:r w:rsidR="0009625A" w:rsidRPr="009B783C">
        <w:rPr>
          <w:szCs w:val="21"/>
        </w:rPr>
        <w:t xml:space="preserve"> and where Module data was available</w:t>
      </w:r>
      <w:r w:rsidR="003C580C" w:rsidRPr="009B783C">
        <w:rPr>
          <w:szCs w:val="21"/>
        </w:rPr>
        <w:t>. On an annual basis</w:t>
      </w:r>
      <w:r w:rsidRPr="009B783C">
        <w:rPr>
          <w:szCs w:val="21"/>
        </w:rPr>
        <w:t>, the number of avoided ED visits is estimated to be 33</w:t>
      </w:r>
      <w:r w:rsidR="0012427D" w:rsidRPr="009B783C">
        <w:rPr>
          <w:szCs w:val="21"/>
        </w:rPr>
        <w:t>4</w:t>
      </w:r>
      <w:r w:rsidRPr="009B783C">
        <w:rPr>
          <w:szCs w:val="21"/>
        </w:rPr>
        <w:t>,000 per year</w:t>
      </w:r>
      <w:r w:rsidR="0009625A" w:rsidRPr="009B783C">
        <w:rPr>
          <w:szCs w:val="21"/>
        </w:rPr>
        <w:t xml:space="preserve"> for the </w:t>
      </w:r>
      <w:r w:rsidR="008070CE" w:rsidRPr="009B783C">
        <w:rPr>
          <w:szCs w:val="21"/>
        </w:rPr>
        <w:t>63 clinics</w:t>
      </w:r>
      <w:r w:rsidRPr="009B783C">
        <w:rPr>
          <w:szCs w:val="21"/>
        </w:rPr>
        <w:t>. With the average cost of an avoided ED visit estimated at $616.</w:t>
      </w:r>
    </w:p>
    <w:p w14:paraId="3F1E15F8" w14:textId="72C47D62" w:rsidR="0047756C" w:rsidRPr="009B783C" w:rsidRDefault="0047756C" w:rsidP="00672B2A">
      <w:pPr>
        <w:rPr>
          <w:szCs w:val="21"/>
        </w:rPr>
      </w:pPr>
      <w:r w:rsidRPr="009B783C">
        <w:rPr>
          <w:szCs w:val="21"/>
        </w:rPr>
        <w:t xml:space="preserve">These estimates exclude </w:t>
      </w:r>
      <w:r w:rsidR="001C4A67" w:rsidRPr="009B783C">
        <w:rPr>
          <w:szCs w:val="21"/>
        </w:rPr>
        <w:t xml:space="preserve">the </w:t>
      </w:r>
      <w:r w:rsidR="000433CE" w:rsidRPr="009B783C">
        <w:rPr>
          <w:szCs w:val="21"/>
        </w:rPr>
        <w:t>five</w:t>
      </w:r>
      <w:r w:rsidR="001C4A67" w:rsidRPr="009B783C">
        <w:rPr>
          <w:szCs w:val="21"/>
        </w:rPr>
        <w:t xml:space="preserve"> ACT Medicare UCCs and </w:t>
      </w:r>
      <w:r w:rsidR="002C6F37" w:rsidRPr="009B783C">
        <w:rPr>
          <w:szCs w:val="21"/>
        </w:rPr>
        <w:t>seven</w:t>
      </w:r>
      <w:r w:rsidR="00290491" w:rsidRPr="009B783C">
        <w:rPr>
          <w:szCs w:val="21"/>
        </w:rPr>
        <w:t xml:space="preserve"> </w:t>
      </w:r>
      <w:r w:rsidR="001C4A67" w:rsidRPr="009B783C">
        <w:rPr>
          <w:szCs w:val="21"/>
        </w:rPr>
        <w:t>Medicare UCCs where Module data including associated MBS items was not available.</w:t>
      </w:r>
      <w:r w:rsidR="0000055F" w:rsidRPr="009B783C">
        <w:rPr>
          <w:szCs w:val="21"/>
        </w:rPr>
        <w:t xml:space="preserve"> </w:t>
      </w:r>
    </w:p>
    <w:p w14:paraId="6117339A" w14:textId="3B1E0A2C" w:rsidR="00B34D2C" w:rsidRPr="009B783C" w:rsidRDefault="00B34D2C" w:rsidP="00B34D2C">
      <w:pPr>
        <w:pStyle w:val="Caption"/>
        <w:rPr>
          <w:szCs w:val="21"/>
        </w:rPr>
      </w:pPr>
      <w:bookmarkStart w:id="193" w:name="_Ref185419017"/>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17</w:t>
      </w:r>
      <w:r w:rsidRPr="009B783C">
        <w:rPr>
          <w:szCs w:val="21"/>
        </w:rPr>
        <w:fldChar w:fldCharType="end"/>
      </w:r>
      <w:bookmarkEnd w:id="193"/>
      <w:r w:rsidRPr="009B783C">
        <w:rPr>
          <w:szCs w:val="21"/>
        </w:rPr>
        <w:t xml:space="preserve"> | Estimates of savings for </w:t>
      </w:r>
      <w:r w:rsidR="000433CE" w:rsidRPr="009B783C">
        <w:rPr>
          <w:szCs w:val="21"/>
        </w:rPr>
        <w:t>g</w:t>
      </w:r>
      <w:r w:rsidRPr="009B783C">
        <w:rPr>
          <w:szCs w:val="21"/>
        </w:rPr>
        <w:t xml:space="preserve">overnment </w:t>
      </w:r>
      <w:r w:rsidR="00D25B52" w:rsidRPr="009B783C">
        <w:rPr>
          <w:szCs w:val="21"/>
        </w:rPr>
        <w:t xml:space="preserve">per presentation </w:t>
      </w:r>
      <w:r w:rsidRPr="009B783C">
        <w:rPr>
          <w:szCs w:val="21"/>
        </w:rPr>
        <w:t>arising from ED presentations avoided</w:t>
      </w:r>
    </w:p>
    <w:tbl>
      <w:tblPr>
        <w:tblW w:w="5000" w:type="pct"/>
        <w:jc w:val="center"/>
        <w:tblLook w:val="0420" w:firstRow="1" w:lastRow="0" w:firstColumn="0" w:lastColumn="0" w:noHBand="0" w:noVBand="1"/>
      </w:tblPr>
      <w:tblGrid>
        <w:gridCol w:w="2078"/>
        <w:gridCol w:w="1699"/>
        <w:gridCol w:w="2317"/>
        <w:gridCol w:w="2816"/>
      </w:tblGrid>
      <w:tr w:rsidR="00D45472" w:rsidRPr="009B783C" w14:paraId="6CCEF4A7" w14:textId="77777777" w:rsidTr="00447C3A">
        <w:trPr>
          <w:tblHeader/>
          <w:jc w:val="center"/>
        </w:trPr>
        <w:tc>
          <w:tcPr>
            <w:tcW w:w="1166"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2D2805F1" w14:textId="34AF7863" w:rsidR="00D45472" w:rsidRPr="009B783C" w:rsidRDefault="00D45472" w:rsidP="00D45472">
            <w:pPr>
              <w:pStyle w:val="TableNheader"/>
            </w:pPr>
            <w:r w:rsidRPr="009B783C">
              <w:rPr>
                <w:rFonts w:eastAsia="Segoe UI Semibold"/>
              </w:rPr>
              <w:t>Period</w:t>
            </w:r>
          </w:p>
        </w:tc>
        <w:tc>
          <w:tcPr>
            <w:tcW w:w="953"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7378CC95" w14:textId="4AAA3F90" w:rsidR="00D45472" w:rsidRPr="009B783C" w:rsidRDefault="00D45472" w:rsidP="00786482">
            <w:pPr>
              <w:pStyle w:val="TableNheader"/>
            </w:pPr>
            <w:r w:rsidRPr="009B783C">
              <w:rPr>
                <w:rFonts w:eastAsia="Segoe UI Semibold"/>
              </w:rPr>
              <w:t>Medicare UCC presentations (a)</w:t>
            </w:r>
          </w:p>
        </w:tc>
        <w:tc>
          <w:tcPr>
            <w:tcW w:w="130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7C4D6EC1" w14:textId="062E43DC" w:rsidR="00D45472" w:rsidRPr="009B783C" w:rsidRDefault="00D45472" w:rsidP="00786482">
            <w:pPr>
              <w:pStyle w:val="TableNheader"/>
            </w:pPr>
            <w:r w:rsidRPr="009B783C">
              <w:rPr>
                <w:rFonts w:eastAsia="Segoe UI Semibold"/>
              </w:rPr>
              <w:t>ED presentations avoided, Number</w:t>
            </w:r>
          </w:p>
        </w:tc>
        <w:tc>
          <w:tcPr>
            <w:tcW w:w="158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073A90BA" w14:textId="7B64CFB0" w:rsidR="00D45472" w:rsidRPr="009B783C" w:rsidRDefault="00D45472" w:rsidP="00786482">
            <w:pPr>
              <w:pStyle w:val="TableNheader"/>
            </w:pPr>
            <w:r w:rsidRPr="009B783C">
              <w:rPr>
                <w:rFonts w:eastAsia="Segoe UI Semibold"/>
              </w:rPr>
              <w:t>Commonwealth and state/territory funding per ED presentation avoided</w:t>
            </w:r>
          </w:p>
        </w:tc>
      </w:tr>
      <w:tr w:rsidR="00095FB8" w:rsidRPr="009B783C" w14:paraId="6C6A3015" w14:textId="77777777" w:rsidTr="00447C3A">
        <w:trPr>
          <w:jc w:val="center"/>
        </w:trPr>
        <w:tc>
          <w:tcPr>
            <w:tcW w:w="116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A8C96A3" w14:textId="77777777" w:rsidR="00095FB8" w:rsidRPr="009B783C" w:rsidRDefault="00095FB8">
            <w:pPr>
              <w:pStyle w:val="TableNText"/>
              <w:rPr>
                <w:sz w:val="21"/>
                <w:szCs w:val="21"/>
              </w:rPr>
            </w:pPr>
            <w:r w:rsidRPr="009B783C">
              <w:rPr>
                <w:sz w:val="21"/>
                <w:szCs w:val="21"/>
              </w:rPr>
              <w:t>2023-24 quarters three and four (53 clinics) (b)</w:t>
            </w:r>
          </w:p>
        </w:tc>
        <w:tc>
          <w:tcPr>
            <w:tcW w:w="9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E7BE1AD" w14:textId="77777777" w:rsidR="00095FB8" w:rsidRPr="009B783C" w:rsidRDefault="00095FB8">
            <w:pPr>
              <w:pStyle w:val="TableNText"/>
              <w:jc w:val="center"/>
              <w:rPr>
                <w:sz w:val="21"/>
                <w:szCs w:val="21"/>
              </w:rPr>
            </w:pPr>
            <w:r w:rsidRPr="009B783C">
              <w:rPr>
                <w:sz w:val="21"/>
                <w:szCs w:val="21"/>
              </w:rPr>
              <w:t>135,484</w:t>
            </w:r>
          </w:p>
        </w:tc>
        <w:tc>
          <w:tcPr>
            <w:tcW w:w="13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18D8A5B" w14:textId="77777777" w:rsidR="00095FB8" w:rsidRPr="009B783C" w:rsidRDefault="00095FB8">
            <w:pPr>
              <w:pStyle w:val="TableNText"/>
              <w:jc w:val="center"/>
              <w:rPr>
                <w:sz w:val="21"/>
                <w:szCs w:val="21"/>
              </w:rPr>
            </w:pPr>
            <w:r w:rsidRPr="009B783C">
              <w:rPr>
                <w:sz w:val="21"/>
                <w:szCs w:val="21"/>
              </w:rPr>
              <w:t>135,484</w:t>
            </w:r>
          </w:p>
        </w:tc>
        <w:tc>
          <w:tcPr>
            <w:tcW w:w="158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EF4B254" w14:textId="7B0BD2E0" w:rsidR="00095FB8" w:rsidRPr="009B783C" w:rsidRDefault="0014687F">
            <w:pPr>
              <w:pStyle w:val="TableNText"/>
              <w:jc w:val="center"/>
              <w:rPr>
                <w:sz w:val="21"/>
                <w:szCs w:val="21"/>
              </w:rPr>
            </w:pPr>
            <w:r w:rsidRPr="009B783C">
              <w:rPr>
                <w:sz w:val="21"/>
                <w:szCs w:val="21"/>
              </w:rPr>
              <w:t>$578</w:t>
            </w:r>
          </w:p>
        </w:tc>
      </w:tr>
      <w:tr w:rsidR="00095FB8" w:rsidRPr="009B783C" w14:paraId="1A6237ED" w14:textId="77777777" w:rsidTr="00447C3A">
        <w:trPr>
          <w:jc w:val="center"/>
        </w:trPr>
        <w:tc>
          <w:tcPr>
            <w:tcW w:w="116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0C3813A" w14:textId="77777777" w:rsidR="00095FB8" w:rsidRPr="009B783C" w:rsidRDefault="00095FB8">
            <w:pPr>
              <w:pStyle w:val="TableNText"/>
              <w:rPr>
                <w:sz w:val="21"/>
                <w:szCs w:val="21"/>
              </w:rPr>
            </w:pPr>
            <w:r w:rsidRPr="009B783C">
              <w:rPr>
                <w:sz w:val="21"/>
                <w:szCs w:val="21"/>
              </w:rPr>
              <w:t>2024-25 quarter one (63 clinics) (c)</w:t>
            </w:r>
          </w:p>
        </w:tc>
        <w:tc>
          <w:tcPr>
            <w:tcW w:w="9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741619E" w14:textId="77777777" w:rsidR="00095FB8" w:rsidRPr="009B783C" w:rsidRDefault="00095FB8">
            <w:pPr>
              <w:pStyle w:val="TableNText"/>
              <w:jc w:val="center"/>
              <w:rPr>
                <w:sz w:val="21"/>
                <w:szCs w:val="21"/>
              </w:rPr>
            </w:pPr>
            <w:r w:rsidRPr="009B783C">
              <w:rPr>
                <w:sz w:val="21"/>
                <w:szCs w:val="21"/>
              </w:rPr>
              <w:t>73,755</w:t>
            </w:r>
          </w:p>
        </w:tc>
        <w:tc>
          <w:tcPr>
            <w:tcW w:w="13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24AB22F" w14:textId="77777777" w:rsidR="00095FB8" w:rsidRPr="009B783C" w:rsidRDefault="00095FB8">
            <w:pPr>
              <w:pStyle w:val="TableNText"/>
              <w:jc w:val="center"/>
              <w:rPr>
                <w:sz w:val="21"/>
                <w:szCs w:val="21"/>
              </w:rPr>
            </w:pPr>
            <w:r w:rsidRPr="009B783C">
              <w:rPr>
                <w:sz w:val="21"/>
                <w:szCs w:val="21"/>
              </w:rPr>
              <w:t>73,755</w:t>
            </w:r>
          </w:p>
        </w:tc>
        <w:tc>
          <w:tcPr>
            <w:tcW w:w="158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FA2FA1F" w14:textId="0BEFCBB9" w:rsidR="00095FB8" w:rsidRPr="009B783C" w:rsidRDefault="0014687F">
            <w:pPr>
              <w:pStyle w:val="TableNText"/>
              <w:jc w:val="center"/>
              <w:rPr>
                <w:sz w:val="21"/>
                <w:szCs w:val="21"/>
              </w:rPr>
            </w:pPr>
            <w:r w:rsidRPr="009B783C">
              <w:rPr>
                <w:sz w:val="21"/>
                <w:szCs w:val="21"/>
              </w:rPr>
              <w:t>$618</w:t>
            </w:r>
          </w:p>
        </w:tc>
      </w:tr>
      <w:tr w:rsidR="00095FB8" w:rsidRPr="009B783C" w14:paraId="7097DFE2" w14:textId="77777777" w:rsidTr="00447C3A">
        <w:trPr>
          <w:jc w:val="center"/>
        </w:trPr>
        <w:tc>
          <w:tcPr>
            <w:tcW w:w="116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5084F92" w14:textId="77777777" w:rsidR="00095FB8" w:rsidRPr="009B783C" w:rsidRDefault="00095FB8">
            <w:pPr>
              <w:pStyle w:val="TableNText"/>
              <w:rPr>
                <w:sz w:val="21"/>
                <w:szCs w:val="21"/>
              </w:rPr>
            </w:pPr>
            <w:r w:rsidRPr="009B783C">
              <w:rPr>
                <w:sz w:val="21"/>
                <w:szCs w:val="21"/>
              </w:rPr>
              <w:t>Annual estimate (63 clinics) (c) (d)</w:t>
            </w:r>
          </w:p>
        </w:tc>
        <w:tc>
          <w:tcPr>
            <w:tcW w:w="95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AE17106" w14:textId="77777777" w:rsidR="00095FB8" w:rsidRPr="009B783C" w:rsidRDefault="00095FB8">
            <w:pPr>
              <w:pStyle w:val="TableNText"/>
              <w:jc w:val="center"/>
              <w:rPr>
                <w:sz w:val="21"/>
                <w:szCs w:val="21"/>
              </w:rPr>
            </w:pPr>
            <w:r w:rsidRPr="009B783C">
              <w:rPr>
                <w:sz w:val="21"/>
                <w:szCs w:val="21"/>
              </w:rPr>
              <w:t>334,133</w:t>
            </w:r>
          </w:p>
        </w:tc>
        <w:tc>
          <w:tcPr>
            <w:tcW w:w="13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5B9DCFA" w14:textId="77777777" w:rsidR="00095FB8" w:rsidRPr="009B783C" w:rsidRDefault="00095FB8">
            <w:pPr>
              <w:pStyle w:val="TableNText"/>
              <w:jc w:val="center"/>
              <w:rPr>
                <w:sz w:val="21"/>
                <w:szCs w:val="21"/>
              </w:rPr>
            </w:pPr>
            <w:r w:rsidRPr="009B783C">
              <w:rPr>
                <w:sz w:val="21"/>
                <w:szCs w:val="21"/>
              </w:rPr>
              <w:t>334,133</w:t>
            </w:r>
          </w:p>
        </w:tc>
        <w:tc>
          <w:tcPr>
            <w:tcW w:w="158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1645183" w14:textId="1EDCFB78" w:rsidR="00095FB8" w:rsidRPr="009B783C" w:rsidRDefault="0014687F">
            <w:pPr>
              <w:pStyle w:val="TableNText"/>
              <w:jc w:val="center"/>
              <w:rPr>
                <w:sz w:val="21"/>
                <w:szCs w:val="21"/>
              </w:rPr>
            </w:pPr>
            <w:r w:rsidRPr="009B783C">
              <w:rPr>
                <w:sz w:val="21"/>
                <w:szCs w:val="21"/>
              </w:rPr>
              <w:t>$616</w:t>
            </w:r>
          </w:p>
        </w:tc>
      </w:tr>
    </w:tbl>
    <w:p w14:paraId="50640A41" w14:textId="4A483177" w:rsidR="00672B2A" w:rsidRPr="009B783C" w:rsidRDefault="00672B2A" w:rsidP="00ED1544">
      <w:pPr>
        <w:rPr>
          <w:sz w:val="22"/>
        </w:rPr>
      </w:pPr>
      <w:r w:rsidRPr="009B783C">
        <w:rPr>
          <w:sz w:val="20"/>
          <w:szCs w:val="20"/>
        </w:rPr>
        <w:t>Notes: (a) Includes presentations where it is reported that the patient would have attended an ED or called an ambulance if the Medicare UCC were not available. Within this selection, presentations were excluded where the episode end status is reported as “Did not wait” or “Referred to local ED”. An ED presentation is potentially avoided where it is reported the patient would have “Called ambulance” or attended a “Local ED”. It is less likely an ED presentation is avoided where the episode end status for these patients is “Did not wait” or “Referred to local ED”. (b) Based on 53 Medicare UCCs reporting Module</w:t>
      </w:r>
      <w:r w:rsidRPr="009B783C" w:rsidDel="00582F26">
        <w:rPr>
          <w:sz w:val="20"/>
          <w:szCs w:val="20"/>
        </w:rPr>
        <w:t xml:space="preserve"> </w:t>
      </w:r>
      <w:r w:rsidRPr="009B783C">
        <w:rPr>
          <w:sz w:val="20"/>
          <w:szCs w:val="20"/>
        </w:rPr>
        <w:t xml:space="preserve">data that include associated MBS items. Excludes the five ACT Medicare UCCs. (c) Based on 63 Medicare UCCs reporting </w:t>
      </w:r>
      <w:r w:rsidRPr="00ED1544">
        <w:t>Module</w:t>
      </w:r>
      <w:r w:rsidRPr="009B783C">
        <w:rPr>
          <w:sz w:val="20"/>
          <w:szCs w:val="20"/>
        </w:rPr>
        <w:t xml:space="preserve"> data that include associated MBS items. Excludes the five ACT Medicare UCCs and seven Medicare UCCs where</w:t>
      </w:r>
      <w:r w:rsidRPr="009B783C" w:rsidDel="006743ED">
        <w:rPr>
          <w:sz w:val="20"/>
          <w:szCs w:val="20"/>
        </w:rPr>
        <w:t xml:space="preserve"> </w:t>
      </w:r>
      <w:r w:rsidRPr="009B783C">
        <w:rPr>
          <w:sz w:val="20"/>
          <w:szCs w:val="20"/>
        </w:rPr>
        <w:t xml:space="preserve">Module data, including associated MBS items, was not reported. (d) The Annual estimate is derived for each Medicare UCC through the approach described in </w:t>
      </w:r>
      <w:r w:rsidRPr="009B783C">
        <w:rPr>
          <w:sz w:val="20"/>
          <w:szCs w:val="20"/>
        </w:rPr>
        <w:fldChar w:fldCharType="begin"/>
      </w:r>
      <w:r w:rsidRPr="009B783C">
        <w:rPr>
          <w:sz w:val="20"/>
          <w:szCs w:val="20"/>
        </w:rPr>
        <w:instrText xml:space="preserve"> REF _Ref185400257 \n \h  \* MERGEFORMAT </w:instrText>
      </w:r>
      <w:r w:rsidRPr="009B783C">
        <w:rPr>
          <w:sz w:val="20"/>
          <w:szCs w:val="20"/>
        </w:rPr>
      </w:r>
      <w:r w:rsidRPr="009B783C">
        <w:rPr>
          <w:sz w:val="20"/>
          <w:szCs w:val="20"/>
        </w:rPr>
        <w:fldChar w:fldCharType="separate"/>
      </w:r>
      <w:r w:rsidRPr="009B783C">
        <w:rPr>
          <w:sz w:val="20"/>
          <w:szCs w:val="20"/>
        </w:rPr>
        <w:t>Appendix D</w:t>
      </w:r>
      <w:r w:rsidRPr="009B783C">
        <w:rPr>
          <w:sz w:val="20"/>
          <w:szCs w:val="20"/>
        </w:rPr>
        <w:fldChar w:fldCharType="end"/>
      </w:r>
      <w:r w:rsidRPr="009B783C">
        <w:rPr>
          <w:sz w:val="20"/>
          <w:szCs w:val="20"/>
        </w:rPr>
        <w:t>.</w:t>
      </w:r>
    </w:p>
    <w:p w14:paraId="20817672" w14:textId="24669023" w:rsidR="00B34D2C" w:rsidRPr="009B783C" w:rsidRDefault="00B34D2C" w:rsidP="00672B2A">
      <w:pPr>
        <w:rPr>
          <w:szCs w:val="21"/>
          <w:lang w:eastAsia="en-AU"/>
        </w:rPr>
      </w:pPr>
      <w:r w:rsidRPr="009B783C">
        <w:rPr>
          <w:szCs w:val="21"/>
        </w:rPr>
        <w:t xml:space="preserve">The average estimated price per avoided ED visit ($616) is based on </w:t>
      </w:r>
      <w:r w:rsidRPr="009B783C">
        <w:rPr>
          <w:szCs w:val="21"/>
          <w:lang w:eastAsia="en-AU"/>
        </w:rPr>
        <w:t xml:space="preserve">the national pricing model for ED presentations. The steps used to calculate </w:t>
      </w:r>
      <w:r w:rsidR="004F6DE9" w:rsidRPr="009B783C">
        <w:rPr>
          <w:szCs w:val="21"/>
          <w:lang w:eastAsia="en-AU"/>
        </w:rPr>
        <w:t xml:space="preserve">are described in </w:t>
      </w:r>
      <w:r w:rsidR="000433CE" w:rsidRPr="009B783C">
        <w:rPr>
          <w:szCs w:val="21"/>
          <w:lang w:eastAsia="en-AU"/>
        </w:rPr>
        <w:fldChar w:fldCharType="begin"/>
      </w:r>
      <w:r w:rsidR="000433CE" w:rsidRPr="009B783C">
        <w:rPr>
          <w:szCs w:val="21"/>
          <w:lang w:eastAsia="en-AU"/>
        </w:rPr>
        <w:instrText xml:space="preserve"> REF _Ref185400257 \n \h </w:instrText>
      </w:r>
      <w:r w:rsidR="00672B2A" w:rsidRPr="009B783C">
        <w:rPr>
          <w:szCs w:val="21"/>
          <w:lang w:eastAsia="en-AU"/>
        </w:rPr>
        <w:instrText xml:space="preserve"> \* MERGEFORMAT </w:instrText>
      </w:r>
      <w:r w:rsidR="000433CE" w:rsidRPr="009B783C">
        <w:rPr>
          <w:szCs w:val="21"/>
          <w:lang w:eastAsia="en-AU"/>
        </w:rPr>
      </w:r>
      <w:r w:rsidR="000433CE" w:rsidRPr="009B783C">
        <w:rPr>
          <w:szCs w:val="21"/>
          <w:lang w:eastAsia="en-AU"/>
        </w:rPr>
        <w:fldChar w:fldCharType="separate"/>
      </w:r>
      <w:r w:rsidR="0031172E" w:rsidRPr="009B783C">
        <w:rPr>
          <w:szCs w:val="21"/>
          <w:lang w:eastAsia="en-AU"/>
        </w:rPr>
        <w:t>Appendix D</w:t>
      </w:r>
      <w:r w:rsidR="000433CE" w:rsidRPr="009B783C">
        <w:rPr>
          <w:szCs w:val="21"/>
          <w:lang w:eastAsia="en-AU"/>
        </w:rPr>
        <w:fldChar w:fldCharType="end"/>
      </w:r>
      <w:r w:rsidR="00545B3B" w:rsidRPr="009B783C">
        <w:rPr>
          <w:szCs w:val="21"/>
          <w:lang w:eastAsia="en-AU"/>
        </w:rPr>
        <w:t xml:space="preserve">. </w:t>
      </w:r>
      <w:r w:rsidR="002774E8" w:rsidRPr="009B783C">
        <w:rPr>
          <w:szCs w:val="21"/>
          <w:lang w:eastAsia="en-AU"/>
        </w:rPr>
        <w:t>In summary these involved</w:t>
      </w:r>
      <w:r w:rsidRPr="009B783C">
        <w:rPr>
          <w:szCs w:val="21"/>
          <w:lang w:eastAsia="en-AU"/>
        </w:rPr>
        <w:t>:</w:t>
      </w:r>
    </w:p>
    <w:p w14:paraId="58BC8FCE" w14:textId="77777777" w:rsidR="00345351" w:rsidRDefault="00B34D2C" w:rsidP="00345351">
      <w:pPr>
        <w:pStyle w:val="Listnumbered"/>
        <w:numPr>
          <w:ilvl w:val="0"/>
          <w:numId w:val="71"/>
        </w:numPr>
        <w:rPr>
          <w:szCs w:val="21"/>
          <w:lang w:val="en-US"/>
        </w:rPr>
      </w:pPr>
      <w:r w:rsidRPr="00345351">
        <w:rPr>
          <w:szCs w:val="21"/>
          <w:lang w:eastAsia="en-AU"/>
        </w:rPr>
        <w:lastRenderedPageBreak/>
        <w:t xml:space="preserve">Reasons for visit recorded by the Medicare UCCs for each presentation were coded using the </w:t>
      </w:r>
      <w:r w:rsidRPr="00345351">
        <w:rPr>
          <w:szCs w:val="21"/>
        </w:rPr>
        <w:t>International Classification of Diseases, 10</w:t>
      </w:r>
      <w:r w:rsidRPr="00345351">
        <w:rPr>
          <w:szCs w:val="21"/>
          <w:vertAlign w:val="superscript"/>
        </w:rPr>
        <w:t>th</w:t>
      </w:r>
      <w:r w:rsidRPr="00345351">
        <w:rPr>
          <w:szCs w:val="21"/>
        </w:rPr>
        <w:t xml:space="preserve"> Revision, Australian Modification (ICD-10-AM), Twelfth Edition. Examples of reasons for visit were </w:t>
      </w:r>
      <w:proofErr w:type="spellStart"/>
      <w:r w:rsidRPr="00345351">
        <w:rPr>
          <w:szCs w:val="21"/>
        </w:rPr>
        <w:t>abdo</w:t>
      </w:r>
      <w:proofErr w:type="spellEnd"/>
      <w:r w:rsidRPr="00345351">
        <w:rPr>
          <w:szCs w:val="21"/>
        </w:rPr>
        <w:t xml:space="preserve"> pain, right pressure sore, </w:t>
      </w:r>
      <w:proofErr w:type="spellStart"/>
      <w:r w:rsidRPr="00345351">
        <w:rPr>
          <w:szCs w:val="21"/>
        </w:rPr>
        <w:t>tietze's</w:t>
      </w:r>
      <w:proofErr w:type="spellEnd"/>
      <w:r w:rsidRPr="00345351">
        <w:rPr>
          <w:szCs w:val="21"/>
        </w:rPr>
        <w:t xml:space="preserve"> disease, acute viral </w:t>
      </w:r>
      <w:proofErr w:type="spellStart"/>
      <w:r w:rsidRPr="00345351">
        <w:rPr>
          <w:szCs w:val="21"/>
        </w:rPr>
        <w:t>urti</w:t>
      </w:r>
      <w:proofErr w:type="spellEnd"/>
      <w:r w:rsidRPr="00345351">
        <w:rPr>
          <w:szCs w:val="21"/>
        </w:rPr>
        <w:t xml:space="preserve"> and left ulnar collateral ligament injury (provisional). Some presentations did not have a reason for visit recorded and some had multiple reasons. Where multiple reasons were reported, a main reason for visit was selected following a review of the records.</w:t>
      </w:r>
    </w:p>
    <w:p w14:paraId="06B8F061" w14:textId="6D8314A9" w:rsidR="00B34D2C" w:rsidRPr="00345351" w:rsidRDefault="00B34D2C" w:rsidP="00345351">
      <w:pPr>
        <w:pStyle w:val="Listnumbered"/>
        <w:numPr>
          <w:ilvl w:val="0"/>
          <w:numId w:val="71"/>
        </w:numPr>
        <w:rPr>
          <w:szCs w:val="21"/>
          <w:lang w:val="en-US"/>
        </w:rPr>
      </w:pPr>
      <w:r w:rsidRPr="00345351">
        <w:rPr>
          <w:szCs w:val="21"/>
        </w:rPr>
        <w:t>The ICD-10-AM codes were mapped to the IHACPA’</w:t>
      </w:r>
      <w:r w:rsidR="008C297D" w:rsidRPr="00345351">
        <w:rPr>
          <w:szCs w:val="21"/>
        </w:rPr>
        <w:t>s</w:t>
      </w:r>
      <w:r w:rsidRPr="00345351">
        <w:rPr>
          <w:szCs w:val="21"/>
        </w:rPr>
        <w:t xml:space="preserve"> ED ICD-10-AM Principal Diagnosis Short List (ED Short List) code set. This code set is used to assign AECC classes to presentations, which are in turn used for pricing.</w:t>
      </w:r>
    </w:p>
    <w:p w14:paraId="3EA61743" w14:textId="77777777" w:rsidR="00345351" w:rsidRDefault="00B34D2C" w:rsidP="00345351">
      <w:pPr>
        <w:pStyle w:val="Listnumbered"/>
        <w:rPr>
          <w:szCs w:val="21"/>
          <w:lang w:val="en-US"/>
        </w:rPr>
      </w:pPr>
      <w:r w:rsidRPr="009B783C">
        <w:rPr>
          <w:szCs w:val="21"/>
        </w:rPr>
        <w:t xml:space="preserve">In addition to ED Short List codes, the AECC uses arrival by ambulance, age group, triage category and departure status to assign individual presentations to classes. Triage category is not available for Medicare UCC patients. However, the AECC does not differentiate between </w:t>
      </w:r>
      <w:r w:rsidR="000433CE" w:rsidRPr="009B783C">
        <w:rPr>
          <w:szCs w:val="21"/>
        </w:rPr>
        <w:t>t</w:t>
      </w:r>
      <w:r w:rsidRPr="009B783C">
        <w:rPr>
          <w:szCs w:val="21"/>
        </w:rPr>
        <w:t xml:space="preserve">riage categories </w:t>
      </w:r>
      <w:r w:rsidR="005F191A" w:rsidRPr="009B783C">
        <w:rPr>
          <w:szCs w:val="21"/>
        </w:rPr>
        <w:t>four</w:t>
      </w:r>
      <w:r w:rsidRPr="009B783C">
        <w:rPr>
          <w:szCs w:val="21"/>
        </w:rPr>
        <w:t xml:space="preserve"> and </w:t>
      </w:r>
      <w:r w:rsidR="005F191A" w:rsidRPr="009B783C">
        <w:rPr>
          <w:szCs w:val="21"/>
        </w:rPr>
        <w:t>five</w:t>
      </w:r>
      <w:r w:rsidRPr="009B783C">
        <w:rPr>
          <w:szCs w:val="21"/>
        </w:rPr>
        <w:t xml:space="preserve">, therefore, all presentations were set to </w:t>
      </w:r>
      <w:r w:rsidR="000433CE" w:rsidRPr="009B783C">
        <w:rPr>
          <w:szCs w:val="21"/>
        </w:rPr>
        <w:t>t</w:t>
      </w:r>
      <w:r w:rsidRPr="009B783C">
        <w:rPr>
          <w:szCs w:val="21"/>
        </w:rPr>
        <w:t xml:space="preserve">riage category </w:t>
      </w:r>
      <w:r w:rsidR="000433CE" w:rsidRPr="009B783C">
        <w:rPr>
          <w:szCs w:val="21"/>
        </w:rPr>
        <w:t>five</w:t>
      </w:r>
      <w:r w:rsidRPr="009B783C">
        <w:rPr>
          <w:szCs w:val="21"/>
        </w:rPr>
        <w:t>. Departure status was set to “Discharged home” for all patients.</w:t>
      </w:r>
    </w:p>
    <w:p w14:paraId="7224741E" w14:textId="77777777" w:rsidR="00345351" w:rsidRDefault="00B34D2C" w:rsidP="00345351">
      <w:pPr>
        <w:pStyle w:val="Listnumbered"/>
        <w:rPr>
          <w:szCs w:val="21"/>
          <w:lang w:val="en-US"/>
        </w:rPr>
      </w:pPr>
      <w:r w:rsidRPr="00345351">
        <w:rPr>
          <w:szCs w:val="21"/>
        </w:rPr>
        <w:t>Each AECC class has a National Weighted Activity Unit (NWAU) assigned, representing the relative value of the class to the NEP.</w:t>
      </w:r>
      <w:r w:rsidRPr="009B783C">
        <w:rPr>
          <w:rStyle w:val="FootnoteReference"/>
          <w:szCs w:val="21"/>
          <w:lang w:eastAsia="en-AU"/>
        </w:rPr>
        <w:footnoteReference w:id="99"/>
      </w:r>
      <w:r w:rsidRPr="00345351">
        <w:rPr>
          <w:szCs w:val="21"/>
          <w:vertAlign w:val="superscript"/>
        </w:rPr>
        <w:t>,</w:t>
      </w:r>
      <w:r w:rsidRPr="009B783C">
        <w:rPr>
          <w:rStyle w:val="FootnoteReference"/>
          <w:szCs w:val="21"/>
        </w:rPr>
        <w:footnoteReference w:id="100"/>
      </w:r>
      <w:r w:rsidRPr="00345351">
        <w:rPr>
          <w:szCs w:val="21"/>
        </w:rPr>
        <w:t xml:space="preserve"> In addition, adjustments to the NWAUs were applied as per the NEP Determination, specifically, a </w:t>
      </w:r>
      <w:r w:rsidR="00C10F4D" w:rsidRPr="00345351">
        <w:rPr>
          <w:szCs w:val="21"/>
        </w:rPr>
        <w:t>4</w:t>
      </w:r>
      <w:r w:rsidRPr="00345351">
        <w:rPr>
          <w:szCs w:val="21"/>
        </w:rPr>
        <w:t xml:space="preserve"> per cent uplift for Aboriginal and/or Torres Strait Islander patients and a 30 per cent uplift for patients living in remote areas. The NEP 2023</w:t>
      </w:r>
      <w:r w:rsidR="005F191A" w:rsidRPr="00345351">
        <w:rPr>
          <w:szCs w:val="21"/>
        </w:rPr>
        <w:t>-</w:t>
      </w:r>
      <w:r w:rsidRPr="00345351">
        <w:rPr>
          <w:szCs w:val="21"/>
        </w:rPr>
        <w:t>24 was $6,032 per NWAU for 2023</w:t>
      </w:r>
      <w:r w:rsidR="005F191A" w:rsidRPr="00345351">
        <w:rPr>
          <w:szCs w:val="21"/>
        </w:rPr>
        <w:t>-</w:t>
      </w:r>
      <w:r w:rsidRPr="00345351">
        <w:rPr>
          <w:szCs w:val="21"/>
        </w:rPr>
        <w:t>24 and $6,465 per NWAU for 2024</w:t>
      </w:r>
      <w:r w:rsidR="005F191A" w:rsidRPr="00345351">
        <w:rPr>
          <w:szCs w:val="21"/>
        </w:rPr>
        <w:t>-</w:t>
      </w:r>
      <w:r w:rsidRPr="00345351">
        <w:rPr>
          <w:szCs w:val="21"/>
        </w:rPr>
        <w:t>25.</w:t>
      </w:r>
    </w:p>
    <w:p w14:paraId="47653B86" w14:textId="335F82AA" w:rsidR="00B34D2C" w:rsidRPr="00345351" w:rsidRDefault="00B34D2C" w:rsidP="00345351">
      <w:pPr>
        <w:pStyle w:val="Listnumbered"/>
        <w:rPr>
          <w:szCs w:val="21"/>
          <w:lang w:val="en-US"/>
        </w:rPr>
      </w:pPr>
      <w:r w:rsidRPr="00345351">
        <w:rPr>
          <w:szCs w:val="21"/>
        </w:rPr>
        <w:t>Medicare UCC presentations missing an AECC class (for example, due to no reason for visit reported or recording of an ICD-10-AM code that is ineligible for ED funding were assigned the NWAU for "Other factors influencing health status Complexity level B" (0.0805 NWAU).</w:t>
      </w:r>
    </w:p>
    <w:p w14:paraId="11A970EE" w14:textId="73833829" w:rsidR="00B34D2C" w:rsidRPr="009B783C" w:rsidRDefault="00B34D2C" w:rsidP="00672B2A">
      <w:pPr>
        <w:rPr>
          <w:szCs w:val="21"/>
          <w:lang w:val="en-US"/>
        </w:rPr>
      </w:pPr>
      <w:r w:rsidRPr="009B783C">
        <w:rPr>
          <w:szCs w:val="21"/>
        </w:rPr>
        <w:t>Therefore, $616 per presentation represents an estimate of the cost governments would have incurred under the national pricing model if Medicare UCC patients, for whom it was reported they would have gone to an ED in the absence of a Medicare UCC, had instead been treated in an ED</w:t>
      </w:r>
      <w:r w:rsidR="00F12500" w:rsidRPr="009B783C">
        <w:rPr>
          <w:szCs w:val="21"/>
        </w:rPr>
        <w:t>.</w:t>
      </w:r>
    </w:p>
    <w:p w14:paraId="54AEE9F7" w14:textId="39B11710" w:rsidR="00DA3215" w:rsidRPr="009B783C" w:rsidRDefault="00B34D2C" w:rsidP="00672B2A">
      <w:pPr>
        <w:rPr>
          <w:szCs w:val="21"/>
          <w:lang w:val="en-US"/>
        </w:rPr>
      </w:pPr>
      <w:r w:rsidRPr="009B783C">
        <w:rPr>
          <w:szCs w:val="21"/>
        </w:rPr>
        <w:t xml:space="preserve">To estimate the net </w:t>
      </w:r>
      <w:r w:rsidR="0013568F" w:rsidRPr="009B783C">
        <w:rPr>
          <w:szCs w:val="21"/>
        </w:rPr>
        <w:t>cost to government</w:t>
      </w:r>
      <w:r w:rsidRPr="009B783C">
        <w:rPr>
          <w:szCs w:val="21"/>
        </w:rPr>
        <w:t xml:space="preserve"> of ED avoidance, </w:t>
      </w:r>
      <w:r w:rsidR="00E002EE" w:rsidRPr="009B783C">
        <w:rPr>
          <w:szCs w:val="21"/>
        </w:rPr>
        <w:t xml:space="preserve">the </w:t>
      </w:r>
      <w:r w:rsidR="00AB33C0" w:rsidRPr="009B783C">
        <w:rPr>
          <w:szCs w:val="21"/>
        </w:rPr>
        <w:t xml:space="preserve">estimated cost of </w:t>
      </w:r>
      <w:r w:rsidR="00B25F19" w:rsidRPr="009B783C">
        <w:rPr>
          <w:szCs w:val="21"/>
        </w:rPr>
        <w:t xml:space="preserve">associated </w:t>
      </w:r>
      <w:r w:rsidRPr="009B783C">
        <w:rPr>
          <w:szCs w:val="21"/>
        </w:rPr>
        <w:t xml:space="preserve">Medicare UCC presentations </w:t>
      </w:r>
      <w:r w:rsidR="008049EF" w:rsidRPr="009B783C">
        <w:rPr>
          <w:szCs w:val="21"/>
        </w:rPr>
        <w:t>needs to be</w:t>
      </w:r>
      <w:r w:rsidR="00AB33C0" w:rsidRPr="009B783C">
        <w:rPr>
          <w:szCs w:val="21"/>
        </w:rPr>
        <w:t xml:space="preserve"> </w:t>
      </w:r>
      <w:r w:rsidRPr="009B783C">
        <w:rPr>
          <w:szCs w:val="21"/>
        </w:rPr>
        <w:t>deducted</w:t>
      </w:r>
      <w:r w:rsidR="0096221E" w:rsidRPr="009B783C">
        <w:rPr>
          <w:szCs w:val="21"/>
        </w:rPr>
        <w:t>.</w:t>
      </w:r>
      <w:r w:rsidR="008049EF" w:rsidRPr="009B783C">
        <w:rPr>
          <w:szCs w:val="21"/>
        </w:rPr>
        <w:t xml:space="preserve"> </w:t>
      </w:r>
      <w:r w:rsidR="000A7202" w:rsidRPr="009B783C">
        <w:rPr>
          <w:szCs w:val="21"/>
        </w:rPr>
        <w:t>Using the annu</w:t>
      </w:r>
      <w:r w:rsidR="00423312" w:rsidRPr="009B783C">
        <w:rPr>
          <w:szCs w:val="21"/>
        </w:rPr>
        <w:t>a</w:t>
      </w:r>
      <w:r w:rsidR="000A7202" w:rsidRPr="009B783C">
        <w:rPr>
          <w:szCs w:val="21"/>
        </w:rPr>
        <w:t>l</w:t>
      </w:r>
      <w:r w:rsidR="0009096B" w:rsidRPr="009B783C">
        <w:rPr>
          <w:szCs w:val="21"/>
        </w:rPr>
        <w:t>ised</w:t>
      </w:r>
      <w:r w:rsidR="000A7202" w:rsidRPr="009B783C">
        <w:rPr>
          <w:szCs w:val="21"/>
        </w:rPr>
        <w:t xml:space="preserve"> estimates, t</w:t>
      </w:r>
      <w:r w:rsidR="0031160E" w:rsidRPr="009B783C">
        <w:rPr>
          <w:szCs w:val="21"/>
        </w:rPr>
        <w:t xml:space="preserve">he estimated cost per presentation for this subset of </w:t>
      </w:r>
      <w:r w:rsidR="000A7202" w:rsidRPr="009B783C">
        <w:rPr>
          <w:szCs w:val="21"/>
        </w:rPr>
        <w:t xml:space="preserve">Medicare UCCs presentations </w:t>
      </w:r>
      <w:r w:rsidR="00E35795" w:rsidRPr="009B783C">
        <w:rPr>
          <w:szCs w:val="21"/>
        </w:rPr>
        <w:t xml:space="preserve">related to avoided ED presentations </w:t>
      </w:r>
      <w:r w:rsidR="00EA765A" w:rsidRPr="009B783C">
        <w:rPr>
          <w:szCs w:val="21"/>
        </w:rPr>
        <w:t>was $</w:t>
      </w:r>
      <w:r w:rsidR="00CC5E74" w:rsidRPr="009B783C">
        <w:rPr>
          <w:szCs w:val="21"/>
        </w:rPr>
        <w:t>248</w:t>
      </w:r>
      <w:r w:rsidR="00EB2BD5" w:rsidRPr="009B783C">
        <w:rPr>
          <w:szCs w:val="21"/>
        </w:rPr>
        <w:t>.</w:t>
      </w:r>
      <w:r w:rsidR="00410B80" w:rsidRPr="009B783C">
        <w:rPr>
          <w:szCs w:val="21"/>
        </w:rPr>
        <w:t xml:space="preserve"> </w:t>
      </w:r>
      <w:r w:rsidR="00201122" w:rsidRPr="009B783C">
        <w:rPr>
          <w:szCs w:val="21"/>
        </w:rPr>
        <w:t xml:space="preserve">This is </w:t>
      </w:r>
      <w:r w:rsidR="00410B80" w:rsidRPr="009B783C">
        <w:rPr>
          <w:szCs w:val="21"/>
        </w:rPr>
        <w:t xml:space="preserve">slightly higher than the estimate </w:t>
      </w:r>
      <w:r w:rsidR="000815E2" w:rsidRPr="009B783C">
        <w:rPr>
          <w:szCs w:val="21"/>
        </w:rPr>
        <w:t>of $</w:t>
      </w:r>
      <w:r w:rsidR="00F45A34" w:rsidRPr="009B783C">
        <w:rPr>
          <w:szCs w:val="21"/>
        </w:rPr>
        <w:t>2</w:t>
      </w:r>
      <w:r w:rsidR="006104C2" w:rsidRPr="009B783C">
        <w:rPr>
          <w:szCs w:val="21"/>
        </w:rPr>
        <w:t>46.5</w:t>
      </w:r>
      <w:r w:rsidR="00A14249" w:rsidRPr="009B783C">
        <w:rPr>
          <w:szCs w:val="21"/>
        </w:rPr>
        <w:t>0</w:t>
      </w:r>
      <w:r w:rsidR="006104C2" w:rsidRPr="009B783C">
        <w:rPr>
          <w:szCs w:val="21"/>
        </w:rPr>
        <w:t xml:space="preserve"> </w:t>
      </w:r>
      <w:r w:rsidR="000815E2" w:rsidRPr="009B783C">
        <w:rPr>
          <w:szCs w:val="21"/>
        </w:rPr>
        <w:t xml:space="preserve">for </w:t>
      </w:r>
      <w:r w:rsidR="00410B80" w:rsidRPr="009B783C">
        <w:rPr>
          <w:szCs w:val="21"/>
        </w:rPr>
        <w:t xml:space="preserve">all </w:t>
      </w:r>
      <w:r w:rsidR="00B11C74" w:rsidRPr="009B783C">
        <w:rPr>
          <w:szCs w:val="21"/>
        </w:rPr>
        <w:t>presentations to Medicare UCCs</w:t>
      </w:r>
      <w:r w:rsidR="00680B80" w:rsidRPr="009B783C">
        <w:rPr>
          <w:szCs w:val="21"/>
        </w:rPr>
        <w:t>.</w:t>
      </w:r>
      <w:r w:rsidR="00CC5E74" w:rsidRPr="009B783C">
        <w:rPr>
          <w:szCs w:val="21"/>
        </w:rPr>
        <w:t xml:space="preserve"> </w:t>
      </w:r>
      <w:r w:rsidRPr="009B783C">
        <w:rPr>
          <w:szCs w:val="21"/>
        </w:rPr>
        <w:t xml:space="preserve">These calculations yield estimated </w:t>
      </w:r>
      <w:r w:rsidR="00F45A34" w:rsidRPr="009B783C">
        <w:rPr>
          <w:szCs w:val="21"/>
        </w:rPr>
        <w:t xml:space="preserve">net </w:t>
      </w:r>
      <w:r w:rsidRPr="009B783C">
        <w:rPr>
          <w:szCs w:val="21"/>
        </w:rPr>
        <w:t>savings</w:t>
      </w:r>
      <w:r w:rsidR="008A611A" w:rsidRPr="009B783C">
        <w:rPr>
          <w:szCs w:val="21"/>
        </w:rPr>
        <w:t xml:space="preserve"> </w:t>
      </w:r>
      <w:r w:rsidR="00F45A34" w:rsidRPr="009B783C">
        <w:rPr>
          <w:szCs w:val="21"/>
        </w:rPr>
        <w:t xml:space="preserve">of </w:t>
      </w:r>
      <w:r w:rsidR="006943F2" w:rsidRPr="009B783C">
        <w:rPr>
          <w:szCs w:val="21"/>
        </w:rPr>
        <w:t xml:space="preserve">around </w:t>
      </w:r>
      <w:r w:rsidR="009C5C3B" w:rsidRPr="009B783C">
        <w:rPr>
          <w:szCs w:val="21"/>
        </w:rPr>
        <w:t>$</w:t>
      </w:r>
      <w:r w:rsidR="00C00B2D" w:rsidRPr="009B783C">
        <w:rPr>
          <w:szCs w:val="21"/>
        </w:rPr>
        <w:t xml:space="preserve">368 per </w:t>
      </w:r>
      <w:r w:rsidR="002C0B07" w:rsidRPr="009B783C">
        <w:rPr>
          <w:szCs w:val="21"/>
        </w:rPr>
        <w:t xml:space="preserve">ED </w:t>
      </w:r>
      <w:r w:rsidR="00C00B2D" w:rsidRPr="009B783C">
        <w:rPr>
          <w:szCs w:val="21"/>
        </w:rPr>
        <w:t xml:space="preserve">presentation avoided. </w:t>
      </w:r>
    </w:p>
    <w:p w14:paraId="61258DF2" w14:textId="7AB13A54" w:rsidR="00302977" w:rsidRPr="009B783C" w:rsidRDefault="00D67DB5" w:rsidP="00672B2A">
      <w:pPr>
        <w:rPr>
          <w:szCs w:val="21"/>
          <w:lang w:val="en-US"/>
        </w:rPr>
      </w:pPr>
      <w:r w:rsidRPr="009B783C">
        <w:rPr>
          <w:szCs w:val="21"/>
        </w:rPr>
        <w:t xml:space="preserve">Considerable caution needs to </w:t>
      </w:r>
      <w:r w:rsidR="00FE4924" w:rsidRPr="009B783C">
        <w:rPr>
          <w:szCs w:val="21"/>
        </w:rPr>
        <w:t xml:space="preserve">be </w:t>
      </w:r>
      <w:r w:rsidR="002C0B07" w:rsidRPr="009B783C">
        <w:rPr>
          <w:szCs w:val="21"/>
        </w:rPr>
        <w:t xml:space="preserve">applied </w:t>
      </w:r>
      <w:r w:rsidR="00FC1CA1" w:rsidRPr="009B783C">
        <w:rPr>
          <w:szCs w:val="21"/>
        </w:rPr>
        <w:t xml:space="preserve">in </w:t>
      </w:r>
      <w:r w:rsidR="00DA3215" w:rsidRPr="009B783C">
        <w:rPr>
          <w:szCs w:val="21"/>
        </w:rPr>
        <w:t xml:space="preserve">using </w:t>
      </w:r>
      <w:r w:rsidR="00FC1CA1" w:rsidRPr="009B783C">
        <w:rPr>
          <w:szCs w:val="21"/>
        </w:rPr>
        <w:t xml:space="preserve">this estimate. </w:t>
      </w:r>
      <w:r w:rsidR="00504D2D" w:rsidRPr="009B783C">
        <w:rPr>
          <w:szCs w:val="21"/>
        </w:rPr>
        <w:t>T</w:t>
      </w:r>
      <w:r w:rsidR="00302977" w:rsidRPr="009B783C">
        <w:rPr>
          <w:szCs w:val="21"/>
        </w:rPr>
        <w:t xml:space="preserve">he </w:t>
      </w:r>
      <w:r w:rsidR="00511345" w:rsidRPr="009B783C">
        <w:rPr>
          <w:szCs w:val="21"/>
        </w:rPr>
        <w:t xml:space="preserve">estimate of avoided </w:t>
      </w:r>
      <w:r w:rsidR="00504D2D" w:rsidRPr="009B783C">
        <w:rPr>
          <w:szCs w:val="21"/>
        </w:rPr>
        <w:t xml:space="preserve">ED presentations is based on </w:t>
      </w:r>
      <w:r w:rsidR="001A550B" w:rsidRPr="009B783C">
        <w:rPr>
          <w:szCs w:val="21"/>
        </w:rPr>
        <w:t xml:space="preserve">Medicare UCC </w:t>
      </w:r>
      <w:r w:rsidR="00504D2D" w:rsidRPr="009B783C">
        <w:rPr>
          <w:szCs w:val="21"/>
        </w:rPr>
        <w:t xml:space="preserve">Module </w:t>
      </w:r>
      <w:r w:rsidR="001A550B" w:rsidRPr="009B783C">
        <w:rPr>
          <w:szCs w:val="21"/>
        </w:rPr>
        <w:t xml:space="preserve">data item </w:t>
      </w:r>
      <w:r w:rsidR="00302977" w:rsidRPr="009B783C">
        <w:rPr>
          <w:szCs w:val="21"/>
        </w:rPr>
        <w:t>"where would the patient have gone otherwise?"</w:t>
      </w:r>
      <w:r w:rsidR="00504D2D" w:rsidRPr="009B783C">
        <w:rPr>
          <w:szCs w:val="21"/>
        </w:rPr>
        <w:t>, which needs to be interpreted cau</w:t>
      </w:r>
      <w:r w:rsidR="00344854" w:rsidRPr="009B783C">
        <w:rPr>
          <w:szCs w:val="21"/>
        </w:rPr>
        <w:t xml:space="preserve">tiously </w:t>
      </w:r>
      <w:r w:rsidR="00BE24F2" w:rsidRPr="009B783C">
        <w:rPr>
          <w:szCs w:val="21"/>
        </w:rPr>
        <w:t>as discussed previously (see</w:t>
      </w:r>
      <w:r w:rsidR="004A5D44" w:rsidRPr="009B783C">
        <w:rPr>
          <w:szCs w:val="21"/>
        </w:rPr>
        <w:t xml:space="preserve"> </w:t>
      </w:r>
      <w:r w:rsidR="00962C4F">
        <w:rPr>
          <w:szCs w:val="21"/>
        </w:rPr>
        <w:t xml:space="preserve">section </w:t>
      </w:r>
      <w:r w:rsidR="00962C4F">
        <w:rPr>
          <w:szCs w:val="21"/>
        </w:rPr>
        <w:fldChar w:fldCharType="begin"/>
      </w:r>
      <w:r w:rsidR="00962C4F">
        <w:rPr>
          <w:szCs w:val="21"/>
        </w:rPr>
        <w:instrText xml:space="preserve"> REF _Ref189770792 \r \h </w:instrText>
      </w:r>
      <w:r w:rsidR="00962C4F">
        <w:rPr>
          <w:szCs w:val="21"/>
        </w:rPr>
      </w:r>
      <w:r w:rsidR="00962C4F">
        <w:rPr>
          <w:szCs w:val="21"/>
        </w:rPr>
        <w:fldChar w:fldCharType="separate"/>
      </w:r>
      <w:r w:rsidR="00962C4F">
        <w:rPr>
          <w:szCs w:val="21"/>
        </w:rPr>
        <w:t>5.6</w:t>
      </w:r>
      <w:r w:rsidR="00962C4F">
        <w:rPr>
          <w:szCs w:val="21"/>
        </w:rPr>
        <w:fldChar w:fldCharType="end"/>
      </w:r>
      <w:r w:rsidR="004A5D44" w:rsidRPr="009B783C">
        <w:rPr>
          <w:szCs w:val="21"/>
        </w:rPr>
        <w:t>).</w:t>
      </w:r>
      <w:r w:rsidR="008873C1" w:rsidRPr="009B783C">
        <w:rPr>
          <w:szCs w:val="21"/>
        </w:rPr>
        <w:t xml:space="preserve"> </w:t>
      </w:r>
      <w:r w:rsidR="00D62302" w:rsidRPr="009B783C">
        <w:rPr>
          <w:szCs w:val="21"/>
        </w:rPr>
        <w:t xml:space="preserve">Additionally, the analysis will be extended to include an assessment of the cost impact for </w:t>
      </w:r>
      <w:r w:rsidR="00D62302" w:rsidRPr="009B783C">
        <w:rPr>
          <w:szCs w:val="21"/>
        </w:rPr>
        <w:lastRenderedPageBreak/>
        <w:t>presentations in which it is indicated the patient would have taken actions other than attending an ED or calling an ambulance.</w:t>
      </w:r>
      <w:r w:rsidR="0074626E" w:rsidRPr="009B783C">
        <w:rPr>
          <w:szCs w:val="21"/>
        </w:rPr>
        <w:t xml:space="preserve"> Additional </w:t>
      </w:r>
      <w:r w:rsidR="008B5DA8" w:rsidRPr="009B783C">
        <w:rPr>
          <w:szCs w:val="21"/>
        </w:rPr>
        <w:t xml:space="preserve">issues </w:t>
      </w:r>
      <w:r w:rsidR="0074626E" w:rsidRPr="009B783C">
        <w:rPr>
          <w:szCs w:val="21"/>
        </w:rPr>
        <w:t>are:</w:t>
      </w:r>
    </w:p>
    <w:p w14:paraId="3A31A19D" w14:textId="10962FF5" w:rsidR="008B5DA8" w:rsidRPr="009B783C" w:rsidRDefault="008B5DA8" w:rsidP="00672B2A">
      <w:pPr>
        <w:pStyle w:val="Bullet"/>
        <w:rPr>
          <w:szCs w:val="21"/>
        </w:rPr>
      </w:pPr>
      <w:r w:rsidRPr="009B783C">
        <w:rPr>
          <w:szCs w:val="21"/>
        </w:rPr>
        <w:t xml:space="preserve">There is considerable variation </w:t>
      </w:r>
      <w:r w:rsidR="00910116" w:rsidRPr="009B783C">
        <w:rPr>
          <w:szCs w:val="21"/>
        </w:rPr>
        <w:t>between Medicare UCC</w:t>
      </w:r>
      <w:r w:rsidR="00D16040" w:rsidRPr="009B783C">
        <w:rPr>
          <w:szCs w:val="21"/>
        </w:rPr>
        <w:t>s</w:t>
      </w:r>
      <w:r w:rsidR="00910116" w:rsidRPr="009B783C">
        <w:rPr>
          <w:szCs w:val="21"/>
        </w:rPr>
        <w:t xml:space="preserve"> </w:t>
      </w:r>
      <w:r w:rsidRPr="009B783C">
        <w:rPr>
          <w:szCs w:val="21"/>
        </w:rPr>
        <w:t xml:space="preserve">in </w:t>
      </w:r>
      <w:r w:rsidR="00910116" w:rsidRPr="009B783C">
        <w:rPr>
          <w:szCs w:val="21"/>
        </w:rPr>
        <w:t xml:space="preserve">the </w:t>
      </w:r>
      <w:r w:rsidRPr="009B783C">
        <w:rPr>
          <w:szCs w:val="21"/>
        </w:rPr>
        <w:t>average cost</w:t>
      </w:r>
      <w:r w:rsidR="00910116" w:rsidRPr="009B783C">
        <w:rPr>
          <w:szCs w:val="21"/>
        </w:rPr>
        <w:t xml:space="preserve"> </w:t>
      </w:r>
      <w:r w:rsidR="00D16040" w:rsidRPr="009B783C">
        <w:rPr>
          <w:szCs w:val="21"/>
        </w:rPr>
        <w:t xml:space="preserve">per </w:t>
      </w:r>
      <w:r w:rsidR="00910116" w:rsidRPr="009B783C">
        <w:rPr>
          <w:szCs w:val="21"/>
        </w:rPr>
        <w:t>presentation</w:t>
      </w:r>
      <w:r w:rsidR="003624D0" w:rsidRPr="009B783C">
        <w:rPr>
          <w:szCs w:val="21"/>
        </w:rPr>
        <w:t xml:space="preserve">. </w:t>
      </w:r>
      <w:r w:rsidR="00C250D3" w:rsidRPr="009B783C">
        <w:rPr>
          <w:szCs w:val="21"/>
        </w:rPr>
        <w:t>Variation in average costs</w:t>
      </w:r>
      <w:r w:rsidR="003624D0" w:rsidRPr="009B783C">
        <w:rPr>
          <w:szCs w:val="21"/>
        </w:rPr>
        <w:t xml:space="preserve"> is impacted by </w:t>
      </w:r>
      <w:r w:rsidR="00C250D3" w:rsidRPr="009B783C">
        <w:rPr>
          <w:szCs w:val="21"/>
        </w:rPr>
        <w:t>several</w:t>
      </w:r>
      <w:r w:rsidR="003624D0" w:rsidRPr="009B783C">
        <w:rPr>
          <w:szCs w:val="21"/>
        </w:rPr>
        <w:t xml:space="preserve"> factors including the </w:t>
      </w:r>
      <w:r w:rsidR="00D16040" w:rsidRPr="009B783C">
        <w:rPr>
          <w:szCs w:val="21"/>
        </w:rPr>
        <w:t xml:space="preserve">location </w:t>
      </w:r>
      <w:r w:rsidR="00986811" w:rsidRPr="009B783C">
        <w:rPr>
          <w:szCs w:val="21"/>
        </w:rPr>
        <w:t xml:space="preserve">and scale </w:t>
      </w:r>
      <w:r w:rsidR="00D16040" w:rsidRPr="009B783C">
        <w:rPr>
          <w:szCs w:val="21"/>
        </w:rPr>
        <w:t>of Medicare UCCs</w:t>
      </w:r>
      <w:r w:rsidR="004B4184" w:rsidRPr="009B783C">
        <w:rPr>
          <w:szCs w:val="21"/>
        </w:rPr>
        <w:t>.</w:t>
      </w:r>
      <w:r w:rsidR="0013429E" w:rsidRPr="009B783C">
        <w:rPr>
          <w:szCs w:val="21"/>
        </w:rPr>
        <w:t xml:space="preserve"> Future evaluation reports will </w:t>
      </w:r>
      <w:r w:rsidR="00C250D3" w:rsidRPr="009B783C">
        <w:rPr>
          <w:szCs w:val="21"/>
        </w:rPr>
        <w:t xml:space="preserve">further </w:t>
      </w:r>
      <w:r w:rsidR="0013429E" w:rsidRPr="009B783C">
        <w:rPr>
          <w:szCs w:val="21"/>
        </w:rPr>
        <w:t xml:space="preserve">unpack </w:t>
      </w:r>
      <w:r w:rsidR="00C250D3" w:rsidRPr="009B783C">
        <w:rPr>
          <w:szCs w:val="21"/>
        </w:rPr>
        <w:t xml:space="preserve">these </w:t>
      </w:r>
      <w:r w:rsidR="00786BCE" w:rsidRPr="009B783C">
        <w:rPr>
          <w:szCs w:val="21"/>
        </w:rPr>
        <w:t xml:space="preserve">key </w:t>
      </w:r>
      <w:r w:rsidR="0013429E" w:rsidRPr="009B783C">
        <w:rPr>
          <w:szCs w:val="21"/>
        </w:rPr>
        <w:t>cost drivers</w:t>
      </w:r>
      <w:r w:rsidR="00786BCE" w:rsidRPr="009B783C">
        <w:rPr>
          <w:szCs w:val="21"/>
        </w:rPr>
        <w:t>.</w:t>
      </w:r>
    </w:p>
    <w:p w14:paraId="4C42AB02" w14:textId="7E3809A7" w:rsidR="00EA3545" w:rsidRPr="009B783C" w:rsidRDefault="00344C75" w:rsidP="00672B2A">
      <w:pPr>
        <w:pStyle w:val="Bullet"/>
        <w:rPr>
          <w:szCs w:val="21"/>
        </w:rPr>
      </w:pPr>
      <w:r w:rsidRPr="009B783C">
        <w:rPr>
          <w:szCs w:val="21"/>
        </w:rPr>
        <w:t>For many Medicare UCCs, e</w:t>
      </w:r>
      <w:r w:rsidR="00EA3545" w:rsidRPr="009B783C">
        <w:rPr>
          <w:szCs w:val="21"/>
        </w:rPr>
        <w:t xml:space="preserve">stimates </w:t>
      </w:r>
      <w:r w:rsidRPr="009B783C">
        <w:rPr>
          <w:szCs w:val="21"/>
        </w:rPr>
        <w:t xml:space="preserve">have been based on </w:t>
      </w:r>
      <w:r w:rsidR="00983EAB" w:rsidRPr="009B783C">
        <w:rPr>
          <w:szCs w:val="21"/>
        </w:rPr>
        <w:t xml:space="preserve">part of the </w:t>
      </w:r>
      <w:r w:rsidR="00C57D5A" w:rsidRPr="009B783C">
        <w:rPr>
          <w:szCs w:val="21"/>
        </w:rPr>
        <w:t xml:space="preserve">financial </w:t>
      </w:r>
      <w:r w:rsidRPr="009B783C">
        <w:rPr>
          <w:szCs w:val="21"/>
        </w:rPr>
        <w:t xml:space="preserve">year, including </w:t>
      </w:r>
      <w:r w:rsidR="005A4A8B" w:rsidRPr="009B783C">
        <w:rPr>
          <w:szCs w:val="21"/>
        </w:rPr>
        <w:t>an initial</w:t>
      </w:r>
      <w:r w:rsidRPr="009B783C">
        <w:rPr>
          <w:szCs w:val="21"/>
        </w:rPr>
        <w:t xml:space="preserve"> period </w:t>
      </w:r>
      <w:r w:rsidR="005A4A8B" w:rsidRPr="009B783C">
        <w:rPr>
          <w:szCs w:val="21"/>
        </w:rPr>
        <w:t>in</w:t>
      </w:r>
      <w:r w:rsidRPr="009B783C">
        <w:rPr>
          <w:szCs w:val="21"/>
        </w:rPr>
        <w:t xml:space="preserve"> which the </w:t>
      </w:r>
      <w:r w:rsidR="005A4A8B" w:rsidRPr="009B783C">
        <w:rPr>
          <w:szCs w:val="21"/>
        </w:rPr>
        <w:t xml:space="preserve">UCCs </w:t>
      </w:r>
      <w:r w:rsidR="00C57D5A" w:rsidRPr="009B783C">
        <w:rPr>
          <w:szCs w:val="21"/>
        </w:rPr>
        <w:t>were not operating at</w:t>
      </w:r>
      <w:r w:rsidR="008B5C8B" w:rsidRPr="009B783C">
        <w:rPr>
          <w:szCs w:val="21"/>
        </w:rPr>
        <w:t xml:space="preserve"> their </w:t>
      </w:r>
      <w:r w:rsidR="00C57D5A" w:rsidRPr="009B783C">
        <w:rPr>
          <w:szCs w:val="21"/>
        </w:rPr>
        <w:t xml:space="preserve">full </w:t>
      </w:r>
      <w:r w:rsidR="002F5601" w:rsidRPr="009B783C">
        <w:rPr>
          <w:szCs w:val="21"/>
        </w:rPr>
        <w:t>capacity</w:t>
      </w:r>
      <w:r w:rsidR="00B673E9" w:rsidRPr="009B783C">
        <w:rPr>
          <w:szCs w:val="21"/>
        </w:rPr>
        <w:t>.</w:t>
      </w:r>
      <w:r w:rsidR="002F5601" w:rsidRPr="009B783C">
        <w:rPr>
          <w:szCs w:val="21"/>
        </w:rPr>
        <w:t xml:space="preserve"> </w:t>
      </w:r>
      <w:r w:rsidR="00433436" w:rsidRPr="009B783C">
        <w:rPr>
          <w:szCs w:val="21"/>
        </w:rPr>
        <w:t>Future evaluation reports will have access to data across a full year of operation for Medicare UCCs.</w:t>
      </w:r>
    </w:p>
    <w:p w14:paraId="2F2AC692" w14:textId="4CBD1960" w:rsidR="00786BCE" w:rsidRPr="009B783C" w:rsidRDefault="00A4665A" w:rsidP="00672B2A">
      <w:pPr>
        <w:pStyle w:val="Bullet"/>
        <w:rPr>
          <w:szCs w:val="21"/>
        </w:rPr>
      </w:pPr>
      <w:r w:rsidRPr="009B783C">
        <w:rPr>
          <w:szCs w:val="21"/>
        </w:rPr>
        <w:t>E</w:t>
      </w:r>
      <w:r w:rsidR="00EF4A5F" w:rsidRPr="009B783C">
        <w:rPr>
          <w:szCs w:val="21"/>
        </w:rPr>
        <w:t xml:space="preserve">stimates of the cost to government of avoided ED presentations </w:t>
      </w:r>
      <w:r w:rsidR="00CB224E" w:rsidRPr="009B783C">
        <w:rPr>
          <w:szCs w:val="21"/>
        </w:rPr>
        <w:t>reflect</w:t>
      </w:r>
      <w:r w:rsidR="00D226C7" w:rsidRPr="009B783C">
        <w:rPr>
          <w:szCs w:val="21"/>
        </w:rPr>
        <w:t xml:space="preserve"> funding of </w:t>
      </w:r>
      <w:r w:rsidR="007A7F5D" w:rsidRPr="009B783C">
        <w:rPr>
          <w:szCs w:val="21"/>
        </w:rPr>
        <w:t xml:space="preserve">EDs </w:t>
      </w:r>
      <w:r w:rsidR="00D226C7" w:rsidRPr="009B783C">
        <w:rPr>
          <w:szCs w:val="21"/>
        </w:rPr>
        <w:t xml:space="preserve">using the NEP recommended by the </w:t>
      </w:r>
      <w:r w:rsidR="00D0077B" w:rsidRPr="009B783C">
        <w:rPr>
          <w:szCs w:val="21"/>
        </w:rPr>
        <w:t>IHACPA</w:t>
      </w:r>
      <w:r w:rsidR="004E28FB" w:rsidRPr="009B783C">
        <w:rPr>
          <w:szCs w:val="21"/>
        </w:rPr>
        <w:t>.</w:t>
      </w:r>
      <w:r w:rsidR="00CB224E" w:rsidRPr="009B783C">
        <w:rPr>
          <w:szCs w:val="21"/>
        </w:rPr>
        <w:t xml:space="preserve"> </w:t>
      </w:r>
      <w:r w:rsidR="00393FDF" w:rsidRPr="009B783C">
        <w:rPr>
          <w:szCs w:val="21"/>
        </w:rPr>
        <w:t xml:space="preserve">From the perspective of </w:t>
      </w:r>
      <w:r w:rsidR="007A7F5D" w:rsidRPr="009B783C">
        <w:rPr>
          <w:szCs w:val="21"/>
        </w:rPr>
        <w:t>ED</w:t>
      </w:r>
      <w:r w:rsidR="00393FDF" w:rsidRPr="009B783C">
        <w:rPr>
          <w:szCs w:val="21"/>
        </w:rPr>
        <w:t>s</w:t>
      </w:r>
      <w:r w:rsidR="00915CA6" w:rsidRPr="009B783C">
        <w:rPr>
          <w:szCs w:val="21"/>
        </w:rPr>
        <w:t xml:space="preserve">, </w:t>
      </w:r>
      <w:r w:rsidR="00141E47" w:rsidRPr="009B783C">
        <w:rPr>
          <w:szCs w:val="21"/>
        </w:rPr>
        <w:t xml:space="preserve">reductions in costs associated with </w:t>
      </w:r>
      <w:r w:rsidR="00275587" w:rsidRPr="009B783C">
        <w:rPr>
          <w:szCs w:val="21"/>
        </w:rPr>
        <w:t xml:space="preserve">avoided ED presentations </w:t>
      </w:r>
      <w:r w:rsidR="00BA78D4" w:rsidRPr="009B783C">
        <w:rPr>
          <w:szCs w:val="21"/>
        </w:rPr>
        <w:t xml:space="preserve">in the short term </w:t>
      </w:r>
      <w:r w:rsidR="002126A4" w:rsidRPr="009B783C">
        <w:rPr>
          <w:szCs w:val="21"/>
        </w:rPr>
        <w:t xml:space="preserve">are likely to be lower </w:t>
      </w:r>
      <w:r w:rsidR="001322CC" w:rsidRPr="009B783C">
        <w:rPr>
          <w:szCs w:val="21"/>
        </w:rPr>
        <w:t xml:space="preserve">than this, </w:t>
      </w:r>
      <w:r w:rsidR="002126A4" w:rsidRPr="009B783C">
        <w:rPr>
          <w:szCs w:val="21"/>
        </w:rPr>
        <w:t>due to relatively high fixed costs associated with providing ED services.</w:t>
      </w:r>
      <w:r w:rsidR="001322CC" w:rsidRPr="009B783C">
        <w:rPr>
          <w:szCs w:val="21"/>
        </w:rPr>
        <w:t xml:space="preserve"> </w:t>
      </w:r>
    </w:p>
    <w:p w14:paraId="4ECFFF89" w14:textId="0D835DA2" w:rsidR="00DD4822" w:rsidRPr="009B783C" w:rsidRDefault="00DD4822" w:rsidP="00672B2A">
      <w:pPr>
        <w:pStyle w:val="Bullet"/>
        <w:spacing w:after="240"/>
        <w:rPr>
          <w:szCs w:val="21"/>
        </w:rPr>
      </w:pPr>
      <w:r w:rsidRPr="009B783C">
        <w:rPr>
          <w:szCs w:val="21"/>
        </w:rPr>
        <w:t xml:space="preserve">The analysis does not include the </w:t>
      </w:r>
      <w:r w:rsidR="003254E9" w:rsidRPr="009B783C">
        <w:rPr>
          <w:szCs w:val="21"/>
        </w:rPr>
        <w:t xml:space="preserve">net cost per Medicare UCC </w:t>
      </w:r>
      <w:r w:rsidR="00477CB3" w:rsidRPr="009B783C">
        <w:rPr>
          <w:szCs w:val="21"/>
        </w:rPr>
        <w:t>presentation in</w:t>
      </w:r>
      <w:r w:rsidR="003254E9" w:rsidRPr="009B783C">
        <w:rPr>
          <w:szCs w:val="21"/>
        </w:rPr>
        <w:t xml:space="preserve"> which </w:t>
      </w:r>
      <w:r w:rsidR="00060412" w:rsidRPr="009B783C">
        <w:rPr>
          <w:szCs w:val="21"/>
        </w:rPr>
        <w:t>the</w:t>
      </w:r>
      <w:r w:rsidR="003254E9" w:rsidRPr="009B783C">
        <w:rPr>
          <w:szCs w:val="21"/>
        </w:rPr>
        <w:t xml:space="preserve"> patient would have taken </w:t>
      </w:r>
      <w:r w:rsidR="004577E3" w:rsidRPr="009B783C">
        <w:rPr>
          <w:szCs w:val="21"/>
        </w:rPr>
        <w:t xml:space="preserve">an action </w:t>
      </w:r>
      <w:r w:rsidR="004B4141" w:rsidRPr="009B783C">
        <w:rPr>
          <w:szCs w:val="21"/>
        </w:rPr>
        <w:t>other than attend an ED or call an ambulance</w:t>
      </w:r>
      <w:r w:rsidR="00965EBD" w:rsidRPr="009B783C">
        <w:rPr>
          <w:szCs w:val="21"/>
        </w:rPr>
        <w:t>.</w:t>
      </w:r>
    </w:p>
    <w:tbl>
      <w:tblPr>
        <w:tblStyle w:val="NousLongformcallout"/>
        <w:tblW w:w="5000" w:type="pct"/>
        <w:tblBorders>
          <w:left w:val="single" w:sz="18" w:space="0" w:color="00264D" w:themeColor="background2"/>
        </w:tblBorders>
        <w:tblCellMar>
          <w:top w:w="170" w:type="dxa"/>
          <w:bottom w:w="170" w:type="dxa"/>
        </w:tblCellMar>
        <w:tblLook w:val="04A0" w:firstRow="1" w:lastRow="0" w:firstColumn="1" w:lastColumn="0" w:noHBand="0" w:noVBand="1"/>
      </w:tblPr>
      <w:tblGrid>
        <w:gridCol w:w="8907"/>
      </w:tblGrid>
      <w:tr w:rsidR="00B34D2C" w:rsidRPr="009B783C" w14:paraId="34B04AB5" w14:textId="77777777" w:rsidTr="00A971D4">
        <w:tc>
          <w:tcPr>
            <w:tcW w:w="8907" w:type="dxa"/>
            <w:vAlign w:val="center"/>
          </w:tcPr>
          <w:p w14:paraId="26601BB7" w14:textId="24A5883B" w:rsidR="00B34D2C" w:rsidRPr="009B783C" w:rsidRDefault="00CF204A" w:rsidP="00672B2A">
            <w:pPr>
              <w:pStyle w:val="Longformcallout"/>
              <w:rPr>
                <w:rFonts w:asciiTheme="majorHAnsi" w:hAnsiTheme="majorHAnsi" w:cstheme="majorHAnsi"/>
                <w:sz w:val="28"/>
                <w:szCs w:val="28"/>
              </w:rPr>
            </w:pPr>
            <w:r w:rsidRPr="009B783C">
              <w:rPr>
                <w:rFonts w:asciiTheme="majorHAnsi" w:hAnsiTheme="majorHAnsi" w:cstheme="majorHAnsi"/>
                <w:sz w:val="28"/>
                <w:szCs w:val="28"/>
              </w:rPr>
              <w:t>Interim finding</w:t>
            </w:r>
          </w:p>
          <w:p w14:paraId="00F59C4E" w14:textId="49D9DF3D" w:rsidR="00B71053" w:rsidRPr="009B783C" w:rsidRDefault="00B71053" w:rsidP="00672B2A">
            <w:pPr>
              <w:pStyle w:val="Longformcallout"/>
              <w:rPr>
                <w:szCs w:val="21"/>
                <w:lang w:val="en-US"/>
              </w:rPr>
            </w:pPr>
            <w:r w:rsidRPr="009B783C">
              <w:rPr>
                <w:szCs w:val="21"/>
              </w:rPr>
              <w:t>The annualised Australian Government funding support for Medicare UCCs is estimated to be $246.50 per presentation, excluding the five ACT Medicare UCCs, where MBS claims cannot be made, and the seven Medicare UCCs in which Module data, including MBS items, was not yet reported at the time of undertaking the analysis. Across all Medicare UCCs, the annualised Australian Government's funding is $216 per presentation. These preliminary results do not include contributions to the operation of Medicare UCCs by state and territory governments.</w:t>
            </w:r>
          </w:p>
          <w:p w14:paraId="2CB0E5E7" w14:textId="63CDA9F2" w:rsidR="00B34D2C" w:rsidRPr="009B783C" w:rsidRDefault="00B34D2C" w:rsidP="00672B2A">
            <w:pPr>
              <w:pStyle w:val="Longformcallout"/>
              <w:rPr>
                <w:szCs w:val="21"/>
                <w:lang w:val="en-US"/>
              </w:rPr>
            </w:pPr>
            <w:r w:rsidRPr="009B783C">
              <w:rPr>
                <w:szCs w:val="21"/>
              </w:rPr>
              <w:t>Based on reports of where patients attending a Medicare UCC would have sought care if the clinic was not available, it is estimated that around 33</w:t>
            </w:r>
            <w:r w:rsidR="00BA3B3E" w:rsidRPr="009B783C">
              <w:rPr>
                <w:szCs w:val="21"/>
              </w:rPr>
              <w:t>4</w:t>
            </w:r>
            <w:r w:rsidRPr="009B783C">
              <w:rPr>
                <w:szCs w:val="21"/>
              </w:rPr>
              <w:t xml:space="preserve">,000 ED presentations would be avoided annually if all Medicare UCCs were operating at their </w:t>
            </w:r>
            <w:r w:rsidR="00C85A3A" w:rsidRPr="009B783C">
              <w:rPr>
                <w:szCs w:val="21"/>
              </w:rPr>
              <w:t xml:space="preserve">stable </w:t>
            </w:r>
            <w:r w:rsidRPr="009B783C">
              <w:rPr>
                <w:szCs w:val="21"/>
              </w:rPr>
              <w:t>activity levels post-opening.</w:t>
            </w:r>
            <w:r w:rsidR="005676AA" w:rsidRPr="009B783C">
              <w:rPr>
                <w:szCs w:val="21"/>
              </w:rPr>
              <w:t xml:space="preserve"> This estimate is based on the 63 clinics in which there is sufficient information available. It excludes </w:t>
            </w:r>
            <w:r w:rsidR="00214B95" w:rsidRPr="009B783C">
              <w:rPr>
                <w:szCs w:val="21"/>
              </w:rPr>
              <w:t>the five ACT</w:t>
            </w:r>
            <w:r w:rsidR="005676AA" w:rsidRPr="009B783C">
              <w:rPr>
                <w:szCs w:val="21"/>
              </w:rPr>
              <w:t xml:space="preserve"> Medicare UCCs</w:t>
            </w:r>
            <w:r w:rsidR="00214B95" w:rsidRPr="009B783C">
              <w:rPr>
                <w:szCs w:val="21"/>
              </w:rPr>
              <w:t>,</w:t>
            </w:r>
            <w:r w:rsidR="005676AA" w:rsidRPr="009B783C">
              <w:rPr>
                <w:szCs w:val="21"/>
              </w:rPr>
              <w:t xml:space="preserve"> where </w:t>
            </w:r>
            <w:r w:rsidR="00214B95" w:rsidRPr="009B783C">
              <w:rPr>
                <w:szCs w:val="21"/>
              </w:rPr>
              <w:t>MBS claims cannot be made, and the seven Medicare UCCs in which Module data</w:t>
            </w:r>
            <w:r w:rsidR="005676AA" w:rsidRPr="009B783C">
              <w:rPr>
                <w:szCs w:val="21"/>
              </w:rPr>
              <w:t xml:space="preserve">, including </w:t>
            </w:r>
            <w:r w:rsidR="00214B95" w:rsidRPr="009B783C">
              <w:rPr>
                <w:szCs w:val="21"/>
              </w:rPr>
              <w:t>MBS items, was not yet reported at the time of undertaking the analysis.</w:t>
            </w:r>
            <w:r w:rsidR="005676AA" w:rsidRPr="009B783C">
              <w:rPr>
                <w:szCs w:val="21"/>
              </w:rPr>
              <w:t xml:space="preserve"> As discussed under Measure of Success 6, this is an interim estimate which relies on the accuracy of the reporting against the Medicare UCC Module question “where would the patient have gone otherwise?” This may under or over-estimate the level of ED attendances avoided due to the data limitations described previously.</w:t>
            </w:r>
          </w:p>
          <w:p w14:paraId="7888B4ED" w14:textId="7756C082" w:rsidR="007E688C" w:rsidRPr="009B783C" w:rsidRDefault="007E688C" w:rsidP="00672B2A">
            <w:pPr>
              <w:pStyle w:val="Longformcallout"/>
              <w:rPr>
                <w:szCs w:val="21"/>
              </w:rPr>
            </w:pPr>
            <w:r w:rsidRPr="009B783C">
              <w:rPr>
                <w:szCs w:val="21"/>
              </w:rPr>
              <w:t xml:space="preserve">The average funding that would be paid by the Australian Government and state and territory governments for these avoided ED attendances is estimated by the evaluation team to be $616 per presentation. This estimate is based on analysis of the reasons for attending the Medicare UCC and applying the classification and prices currently applied for ED funding. The estimate reflects government funding (Commonwealth, state and territory) based on the </w:t>
            </w:r>
            <w:r w:rsidR="002100D3" w:rsidRPr="009B783C">
              <w:rPr>
                <w:szCs w:val="21"/>
              </w:rPr>
              <w:t xml:space="preserve">NEP </w:t>
            </w:r>
            <w:r w:rsidRPr="009B783C">
              <w:rPr>
                <w:szCs w:val="21"/>
              </w:rPr>
              <w:t xml:space="preserve">recommended by IHACPA. However, the marginal cost reductions for EDs are likely to be lower due to relatively high fixed costs associated with providing ED services. These savings are offset by the cost of the subset of Medicare UCC attendances related to avoided ED presentations, estimated to be $248 per presentation – which is slightly higher than the </w:t>
            </w:r>
            <w:r w:rsidRPr="009B783C">
              <w:rPr>
                <w:szCs w:val="21"/>
              </w:rPr>
              <w:lastRenderedPageBreak/>
              <w:t>average for all Medicare UCC attendances. This yields a net saving to governments of around $368 per presentation.</w:t>
            </w:r>
          </w:p>
          <w:p w14:paraId="110CD767" w14:textId="3E2CD8A7" w:rsidR="00B34D2C" w:rsidRPr="009B783C" w:rsidRDefault="009E751D" w:rsidP="00672B2A">
            <w:pPr>
              <w:pStyle w:val="Longformcallout"/>
              <w:rPr>
                <w:szCs w:val="21"/>
              </w:rPr>
            </w:pPr>
            <w:r w:rsidRPr="009B783C">
              <w:rPr>
                <w:szCs w:val="21"/>
              </w:rPr>
              <w:t>These results will be revisited and refined through additional analyses in subsequent phases of the evaluation, including inclusion of data for all jurisdictions, costs associated with presentations to a Medicare UCC where the patient would have taken an alternative action other than attending an ED, time savings for patients accessing urgent care through a Medicare UCC compared to an ED and costs incurred by patients (for example, travel expenses) to access a Medicare UCC, ED or alternative. The analyses will also examine the sensitivity of the results to various assumptions and inputs, including estimates of the level of ED presentations avoided.</w:t>
            </w:r>
          </w:p>
        </w:tc>
      </w:tr>
    </w:tbl>
    <w:p w14:paraId="6A2ED5BF" w14:textId="77777777" w:rsidR="00B34D2C" w:rsidRPr="009B783C" w:rsidRDefault="00B34D2C" w:rsidP="000D706D">
      <w:pPr>
        <w:pStyle w:val="Heading3"/>
      </w:pPr>
      <w:r w:rsidRPr="009B783C">
        <w:lastRenderedPageBreak/>
        <w:t xml:space="preserve">Next steps </w:t>
      </w:r>
    </w:p>
    <w:p w14:paraId="21CAF1FB" w14:textId="0FA22B72" w:rsidR="00B34D2C" w:rsidRPr="009B783C" w:rsidRDefault="00B34D2C" w:rsidP="00672B2A">
      <w:pPr>
        <w:rPr>
          <w:szCs w:val="21"/>
          <w:lang w:val="en-US" w:eastAsia="en-AU"/>
        </w:rPr>
      </w:pPr>
      <w:r w:rsidRPr="009B783C">
        <w:rPr>
          <w:szCs w:val="21"/>
          <w:lang w:eastAsia="en-AU"/>
        </w:rPr>
        <w:t>This analysis will be revisited in subsequent phases of the evaluation and expanded to include:</w:t>
      </w:r>
    </w:p>
    <w:p w14:paraId="01B1EBC0" w14:textId="00E7E3E6" w:rsidR="00B34D2C" w:rsidRPr="009B783C" w:rsidRDefault="00B34D2C" w:rsidP="00672B2A">
      <w:pPr>
        <w:pStyle w:val="Bullet"/>
        <w:rPr>
          <w:szCs w:val="21"/>
        </w:rPr>
      </w:pPr>
      <w:r w:rsidRPr="009B783C">
        <w:rPr>
          <w:szCs w:val="21"/>
        </w:rPr>
        <w:t>Medicare UCCs where data was not available to undertake the analyses presented in this report, including the ACT Medicare UCCs</w:t>
      </w:r>
      <w:r w:rsidR="00FA418A" w:rsidRPr="009B783C">
        <w:rPr>
          <w:szCs w:val="21"/>
        </w:rPr>
        <w:t xml:space="preserve">, and </w:t>
      </w:r>
      <w:r w:rsidR="00BF4DA7" w:rsidRPr="009B783C">
        <w:rPr>
          <w:szCs w:val="21"/>
        </w:rPr>
        <w:t>seven</w:t>
      </w:r>
      <w:r w:rsidR="00FA418A" w:rsidRPr="009B783C">
        <w:rPr>
          <w:szCs w:val="21"/>
        </w:rPr>
        <w:t xml:space="preserve"> other Medicare UCCs</w:t>
      </w:r>
      <w:r w:rsidR="009F2D3E" w:rsidRPr="009B783C">
        <w:rPr>
          <w:szCs w:val="21"/>
        </w:rPr>
        <w:t xml:space="preserve"> in which Module data, including MBS items, is not yet reported.</w:t>
      </w:r>
    </w:p>
    <w:p w14:paraId="21ADD5C1" w14:textId="77777777" w:rsidR="00B34D2C" w:rsidRPr="009B783C" w:rsidRDefault="00B34D2C" w:rsidP="00672B2A">
      <w:pPr>
        <w:pStyle w:val="Bullet"/>
        <w:rPr>
          <w:szCs w:val="21"/>
        </w:rPr>
      </w:pPr>
      <w:r w:rsidRPr="009B783C">
        <w:rPr>
          <w:szCs w:val="21"/>
        </w:rPr>
        <w:t>State and territory contributions to the operation of Medicare UCCs.</w:t>
      </w:r>
    </w:p>
    <w:p w14:paraId="24EE1F04" w14:textId="77777777" w:rsidR="00B34D2C" w:rsidRPr="009B783C" w:rsidRDefault="00B34D2C" w:rsidP="00672B2A">
      <w:pPr>
        <w:pStyle w:val="Bullet"/>
        <w:rPr>
          <w:szCs w:val="21"/>
        </w:rPr>
      </w:pPr>
      <w:r w:rsidRPr="009B783C">
        <w:rPr>
          <w:szCs w:val="21"/>
        </w:rPr>
        <w:t>Costs associated with presentations to a Medicare UCC where the patient would have taken an alternative action to attending the Medicare UCC.</w:t>
      </w:r>
    </w:p>
    <w:p w14:paraId="5E289506" w14:textId="77777777" w:rsidR="00B34D2C" w:rsidRPr="009B783C" w:rsidRDefault="00B34D2C" w:rsidP="00672B2A">
      <w:pPr>
        <w:pStyle w:val="Bullet"/>
        <w:rPr>
          <w:szCs w:val="21"/>
        </w:rPr>
      </w:pPr>
      <w:r w:rsidRPr="009B783C">
        <w:rPr>
          <w:szCs w:val="21"/>
        </w:rPr>
        <w:t xml:space="preserve">Time savings for patients accessing urgent care through a Medicare UCC compared with EDs, as well as the monetary value of these time savings. </w:t>
      </w:r>
    </w:p>
    <w:p w14:paraId="55E9E656" w14:textId="5E408A07" w:rsidR="00B34D2C" w:rsidRPr="009B783C" w:rsidRDefault="00B34D2C" w:rsidP="00672B2A">
      <w:pPr>
        <w:pStyle w:val="Bullet"/>
        <w:rPr>
          <w:szCs w:val="21"/>
        </w:rPr>
      </w:pPr>
      <w:r w:rsidRPr="009B783C">
        <w:rPr>
          <w:szCs w:val="21"/>
        </w:rPr>
        <w:t>Costs incurred by patients and their families or carers, such as travel expenses to access a Medicare UCC or an ED.</w:t>
      </w:r>
    </w:p>
    <w:p w14:paraId="5AF92DD6" w14:textId="055F415E" w:rsidR="00E010F0" w:rsidRPr="009B783C" w:rsidRDefault="00B34D2C" w:rsidP="00672B2A">
      <w:pPr>
        <w:rPr>
          <w:szCs w:val="21"/>
          <w:lang w:eastAsia="en-AU"/>
        </w:rPr>
      </w:pPr>
      <w:r w:rsidRPr="009B783C">
        <w:rPr>
          <w:szCs w:val="21"/>
          <w:lang w:eastAsia="en-AU"/>
        </w:rPr>
        <w:t>The analyses will also examine the sensitivity of the results to various assumptions and inputs, including the estimates of</w:t>
      </w:r>
      <w:r w:rsidR="00E010F0" w:rsidRPr="009B783C">
        <w:rPr>
          <w:szCs w:val="21"/>
          <w:lang w:eastAsia="en-AU"/>
        </w:rPr>
        <w:t>:</w:t>
      </w:r>
      <w:r w:rsidRPr="009B783C">
        <w:rPr>
          <w:szCs w:val="21"/>
          <w:lang w:eastAsia="en-AU"/>
        </w:rPr>
        <w:t xml:space="preserve"> </w:t>
      </w:r>
    </w:p>
    <w:p w14:paraId="4CB94E32" w14:textId="77777777" w:rsidR="00E010F0" w:rsidRPr="009B783C" w:rsidRDefault="00E010F0" w:rsidP="00672B2A">
      <w:pPr>
        <w:pStyle w:val="Bullet"/>
        <w:rPr>
          <w:szCs w:val="21"/>
        </w:rPr>
      </w:pPr>
      <w:r w:rsidRPr="009B783C">
        <w:rPr>
          <w:szCs w:val="21"/>
        </w:rPr>
        <w:t>costs of</w:t>
      </w:r>
      <w:r w:rsidR="00B34D2C" w:rsidRPr="009B783C">
        <w:rPr>
          <w:szCs w:val="21"/>
        </w:rPr>
        <w:t xml:space="preserve"> the </w:t>
      </w:r>
      <w:r w:rsidRPr="009B783C">
        <w:rPr>
          <w:szCs w:val="21"/>
        </w:rPr>
        <w:t>Medicare UCC presentations</w:t>
      </w:r>
    </w:p>
    <w:p w14:paraId="53E372E5" w14:textId="5FA6F144" w:rsidR="00E010F0" w:rsidRPr="009B783C" w:rsidRDefault="00B34D2C" w:rsidP="00672B2A">
      <w:pPr>
        <w:pStyle w:val="Bullet"/>
        <w:rPr>
          <w:szCs w:val="21"/>
        </w:rPr>
      </w:pPr>
      <w:r w:rsidRPr="009B783C">
        <w:rPr>
          <w:szCs w:val="21"/>
        </w:rPr>
        <w:t xml:space="preserve">the level of ED presentations </w:t>
      </w:r>
      <w:proofErr w:type="gramStart"/>
      <w:r w:rsidRPr="009B783C">
        <w:rPr>
          <w:szCs w:val="21"/>
        </w:rPr>
        <w:t>avoided</w:t>
      </w:r>
      <w:r w:rsidR="00915BE0" w:rsidRPr="009B783C">
        <w:rPr>
          <w:szCs w:val="21"/>
        </w:rPr>
        <w:t>,</w:t>
      </w:r>
      <w:proofErr w:type="gramEnd"/>
      <w:r w:rsidR="00915BE0" w:rsidRPr="009B783C">
        <w:rPr>
          <w:szCs w:val="21"/>
        </w:rPr>
        <w:t xml:space="preserve"> which will be </w:t>
      </w:r>
      <w:r w:rsidR="007E71AB" w:rsidRPr="009B783C">
        <w:rPr>
          <w:szCs w:val="21"/>
        </w:rPr>
        <w:t>supplemented</w:t>
      </w:r>
      <w:r w:rsidR="00915BE0" w:rsidRPr="009B783C">
        <w:rPr>
          <w:szCs w:val="21"/>
        </w:rPr>
        <w:t xml:space="preserve"> with </w:t>
      </w:r>
      <w:r w:rsidR="004D2B0F" w:rsidRPr="009B783C">
        <w:rPr>
          <w:szCs w:val="21"/>
        </w:rPr>
        <w:t xml:space="preserve">the results of the </w:t>
      </w:r>
      <w:proofErr w:type="spellStart"/>
      <w:r w:rsidR="004D2B0F" w:rsidRPr="009B783C">
        <w:rPr>
          <w:szCs w:val="21"/>
        </w:rPr>
        <w:t>DiD</w:t>
      </w:r>
      <w:proofErr w:type="spellEnd"/>
      <w:r w:rsidR="004D2B0F" w:rsidRPr="009B783C">
        <w:rPr>
          <w:szCs w:val="21"/>
        </w:rPr>
        <w:t xml:space="preserve"> analysis</w:t>
      </w:r>
      <w:r w:rsidR="00136561" w:rsidRPr="009B783C">
        <w:rPr>
          <w:szCs w:val="21"/>
        </w:rPr>
        <w:t xml:space="preserve"> </w:t>
      </w:r>
    </w:p>
    <w:p w14:paraId="3C3D2C27" w14:textId="77777777" w:rsidR="006725AB" w:rsidRPr="009B783C" w:rsidRDefault="00E010F0" w:rsidP="00672B2A">
      <w:pPr>
        <w:pStyle w:val="Bullet"/>
        <w:rPr>
          <w:szCs w:val="21"/>
        </w:rPr>
      </w:pPr>
      <w:r w:rsidRPr="009B783C">
        <w:rPr>
          <w:szCs w:val="21"/>
        </w:rPr>
        <w:t>costs of ED presentations avoided</w:t>
      </w:r>
    </w:p>
    <w:p w14:paraId="0936654F" w14:textId="5394F63B" w:rsidR="00B34D2C" w:rsidRPr="000D706D" w:rsidRDefault="006725AB" w:rsidP="000D706D">
      <w:pPr>
        <w:pStyle w:val="Bullet"/>
        <w:rPr>
          <w:szCs w:val="21"/>
        </w:rPr>
      </w:pPr>
      <w:r w:rsidRPr="009B783C">
        <w:rPr>
          <w:szCs w:val="21"/>
        </w:rPr>
        <w:t>costs of other pathways that a patient may have followed</w:t>
      </w:r>
      <w:r w:rsidR="000D706D">
        <w:rPr>
          <w:szCs w:val="21"/>
        </w:rPr>
        <w:t xml:space="preserve"> </w:t>
      </w:r>
      <w:r w:rsidR="000E320C" w:rsidRPr="000D706D">
        <w:rPr>
          <w:szCs w:val="21"/>
        </w:rPr>
        <w:t>impact of assumptions around missing data</w:t>
      </w:r>
      <w:r w:rsidR="002D4F1E" w:rsidRPr="000D706D">
        <w:rPr>
          <w:szCs w:val="21"/>
        </w:rPr>
        <w:t>.</w:t>
      </w:r>
    </w:p>
    <w:p w14:paraId="3DD8CBBF" w14:textId="32BF4EE5" w:rsidR="001A4E35" w:rsidRPr="00606C34" w:rsidRDefault="001A4E35" w:rsidP="00606C34"/>
    <w:p w14:paraId="4FD18CE0" w14:textId="77777777" w:rsidR="00430FA9" w:rsidRPr="009B783C" w:rsidRDefault="00430FA9" w:rsidP="002C7590">
      <w:pPr>
        <w:rPr>
          <w:lang w:eastAsia="en-AU"/>
        </w:rPr>
        <w:sectPr w:rsidR="00430FA9" w:rsidRPr="009B783C" w:rsidSect="00521967">
          <w:pgSz w:w="11907" w:h="16839" w:code="9"/>
          <w:pgMar w:top="1247" w:right="1418" w:bottom="1276" w:left="1559" w:header="720" w:footer="720" w:gutter="0"/>
          <w:cols w:space="720"/>
          <w:docGrid w:linePitch="360"/>
        </w:sectPr>
      </w:pPr>
    </w:p>
    <w:p w14:paraId="4BE45B4A" w14:textId="1F1F8563" w:rsidR="00371124" w:rsidRPr="009B783C" w:rsidRDefault="00F429F0">
      <w:pPr>
        <w:pStyle w:val="Heading1"/>
      </w:pPr>
      <w:bookmarkStart w:id="194" w:name="_Ref188946325"/>
      <w:bookmarkStart w:id="195" w:name="_Toc189639236"/>
      <w:bookmarkStart w:id="196" w:name="_Toc189772036"/>
      <w:r w:rsidRPr="009B783C">
        <w:lastRenderedPageBreak/>
        <w:t>Improvement opportunities</w:t>
      </w:r>
      <w:bookmarkEnd w:id="194"/>
      <w:bookmarkEnd w:id="195"/>
      <w:bookmarkEnd w:id="196"/>
    </w:p>
    <w:p w14:paraId="35ED6C35" w14:textId="0CB1D0B6" w:rsidR="00F04268" w:rsidRPr="009B783C" w:rsidRDefault="008D3E5C" w:rsidP="00672B2A">
      <w:pPr>
        <w:rPr>
          <w:szCs w:val="21"/>
          <w:lang w:eastAsia="en-AU"/>
        </w:rPr>
      </w:pPr>
      <w:r w:rsidRPr="009B783C">
        <w:rPr>
          <w:szCs w:val="21"/>
          <w:lang w:eastAsia="en-AU"/>
        </w:rPr>
        <w:t xml:space="preserve">A range </w:t>
      </w:r>
      <w:r w:rsidR="00160D0A" w:rsidRPr="009B783C">
        <w:rPr>
          <w:szCs w:val="21"/>
          <w:lang w:eastAsia="en-AU"/>
        </w:rPr>
        <w:t>of</w:t>
      </w:r>
      <w:r w:rsidR="00653CD3" w:rsidRPr="009B783C">
        <w:rPr>
          <w:szCs w:val="21"/>
          <w:lang w:eastAsia="en-AU"/>
        </w:rPr>
        <w:t xml:space="preserve"> </w:t>
      </w:r>
      <w:r w:rsidR="00787B88" w:rsidRPr="009B783C">
        <w:rPr>
          <w:szCs w:val="21"/>
          <w:lang w:eastAsia="en-AU"/>
        </w:rPr>
        <w:t>program and data</w:t>
      </w:r>
      <w:r w:rsidR="00D65FA7" w:rsidRPr="009B783C">
        <w:rPr>
          <w:szCs w:val="21"/>
          <w:lang w:eastAsia="en-AU"/>
        </w:rPr>
        <w:t xml:space="preserve"> </w:t>
      </w:r>
      <w:r w:rsidRPr="009B783C">
        <w:rPr>
          <w:szCs w:val="21"/>
          <w:lang w:eastAsia="en-AU"/>
        </w:rPr>
        <w:t xml:space="preserve">improvement opportunities </w:t>
      </w:r>
      <w:r w:rsidR="00D65FA7" w:rsidRPr="009B783C">
        <w:rPr>
          <w:szCs w:val="21"/>
          <w:lang w:eastAsia="en-AU"/>
        </w:rPr>
        <w:t>were identified throughout this Interim Evaluation Report</w:t>
      </w:r>
      <w:r w:rsidR="00653CD3" w:rsidRPr="009B783C">
        <w:rPr>
          <w:szCs w:val="21"/>
          <w:lang w:eastAsia="en-AU"/>
        </w:rPr>
        <w:t xml:space="preserve"> 1</w:t>
      </w:r>
      <w:r w:rsidR="00D65FA7" w:rsidRPr="009B783C">
        <w:rPr>
          <w:szCs w:val="21"/>
          <w:lang w:eastAsia="en-AU"/>
        </w:rPr>
        <w:t xml:space="preserve">. These are summarised in </w:t>
      </w:r>
      <w:r w:rsidR="000C47BA" w:rsidRPr="009B783C">
        <w:rPr>
          <w:szCs w:val="21"/>
          <w:lang w:eastAsia="en-AU"/>
        </w:rPr>
        <w:fldChar w:fldCharType="begin"/>
      </w:r>
      <w:r w:rsidR="000C47BA" w:rsidRPr="009B783C">
        <w:rPr>
          <w:szCs w:val="21"/>
          <w:lang w:eastAsia="en-AU"/>
        </w:rPr>
        <w:instrText xml:space="preserve"> REF _Ref188550505 \h </w:instrText>
      </w:r>
      <w:r w:rsidR="00672B2A" w:rsidRPr="009B783C">
        <w:rPr>
          <w:szCs w:val="21"/>
          <w:lang w:eastAsia="en-AU"/>
        </w:rPr>
        <w:instrText xml:space="preserve"> \* MERGEFORMAT </w:instrText>
      </w:r>
      <w:r w:rsidR="000C47BA" w:rsidRPr="009B783C">
        <w:rPr>
          <w:szCs w:val="21"/>
          <w:lang w:eastAsia="en-AU"/>
        </w:rPr>
      </w:r>
      <w:r w:rsidR="000C47BA" w:rsidRPr="009B783C">
        <w:rPr>
          <w:szCs w:val="21"/>
          <w:lang w:eastAsia="en-AU"/>
        </w:rPr>
        <w:fldChar w:fldCharType="separate"/>
      </w:r>
      <w:r w:rsidR="00353391" w:rsidRPr="009B783C">
        <w:rPr>
          <w:szCs w:val="21"/>
        </w:rPr>
        <w:t>Table 18</w:t>
      </w:r>
      <w:r w:rsidR="000C47BA" w:rsidRPr="009B783C">
        <w:rPr>
          <w:szCs w:val="21"/>
          <w:lang w:eastAsia="en-AU"/>
        </w:rPr>
        <w:fldChar w:fldCharType="end"/>
      </w:r>
      <w:r w:rsidR="00353391" w:rsidRPr="009B783C">
        <w:rPr>
          <w:szCs w:val="21"/>
          <w:lang w:eastAsia="en-AU"/>
        </w:rPr>
        <w:t xml:space="preserve"> and </w:t>
      </w:r>
      <w:r w:rsidR="00353391" w:rsidRPr="009B783C">
        <w:rPr>
          <w:szCs w:val="21"/>
          <w:lang w:eastAsia="en-AU"/>
        </w:rPr>
        <w:fldChar w:fldCharType="begin"/>
      </w:r>
      <w:r w:rsidR="00353391" w:rsidRPr="009B783C">
        <w:rPr>
          <w:szCs w:val="21"/>
          <w:lang w:eastAsia="en-AU"/>
        </w:rPr>
        <w:instrText xml:space="preserve"> REF _Ref189648264 \h </w:instrText>
      </w:r>
      <w:r w:rsidR="00353391" w:rsidRPr="009B783C">
        <w:rPr>
          <w:szCs w:val="21"/>
          <w:lang w:eastAsia="en-AU"/>
        </w:rPr>
      </w:r>
      <w:r w:rsidR="00353391" w:rsidRPr="009B783C">
        <w:rPr>
          <w:szCs w:val="21"/>
          <w:lang w:eastAsia="en-AU"/>
        </w:rPr>
        <w:fldChar w:fldCharType="separate"/>
      </w:r>
      <w:r w:rsidR="00353391" w:rsidRPr="009B783C">
        <w:rPr>
          <w:szCs w:val="21"/>
        </w:rPr>
        <w:t>Table 19</w:t>
      </w:r>
      <w:r w:rsidR="00353391" w:rsidRPr="009B783C">
        <w:rPr>
          <w:szCs w:val="21"/>
          <w:lang w:eastAsia="en-AU"/>
        </w:rPr>
        <w:fldChar w:fldCharType="end"/>
      </w:r>
      <w:r w:rsidR="00D65FA7" w:rsidRPr="009B783C">
        <w:rPr>
          <w:szCs w:val="21"/>
          <w:lang w:eastAsia="en-AU"/>
        </w:rPr>
        <w:t xml:space="preserve">, together with </w:t>
      </w:r>
      <w:r w:rsidRPr="009B783C">
        <w:rPr>
          <w:szCs w:val="21"/>
          <w:lang w:eastAsia="en-AU"/>
        </w:rPr>
        <w:t>context from the associated Measure of Success</w:t>
      </w:r>
      <w:r w:rsidR="00787B88" w:rsidRPr="009B783C">
        <w:rPr>
          <w:szCs w:val="21"/>
          <w:lang w:eastAsia="en-AU"/>
        </w:rPr>
        <w:t>.</w:t>
      </w:r>
    </w:p>
    <w:p w14:paraId="176727A5" w14:textId="027858C6" w:rsidR="00F748D5" w:rsidRPr="009B783C" w:rsidRDefault="00F748D5" w:rsidP="004B4D93">
      <w:pPr>
        <w:pStyle w:val="Caption"/>
        <w:rPr>
          <w:szCs w:val="21"/>
        </w:rPr>
      </w:pPr>
      <w:bookmarkStart w:id="197" w:name="_Ref188550505"/>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18</w:t>
      </w:r>
      <w:r w:rsidRPr="009B783C">
        <w:rPr>
          <w:szCs w:val="21"/>
        </w:rPr>
        <w:fldChar w:fldCharType="end"/>
      </w:r>
      <w:bookmarkEnd w:id="197"/>
      <w:r w:rsidRPr="009B783C">
        <w:rPr>
          <w:szCs w:val="21"/>
        </w:rPr>
        <w:t xml:space="preserve"> | Summary of program improvement opportunities and relevant context</w:t>
      </w:r>
    </w:p>
    <w:tbl>
      <w:tblPr>
        <w:tblStyle w:val="NOUS"/>
        <w:tblW w:w="0" w:type="auto"/>
        <w:tblLook w:val="04A0" w:firstRow="1" w:lastRow="0" w:firstColumn="1" w:lastColumn="0" w:noHBand="0" w:noVBand="1"/>
      </w:tblPr>
      <w:tblGrid>
        <w:gridCol w:w="5075"/>
        <w:gridCol w:w="3855"/>
      </w:tblGrid>
      <w:tr w:rsidR="00700709" w:rsidRPr="009B783C" w14:paraId="57E8D75A" w14:textId="77777777" w:rsidTr="00353391">
        <w:trPr>
          <w:cnfStyle w:val="100000000000" w:firstRow="1" w:lastRow="0" w:firstColumn="0" w:lastColumn="0" w:oddVBand="0" w:evenVBand="0" w:oddHBand="0" w:evenHBand="0" w:firstRowFirstColumn="0" w:firstRowLastColumn="0" w:lastRowFirstColumn="0" w:lastRowLastColumn="0"/>
        </w:trPr>
        <w:tc>
          <w:tcPr>
            <w:tcW w:w="5075" w:type="dxa"/>
            <w:tcBorders>
              <w:top w:val="single" w:sz="2" w:space="0" w:color="00264D" w:themeColor="background2"/>
              <w:bottom w:val="single" w:sz="4" w:space="0" w:color="00264D" w:themeColor="background2"/>
            </w:tcBorders>
            <w:shd w:val="clear" w:color="auto" w:fill="00264D" w:themeFill="background2"/>
          </w:tcPr>
          <w:p w14:paraId="0D0136E9" w14:textId="7F75A4AB" w:rsidR="00700709" w:rsidRPr="008C4E7D" w:rsidRDefault="00700709" w:rsidP="004B4D93">
            <w:pPr>
              <w:pStyle w:val="TableNheader"/>
              <w:rPr>
                <w:b w:val="0"/>
              </w:rPr>
            </w:pPr>
            <w:r w:rsidRPr="008C4E7D">
              <w:rPr>
                <w:b w:val="0"/>
              </w:rPr>
              <w:t>Improvement opportunity</w:t>
            </w:r>
          </w:p>
        </w:tc>
        <w:tc>
          <w:tcPr>
            <w:tcW w:w="3855" w:type="dxa"/>
            <w:tcBorders>
              <w:top w:val="single" w:sz="2" w:space="0" w:color="00264D" w:themeColor="background2"/>
              <w:bottom w:val="single" w:sz="4" w:space="0" w:color="00264D" w:themeColor="background2"/>
            </w:tcBorders>
            <w:shd w:val="clear" w:color="auto" w:fill="00264D" w:themeFill="background2"/>
          </w:tcPr>
          <w:p w14:paraId="749A20CA" w14:textId="3FCF4B4E" w:rsidR="00700709" w:rsidRPr="008C4E7D" w:rsidRDefault="00700709" w:rsidP="004B4D93">
            <w:pPr>
              <w:pStyle w:val="TableNheader"/>
              <w:rPr>
                <w:b w:val="0"/>
              </w:rPr>
            </w:pPr>
            <w:r w:rsidRPr="008C4E7D" w:rsidDel="008934F7">
              <w:rPr>
                <w:b w:val="0"/>
              </w:rPr>
              <w:t>C</w:t>
            </w:r>
            <w:r w:rsidRPr="008C4E7D">
              <w:rPr>
                <w:b w:val="0"/>
              </w:rPr>
              <w:t>ontext</w:t>
            </w:r>
          </w:p>
        </w:tc>
      </w:tr>
      <w:tr w:rsidR="00401175" w:rsidRPr="009B783C" w14:paraId="4AF56BFD"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FF1B67D" w14:textId="6CE5382A" w:rsidR="00401175" w:rsidRPr="009B783C" w:rsidRDefault="00401175" w:rsidP="00915D13">
            <w:pPr>
              <w:pStyle w:val="TableNListnumbered"/>
              <w:rPr>
                <w:sz w:val="21"/>
                <w:szCs w:val="21"/>
              </w:rPr>
            </w:pPr>
            <w:r w:rsidRPr="009B783C">
              <w:rPr>
                <w:sz w:val="21"/>
                <w:szCs w:val="21"/>
              </w:rPr>
              <w:t xml:space="preserve">The proportion of patients who receive a handover directly back to their usual GP/practice should be increased. Commissioners and Medicare UCCs </w:t>
            </w:r>
            <w:r w:rsidRPr="009B783C" w:rsidDel="00B91984">
              <w:rPr>
                <w:sz w:val="21"/>
                <w:szCs w:val="21"/>
              </w:rPr>
              <w:t xml:space="preserve">should </w:t>
            </w:r>
            <w:r w:rsidR="00643F78" w:rsidRPr="009B783C">
              <w:rPr>
                <w:sz w:val="21"/>
                <w:szCs w:val="21"/>
              </w:rPr>
              <w:t xml:space="preserve">consider </w:t>
            </w:r>
            <w:r w:rsidRPr="009B783C">
              <w:rPr>
                <w:sz w:val="21"/>
                <w:szCs w:val="21"/>
              </w:rPr>
              <w:t>work</w:t>
            </w:r>
            <w:r w:rsidR="00643F78" w:rsidRPr="009B783C">
              <w:rPr>
                <w:sz w:val="21"/>
                <w:szCs w:val="21"/>
              </w:rPr>
              <w:t>ing</w:t>
            </w:r>
            <w:r w:rsidRPr="009B783C">
              <w:rPr>
                <w:sz w:val="21"/>
                <w:szCs w:val="21"/>
              </w:rPr>
              <w:t xml:space="preserve"> together to achieve this, informed by learnings from other clinics.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6F2C828" w14:textId="26BB8FCE" w:rsidR="00401175" w:rsidRPr="009B783C" w:rsidRDefault="00401175" w:rsidP="00401175">
            <w:pPr>
              <w:pStyle w:val="TableNText"/>
              <w:rPr>
                <w:sz w:val="21"/>
                <w:szCs w:val="21"/>
                <w:lang w:eastAsia="en-AU"/>
              </w:rPr>
            </w:pPr>
            <w:r w:rsidRPr="009B783C">
              <w:rPr>
                <w:sz w:val="21"/>
                <w:szCs w:val="21"/>
                <w:lang w:eastAsia="en-AU"/>
              </w:rPr>
              <w:t>Interim evaluation against Measure of Success 3 identified that 68 per cent of patients receive a handover directly back to their usual GP/practice. Electronic provision of the discharge summary direct to the practice is GPs</w:t>
            </w:r>
            <w:r w:rsidR="000F7664" w:rsidRPr="009B783C">
              <w:rPr>
                <w:sz w:val="21"/>
                <w:szCs w:val="21"/>
                <w:lang w:eastAsia="en-AU"/>
              </w:rPr>
              <w:t>’</w:t>
            </w:r>
            <w:r w:rsidRPr="009B783C">
              <w:rPr>
                <w:sz w:val="21"/>
                <w:szCs w:val="21"/>
                <w:lang w:eastAsia="en-AU"/>
              </w:rPr>
              <w:t xml:space="preserve"> preferred method of receiving a clinical handover.</w:t>
            </w:r>
          </w:p>
        </w:tc>
      </w:tr>
      <w:tr w:rsidR="00700709" w:rsidRPr="009B783C" w14:paraId="770542A9"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15F5085" w14:textId="257960B1" w:rsidR="00700709" w:rsidRPr="009B783C" w:rsidRDefault="00700709" w:rsidP="004B4D93">
            <w:pPr>
              <w:pStyle w:val="TableNListnumbered"/>
              <w:rPr>
                <w:sz w:val="21"/>
                <w:szCs w:val="21"/>
              </w:rPr>
            </w:pPr>
            <w:r w:rsidRPr="009B783C">
              <w:rPr>
                <w:sz w:val="21"/>
                <w:szCs w:val="21"/>
              </w:rPr>
              <w:t xml:space="preserve">A consistent, standardised mechanism for collecting patient experience feedback (patient reported experience measures – PREMs) across Medicare UCCs </w:t>
            </w:r>
            <w:r w:rsidRPr="009B783C" w:rsidDel="00A154E2">
              <w:rPr>
                <w:sz w:val="21"/>
                <w:szCs w:val="21"/>
              </w:rPr>
              <w:t xml:space="preserve">should </w:t>
            </w:r>
            <w:r w:rsidRPr="009B783C">
              <w:rPr>
                <w:sz w:val="21"/>
                <w:szCs w:val="21"/>
              </w:rPr>
              <w:t>be established at a national level.</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B42A6C8" w14:textId="3C612283" w:rsidR="00700709" w:rsidRPr="009B783C" w:rsidRDefault="00700709" w:rsidP="004B4D93">
            <w:pPr>
              <w:pStyle w:val="TableNText"/>
              <w:rPr>
                <w:sz w:val="21"/>
                <w:szCs w:val="21"/>
                <w:lang w:eastAsia="en-AU"/>
              </w:rPr>
            </w:pPr>
            <w:r w:rsidRPr="009B783C">
              <w:rPr>
                <w:rStyle w:val="TableNTextChar"/>
                <w:sz w:val="21"/>
                <w:szCs w:val="21"/>
              </w:rPr>
              <w:t>Interim evaluation against Measure of Success 4 i</w:t>
            </w:r>
            <w:r w:rsidR="001C08C7" w:rsidRPr="009B783C">
              <w:rPr>
                <w:rStyle w:val="TableNTextChar"/>
                <w:sz w:val="21"/>
                <w:szCs w:val="21"/>
              </w:rPr>
              <w:t>ndicated</w:t>
            </w:r>
            <w:r w:rsidRPr="009B783C">
              <w:rPr>
                <w:rStyle w:val="TableNTextChar"/>
                <w:sz w:val="21"/>
                <w:szCs w:val="21"/>
              </w:rPr>
              <w:t xml:space="preserve"> that while Medicare UCCs are generally collecting patient feedback, the methods used vary widely</w:t>
            </w:r>
            <w:r w:rsidR="00C4392C" w:rsidRPr="009B783C">
              <w:rPr>
                <w:rStyle w:val="TableNTextChar"/>
                <w:sz w:val="21"/>
                <w:szCs w:val="21"/>
              </w:rPr>
              <w:t xml:space="preserve">, limiting </w:t>
            </w:r>
            <w:r w:rsidR="00FD5D3D" w:rsidRPr="009B783C">
              <w:rPr>
                <w:rStyle w:val="TableNTextChar"/>
                <w:sz w:val="21"/>
                <w:szCs w:val="21"/>
              </w:rPr>
              <w:t xml:space="preserve">the </w:t>
            </w:r>
            <w:r w:rsidR="00C4392C" w:rsidRPr="009B783C">
              <w:rPr>
                <w:rStyle w:val="TableNTextChar"/>
                <w:sz w:val="21"/>
                <w:szCs w:val="21"/>
              </w:rPr>
              <w:t>insight</w:t>
            </w:r>
            <w:r w:rsidR="007E015A" w:rsidRPr="009B783C">
              <w:rPr>
                <w:rStyle w:val="TableNTextChar"/>
                <w:sz w:val="21"/>
                <w:szCs w:val="21"/>
              </w:rPr>
              <w:t>s</w:t>
            </w:r>
            <w:r w:rsidR="00FD5D3D" w:rsidRPr="009B783C">
              <w:rPr>
                <w:rStyle w:val="TableNTextChar"/>
                <w:sz w:val="21"/>
                <w:szCs w:val="21"/>
              </w:rPr>
              <w:t xml:space="preserve"> able to be drawn</w:t>
            </w:r>
            <w:r w:rsidR="00B80C95" w:rsidRPr="009B783C">
              <w:rPr>
                <w:rStyle w:val="TableNTextChar"/>
                <w:sz w:val="21"/>
                <w:szCs w:val="21"/>
              </w:rPr>
              <w:t xml:space="preserve"> across clinics</w:t>
            </w:r>
            <w:r w:rsidR="00FD5D3D" w:rsidRPr="009B783C">
              <w:rPr>
                <w:sz w:val="21"/>
                <w:szCs w:val="21"/>
                <w:lang w:eastAsia="en-AU"/>
              </w:rPr>
              <w:t>.</w:t>
            </w:r>
          </w:p>
        </w:tc>
      </w:tr>
      <w:tr w:rsidR="00700709" w:rsidRPr="009B783C" w14:paraId="530949BC"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8A61176" w14:textId="4721650C" w:rsidR="00FD5D3D" w:rsidRPr="009B783C" w:rsidRDefault="00FD5D3D" w:rsidP="004B4D93">
            <w:pPr>
              <w:pStyle w:val="TableNListnumbered"/>
              <w:rPr>
                <w:sz w:val="21"/>
                <w:szCs w:val="21"/>
              </w:rPr>
            </w:pPr>
            <w:r w:rsidRPr="009B783C">
              <w:rPr>
                <w:sz w:val="21"/>
                <w:szCs w:val="21"/>
              </w:rPr>
              <w:t xml:space="preserve">A consistent approach to collecting data on when patients are being turned away because the Medicare UCC is unable to meet demand, </w:t>
            </w:r>
            <w:r w:rsidRPr="009B783C" w:rsidDel="0094616C">
              <w:rPr>
                <w:sz w:val="21"/>
                <w:szCs w:val="21"/>
              </w:rPr>
              <w:t xml:space="preserve">should </w:t>
            </w:r>
            <w:r w:rsidRPr="009B783C">
              <w:rPr>
                <w:sz w:val="21"/>
                <w:szCs w:val="21"/>
              </w:rPr>
              <w:t>be established at a national level.</w:t>
            </w:r>
          </w:p>
          <w:p w14:paraId="1FDB3EEA" w14:textId="77777777" w:rsidR="00700709" w:rsidRPr="009B783C" w:rsidRDefault="00700709" w:rsidP="001E3889">
            <w:pPr>
              <w:rPr>
                <w:szCs w:val="21"/>
                <w:lang w:eastAsia="en-AU"/>
              </w:rPr>
            </w:pP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58F3C4E" w14:textId="0663493C" w:rsidR="00700709" w:rsidRPr="009B783C" w:rsidRDefault="00DB2E1A" w:rsidP="00556A78">
            <w:pPr>
              <w:pStyle w:val="TableNText"/>
              <w:rPr>
                <w:sz w:val="21"/>
                <w:szCs w:val="21"/>
                <w:lang w:eastAsia="en-AU"/>
              </w:rPr>
            </w:pPr>
            <w:r w:rsidRPr="009B783C">
              <w:rPr>
                <w:sz w:val="21"/>
                <w:szCs w:val="21"/>
                <w:lang w:eastAsia="en-AU"/>
              </w:rPr>
              <w:t xml:space="preserve">Interim evaluation against Measure of Success </w:t>
            </w:r>
            <w:r w:rsidR="005D0F96" w:rsidRPr="009B783C">
              <w:rPr>
                <w:sz w:val="21"/>
                <w:szCs w:val="21"/>
                <w:lang w:eastAsia="en-AU"/>
              </w:rPr>
              <w:t xml:space="preserve">4 </w:t>
            </w:r>
            <w:r w:rsidR="00402F13" w:rsidRPr="009B783C">
              <w:rPr>
                <w:sz w:val="21"/>
                <w:szCs w:val="21"/>
                <w:lang w:eastAsia="en-AU"/>
              </w:rPr>
              <w:t>i</w:t>
            </w:r>
            <w:r w:rsidR="00F36EF6" w:rsidRPr="009B783C">
              <w:rPr>
                <w:sz w:val="21"/>
                <w:szCs w:val="21"/>
                <w:lang w:eastAsia="en-AU"/>
              </w:rPr>
              <w:t>dentified</w:t>
            </w:r>
            <w:r w:rsidR="00402F13" w:rsidRPr="009B783C">
              <w:rPr>
                <w:sz w:val="21"/>
                <w:szCs w:val="21"/>
                <w:lang w:eastAsia="en-AU"/>
              </w:rPr>
              <w:t xml:space="preserve"> </w:t>
            </w:r>
            <w:r w:rsidR="00F94F24" w:rsidRPr="009B783C">
              <w:rPr>
                <w:sz w:val="21"/>
                <w:szCs w:val="21"/>
                <w:lang w:eastAsia="en-AU"/>
              </w:rPr>
              <w:t>instances where</w:t>
            </w:r>
            <w:r w:rsidR="00F97DB3" w:rsidRPr="009B783C">
              <w:rPr>
                <w:sz w:val="21"/>
                <w:szCs w:val="21"/>
                <w:lang w:eastAsia="en-AU"/>
              </w:rPr>
              <w:t xml:space="preserve"> Medicare UCCs have been at capacity </w:t>
            </w:r>
            <w:r w:rsidR="00533CA2" w:rsidRPr="009B783C">
              <w:rPr>
                <w:sz w:val="21"/>
                <w:szCs w:val="21"/>
                <w:lang w:eastAsia="en-AU"/>
              </w:rPr>
              <w:t xml:space="preserve">before closing time and have had to turn patients away. </w:t>
            </w:r>
            <w:r w:rsidR="00CE605E" w:rsidRPr="009B783C">
              <w:rPr>
                <w:sz w:val="21"/>
                <w:szCs w:val="21"/>
                <w:lang w:eastAsia="en-AU"/>
              </w:rPr>
              <w:t>Commissioners are collecting data on this issue in a variety of ways</w:t>
            </w:r>
            <w:r w:rsidR="0095086E" w:rsidRPr="009B783C">
              <w:rPr>
                <w:sz w:val="21"/>
                <w:szCs w:val="21"/>
                <w:lang w:eastAsia="en-AU"/>
              </w:rPr>
              <w:t xml:space="preserve"> and </w:t>
            </w:r>
            <w:r w:rsidR="00B55353" w:rsidRPr="009B783C">
              <w:rPr>
                <w:sz w:val="21"/>
                <w:szCs w:val="21"/>
                <w:lang w:eastAsia="en-AU"/>
              </w:rPr>
              <w:t>consistent national reporting would facilitate greater understanding of this issue and clarify the need for a more systemic response.</w:t>
            </w:r>
          </w:p>
        </w:tc>
      </w:tr>
      <w:tr w:rsidR="00211EC3" w:rsidRPr="009B783C" w14:paraId="37A64BC0"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C2F6874" w14:textId="74F8C153" w:rsidR="00211EC3" w:rsidRPr="009B783C" w:rsidRDefault="007473EE" w:rsidP="00884B68">
            <w:pPr>
              <w:pStyle w:val="TableNListnumbered"/>
              <w:rPr>
                <w:sz w:val="21"/>
                <w:szCs w:val="21"/>
              </w:rPr>
            </w:pPr>
            <w:r w:rsidRPr="009B783C">
              <w:rPr>
                <w:sz w:val="21"/>
                <w:szCs w:val="21"/>
              </w:rPr>
              <w:t>There is opportunity for clinics to enhance their communications to the community about local Medicare UCC service offerings, for example, opening hours of affiliated diagnostic imaging services, and the distinction between fee structures at the Medicare UCC and co-located services.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1C6EE07" w14:textId="2DCB6EB5" w:rsidR="00211EC3" w:rsidRPr="009B783C" w:rsidRDefault="007473EE" w:rsidP="004B4D93">
            <w:pPr>
              <w:pStyle w:val="TableNText"/>
              <w:rPr>
                <w:sz w:val="21"/>
                <w:szCs w:val="21"/>
                <w:lang w:eastAsia="en-AU"/>
              </w:rPr>
            </w:pPr>
            <w:r w:rsidRPr="009B783C">
              <w:rPr>
                <w:sz w:val="21"/>
                <w:szCs w:val="21"/>
                <w:lang w:eastAsia="en-AU"/>
              </w:rPr>
              <w:t xml:space="preserve">Interim evaluation against Measure of Success </w:t>
            </w:r>
            <w:r w:rsidR="00D616B0" w:rsidRPr="009B783C">
              <w:rPr>
                <w:sz w:val="21"/>
                <w:szCs w:val="21"/>
                <w:lang w:eastAsia="en-AU"/>
              </w:rPr>
              <w:t xml:space="preserve">4 </w:t>
            </w:r>
            <w:r w:rsidR="008415D0" w:rsidRPr="009B783C">
              <w:rPr>
                <w:sz w:val="21"/>
                <w:szCs w:val="21"/>
                <w:lang w:eastAsia="en-AU"/>
              </w:rPr>
              <w:t>i</w:t>
            </w:r>
            <w:r w:rsidR="00F36EF6" w:rsidRPr="009B783C">
              <w:rPr>
                <w:sz w:val="21"/>
                <w:szCs w:val="21"/>
                <w:lang w:eastAsia="en-AU"/>
              </w:rPr>
              <w:t>dentified</w:t>
            </w:r>
            <w:r w:rsidR="00A03529" w:rsidRPr="009B783C">
              <w:rPr>
                <w:sz w:val="21"/>
                <w:szCs w:val="21"/>
                <w:lang w:eastAsia="en-AU"/>
              </w:rPr>
              <w:t xml:space="preserve"> that </w:t>
            </w:r>
            <w:r w:rsidR="00F27C57" w:rsidRPr="009B783C">
              <w:rPr>
                <w:sz w:val="21"/>
                <w:szCs w:val="21"/>
                <w:lang w:eastAsia="en-AU"/>
              </w:rPr>
              <w:t>national and local comm</w:t>
            </w:r>
            <w:r w:rsidR="00D75F0C" w:rsidRPr="009B783C">
              <w:rPr>
                <w:sz w:val="21"/>
                <w:szCs w:val="21"/>
                <w:lang w:eastAsia="en-AU"/>
              </w:rPr>
              <w:t xml:space="preserve">unications are </w:t>
            </w:r>
            <w:r w:rsidR="00B52FBA" w:rsidRPr="009B783C">
              <w:rPr>
                <w:sz w:val="21"/>
                <w:szCs w:val="21"/>
                <w:lang w:eastAsia="en-AU"/>
              </w:rPr>
              <w:t>in pl</w:t>
            </w:r>
            <w:r w:rsidR="001F306C" w:rsidRPr="009B783C">
              <w:rPr>
                <w:sz w:val="21"/>
                <w:szCs w:val="21"/>
                <w:lang w:eastAsia="en-AU"/>
              </w:rPr>
              <w:t xml:space="preserve">ace but </w:t>
            </w:r>
            <w:r w:rsidR="000D5505" w:rsidRPr="009B783C">
              <w:rPr>
                <w:sz w:val="21"/>
                <w:szCs w:val="21"/>
                <w:lang w:eastAsia="en-AU"/>
              </w:rPr>
              <w:t>confus</w:t>
            </w:r>
            <w:r w:rsidR="00B14704" w:rsidRPr="009B783C">
              <w:rPr>
                <w:sz w:val="21"/>
                <w:szCs w:val="21"/>
                <w:lang w:eastAsia="en-AU"/>
              </w:rPr>
              <w:t>ion</w:t>
            </w:r>
            <w:r w:rsidR="00014805" w:rsidRPr="009B783C">
              <w:rPr>
                <w:sz w:val="21"/>
                <w:szCs w:val="21"/>
                <w:lang w:eastAsia="en-AU"/>
              </w:rPr>
              <w:t xml:space="preserve"> about local </w:t>
            </w:r>
            <w:r w:rsidR="001F220B" w:rsidRPr="009B783C">
              <w:rPr>
                <w:sz w:val="21"/>
                <w:szCs w:val="21"/>
                <w:lang w:eastAsia="en-AU"/>
              </w:rPr>
              <w:t xml:space="preserve">Medicare UCC </w:t>
            </w:r>
            <w:r w:rsidR="00014805" w:rsidRPr="009B783C">
              <w:rPr>
                <w:sz w:val="21"/>
                <w:szCs w:val="21"/>
                <w:lang w:eastAsia="en-AU"/>
              </w:rPr>
              <w:t xml:space="preserve">service offerings has resulted </w:t>
            </w:r>
            <w:r w:rsidR="001F220B" w:rsidRPr="009B783C">
              <w:rPr>
                <w:sz w:val="21"/>
                <w:szCs w:val="21"/>
                <w:lang w:eastAsia="en-AU"/>
              </w:rPr>
              <w:t xml:space="preserve">in some instances of </w:t>
            </w:r>
            <w:r w:rsidR="00E00187" w:rsidRPr="009B783C">
              <w:rPr>
                <w:sz w:val="21"/>
                <w:szCs w:val="21"/>
                <w:lang w:eastAsia="en-AU"/>
              </w:rPr>
              <w:t>poorer patient experience</w:t>
            </w:r>
            <w:r w:rsidR="001F220B" w:rsidRPr="009B783C">
              <w:rPr>
                <w:sz w:val="21"/>
                <w:szCs w:val="21"/>
                <w:lang w:eastAsia="en-AU"/>
              </w:rPr>
              <w:t>.</w:t>
            </w:r>
          </w:p>
        </w:tc>
      </w:tr>
      <w:tr w:rsidR="003F1E60" w:rsidRPr="009B783C" w14:paraId="4376A403"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AC5E7D1" w14:textId="31882343" w:rsidR="003F1E60" w:rsidRPr="009B783C" w:rsidRDefault="003F1E60" w:rsidP="00B3255F">
            <w:pPr>
              <w:pStyle w:val="TableNListnumbered"/>
              <w:rPr>
                <w:sz w:val="21"/>
                <w:szCs w:val="21"/>
              </w:rPr>
            </w:pPr>
            <w:r w:rsidRPr="009B783C">
              <w:rPr>
                <w:sz w:val="21"/>
                <w:szCs w:val="21"/>
              </w:rPr>
              <w:t xml:space="preserve">Upgrades to physical infrastructure (such as security lighting, parking and wheelchair access) </w:t>
            </w:r>
            <w:r w:rsidRPr="009B783C">
              <w:rPr>
                <w:sz w:val="21"/>
                <w:szCs w:val="21"/>
              </w:rPr>
              <w:lastRenderedPageBreak/>
              <w:t xml:space="preserve">to support accessibility could be considered at some clinics, to ensure adherence to accessibility requirements outlined in the Medicare UCC Operational Guidance. </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55B1D0E" w14:textId="73CCD971" w:rsidR="003F1E60" w:rsidRPr="009B783C" w:rsidRDefault="003F1E60" w:rsidP="004B4D93">
            <w:pPr>
              <w:pStyle w:val="TableNText"/>
              <w:rPr>
                <w:sz w:val="21"/>
                <w:szCs w:val="21"/>
                <w:lang w:eastAsia="en-AU"/>
              </w:rPr>
            </w:pPr>
            <w:r w:rsidRPr="009B783C">
              <w:rPr>
                <w:sz w:val="21"/>
                <w:szCs w:val="21"/>
                <w:lang w:eastAsia="en-AU"/>
              </w:rPr>
              <w:lastRenderedPageBreak/>
              <w:t xml:space="preserve">Interim evaluation against Measure of Success 4 identified </w:t>
            </w:r>
            <w:r w:rsidR="00CC28F6" w:rsidRPr="009B783C">
              <w:rPr>
                <w:sz w:val="21"/>
                <w:szCs w:val="21"/>
                <w:lang w:eastAsia="en-AU"/>
              </w:rPr>
              <w:t xml:space="preserve">concerns </w:t>
            </w:r>
            <w:r w:rsidR="002A06E3" w:rsidRPr="009B783C">
              <w:rPr>
                <w:sz w:val="21"/>
                <w:szCs w:val="21"/>
                <w:lang w:eastAsia="en-AU"/>
              </w:rPr>
              <w:t xml:space="preserve">with </w:t>
            </w:r>
            <w:r w:rsidR="002A06E3" w:rsidRPr="009B783C">
              <w:rPr>
                <w:sz w:val="21"/>
                <w:szCs w:val="21"/>
                <w:lang w:eastAsia="en-AU"/>
              </w:rPr>
              <w:lastRenderedPageBreak/>
              <w:t xml:space="preserve">physical </w:t>
            </w:r>
            <w:r w:rsidR="00164E10" w:rsidRPr="009B783C">
              <w:rPr>
                <w:sz w:val="21"/>
                <w:szCs w:val="21"/>
                <w:lang w:eastAsia="en-AU"/>
              </w:rPr>
              <w:t>infrastructure at some clinics</w:t>
            </w:r>
            <w:r w:rsidR="002F3513" w:rsidRPr="009B783C">
              <w:rPr>
                <w:sz w:val="21"/>
                <w:szCs w:val="21"/>
                <w:lang w:eastAsia="en-AU"/>
              </w:rPr>
              <w:t>,</w:t>
            </w:r>
            <w:r w:rsidR="00F0510F" w:rsidRPr="009B783C">
              <w:rPr>
                <w:sz w:val="21"/>
                <w:szCs w:val="21"/>
                <w:lang w:eastAsia="en-AU"/>
              </w:rPr>
              <w:t xml:space="preserve"> suggesting potential non-</w:t>
            </w:r>
            <w:r w:rsidR="00B71957" w:rsidRPr="009B783C">
              <w:rPr>
                <w:sz w:val="21"/>
                <w:szCs w:val="21"/>
                <w:lang w:eastAsia="en-AU"/>
              </w:rPr>
              <w:t>adherence</w:t>
            </w:r>
            <w:r w:rsidR="00F0510F" w:rsidRPr="009B783C">
              <w:rPr>
                <w:sz w:val="21"/>
                <w:szCs w:val="21"/>
                <w:lang w:eastAsia="en-AU"/>
              </w:rPr>
              <w:t xml:space="preserve"> to accessibility requirements outlined in the Medicare UCC Operational Guidance.</w:t>
            </w:r>
          </w:p>
        </w:tc>
      </w:tr>
      <w:tr w:rsidR="003F1E60" w:rsidRPr="009B783C" w14:paraId="5BAC398B"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DA3B7FB" w14:textId="2BE7CB78" w:rsidR="00F0510F" w:rsidRPr="009B783C" w:rsidRDefault="00F0510F" w:rsidP="00F0510F">
            <w:pPr>
              <w:pStyle w:val="TableNListnumbered"/>
              <w:rPr>
                <w:sz w:val="21"/>
                <w:szCs w:val="21"/>
              </w:rPr>
            </w:pPr>
            <w:r w:rsidRPr="009B783C">
              <w:rPr>
                <w:sz w:val="21"/>
                <w:szCs w:val="21"/>
              </w:rPr>
              <w:lastRenderedPageBreak/>
              <w:t xml:space="preserve">There is opportunity for more widespread exploration </w:t>
            </w:r>
            <w:r w:rsidRPr="009B783C" w:rsidDel="00B7490A">
              <w:rPr>
                <w:sz w:val="21"/>
                <w:szCs w:val="21"/>
              </w:rPr>
              <w:t xml:space="preserve">and </w:t>
            </w:r>
            <w:r w:rsidR="008F4B30" w:rsidRPr="009B783C">
              <w:rPr>
                <w:sz w:val="21"/>
                <w:szCs w:val="21"/>
              </w:rPr>
              <w:t>uptake</w:t>
            </w:r>
            <w:r w:rsidRPr="009B783C" w:rsidDel="00B7490A">
              <w:rPr>
                <w:sz w:val="21"/>
                <w:szCs w:val="21"/>
              </w:rPr>
              <w:t xml:space="preserve"> </w:t>
            </w:r>
            <w:r w:rsidRPr="009B783C">
              <w:rPr>
                <w:sz w:val="21"/>
                <w:szCs w:val="21"/>
              </w:rPr>
              <w:t>of flexible workforce models by Medicare UCCs (informed by learnings from existing workforce trials) to meet demand whilst adhering to minimum program requirements.</w:t>
            </w:r>
          </w:p>
          <w:p w14:paraId="5142B782" w14:textId="77777777" w:rsidR="003F1E60" w:rsidRPr="009B783C" w:rsidRDefault="003F1E60" w:rsidP="004B4D93">
            <w:pPr>
              <w:pStyle w:val="TableNListnumbered"/>
              <w:numPr>
                <w:ilvl w:val="0"/>
                <w:numId w:val="0"/>
              </w:numPr>
              <w:ind w:left="284"/>
              <w:rPr>
                <w:sz w:val="21"/>
                <w:szCs w:val="21"/>
              </w:rPr>
            </w:pP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786DBD5" w14:textId="738799DC" w:rsidR="003F1E60" w:rsidRPr="009B783C" w:rsidRDefault="00460C75" w:rsidP="004B4D93">
            <w:pPr>
              <w:pStyle w:val="TableNText"/>
              <w:rPr>
                <w:sz w:val="21"/>
                <w:szCs w:val="21"/>
                <w:lang w:eastAsia="en-AU"/>
              </w:rPr>
            </w:pPr>
            <w:r w:rsidRPr="009B783C">
              <w:rPr>
                <w:sz w:val="21"/>
                <w:szCs w:val="21"/>
                <w:lang w:eastAsia="en-AU"/>
              </w:rPr>
              <w:t>Interim evaluation against Measure of Success 5 indicated that recruitment of GPs t</w:t>
            </w:r>
            <w:r w:rsidR="00AB4C08" w:rsidRPr="009B783C">
              <w:rPr>
                <w:sz w:val="21"/>
                <w:szCs w:val="21"/>
                <w:lang w:eastAsia="en-AU"/>
              </w:rPr>
              <w:t xml:space="preserve">o </w:t>
            </w:r>
            <w:r w:rsidR="00EA70A1" w:rsidRPr="009B783C">
              <w:rPr>
                <w:sz w:val="21"/>
                <w:szCs w:val="21"/>
                <w:lang w:eastAsia="en-AU"/>
              </w:rPr>
              <w:t>achieve minimum workforce requirements</w:t>
            </w:r>
            <w:r w:rsidR="00A82CAD" w:rsidRPr="009B783C">
              <w:rPr>
                <w:sz w:val="21"/>
                <w:szCs w:val="21"/>
                <w:lang w:eastAsia="en-AU"/>
              </w:rPr>
              <w:t xml:space="preserve"> </w:t>
            </w:r>
            <w:r w:rsidR="00514E81" w:rsidRPr="009B783C">
              <w:rPr>
                <w:sz w:val="21"/>
                <w:szCs w:val="21"/>
                <w:lang w:eastAsia="en-AU"/>
              </w:rPr>
              <w:t xml:space="preserve">and </w:t>
            </w:r>
            <w:r w:rsidR="008D704C" w:rsidRPr="009B783C">
              <w:rPr>
                <w:sz w:val="21"/>
                <w:szCs w:val="21"/>
                <w:lang w:eastAsia="en-AU"/>
              </w:rPr>
              <w:t xml:space="preserve">meet demand </w:t>
            </w:r>
            <w:r w:rsidR="00514E81" w:rsidRPr="009B783C">
              <w:rPr>
                <w:sz w:val="21"/>
                <w:szCs w:val="21"/>
                <w:lang w:eastAsia="en-AU"/>
              </w:rPr>
              <w:t xml:space="preserve">has been challenging, particularly in regional and rural areas. </w:t>
            </w:r>
            <w:r w:rsidR="00A82CAD" w:rsidRPr="009B783C">
              <w:rPr>
                <w:sz w:val="21"/>
                <w:szCs w:val="21"/>
                <w:lang w:eastAsia="en-AU"/>
              </w:rPr>
              <w:t>Some Medicare UCCs have adopted or are currently exploring flexible workforce models to meet local demand whilst adhering to workforce requirements outlined in the Medicare UCC Operational Guidance.</w:t>
            </w:r>
          </w:p>
        </w:tc>
      </w:tr>
      <w:tr w:rsidR="003F1E60" w:rsidRPr="009B783C" w14:paraId="70C1A9B5"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780F915" w14:textId="536DA5F3" w:rsidR="003F1E60" w:rsidRPr="009B783C" w:rsidRDefault="00A82CAD" w:rsidP="00A82CAD">
            <w:pPr>
              <w:pStyle w:val="TableNListnumbered"/>
              <w:rPr>
                <w:sz w:val="21"/>
                <w:szCs w:val="21"/>
              </w:rPr>
            </w:pPr>
            <w:r w:rsidRPr="009B783C">
              <w:rPr>
                <w:sz w:val="21"/>
                <w:szCs w:val="21"/>
              </w:rPr>
              <w:t>More Medicare UCCs could consider developing pathways with local hospital services for Medicare UCC patients to bypass ED if diagnostic imaging is required after-hours, using learnings from Medicare UCCs that already have these pathways in place.</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9E0664F" w14:textId="7FD9827A" w:rsidR="003F1E60" w:rsidRPr="009B783C" w:rsidRDefault="004F41EF" w:rsidP="00556A78">
            <w:pPr>
              <w:pStyle w:val="TableNText"/>
              <w:rPr>
                <w:sz w:val="21"/>
                <w:szCs w:val="21"/>
                <w:lang w:eastAsia="en-AU"/>
              </w:rPr>
            </w:pPr>
            <w:r w:rsidRPr="009B783C">
              <w:rPr>
                <w:sz w:val="21"/>
                <w:szCs w:val="21"/>
                <w:lang w:eastAsia="en-AU"/>
              </w:rPr>
              <w:t xml:space="preserve">Interim evaluation against Measure of Success 5 indicated that </w:t>
            </w:r>
            <w:r w:rsidR="00AC2341" w:rsidRPr="009B783C">
              <w:rPr>
                <w:sz w:val="21"/>
                <w:szCs w:val="21"/>
                <w:lang w:eastAsia="en-AU"/>
              </w:rPr>
              <w:t>s</w:t>
            </w:r>
            <w:r w:rsidR="00055888" w:rsidRPr="009B783C">
              <w:rPr>
                <w:sz w:val="21"/>
                <w:szCs w:val="21"/>
                <w:lang w:eastAsia="en-AU"/>
              </w:rPr>
              <w:t>ome Medicare UCCs have arrangements for local health services to provide access to diagnostic imaging services</w:t>
            </w:r>
            <w:r w:rsidR="00AC2341" w:rsidRPr="009B783C">
              <w:rPr>
                <w:sz w:val="21"/>
                <w:szCs w:val="21"/>
                <w:lang w:eastAsia="en-AU"/>
              </w:rPr>
              <w:t xml:space="preserve"> when the Medicare UCC affiliated imaging services are closed. Outside of these arrangements, </w:t>
            </w:r>
            <w:r w:rsidR="00052AE5" w:rsidRPr="009B783C">
              <w:rPr>
                <w:sz w:val="21"/>
                <w:szCs w:val="21"/>
                <w:lang w:eastAsia="en-AU"/>
              </w:rPr>
              <w:t xml:space="preserve">patients are being referred to ED </w:t>
            </w:r>
            <w:r w:rsidR="00AC2341" w:rsidRPr="009B783C">
              <w:rPr>
                <w:sz w:val="21"/>
                <w:szCs w:val="21"/>
                <w:lang w:eastAsia="en-AU"/>
              </w:rPr>
              <w:t xml:space="preserve">or advised to return during business hours where appropriate. </w:t>
            </w:r>
          </w:p>
        </w:tc>
      </w:tr>
      <w:tr w:rsidR="00401175" w:rsidRPr="009B783C" w14:paraId="48A48FF4"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627A8C7" w14:textId="77777777" w:rsidR="00401175" w:rsidRPr="009B783C" w:rsidRDefault="00401175" w:rsidP="00401175">
            <w:pPr>
              <w:pStyle w:val="TableNListnumbered"/>
              <w:rPr>
                <w:sz w:val="21"/>
                <w:szCs w:val="21"/>
              </w:rPr>
            </w:pPr>
            <w:r w:rsidRPr="009B783C">
              <w:rPr>
                <w:sz w:val="21"/>
                <w:szCs w:val="21"/>
              </w:rPr>
              <w:t>There is ongoing need for continued clear communications both nationally and locally about what urgent care is and to assist with service navigation.</w:t>
            </w:r>
          </w:p>
          <w:p w14:paraId="41AEBE31" w14:textId="77777777" w:rsidR="00401175" w:rsidRPr="009B783C" w:rsidRDefault="00401175" w:rsidP="00556A78">
            <w:pPr>
              <w:pStyle w:val="TableNListnumbered"/>
              <w:numPr>
                <w:ilvl w:val="0"/>
                <w:numId w:val="0"/>
              </w:numPr>
              <w:rPr>
                <w:sz w:val="21"/>
                <w:szCs w:val="21"/>
              </w:rPr>
            </w:pP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7C34114" w14:textId="0A82854E" w:rsidR="00401175" w:rsidRPr="009B783C" w:rsidRDefault="00401175" w:rsidP="00401175">
            <w:pPr>
              <w:pStyle w:val="TableNText"/>
              <w:rPr>
                <w:sz w:val="21"/>
                <w:szCs w:val="21"/>
                <w:lang w:eastAsia="en-AU"/>
              </w:rPr>
            </w:pPr>
            <w:r w:rsidRPr="009B783C">
              <w:rPr>
                <w:sz w:val="21"/>
                <w:szCs w:val="21"/>
                <w:lang w:eastAsia="en-AU"/>
              </w:rPr>
              <w:t>Interim evaluation against Measure of Success 7 indicated that comprehensive national and local communications campaigns are in place, but s</w:t>
            </w:r>
            <w:r w:rsidRPr="009B783C">
              <w:rPr>
                <w:sz w:val="21"/>
                <w:szCs w:val="21"/>
              </w:rPr>
              <w:t>takeholders reported that understanding what urgent care is and navigating the variety of local service options continues to be a challenge for consumers.</w:t>
            </w:r>
          </w:p>
        </w:tc>
      </w:tr>
      <w:tr w:rsidR="003F1E60" w:rsidRPr="009B783C" w14:paraId="73E04836"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CDEC6E" w14:textId="1716E1CB" w:rsidR="003F1E60" w:rsidRPr="009B783C" w:rsidRDefault="00D018C0" w:rsidP="00D018C0">
            <w:pPr>
              <w:pStyle w:val="TableNListnumbered"/>
              <w:rPr>
                <w:sz w:val="21"/>
                <w:szCs w:val="21"/>
              </w:rPr>
            </w:pPr>
            <w:r w:rsidRPr="009B783C">
              <w:rPr>
                <w:sz w:val="21"/>
                <w:szCs w:val="21"/>
              </w:rPr>
              <w:t xml:space="preserve">Ongoing work is required by Medicare UCCs and commissioners to strengthen awareness, relationships and trust of key local stakeholders </w:t>
            </w:r>
            <w:r w:rsidRPr="009B783C">
              <w:rPr>
                <w:sz w:val="21"/>
                <w:szCs w:val="21"/>
              </w:rPr>
              <w:lastRenderedPageBreak/>
              <w:t xml:space="preserve">(including local ED and ambulance staff) in Medicare UCC services. </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3F407E8" w14:textId="4534BF7B" w:rsidR="003F1E60" w:rsidRPr="009B783C" w:rsidRDefault="005F2620" w:rsidP="00556A78">
            <w:pPr>
              <w:pStyle w:val="TableNText"/>
              <w:rPr>
                <w:sz w:val="21"/>
                <w:szCs w:val="21"/>
                <w:lang w:eastAsia="en-AU"/>
              </w:rPr>
            </w:pPr>
            <w:r w:rsidRPr="009B783C">
              <w:rPr>
                <w:sz w:val="21"/>
                <w:szCs w:val="21"/>
                <w:lang w:eastAsia="en-AU"/>
              </w:rPr>
              <w:lastRenderedPageBreak/>
              <w:t>Interim evaluation against Measure of Success 8 indicated that while rel</w:t>
            </w:r>
            <w:r w:rsidR="003361DE" w:rsidRPr="009B783C">
              <w:rPr>
                <w:sz w:val="21"/>
                <w:szCs w:val="21"/>
                <w:lang w:eastAsia="en-AU"/>
              </w:rPr>
              <w:t xml:space="preserve">ationships </w:t>
            </w:r>
            <w:r w:rsidR="003A12EA" w:rsidRPr="009B783C">
              <w:rPr>
                <w:sz w:val="21"/>
                <w:szCs w:val="21"/>
                <w:lang w:eastAsia="en-AU"/>
              </w:rPr>
              <w:t xml:space="preserve">were being built </w:t>
            </w:r>
            <w:r w:rsidR="009B4A25" w:rsidRPr="009B783C">
              <w:rPr>
                <w:sz w:val="21"/>
                <w:szCs w:val="21"/>
                <w:lang w:eastAsia="en-AU"/>
              </w:rPr>
              <w:t>with EDs and ambulance services</w:t>
            </w:r>
            <w:r w:rsidR="003A12EA" w:rsidRPr="009B783C">
              <w:rPr>
                <w:sz w:val="21"/>
                <w:szCs w:val="21"/>
                <w:lang w:eastAsia="en-AU"/>
              </w:rPr>
              <w:t xml:space="preserve">, </w:t>
            </w:r>
            <w:r w:rsidR="00084284" w:rsidRPr="009B783C">
              <w:rPr>
                <w:sz w:val="21"/>
                <w:szCs w:val="21"/>
                <w:lang w:eastAsia="en-AU"/>
              </w:rPr>
              <w:lastRenderedPageBreak/>
              <w:t>operationalising</w:t>
            </w:r>
            <w:r w:rsidR="00A65F0F" w:rsidRPr="009B783C">
              <w:rPr>
                <w:sz w:val="21"/>
                <w:szCs w:val="21"/>
                <w:lang w:eastAsia="en-AU"/>
              </w:rPr>
              <w:t xml:space="preserve"> these partnerships consistently across various settings remained a challenge.</w:t>
            </w:r>
          </w:p>
        </w:tc>
      </w:tr>
      <w:tr w:rsidR="00F47712" w:rsidRPr="009B783C" w14:paraId="18D3290D"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87FB21F" w14:textId="176B7700" w:rsidR="00F47712" w:rsidRPr="009B783C" w:rsidRDefault="00F47712" w:rsidP="002A19BE">
            <w:pPr>
              <w:pStyle w:val="TableNListnumbered"/>
              <w:rPr>
                <w:sz w:val="21"/>
                <w:szCs w:val="21"/>
              </w:rPr>
            </w:pPr>
            <w:r w:rsidRPr="009B783C">
              <w:rPr>
                <w:sz w:val="21"/>
                <w:szCs w:val="21"/>
              </w:rPr>
              <w:lastRenderedPageBreak/>
              <w:t>Addressing barriers to effective referral pathways will increase efficiency and effectiveness of care. This requires continuous engagement, education and efforts to ensure that all staff members understand and follow agreed-upon pathways.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5E1219C" w14:textId="6064BED4" w:rsidR="00F47712" w:rsidRPr="009B783C" w:rsidRDefault="009125FC" w:rsidP="00556A78">
            <w:pPr>
              <w:pStyle w:val="TableNText"/>
              <w:rPr>
                <w:sz w:val="21"/>
                <w:szCs w:val="21"/>
                <w:lang w:eastAsia="en-AU"/>
              </w:rPr>
            </w:pPr>
            <w:r w:rsidRPr="009B783C">
              <w:rPr>
                <w:sz w:val="21"/>
                <w:szCs w:val="21"/>
                <w:lang w:eastAsia="en-AU"/>
              </w:rPr>
              <w:t xml:space="preserve">Interim evaluation against Measure of Success 8 indicated </w:t>
            </w:r>
            <w:r w:rsidR="004B6323" w:rsidRPr="009B783C">
              <w:rPr>
                <w:sz w:val="21"/>
                <w:szCs w:val="21"/>
                <w:lang w:eastAsia="en-AU"/>
              </w:rPr>
              <w:t>that</w:t>
            </w:r>
            <w:r w:rsidR="001020DE" w:rsidRPr="009B783C">
              <w:rPr>
                <w:sz w:val="21"/>
                <w:szCs w:val="21"/>
                <w:lang w:eastAsia="en-AU"/>
              </w:rPr>
              <w:t xml:space="preserve"> Medicare UCCs </w:t>
            </w:r>
            <w:r w:rsidR="004B6323" w:rsidRPr="009B783C">
              <w:rPr>
                <w:sz w:val="21"/>
                <w:szCs w:val="21"/>
                <w:lang w:eastAsia="en-AU"/>
              </w:rPr>
              <w:t xml:space="preserve">had experienced barriers </w:t>
            </w:r>
            <w:r w:rsidR="001020DE" w:rsidRPr="009B783C">
              <w:rPr>
                <w:sz w:val="21"/>
                <w:szCs w:val="21"/>
                <w:lang w:eastAsia="en-AU"/>
              </w:rPr>
              <w:t>when referring to other ser</w:t>
            </w:r>
            <w:r w:rsidR="00DA3297" w:rsidRPr="009B783C">
              <w:rPr>
                <w:sz w:val="21"/>
                <w:szCs w:val="21"/>
                <w:lang w:eastAsia="en-AU"/>
              </w:rPr>
              <w:t>vices</w:t>
            </w:r>
            <w:r w:rsidR="00747DF8" w:rsidRPr="009B783C">
              <w:rPr>
                <w:sz w:val="21"/>
                <w:szCs w:val="21"/>
                <w:lang w:eastAsia="en-AU"/>
              </w:rPr>
              <w:t>, for example</w:t>
            </w:r>
            <w:r w:rsidR="00FB0D0E" w:rsidRPr="009B783C">
              <w:rPr>
                <w:sz w:val="21"/>
                <w:szCs w:val="21"/>
                <w:lang w:eastAsia="en-AU"/>
              </w:rPr>
              <w:t>,</w:t>
            </w:r>
            <w:r w:rsidR="00747DF8" w:rsidRPr="009B783C">
              <w:rPr>
                <w:sz w:val="21"/>
                <w:szCs w:val="21"/>
                <w:lang w:eastAsia="en-AU"/>
              </w:rPr>
              <w:t xml:space="preserve"> a reluctance of </w:t>
            </w:r>
            <w:r w:rsidR="00FB0D0E" w:rsidRPr="009B783C">
              <w:rPr>
                <w:sz w:val="21"/>
                <w:szCs w:val="21"/>
                <w:lang w:eastAsia="en-AU"/>
              </w:rPr>
              <w:t xml:space="preserve">some </w:t>
            </w:r>
            <w:r w:rsidR="00747DF8" w:rsidRPr="009B783C">
              <w:rPr>
                <w:sz w:val="21"/>
                <w:szCs w:val="21"/>
                <w:lang w:eastAsia="en-AU"/>
              </w:rPr>
              <w:t xml:space="preserve">hospital fracture clinics to accept </w:t>
            </w:r>
            <w:r w:rsidR="003A50C0" w:rsidRPr="009B783C">
              <w:rPr>
                <w:sz w:val="21"/>
                <w:szCs w:val="21"/>
                <w:lang w:eastAsia="en-AU"/>
              </w:rPr>
              <w:t>referrals from outside the hospital.</w:t>
            </w:r>
          </w:p>
        </w:tc>
      </w:tr>
    </w:tbl>
    <w:p w14:paraId="4C75D72A" w14:textId="77777777" w:rsidR="00353391" w:rsidRPr="009B783C" w:rsidRDefault="00353391"/>
    <w:p w14:paraId="63E1DD15" w14:textId="44EEF0B9" w:rsidR="00353391" w:rsidRPr="009B783C" w:rsidRDefault="00353391" w:rsidP="00353391">
      <w:pPr>
        <w:pStyle w:val="Caption"/>
        <w:rPr>
          <w:szCs w:val="21"/>
        </w:rPr>
      </w:pPr>
      <w:bookmarkStart w:id="198" w:name="_Ref189648264"/>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19</w:t>
      </w:r>
      <w:r w:rsidRPr="009B783C">
        <w:rPr>
          <w:szCs w:val="21"/>
        </w:rPr>
        <w:fldChar w:fldCharType="end"/>
      </w:r>
      <w:bookmarkEnd w:id="198"/>
      <w:r w:rsidRPr="009B783C">
        <w:rPr>
          <w:szCs w:val="21"/>
        </w:rPr>
        <w:t xml:space="preserve"> | Summary of data improvement opportunities and relevant context</w:t>
      </w:r>
    </w:p>
    <w:tbl>
      <w:tblPr>
        <w:tblStyle w:val="NOUS"/>
        <w:tblW w:w="0" w:type="auto"/>
        <w:tblLook w:val="04A0" w:firstRow="1" w:lastRow="0" w:firstColumn="1" w:lastColumn="0" w:noHBand="0" w:noVBand="1"/>
      </w:tblPr>
      <w:tblGrid>
        <w:gridCol w:w="5075"/>
        <w:gridCol w:w="3855"/>
      </w:tblGrid>
      <w:tr w:rsidR="00353391" w:rsidRPr="009B783C" w14:paraId="3F72FF8F" w14:textId="77777777" w:rsidTr="00353391">
        <w:trPr>
          <w:cnfStyle w:val="100000000000" w:firstRow="1" w:lastRow="0" w:firstColumn="0" w:lastColumn="0" w:oddVBand="0" w:evenVBand="0" w:oddHBand="0" w:evenHBand="0" w:firstRowFirstColumn="0" w:firstRowLastColumn="0" w:lastRowFirstColumn="0" w:lastRowLastColumn="0"/>
        </w:trPr>
        <w:tc>
          <w:tcPr>
            <w:tcW w:w="5075" w:type="dxa"/>
            <w:tcBorders>
              <w:top w:val="single" w:sz="4" w:space="0" w:color="00264D" w:themeColor="background2"/>
              <w:bottom w:val="single" w:sz="4" w:space="0" w:color="00264D" w:themeColor="background2"/>
            </w:tcBorders>
            <w:shd w:val="clear" w:color="auto" w:fill="00264D" w:themeFill="background2"/>
          </w:tcPr>
          <w:p w14:paraId="45F15112" w14:textId="31E90FD1" w:rsidR="00353391" w:rsidRPr="008C4E7D" w:rsidRDefault="00353391" w:rsidP="00353391">
            <w:pPr>
              <w:pStyle w:val="TableNheader"/>
              <w:rPr>
                <w:b w:val="0"/>
                <w:sz w:val="21"/>
                <w:szCs w:val="21"/>
              </w:rPr>
            </w:pPr>
            <w:r w:rsidRPr="008C4E7D">
              <w:rPr>
                <w:b w:val="0"/>
              </w:rPr>
              <w:t>Improvement opportunity</w:t>
            </w:r>
          </w:p>
        </w:tc>
        <w:tc>
          <w:tcPr>
            <w:tcW w:w="3855" w:type="dxa"/>
            <w:tcBorders>
              <w:top w:val="single" w:sz="4" w:space="0" w:color="00264D" w:themeColor="background2"/>
              <w:bottom w:val="single" w:sz="4" w:space="0" w:color="00264D" w:themeColor="background2"/>
            </w:tcBorders>
            <w:shd w:val="clear" w:color="auto" w:fill="00264D" w:themeFill="background2"/>
          </w:tcPr>
          <w:p w14:paraId="55BFF050" w14:textId="5510A535" w:rsidR="00353391" w:rsidRPr="008C4E7D" w:rsidRDefault="00353391" w:rsidP="008C4E7D">
            <w:pPr>
              <w:pStyle w:val="TableNheader"/>
              <w:rPr>
                <w:b w:val="0"/>
                <w:sz w:val="21"/>
                <w:szCs w:val="21"/>
              </w:rPr>
            </w:pPr>
            <w:r w:rsidRPr="008C4E7D" w:rsidDel="008934F7">
              <w:rPr>
                <w:b w:val="0"/>
              </w:rPr>
              <w:t>C</w:t>
            </w:r>
            <w:r w:rsidRPr="008C4E7D">
              <w:rPr>
                <w:b w:val="0"/>
              </w:rPr>
              <w:t>ontext</w:t>
            </w:r>
          </w:p>
        </w:tc>
      </w:tr>
      <w:tr w:rsidR="00244F4A" w:rsidRPr="009B783C" w14:paraId="1776E703"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213A1A7" w14:textId="77777777" w:rsidR="00244F4A" w:rsidRPr="009B783C" w:rsidRDefault="00244F4A" w:rsidP="00556A78">
            <w:pPr>
              <w:pStyle w:val="TableNListnumbered"/>
              <w:rPr>
                <w:sz w:val="21"/>
                <w:szCs w:val="21"/>
              </w:rPr>
            </w:pPr>
            <w:r w:rsidRPr="009B783C">
              <w:rPr>
                <w:sz w:val="21"/>
                <w:szCs w:val="21"/>
              </w:rPr>
              <w:t xml:space="preserve">There are opportunities to improve the quality of data reported through the Medicare UCC Module, through the following steps: </w:t>
            </w:r>
          </w:p>
          <w:p w14:paraId="662D54BD" w14:textId="77777777" w:rsidR="00244F4A" w:rsidRPr="009B783C" w:rsidRDefault="00244F4A" w:rsidP="00556A78">
            <w:pPr>
              <w:pStyle w:val="TableNBullet"/>
              <w:ind w:left="619"/>
              <w:rPr>
                <w:sz w:val="21"/>
                <w:szCs w:val="21"/>
              </w:rPr>
            </w:pPr>
            <w:r w:rsidRPr="009B783C">
              <w:rPr>
                <w:sz w:val="21"/>
                <w:szCs w:val="21"/>
              </w:rPr>
              <w:t>Explore with Medicare UCCs and clinicians the data items within the Module data that are the most challenging to capture, seeking their views on improvements that could be made.</w:t>
            </w:r>
          </w:p>
          <w:p w14:paraId="7418C507" w14:textId="61FA3F2C" w:rsidR="00244F4A" w:rsidRPr="009B783C" w:rsidRDefault="00244F4A" w:rsidP="00556A78">
            <w:pPr>
              <w:pStyle w:val="TableNBullet"/>
              <w:ind w:left="619"/>
              <w:rPr>
                <w:sz w:val="21"/>
                <w:szCs w:val="21"/>
              </w:rPr>
            </w:pPr>
            <w:r w:rsidRPr="009B783C">
              <w:rPr>
                <w:sz w:val="21"/>
                <w:szCs w:val="21"/>
              </w:rPr>
              <w:t>Review and refine definitions of key data items and add guidance for interpreting areas identified as problematic</w:t>
            </w:r>
            <w:r w:rsidR="00E30DBC" w:rsidRPr="009B783C">
              <w:rPr>
                <w:sz w:val="21"/>
                <w:szCs w:val="21"/>
              </w:rPr>
              <w:t xml:space="preserve"> within the Medicare UCC data dictionary</w:t>
            </w:r>
            <w:r w:rsidRPr="009B783C">
              <w:rPr>
                <w:sz w:val="21"/>
                <w:szCs w:val="21"/>
              </w:rPr>
              <w:t xml:space="preserve">. </w:t>
            </w:r>
            <w:r w:rsidR="00E30DBC" w:rsidRPr="009B783C">
              <w:rPr>
                <w:sz w:val="21"/>
                <w:szCs w:val="21"/>
              </w:rPr>
              <w:t xml:space="preserve">This </w:t>
            </w:r>
            <w:r w:rsidRPr="009B783C">
              <w:rPr>
                <w:sz w:val="21"/>
                <w:szCs w:val="21"/>
              </w:rPr>
              <w:t xml:space="preserve">would be particularly useful on “Reason for visit” and “Where patient would have gone </w:t>
            </w:r>
            <w:proofErr w:type="gramStart"/>
            <w:r w:rsidRPr="009B783C">
              <w:rPr>
                <w:sz w:val="21"/>
                <w:szCs w:val="21"/>
              </w:rPr>
              <w:t>otherwise“</w:t>
            </w:r>
            <w:proofErr w:type="gramEnd"/>
            <w:r w:rsidRPr="009B783C">
              <w:rPr>
                <w:sz w:val="21"/>
                <w:szCs w:val="21"/>
              </w:rPr>
              <w:t>.</w:t>
            </w:r>
          </w:p>
          <w:p w14:paraId="754B8CBC" w14:textId="4F8BC009" w:rsidR="00244F4A" w:rsidRPr="009B783C" w:rsidRDefault="00244F4A" w:rsidP="00556A78">
            <w:pPr>
              <w:pStyle w:val="TableNBullet"/>
              <w:ind w:left="619"/>
              <w:rPr>
                <w:sz w:val="21"/>
                <w:szCs w:val="21"/>
              </w:rPr>
            </w:pPr>
            <w:r w:rsidRPr="009B783C">
              <w:rPr>
                <w:sz w:val="21"/>
                <w:szCs w:val="21"/>
              </w:rPr>
              <w:t xml:space="preserve">Develop a short list of “Reasons for visit” that could be implemented in the Module data. A starting point for this could be the ED ICD-10-AM Diagnosis Short List, but this will need to be modified to be more suitable for urgent care settings. This </w:t>
            </w:r>
            <w:r w:rsidR="00D46E5F" w:rsidRPr="009B783C">
              <w:rPr>
                <w:sz w:val="21"/>
                <w:szCs w:val="21"/>
              </w:rPr>
              <w:t>could</w:t>
            </w:r>
            <w:r w:rsidR="00A10DDC" w:rsidRPr="009B783C">
              <w:rPr>
                <w:sz w:val="21"/>
                <w:szCs w:val="21"/>
              </w:rPr>
              <w:t xml:space="preserve"> </w:t>
            </w:r>
            <w:r w:rsidRPr="009B783C">
              <w:rPr>
                <w:sz w:val="21"/>
                <w:szCs w:val="21"/>
              </w:rPr>
              <w:t>be provided as a pick list for clinicians to select the appropriate reason(s) for visit.</w:t>
            </w:r>
          </w:p>
          <w:p w14:paraId="6E62F76A" w14:textId="77777777" w:rsidR="00244F4A" w:rsidRPr="009B783C" w:rsidRDefault="00244F4A" w:rsidP="00556A78">
            <w:pPr>
              <w:pStyle w:val="TableNBullet"/>
              <w:ind w:left="619"/>
              <w:rPr>
                <w:sz w:val="21"/>
                <w:szCs w:val="21"/>
              </w:rPr>
            </w:pPr>
            <w:r w:rsidRPr="009B783C">
              <w:rPr>
                <w:sz w:val="21"/>
                <w:szCs w:val="21"/>
              </w:rPr>
              <w:t>Associated with the short list, implement an approach to flag reasons for visit that relate to a prior condition or medical events that may be relevant to the current presentation, but are not the reason for the current presentation.</w:t>
            </w:r>
          </w:p>
          <w:p w14:paraId="5B1C5353" w14:textId="7FA0A092" w:rsidR="00244F4A" w:rsidRPr="009B783C" w:rsidRDefault="00244F4A" w:rsidP="00556A78">
            <w:pPr>
              <w:pStyle w:val="TableNBullet"/>
              <w:ind w:left="619"/>
              <w:rPr>
                <w:sz w:val="21"/>
                <w:szCs w:val="21"/>
              </w:rPr>
            </w:pPr>
            <w:r w:rsidRPr="009B783C">
              <w:rPr>
                <w:sz w:val="21"/>
                <w:szCs w:val="21"/>
              </w:rPr>
              <w:lastRenderedPageBreak/>
              <w:t>Identify Medicare UCCs with low reporting of Indigenous status, country of birth, language spoken at home and interpreter use and request that commissioners troubleshoot with these Medicare UCCs the reasons for low reporting and identify steps to improve reporting.</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6B34F46" w14:textId="14E2EAC1" w:rsidR="00132F5B" w:rsidRPr="009B783C" w:rsidRDefault="00132F5B" w:rsidP="00556A78">
            <w:pPr>
              <w:pStyle w:val="TableNText"/>
              <w:rPr>
                <w:sz w:val="21"/>
                <w:szCs w:val="21"/>
              </w:rPr>
            </w:pPr>
            <w:r w:rsidRPr="009B783C">
              <w:rPr>
                <w:sz w:val="21"/>
                <w:szCs w:val="21"/>
              </w:rPr>
              <w:lastRenderedPageBreak/>
              <w:t xml:space="preserve">Section </w:t>
            </w:r>
            <w:r w:rsidRPr="009B783C">
              <w:rPr>
                <w:sz w:val="21"/>
                <w:szCs w:val="21"/>
              </w:rPr>
              <w:fldChar w:fldCharType="begin"/>
            </w:r>
            <w:r w:rsidRPr="009B783C">
              <w:rPr>
                <w:sz w:val="21"/>
                <w:szCs w:val="21"/>
              </w:rPr>
              <w:instrText xml:space="preserve"> REF _Ref185478021 \r \h </w:instrText>
            </w:r>
            <w:r w:rsidR="00787B88" w:rsidRPr="009B783C">
              <w:rPr>
                <w:sz w:val="21"/>
                <w:szCs w:val="21"/>
              </w:rPr>
              <w:instrText xml:space="preserve"> \* MERGEFORMAT </w:instrText>
            </w:r>
            <w:r w:rsidRPr="009B783C">
              <w:rPr>
                <w:sz w:val="21"/>
                <w:szCs w:val="21"/>
              </w:rPr>
            </w:r>
            <w:r w:rsidRPr="009B783C">
              <w:rPr>
                <w:sz w:val="21"/>
                <w:szCs w:val="21"/>
              </w:rPr>
              <w:fldChar w:fldCharType="separate"/>
            </w:r>
            <w:r w:rsidR="0031172E" w:rsidRPr="009B783C">
              <w:rPr>
                <w:sz w:val="21"/>
                <w:szCs w:val="21"/>
              </w:rPr>
              <w:t>3.4</w:t>
            </w:r>
            <w:r w:rsidRPr="009B783C">
              <w:rPr>
                <w:sz w:val="21"/>
                <w:szCs w:val="21"/>
              </w:rPr>
              <w:fldChar w:fldCharType="end"/>
            </w:r>
            <w:r w:rsidRPr="009B783C">
              <w:rPr>
                <w:sz w:val="21"/>
                <w:szCs w:val="21"/>
              </w:rPr>
              <w:t xml:space="preserve"> outlines a range of </w:t>
            </w:r>
            <w:r w:rsidR="003740BF" w:rsidRPr="009B783C">
              <w:rPr>
                <w:sz w:val="21"/>
                <w:szCs w:val="21"/>
              </w:rPr>
              <w:t xml:space="preserve">data limitations </w:t>
            </w:r>
            <w:r w:rsidR="003969A9" w:rsidRPr="009B783C">
              <w:rPr>
                <w:sz w:val="21"/>
                <w:szCs w:val="21"/>
              </w:rPr>
              <w:t xml:space="preserve">identified </w:t>
            </w:r>
            <w:r w:rsidR="00787B88" w:rsidRPr="009B783C">
              <w:rPr>
                <w:sz w:val="21"/>
                <w:szCs w:val="21"/>
              </w:rPr>
              <w:t>through this Interim Evaluation Report 1.</w:t>
            </w:r>
            <w:r w:rsidRPr="009B783C">
              <w:rPr>
                <w:sz w:val="21"/>
                <w:szCs w:val="21"/>
              </w:rPr>
              <w:t xml:space="preserve"> The Department is working with commissioners to uplift the quality of data captured, for example, through development of the data manual and support with onboarding clinics to the Medicare UCC Module.</w:t>
            </w:r>
          </w:p>
          <w:p w14:paraId="68B589DE" w14:textId="77777777" w:rsidR="00244F4A" w:rsidRPr="009B783C" w:rsidRDefault="00244F4A" w:rsidP="00884B68">
            <w:pPr>
              <w:pStyle w:val="TableNText"/>
              <w:rPr>
                <w:sz w:val="21"/>
                <w:szCs w:val="21"/>
                <w:lang w:eastAsia="en-AU"/>
              </w:rPr>
            </w:pPr>
          </w:p>
        </w:tc>
      </w:tr>
      <w:tr w:rsidR="00787B88" w:rsidRPr="009B783C" w14:paraId="256F89B7"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1BBEB78" w14:textId="3C0D577F" w:rsidR="00787B88" w:rsidRPr="009B783C" w:rsidRDefault="00787B88" w:rsidP="00787B88">
            <w:pPr>
              <w:pStyle w:val="TableNListnumbered"/>
              <w:rPr>
                <w:sz w:val="21"/>
                <w:szCs w:val="21"/>
              </w:rPr>
            </w:pPr>
            <w:r w:rsidRPr="009B783C">
              <w:rPr>
                <w:sz w:val="21"/>
                <w:szCs w:val="21"/>
              </w:rPr>
              <w:t xml:space="preserve">For more accurate monitoring and reporting of waiting times, triage time </w:t>
            </w:r>
            <w:r w:rsidRPr="009B783C" w:rsidDel="00A452A1">
              <w:rPr>
                <w:sz w:val="21"/>
                <w:szCs w:val="21"/>
              </w:rPr>
              <w:t xml:space="preserve">should </w:t>
            </w:r>
            <w:r w:rsidRPr="009B783C">
              <w:rPr>
                <w:sz w:val="21"/>
                <w:szCs w:val="21"/>
              </w:rPr>
              <w:t>be split out from clinical commencement time in the Medicare UCC Module</w:t>
            </w:r>
            <w:r w:rsidR="004C1133" w:rsidRPr="009B783C">
              <w:rPr>
                <w:sz w:val="21"/>
                <w:szCs w:val="21"/>
              </w:rPr>
              <w:t xml:space="preserve"> data</w:t>
            </w:r>
            <w:r w:rsidRPr="009B783C">
              <w:rPr>
                <w:sz w:val="21"/>
                <w:szCs w:val="21"/>
              </w:rPr>
              <w:t>. This will also allow a more accurate comparison with ED waiting times.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1452A2C" w14:textId="1D673E8D" w:rsidR="00787B88" w:rsidRPr="009B783C" w:rsidRDefault="004B508E" w:rsidP="00787B88">
            <w:pPr>
              <w:pStyle w:val="TableNText"/>
              <w:rPr>
                <w:sz w:val="21"/>
                <w:szCs w:val="21"/>
              </w:rPr>
            </w:pPr>
            <w:r w:rsidRPr="009B783C">
              <w:rPr>
                <w:sz w:val="21"/>
                <w:szCs w:val="21"/>
              </w:rPr>
              <w:t xml:space="preserve">Interim evaluation against Measure of Success </w:t>
            </w:r>
            <w:r w:rsidR="009F1E8A" w:rsidRPr="009B783C">
              <w:rPr>
                <w:sz w:val="21"/>
                <w:szCs w:val="21"/>
              </w:rPr>
              <w:t>1</w:t>
            </w:r>
            <w:r w:rsidRPr="009B783C">
              <w:rPr>
                <w:sz w:val="21"/>
                <w:szCs w:val="21"/>
              </w:rPr>
              <w:t xml:space="preserve"> identified that </w:t>
            </w:r>
            <w:r w:rsidR="00962CD4" w:rsidRPr="009B783C">
              <w:rPr>
                <w:sz w:val="21"/>
                <w:szCs w:val="21"/>
              </w:rPr>
              <w:t>d</w:t>
            </w:r>
            <w:r w:rsidR="007F1476" w:rsidRPr="009B783C">
              <w:rPr>
                <w:sz w:val="21"/>
                <w:szCs w:val="21"/>
              </w:rPr>
              <w:t xml:space="preserve">ifferences in how waiting times are recorded in each setting affect the ability </w:t>
            </w:r>
            <w:r w:rsidR="00BE5D43" w:rsidRPr="009B783C">
              <w:rPr>
                <w:sz w:val="21"/>
                <w:szCs w:val="21"/>
              </w:rPr>
              <w:t xml:space="preserve">to </w:t>
            </w:r>
            <w:r w:rsidR="007F1476" w:rsidRPr="009B783C">
              <w:rPr>
                <w:sz w:val="21"/>
                <w:szCs w:val="21"/>
              </w:rPr>
              <w:t xml:space="preserve">calculate </w:t>
            </w:r>
            <w:r w:rsidR="0086658A" w:rsidRPr="009B783C">
              <w:rPr>
                <w:sz w:val="21"/>
                <w:szCs w:val="21"/>
              </w:rPr>
              <w:t xml:space="preserve">directly comparable times. </w:t>
            </w:r>
          </w:p>
        </w:tc>
      </w:tr>
      <w:tr w:rsidR="00787B88" w:rsidRPr="009B783C" w14:paraId="52C20893"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10C143C" w14:textId="7E20591B" w:rsidR="00787B88" w:rsidRPr="009B783C" w:rsidRDefault="00787B88" w:rsidP="00787B88">
            <w:pPr>
              <w:pStyle w:val="TableNListnumbered"/>
              <w:rPr>
                <w:rFonts w:eastAsiaTheme="majorEastAsia"/>
                <w:sz w:val="21"/>
                <w:szCs w:val="21"/>
              </w:rPr>
            </w:pPr>
            <w:r w:rsidRPr="009B783C">
              <w:rPr>
                <w:rStyle w:val="BulletChar"/>
                <w:rFonts w:eastAsiaTheme="majorEastAsia"/>
                <w:sz w:val="21"/>
                <w:szCs w:val="21"/>
              </w:rPr>
              <w:t>There is an opportunity to improve the accuracy of reporting and provide clearer insights into utilisation of Medicare UCCs by priority populations. Refining the response options for ‘country of birth’ and enhancing consistency of reporting processes for ‘language spoken at home’ and ‘disability status’ by Medicare UCCs will assist with this.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center"/>
          </w:tcPr>
          <w:p w14:paraId="4770F05D" w14:textId="296ED38A" w:rsidR="00787B88" w:rsidRPr="009B783C" w:rsidRDefault="007A5158" w:rsidP="009760E6">
            <w:pPr>
              <w:pStyle w:val="TableNText"/>
              <w:rPr>
                <w:sz w:val="21"/>
                <w:szCs w:val="21"/>
                <w:lang w:val="en-US"/>
              </w:rPr>
            </w:pPr>
            <w:r w:rsidRPr="009B783C">
              <w:rPr>
                <w:sz w:val="21"/>
                <w:szCs w:val="21"/>
              </w:rPr>
              <w:t xml:space="preserve">Interim evaluation against Measure of Success 2 identified that </w:t>
            </w:r>
            <w:r w:rsidR="00C24FFB" w:rsidRPr="009B783C">
              <w:rPr>
                <w:sz w:val="21"/>
                <w:szCs w:val="21"/>
              </w:rPr>
              <w:t xml:space="preserve">whilst there is reasonable reporting on Indigenous status, data on utilisation of Medicare UCCs by other priority populations is limited, due to poor data quality and consistency of variables relating to </w:t>
            </w:r>
            <w:r w:rsidR="008D5159" w:rsidRPr="009B783C">
              <w:rPr>
                <w:sz w:val="21"/>
                <w:szCs w:val="21"/>
              </w:rPr>
              <w:t>CALD</w:t>
            </w:r>
            <w:r w:rsidR="00C24FFB" w:rsidRPr="009B783C">
              <w:rPr>
                <w:sz w:val="21"/>
                <w:szCs w:val="21"/>
              </w:rPr>
              <w:t xml:space="preserve"> communities and people with a disability (see section </w:t>
            </w:r>
            <w:r w:rsidR="00BE5D43" w:rsidRPr="009B783C">
              <w:rPr>
                <w:sz w:val="21"/>
                <w:szCs w:val="21"/>
              </w:rPr>
              <w:fldChar w:fldCharType="begin"/>
            </w:r>
            <w:r w:rsidR="00BE5D43" w:rsidRPr="009B783C">
              <w:rPr>
                <w:sz w:val="21"/>
                <w:szCs w:val="21"/>
              </w:rPr>
              <w:instrText xml:space="preserve"> REF _Ref185478021 \n \h </w:instrText>
            </w:r>
            <w:r w:rsidR="00EE6850" w:rsidRPr="009B783C">
              <w:rPr>
                <w:sz w:val="21"/>
                <w:szCs w:val="21"/>
              </w:rPr>
              <w:instrText xml:space="preserve"> \* MERGEFORMAT </w:instrText>
            </w:r>
            <w:r w:rsidR="00BE5D43" w:rsidRPr="009B783C">
              <w:rPr>
                <w:sz w:val="21"/>
                <w:szCs w:val="21"/>
              </w:rPr>
            </w:r>
            <w:r w:rsidR="00BE5D43" w:rsidRPr="009B783C">
              <w:rPr>
                <w:sz w:val="21"/>
                <w:szCs w:val="21"/>
              </w:rPr>
              <w:fldChar w:fldCharType="separate"/>
            </w:r>
            <w:r w:rsidR="0031172E" w:rsidRPr="009B783C">
              <w:rPr>
                <w:sz w:val="21"/>
                <w:szCs w:val="21"/>
              </w:rPr>
              <w:t>3.4</w:t>
            </w:r>
            <w:r w:rsidR="00BE5D43" w:rsidRPr="009B783C">
              <w:rPr>
                <w:sz w:val="21"/>
                <w:szCs w:val="21"/>
              </w:rPr>
              <w:fldChar w:fldCharType="end"/>
            </w:r>
            <w:r w:rsidR="00C24FFB" w:rsidRPr="009B783C">
              <w:rPr>
                <w:sz w:val="21"/>
                <w:szCs w:val="21"/>
              </w:rPr>
              <w:t>).</w:t>
            </w:r>
          </w:p>
        </w:tc>
      </w:tr>
      <w:tr w:rsidR="00787B88" w:rsidRPr="009B783C" w14:paraId="4ED166CB" w14:textId="77777777" w:rsidTr="00353391">
        <w:tc>
          <w:tcPr>
            <w:tcW w:w="507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460E2AB" w14:textId="72D5061B" w:rsidR="00787B88" w:rsidRPr="009B783C" w:rsidRDefault="00787B88" w:rsidP="00787B88">
            <w:pPr>
              <w:pStyle w:val="TableNListnumbered"/>
              <w:rPr>
                <w:sz w:val="21"/>
                <w:szCs w:val="21"/>
              </w:rPr>
            </w:pPr>
            <w:r w:rsidRPr="009B783C">
              <w:rPr>
                <w:sz w:val="21"/>
                <w:szCs w:val="21"/>
              </w:rPr>
              <w:t>In the Medicare UCC Module</w:t>
            </w:r>
            <w:r w:rsidR="00404FE9" w:rsidRPr="009B783C">
              <w:rPr>
                <w:sz w:val="21"/>
                <w:szCs w:val="21"/>
              </w:rPr>
              <w:t xml:space="preserve"> data</w:t>
            </w:r>
            <w:r w:rsidRPr="009B783C">
              <w:rPr>
                <w:sz w:val="21"/>
                <w:szCs w:val="21"/>
              </w:rPr>
              <w:t>, consider refining the definition of the ‘other’ response option for the question, “How was a clinical handover provided to the patient’s usual GP?”. Alternatively, consider introducing additional categories to more precisely capture alternative handover methods. This will improve the quality of reporting and provide clearer insights into the channels of clinical handovers.</w:t>
            </w:r>
          </w:p>
        </w:tc>
        <w:tc>
          <w:tcPr>
            <w:tcW w:w="3855"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3E477B6" w14:textId="7158301E" w:rsidR="00787B88" w:rsidRPr="009B783C" w:rsidRDefault="003D32B1" w:rsidP="00787B88">
            <w:pPr>
              <w:pStyle w:val="TableNText"/>
              <w:rPr>
                <w:sz w:val="21"/>
                <w:szCs w:val="21"/>
              </w:rPr>
            </w:pPr>
            <w:r w:rsidRPr="009B783C">
              <w:rPr>
                <w:sz w:val="21"/>
                <w:szCs w:val="21"/>
              </w:rPr>
              <w:t xml:space="preserve">Interim evaluation against Measure of Success 3 identified that 11 per cent of clinical handovers are reported to be provided by ‘other’ means. This category is open to varied interpretation and may include referrals back to the same clinic during hours when the clinic is not operating as a Medicare UCC. </w:t>
            </w:r>
          </w:p>
        </w:tc>
      </w:tr>
    </w:tbl>
    <w:p w14:paraId="1934C3A0" w14:textId="77777777" w:rsidR="00872AB0" w:rsidRPr="009B783C" w:rsidRDefault="00872AB0" w:rsidP="001E3889">
      <w:pPr>
        <w:rPr>
          <w:lang w:eastAsia="en-AU"/>
        </w:rPr>
      </w:pPr>
    </w:p>
    <w:p w14:paraId="703F01B2" w14:textId="36134099" w:rsidR="00EB11A7" w:rsidRPr="009B783C" w:rsidRDefault="00EB11A7" w:rsidP="0031172E">
      <w:pPr>
        <w:pStyle w:val="Listnumbered"/>
        <w:numPr>
          <w:ilvl w:val="0"/>
          <w:numId w:val="0"/>
        </w:numPr>
        <w:ind w:left="397" w:hanging="397"/>
        <w:rPr>
          <w:lang w:eastAsia="en-AU"/>
        </w:rPr>
        <w:sectPr w:rsidR="00EB11A7" w:rsidRPr="009B783C" w:rsidSect="004D3F31">
          <w:pgSz w:w="11907" w:h="16839" w:code="9"/>
          <w:pgMar w:top="1247" w:right="1418" w:bottom="1276" w:left="1559" w:header="720" w:footer="720" w:gutter="0"/>
          <w:cols w:space="720"/>
          <w:docGrid w:linePitch="360"/>
        </w:sectPr>
      </w:pPr>
    </w:p>
    <w:p w14:paraId="6EF7D984" w14:textId="3DB04AEF" w:rsidR="005356BE" w:rsidRPr="009B783C" w:rsidRDefault="005356BE" w:rsidP="001A4E35">
      <w:pPr>
        <w:pStyle w:val="xAppendixLevel1"/>
        <w:spacing w:after="0"/>
        <w:ind w:left="2268"/>
      </w:pPr>
      <w:bookmarkStart w:id="199" w:name="_Ref185495260"/>
      <w:bookmarkStart w:id="200" w:name="_Toc189639237"/>
      <w:bookmarkStart w:id="201" w:name="_Toc189772037"/>
      <w:r w:rsidRPr="009B783C">
        <w:lastRenderedPageBreak/>
        <w:t>Logic model</w:t>
      </w:r>
      <w:bookmarkEnd w:id="199"/>
      <w:bookmarkEnd w:id="200"/>
      <w:bookmarkEnd w:id="201"/>
      <w:r w:rsidRPr="009B783C">
        <w:t xml:space="preserve"> </w:t>
      </w:r>
    </w:p>
    <w:p w14:paraId="161AD358" w14:textId="3D7A6599" w:rsidR="00DA6CED" w:rsidRPr="009B783C" w:rsidRDefault="00AB0CE6" w:rsidP="007C06D6">
      <w:pPr>
        <w:pStyle w:val="Caption"/>
        <w:spacing w:before="0"/>
        <w:rPr>
          <w:szCs w:val="21"/>
        </w:rPr>
      </w:pPr>
      <w:bookmarkStart w:id="202" w:name="_Ref184199718"/>
      <w:r w:rsidRPr="009B783C">
        <w:rPr>
          <w:szCs w:val="21"/>
        </w:rPr>
        <w:t xml:space="preserve">Figure </w:t>
      </w:r>
      <w:r w:rsidRPr="009B783C">
        <w:rPr>
          <w:szCs w:val="21"/>
        </w:rPr>
        <w:fldChar w:fldCharType="begin"/>
      </w:r>
      <w:r w:rsidRPr="009B783C">
        <w:rPr>
          <w:szCs w:val="21"/>
        </w:rPr>
        <w:instrText xml:space="preserve"> SEQ Figure \* ARABIC </w:instrText>
      </w:r>
      <w:r w:rsidRPr="009B783C">
        <w:rPr>
          <w:szCs w:val="21"/>
        </w:rPr>
        <w:fldChar w:fldCharType="separate"/>
      </w:r>
      <w:r w:rsidR="00F83EB3">
        <w:rPr>
          <w:noProof/>
          <w:szCs w:val="21"/>
        </w:rPr>
        <w:t>19</w:t>
      </w:r>
      <w:r w:rsidRPr="009B783C">
        <w:rPr>
          <w:szCs w:val="21"/>
        </w:rPr>
        <w:fldChar w:fldCharType="end"/>
      </w:r>
      <w:bookmarkEnd w:id="202"/>
      <w:r w:rsidRPr="009B783C">
        <w:rPr>
          <w:szCs w:val="21"/>
        </w:rPr>
        <w:t xml:space="preserve"> | </w:t>
      </w:r>
      <w:r w:rsidR="003E0004" w:rsidRPr="009B783C">
        <w:rPr>
          <w:szCs w:val="21"/>
        </w:rPr>
        <w:t>Medicare UCC logic model</w:t>
      </w:r>
    </w:p>
    <w:tbl>
      <w:tblPr>
        <w:tblStyle w:val="TableGrid"/>
        <w:tblW w:w="0" w:type="auto"/>
        <w:tblLook w:val="04A0" w:firstRow="1" w:lastRow="0" w:firstColumn="1" w:lastColumn="0" w:noHBand="0" w:noVBand="1"/>
      </w:tblPr>
      <w:tblGrid>
        <w:gridCol w:w="7508"/>
        <w:gridCol w:w="6373"/>
      </w:tblGrid>
      <w:tr w:rsidR="005462D1" w:rsidRPr="009B783C" w14:paraId="0F95A468" w14:textId="77777777" w:rsidTr="00BC7584">
        <w:trPr>
          <w:tblHeader/>
        </w:trPr>
        <w:tc>
          <w:tcPr>
            <w:tcW w:w="7508" w:type="dxa"/>
            <w:tcBorders>
              <w:right w:val="single" w:sz="4" w:space="0" w:color="FFFFFF" w:themeColor="background1"/>
            </w:tcBorders>
            <w:shd w:val="clear" w:color="auto" w:fill="00264D" w:themeFill="background2"/>
          </w:tcPr>
          <w:p w14:paraId="7CF115DC" w14:textId="4F2B5E20" w:rsidR="005462D1" w:rsidRPr="009B783C" w:rsidRDefault="002D08B9" w:rsidP="008C4E7D">
            <w:pPr>
              <w:pStyle w:val="TableNheader"/>
            </w:pPr>
            <w:bookmarkStart w:id="203" w:name="_Ref179901082"/>
            <w:r w:rsidRPr="009B783C">
              <w:t>Situation</w:t>
            </w:r>
          </w:p>
        </w:tc>
        <w:tc>
          <w:tcPr>
            <w:tcW w:w="6373" w:type="dxa"/>
            <w:tcBorders>
              <w:left w:val="single" w:sz="4" w:space="0" w:color="FFFFFF" w:themeColor="background1"/>
            </w:tcBorders>
            <w:shd w:val="clear" w:color="auto" w:fill="00264D" w:themeFill="background2"/>
          </w:tcPr>
          <w:p w14:paraId="47E0A137" w14:textId="59F4B1C8" w:rsidR="005462D1" w:rsidRPr="009B783C" w:rsidRDefault="002D08B9" w:rsidP="008C4E7D">
            <w:pPr>
              <w:pStyle w:val="TableNheader"/>
            </w:pPr>
            <w:r w:rsidRPr="009B783C">
              <w:t>Objective</w:t>
            </w:r>
          </w:p>
        </w:tc>
      </w:tr>
      <w:tr w:rsidR="005462D1" w:rsidRPr="009B783C" w14:paraId="2F745DF4" w14:textId="77777777" w:rsidTr="00394946">
        <w:tc>
          <w:tcPr>
            <w:tcW w:w="7508" w:type="dxa"/>
          </w:tcPr>
          <w:p w14:paraId="7AD0F30F" w14:textId="0958ADBC" w:rsidR="005462D1" w:rsidRPr="009B783C" w:rsidRDefault="00C5152B" w:rsidP="00822552">
            <w:pPr>
              <w:rPr>
                <w:szCs w:val="21"/>
                <w:lang w:eastAsia="en-AU"/>
              </w:rPr>
            </w:pPr>
            <w:r w:rsidRPr="009B783C">
              <w:rPr>
                <w:szCs w:val="21"/>
                <w:lang w:eastAsia="en-AU"/>
              </w:rPr>
              <w:t>Community members requiring urgent non-life-threatening health care are attending or being referred to EDs due to lack of comparably accessible, affordable and trusted service alternatives. This results in increased pressure on EDs, increased wait times for patients and inefficient urgent care provision.</w:t>
            </w:r>
          </w:p>
        </w:tc>
        <w:tc>
          <w:tcPr>
            <w:tcW w:w="6373" w:type="dxa"/>
          </w:tcPr>
          <w:p w14:paraId="3D097904" w14:textId="1E24C815" w:rsidR="005462D1" w:rsidRPr="009B783C" w:rsidRDefault="00822552" w:rsidP="00822552">
            <w:pPr>
              <w:rPr>
                <w:szCs w:val="21"/>
                <w:lang w:eastAsia="en-AU"/>
              </w:rPr>
            </w:pPr>
            <w:r w:rsidRPr="009B783C">
              <w:rPr>
                <w:szCs w:val="21"/>
                <w:lang w:eastAsia="en-AU"/>
              </w:rPr>
              <w:t>Create an effective alternative to ED for people requiring urgent non-life-threatening care, to reduce pressure on hospitals.</w:t>
            </w:r>
          </w:p>
        </w:tc>
      </w:tr>
    </w:tbl>
    <w:p w14:paraId="507ECC2F" w14:textId="77777777" w:rsidR="00A016A1" w:rsidRPr="009B783C" w:rsidRDefault="00A016A1">
      <w:pPr>
        <w:sectPr w:rsidR="00A016A1" w:rsidRPr="009B783C" w:rsidSect="007C06D6">
          <w:pgSz w:w="16839" w:h="11907" w:orient="landscape" w:code="9"/>
          <w:pgMar w:top="1134" w:right="1247" w:bottom="851" w:left="1701" w:header="720" w:footer="720" w:gutter="0"/>
          <w:cols w:space="720"/>
          <w:docGrid w:linePitch="360"/>
        </w:sectPr>
      </w:pPr>
    </w:p>
    <w:tbl>
      <w:tblPr>
        <w:tblStyle w:val="TableGrid"/>
        <w:tblW w:w="0" w:type="auto"/>
        <w:tblLook w:val="04A0" w:firstRow="1" w:lastRow="0" w:firstColumn="1" w:lastColumn="0" w:noHBand="0" w:noVBand="1"/>
      </w:tblPr>
      <w:tblGrid>
        <w:gridCol w:w="2263"/>
        <w:gridCol w:w="3544"/>
        <w:gridCol w:w="2177"/>
        <w:gridCol w:w="1965"/>
        <w:gridCol w:w="1966"/>
        <w:gridCol w:w="1966"/>
      </w:tblGrid>
      <w:tr w:rsidR="00780FE4" w:rsidRPr="009B783C" w14:paraId="6935281E" w14:textId="77777777" w:rsidTr="35C5891D">
        <w:trPr>
          <w:tblHeader/>
        </w:trPr>
        <w:tc>
          <w:tcPr>
            <w:tcW w:w="2263" w:type="dxa"/>
            <w:tcBorders>
              <w:right w:val="single" w:sz="4" w:space="0" w:color="FFFFFF" w:themeColor="background1"/>
            </w:tcBorders>
            <w:shd w:val="clear" w:color="auto" w:fill="00264D" w:themeFill="background2"/>
          </w:tcPr>
          <w:p w14:paraId="319138FC" w14:textId="7E7C2BC6" w:rsidR="002D08B9" w:rsidRPr="009B783C" w:rsidRDefault="002D08B9" w:rsidP="008C4E7D">
            <w:pPr>
              <w:pStyle w:val="TableNheader"/>
            </w:pPr>
            <w:r w:rsidRPr="009B783C">
              <w:t>Inputs</w:t>
            </w:r>
          </w:p>
        </w:tc>
        <w:tc>
          <w:tcPr>
            <w:tcW w:w="3544" w:type="dxa"/>
            <w:tcBorders>
              <w:left w:val="single" w:sz="4" w:space="0" w:color="FFFFFF" w:themeColor="background1"/>
              <w:right w:val="single" w:sz="4" w:space="0" w:color="FFFFFF" w:themeColor="background1"/>
            </w:tcBorders>
            <w:shd w:val="clear" w:color="auto" w:fill="00264D" w:themeFill="background2"/>
          </w:tcPr>
          <w:p w14:paraId="78C41192" w14:textId="596E5C00" w:rsidR="002D08B9" w:rsidRPr="009B783C" w:rsidRDefault="002D08B9" w:rsidP="008C4E7D">
            <w:pPr>
              <w:pStyle w:val="TableNheader"/>
              <w:rPr>
                <w:color w:val="F8981D"/>
              </w:rPr>
            </w:pPr>
            <w:r w:rsidRPr="009B783C">
              <w:rPr>
                <w:color w:val="F8981D"/>
              </w:rPr>
              <w:t>Activities</w:t>
            </w:r>
          </w:p>
        </w:tc>
        <w:tc>
          <w:tcPr>
            <w:tcW w:w="2177" w:type="dxa"/>
            <w:tcBorders>
              <w:left w:val="single" w:sz="4" w:space="0" w:color="FFFFFF" w:themeColor="background1"/>
              <w:right w:val="single" w:sz="4" w:space="0" w:color="FFFFFF" w:themeColor="background1"/>
            </w:tcBorders>
            <w:shd w:val="clear" w:color="auto" w:fill="00264D" w:themeFill="background2"/>
          </w:tcPr>
          <w:p w14:paraId="150C0103" w14:textId="6179B4DA" w:rsidR="002D08B9" w:rsidRPr="009B783C" w:rsidRDefault="002D08B9" w:rsidP="008C4E7D">
            <w:pPr>
              <w:pStyle w:val="TableNheader"/>
              <w:rPr>
                <w:color w:val="F1BF2D"/>
              </w:rPr>
            </w:pPr>
            <w:r w:rsidRPr="009B783C">
              <w:rPr>
                <w:color w:val="F1BF2D"/>
              </w:rPr>
              <w:t>Outputs</w:t>
            </w:r>
          </w:p>
        </w:tc>
        <w:tc>
          <w:tcPr>
            <w:tcW w:w="1965" w:type="dxa"/>
            <w:tcBorders>
              <w:left w:val="single" w:sz="4" w:space="0" w:color="FFFFFF" w:themeColor="background1"/>
              <w:right w:val="single" w:sz="4" w:space="0" w:color="FFFFFF" w:themeColor="background1"/>
            </w:tcBorders>
            <w:shd w:val="clear" w:color="auto" w:fill="00264D" w:themeFill="background2"/>
          </w:tcPr>
          <w:p w14:paraId="20440AD3" w14:textId="021DE049" w:rsidR="002D08B9" w:rsidRPr="009B783C" w:rsidRDefault="002D08B9" w:rsidP="008C4E7D">
            <w:pPr>
              <w:pStyle w:val="TableNheader"/>
              <w:rPr>
                <w:color w:val="23B3E0"/>
              </w:rPr>
            </w:pPr>
            <w:r w:rsidRPr="009B783C">
              <w:rPr>
                <w:color w:val="23B3E0"/>
              </w:rPr>
              <w:t>Short term outcomes</w:t>
            </w:r>
          </w:p>
        </w:tc>
        <w:tc>
          <w:tcPr>
            <w:tcW w:w="1966" w:type="dxa"/>
            <w:tcBorders>
              <w:left w:val="single" w:sz="4" w:space="0" w:color="FFFFFF" w:themeColor="background1"/>
              <w:right w:val="single" w:sz="4" w:space="0" w:color="FFFFFF" w:themeColor="background1"/>
            </w:tcBorders>
            <w:shd w:val="clear" w:color="auto" w:fill="00264D" w:themeFill="background2"/>
          </w:tcPr>
          <w:p w14:paraId="30159D50" w14:textId="07BF525B" w:rsidR="002D08B9" w:rsidRPr="009B783C" w:rsidRDefault="002D08B9" w:rsidP="008C4E7D">
            <w:pPr>
              <w:pStyle w:val="TableNheader"/>
              <w:rPr>
                <w:color w:val="23B3E0"/>
              </w:rPr>
            </w:pPr>
            <w:r w:rsidRPr="009B783C">
              <w:rPr>
                <w:color w:val="23B3E0"/>
              </w:rPr>
              <w:t>Medium term outcomes</w:t>
            </w:r>
          </w:p>
        </w:tc>
        <w:tc>
          <w:tcPr>
            <w:tcW w:w="1966" w:type="dxa"/>
            <w:tcBorders>
              <w:left w:val="single" w:sz="4" w:space="0" w:color="FFFFFF" w:themeColor="background1"/>
            </w:tcBorders>
            <w:shd w:val="clear" w:color="auto" w:fill="00264D" w:themeFill="background2"/>
          </w:tcPr>
          <w:p w14:paraId="2B43F5B0" w14:textId="7E498A65" w:rsidR="002D08B9" w:rsidRPr="009B783C" w:rsidRDefault="002D08B9" w:rsidP="008C4E7D">
            <w:pPr>
              <w:pStyle w:val="TableNheader"/>
              <w:rPr>
                <w:color w:val="23B3E0"/>
              </w:rPr>
            </w:pPr>
            <w:r w:rsidRPr="009B783C">
              <w:rPr>
                <w:color w:val="23B3E0"/>
              </w:rPr>
              <w:t>Long term outcomes</w:t>
            </w:r>
          </w:p>
        </w:tc>
      </w:tr>
      <w:tr w:rsidR="002D08B9" w:rsidRPr="009B783C" w14:paraId="14135072" w14:textId="77777777" w:rsidTr="00780FE4">
        <w:tc>
          <w:tcPr>
            <w:tcW w:w="2263" w:type="dxa"/>
          </w:tcPr>
          <w:p w14:paraId="235AE8DF" w14:textId="77777777" w:rsidR="008A16DA" w:rsidRPr="00ED1544" w:rsidRDefault="008A16DA" w:rsidP="00ED1544">
            <w:r w:rsidRPr="00ED1544">
              <w:t>The Department</w:t>
            </w:r>
          </w:p>
          <w:p w14:paraId="71A46848"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Medicare UCC Program funding ($759.9 million as at July 2024)</w:t>
            </w:r>
          </w:p>
          <w:p w14:paraId="4B4197FA"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 xml:space="preserve">MBS funding </w:t>
            </w:r>
          </w:p>
          <w:p w14:paraId="2E703B8C"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Medicare UCC Program oversight, guidance and management</w:t>
            </w:r>
          </w:p>
          <w:p w14:paraId="22A928A7"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Medicare UCC locations</w:t>
            </w:r>
          </w:p>
          <w:p w14:paraId="03F788E4" w14:textId="38EBFC2E" w:rsidR="008A16DA" w:rsidRPr="00ED1544" w:rsidRDefault="008A16DA" w:rsidP="00ED1544">
            <w:r w:rsidRPr="00ED1544">
              <w:t>Knowledge and expertise (the Department)</w:t>
            </w:r>
          </w:p>
          <w:p w14:paraId="4A4B4CE6"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lastRenderedPageBreak/>
              <w:t>Relevant policies, strategies and standards</w:t>
            </w:r>
          </w:p>
          <w:p w14:paraId="45D1E4A1"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Clinical advice, research and evidence</w:t>
            </w:r>
          </w:p>
          <w:p w14:paraId="203CBC7F"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Data</w:t>
            </w:r>
          </w:p>
          <w:p w14:paraId="55181CF7"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Program evaluation insights</w:t>
            </w:r>
          </w:p>
          <w:p w14:paraId="66D852FB" w14:textId="77777777" w:rsidR="008A16DA" w:rsidRPr="00ED1544" w:rsidRDefault="008A16DA" w:rsidP="00ED1544">
            <w:r w:rsidRPr="00ED1544">
              <w:t>Medicare UCC Commissioners</w:t>
            </w:r>
          </w:p>
          <w:p w14:paraId="13F45375"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Commissioning of services</w:t>
            </w:r>
          </w:p>
          <w:p w14:paraId="1F32750A"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 xml:space="preserve">Medicare UCC contracts </w:t>
            </w:r>
          </w:p>
          <w:p w14:paraId="6DC0C9AF"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Referral pathways and relationships with local health services</w:t>
            </w:r>
          </w:p>
          <w:p w14:paraId="4335C385" w14:textId="77777777" w:rsidR="008A16DA" w:rsidRPr="00ED1544" w:rsidRDefault="008A16DA" w:rsidP="00ED1544">
            <w:r w:rsidRPr="00ED1544">
              <w:t>Medicare UCCs</w:t>
            </w:r>
          </w:p>
          <w:p w14:paraId="009A9A4A"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Healthcare professionals</w:t>
            </w:r>
          </w:p>
          <w:p w14:paraId="461DBB9C"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 xml:space="preserve">Physical infrastructure – </w:t>
            </w:r>
            <w:r w:rsidRPr="009B783C">
              <w:rPr>
                <w:rFonts w:asciiTheme="minorHAnsi" w:hAnsiTheme="minorHAnsi" w:cstheme="minorHAnsi"/>
                <w:sz w:val="21"/>
                <w:szCs w:val="21"/>
              </w:rPr>
              <w:lastRenderedPageBreak/>
              <w:t>facilities and equipment</w:t>
            </w:r>
          </w:p>
          <w:p w14:paraId="7DB32862"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Technological infrastructure</w:t>
            </w:r>
          </w:p>
          <w:p w14:paraId="5D2145AA"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Referral pathways and relationships with local health services</w:t>
            </w:r>
          </w:p>
          <w:p w14:paraId="607A7395"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Development of local models and research</w:t>
            </w:r>
          </w:p>
          <w:p w14:paraId="4C36DD5A" w14:textId="54B0F963" w:rsidR="002D08B9"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Policies, procedures and clinical standards</w:t>
            </w:r>
          </w:p>
        </w:tc>
        <w:tc>
          <w:tcPr>
            <w:tcW w:w="3544" w:type="dxa"/>
          </w:tcPr>
          <w:p w14:paraId="3AB01831" w14:textId="77777777" w:rsidR="008A16DA" w:rsidRPr="00ED1544" w:rsidRDefault="008A16DA" w:rsidP="00ED1544">
            <w:pPr>
              <w:rPr>
                <w:rStyle w:val="Strong"/>
              </w:rPr>
            </w:pPr>
            <w:r w:rsidRPr="00ED1544">
              <w:rPr>
                <w:rStyle w:val="Strong"/>
              </w:rPr>
              <w:lastRenderedPageBreak/>
              <w:t xml:space="preserve">Establishment </w:t>
            </w:r>
          </w:p>
          <w:p w14:paraId="109CF0FC" w14:textId="77777777" w:rsidR="008A16DA" w:rsidRPr="00ED1544" w:rsidRDefault="008A16DA" w:rsidP="00ED1544">
            <w:r w:rsidRPr="00ED1544">
              <w:t>The Department</w:t>
            </w:r>
          </w:p>
          <w:p w14:paraId="6FD5BD93"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High-level policy decisions by Minister for Health and Aged Care and the Department</w:t>
            </w:r>
          </w:p>
          <w:p w14:paraId="75D69BEC"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National communication</w:t>
            </w:r>
          </w:p>
          <w:p w14:paraId="45289FC0"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Program design and requirements</w:t>
            </w:r>
          </w:p>
          <w:p w14:paraId="42855BB2" w14:textId="77777777" w:rsidR="008A16DA" w:rsidRPr="00ED1544" w:rsidRDefault="008A16DA" w:rsidP="00ED1544">
            <w:r w:rsidRPr="00ED1544">
              <w:t>Medicare UCC Commissioners</w:t>
            </w:r>
          </w:p>
          <w:p w14:paraId="111B986E"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Undertake needs assessments, site identification and commissioning of Medicare UCCs</w:t>
            </w:r>
          </w:p>
          <w:p w14:paraId="6AB3627D" w14:textId="77777777" w:rsidR="008A16DA" w:rsidRPr="00ED1544" w:rsidRDefault="008A16DA" w:rsidP="00ED1544">
            <w:r w:rsidRPr="00ED1544">
              <w:t>Medicare UCCs</w:t>
            </w:r>
          </w:p>
          <w:p w14:paraId="7ED64DE4"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lastRenderedPageBreak/>
              <w:t>Educate community and providers on Medicare UCC role</w:t>
            </w:r>
          </w:p>
          <w:p w14:paraId="7E772706"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Establish relationships with acute and primary care</w:t>
            </w:r>
          </w:p>
          <w:p w14:paraId="3C21137B"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Train clinical and support staff to work in Medicare UCCs</w:t>
            </w:r>
          </w:p>
          <w:p w14:paraId="455BC34E" w14:textId="77777777" w:rsidR="002D08B9"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Establish quality standards and patient care protocols</w:t>
            </w:r>
          </w:p>
          <w:p w14:paraId="4B13C4A8" w14:textId="77777777" w:rsidR="008A16DA" w:rsidRPr="00ED1544" w:rsidRDefault="008A16DA" w:rsidP="00ED1544">
            <w:pPr>
              <w:rPr>
                <w:rStyle w:val="Strong"/>
              </w:rPr>
            </w:pPr>
            <w:r w:rsidRPr="00ED1544">
              <w:rPr>
                <w:rStyle w:val="Strong"/>
              </w:rPr>
              <w:t xml:space="preserve">Operations </w:t>
            </w:r>
          </w:p>
          <w:p w14:paraId="506C3F97" w14:textId="77777777" w:rsidR="008A16DA" w:rsidRPr="00ED1544" w:rsidRDefault="008A16DA" w:rsidP="00ED1544">
            <w:r w:rsidRPr="00ED1544">
              <w:t>The Department</w:t>
            </w:r>
          </w:p>
          <w:p w14:paraId="63D06689"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National communication</w:t>
            </w:r>
          </w:p>
          <w:p w14:paraId="4CFA7813"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Policies</w:t>
            </w:r>
          </w:p>
          <w:p w14:paraId="3FDD56BB"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Evaluation</w:t>
            </w:r>
          </w:p>
          <w:p w14:paraId="29551801"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Governance</w:t>
            </w:r>
          </w:p>
          <w:p w14:paraId="4086B08F" w14:textId="77777777" w:rsidR="008A16DA" w:rsidRPr="009B783C" w:rsidRDefault="008A16DA" w:rsidP="00ED1544">
            <w:pPr>
              <w:rPr>
                <w:rFonts w:asciiTheme="minorHAnsi" w:hAnsiTheme="minorHAnsi" w:cstheme="minorHAnsi"/>
                <w:szCs w:val="21"/>
              </w:rPr>
            </w:pPr>
            <w:r w:rsidRPr="009B783C">
              <w:rPr>
                <w:rFonts w:asciiTheme="minorHAnsi" w:hAnsiTheme="minorHAnsi" w:cstheme="minorHAnsi"/>
                <w:szCs w:val="21"/>
              </w:rPr>
              <w:t xml:space="preserve">Medicare UCC </w:t>
            </w:r>
            <w:r w:rsidRPr="00ED1544">
              <w:t>Commissioners</w:t>
            </w:r>
          </w:p>
          <w:p w14:paraId="0A3041C2"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Integrate UCCs within Local Health System</w:t>
            </w:r>
          </w:p>
          <w:p w14:paraId="785760DA"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Local communication</w:t>
            </w:r>
          </w:p>
          <w:p w14:paraId="4B2B7FEF"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Support Medicare UCC operational activities</w:t>
            </w:r>
          </w:p>
          <w:p w14:paraId="5ED7CDA9" w14:textId="77777777" w:rsidR="008A16DA" w:rsidRPr="009B783C" w:rsidRDefault="008A16DA" w:rsidP="00ED1544">
            <w:pPr>
              <w:rPr>
                <w:rFonts w:asciiTheme="minorHAnsi" w:hAnsiTheme="minorHAnsi" w:cstheme="minorHAnsi"/>
                <w:szCs w:val="21"/>
              </w:rPr>
            </w:pPr>
            <w:r w:rsidRPr="00ED1544">
              <w:t>Medicare</w:t>
            </w:r>
            <w:r w:rsidRPr="009B783C">
              <w:rPr>
                <w:rFonts w:asciiTheme="minorHAnsi" w:hAnsiTheme="minorHAnsi" w:cstheme="minorHAnsi"/>
                <w:szCs w:val="21"/>
              </w:rPr>
              <w:t xml:space="preserve"> UCCs</w:t>
            </w:r>
          </w:p>
          <w:p w14:paraId="17F9C46F"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Assess and triage urgency of patient condition</w:t>
            </w:r>
          </w:p>
          <w:p w14:paraId="63F18959"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lastRenderedPageBreak/>
              <w:t>Administer diagnostic tests and timely treatment</w:t>
            </w:r>
          </w:p>
          <w:p w14:paraId="442F0FEC"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Access and share medical summaries with care partners</w:t>
            </w:r>
          </w:p>
          <w:p w14:paraId="5C829C7C"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Facilitate patient referrals to other services where required</w:t>
            </w:r>
          </w:p>
          <w:p w14:paraId="19BA3364"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Coordinate follow up by primary care provider</w:t>
            </w:r>
          </w:p>
          <w:p w14:paraId="54E31EBD"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Share de-identified data with the Department for monitoring and evaluation</w:t>
            </w:r>
          </w:p>
          <w:p w14:paraId="17411F65" w14:textId="1969689D" w:rsidR="008A16DA" w:rsidRPr="00ED1544" w:rsidRDefault="008A16DA" w:rsidP="00ED1544">
            <w:pPr>
              <w:rPr>
                <w:rStyle w:val="Strong"/>
              </w:rPr>
            </w:pPr>
            <w:r w:rsidRPr="00ED1544">
              <w:rPr>
                <w:rStyle w:val="Strong"/>
              </w:rPr>
              <w:t>Monitoring, assurance and compliance</w:t>
            </w:r>
          </w:p>
          <w:p w14:paraId="385E3497" w14:textId="77777777" w:rsidR="008A16DA" w:rsidRPr="00ED1544" w:rsidRDefault="008A16DA" w:rsidP="00ED1544">
            <w:r w:rsidRPr="00ED1544">
              <w:t>The Department and Medicare UCC Commissioners</w:t>
            </w:r>
          </w:p>
          <w:p w14:paraId="111468F6" w14:textId="77777777"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Carry out operational, contractual and legislative assurance activities</w:t>
            </w:r>
          </w:p>
          <w:p w14:paraId="6FD698DD" w14:textId="570B729E" w:rsidR="008A16DA" w:rsidRPr="009B783C" w:rsidRDefault="008A16DA" w:rsidP="00780FE4">
            <w:pPr>
              <w:pStyle w:val="TableNBullet"/>
              <w:spacing w:line="276" w:lineRule="auto"/>
              <w:rPr>
                <w:rFonts w:asciiTheme="minorHAnsi" w:hAnsiTheme="minorHAnsi" w:cstheme="minorHAnsi"/>
                <w:sz w:val="21"/>
                <w:szCs w:val="21"/>
              </w:rPr>
            </w:pPr>
            <w:r w:rsidRPr="009B783C">
              <w:rPr>
                <w:rFonts w:asciiTheme="minorHAnsi" w:hAnsiTheme="minorHAnsi" w:cstheme="minorHAnsi"/>
                <w:sz w:val="21"/>
                <w:szCs w:val="21"/>
              </w:rPr>
              <w:t>Data collection, analysis and monitoring</w:t>
            </w:r>
          </w:p>
        </w:tc>
        <w:tc>
          <w:tcPr>
            <w:tcW w:w="2177" w:type="dxa"/>
          </w:tcPr>
          <w:p w14:paraId="10BA693A" w14:textId="77777777" w:rsidR="00C2291F" w:rsidRPr="009B783C" w:rsidRDefault="00C2291F" w:rsidP="00C2291F">
            <w:pPr>
              <w:pStyle w:val="TableNBullet"/>
              <w:spacing w:line="276" w:lineRule="auto"/>
              <w:rPr>
                <w:sz w:val="21"/>
                <w:szCs w:val="21"/>
              </w:rPr>
            </w:pPr>
            <w:r w:rsidRPr="009B783C">
              <w:rPr>
                <w:sz w:val="21"/>
                <w:szCs w:val="21"/>
              </w:rPr>
              <w:lastRenderedPageBreak/>
              <w:t>Community, including all priority populations, are aware and informed about local Medicare UCCs</w:t>
            </w:r>
          </w:p>
          <w:p w14:paraId="5A63989B" w14:textId="77777777" w:rsidR="00C2291F" w:rsidRPr="009B783C" w:rsidRDefault="00C2291F" w:rsidP="00C2291F">
            <w:pPr>
              <w:pStyle w:val="TableNBullet"/>
              <w:spacing w:line="276" w:lineRule="auto"/>
              <w:rPr>
                <w:sz w:val="21"/>
                <w:szCs w:val="21"/>
              </w:rPr>
            </w:pPr>
            <w:r w:rsidRPr="009B783C">
              <w:rPr>
                <w:sz w:val="21"/>
                <w:szCs w:val="21"/>
              </w:rPr>
              <w:t>Medicare UCCs establish triage systems</w:t>
            </w:r>
          </w:p>
          <w:p w14:paraId="39E2578A" w14:textId="77777777" w:rsidR="00C2291F" w:rsidRPr="009B783C" w:rsidRDefault="00C2291F" w:rsidP="00C2291F">
            <w:pPr>
              <w:pStyle w:val="TableNBullet"/>
              <w:spacing w:line="276" w:lineRule="auto"/>
              <w:rPr>
                <w:sz w:val="21"/>
                <w:szCs w:val="21"/>
              </w:rPr>
            </w:pPr>
            <w:r w:rsidRPr="009B783C">
              <w:rPr>
                <w:sz w:val="21"/>
                <w:szCs w:val="21"/>
              </w:rPr>
              <w:t>Medicare UCCs are established in appropriate locations and are accessible</w:t>
            </w:r>
          </w:p>
          <w:p w14:paraId="3B450BD2" w14:textId="77777777" w:rsidR="00C2291F" w:rsidRPr="009B783C" w:rsidRDefault="00C2291F" w:rsidP="00C2291F">
            <w:pPr>
              <w:pStyle w:val="TableNBullet"/>
              <w:spacing w:line="276" w:lineRule="auto"/>
              <w:rPr>
                <w:sz w:val="21"/>
                <w:szCs w:val="21"/>
              </w:rPr>
            </w:pPr>
            <w:r w:rsidRPr="009B783C">
              <w:rPr>
                <w:sz w:val="21"/>
                <w:szCs w:val="21"/>
              </w:rPr>
              <w:lastRenderedPageBreak/>
              <w:t>Staff available to provide services</w:t>
            </w:r>
          </w:p>
          <w:p w14:paraId="62E34417" w14:textId="77777777" w:rsidR="00C2291F" w:rsidRPr="009B783C" w:rsidRDefault="00C2291F" w:rsidP="00C2291F">
            <w:pPr>
              <w:pStyle w:val="TableNBullet"/>
              <w:spacing w:line="276" w:lineRule="auto"/>
              <w:rPr>
                <w:sz w:val="21"/>
                <w:szCs w:val="21"/>
              </w:rPr>
            </w:pPr>
            <w:r w:rsidRPr="009B783C">
              <w:rPr>
                <w:sz w:val="21"/>
                <w:szCs w:val="21"/>
              </w:rPr>
              <w:t>Medicare UCCs have systems in place to improve clinical quality and safety</w:t>
            </w:r>
          </w:p>
          <w:p w14:paraId="43B8072A" w14:textId="77777777" w:rsidR="00C2291F" w:rsidRPr="009B783C" w:rsidRDefault="00C2291F" w:rsidP="00C2291F">
            <w:pPr>
              <w:pStyle w:val="TableNBullet"/>
              <w:spacing w:line="276" w:lineRule="auto"/>
              <w:rPr>
                <w:sz w:val="21"/>
                <w:szCs w:val="21"/>
              </w:rPr>
            </w:pPr>
            <w:r w:rsidRPr="009B783C">
              <w:rPr>
                <w:sz w:val="21"/>
                <w:szCs w:val="21"/>
              </w:rPr>
              <w:t>Medicare UCC staff undertake necessary training to ensure all competencies are met during hours of operation</w:t>
            </w:r>
          </w:p>
          <w:p w14:paraId="05F7A3D0" w14:textId="77777777" w:rsidR="00C2291F" w:rsidRPr="009B783C" w:rsidRDefault="00C2291F" w:rsidP="00C2291F">
            <w:pPr>
              <w:pStyle w:val="TableNBullet"/>
              <w:spacing w:line="276" w:lineRule="auto"/>
              <w:rPr>
                <w:sz w:val="21"/>
                <w:szCs w:val="21"/>
              </w:rPr>
            </w:pPr>
            <w:r w:rsidRPr="009B783C">
              <w:rPr>
                <w:sz w:val="21"/>
                <w:szCs w:val="21"/>
              </w:rPr>
              <w:t>Data collection embedded and established to support evaluation and ongoing monitoring</w:t>
            </w:r>
          </w:p>
          <w:p w14:paraId="16B347F4" w14:textId="085415F8" w:rsidR="002D08B9" w:rsidRPr="009B783C" w:rsidRDefault="00C2291F" w:rsidP="00C2291F">
            <w:pPr>
              <w:pStyle w:val="TableNBullet"/>
              <w:spacing w:line="276" w:lineRule="auto"/>
              <w:rPr>
                <w:sz w:val="21"/>
                <w:szCs w:val="21"/>
              </w:rPr>
            </w:pPr>
            <w:r w:rsidRPr="009B783C">
              <w:rPr>
                <w:sz w:val="21"/>
                <w:szCs w:val="21"/>
              </w:rPr>
              <w:t xml:space="preserve">Comprehensive planning undertaken to embed Medicare </w:t>
            </w:r>
            <w:r w:rsidRPr="009B783C">
              <w:rPr>
                <w:sz w:val="21"/>
                <w:szCs w:val="21"/>
              </w:rPr>
              <w:lastRenderedPageBreak/>
              <w:t>UCCs in local health service landscape, including establishment of referral pathways and follow up care</w:t>
            </w:r>
          </w:p>
        </w:tc>
        <w:tc>
          <w:tcPr>
            <w:tcW w:w="1965" w:type="dxa"/>
          </w:tcPr>
          <w:p w14:paraId="76D6D25C" w14:textId="77777777" w:rsidR="00C2291F" w:rsidRPr="009B783C" w:rsidRDefault="00C2291F" w:rsidP="00C2291F">
            <w:pPr>
              <w:pStyle w:val="TableNBullet"/>
              <w:spacing w:line="276" w:lineRule="auto"/>
              <w:rPr>
                <w:sz w:val="21"/>
                <w:szCs w:val="21"/>
              </w:rPr>
            </w:pPr>
            <w:r w:rsidRPr="009B783C">
              <w:rPr>
                <w:sz w:val="21"/>
                <w:szCs w:val="21"/>
              </w:rPr>
              <w:lastRenderedPageBreak/>
              <w:t>Appropriate patient throughput and utilisation of Medicare UCCs (MOS 7)</w:t>
            </w:r>
          </w:p>
          <w:p w14:paraId="2A50FB46" w14:textId="77777777" w:rsidR="00C2291F" w:rsidRPr="009B783C" w:rsidRDefault="00C2291F" w:rsidP="00C2291F">
            <w:pPr>
              <w:pStyle w:val="TableNBullet"/>
              <w:spacing w:line="276" w:lineRule="auto"/>
              <w:rPr>
                <w:sz w:val="21"/>
                <w:szCs w:val="21"/>
              </w:rPr>
            </w:pPr>
            <w:r w:rsidRPr="009B783C">
              <w:rPr>
                <w:sz w:val="21"/>
                <w:szCs w:val="21"/>
              </w:rPr>
              <w:t>Patients receiving treatment for non-life-threatening conditions in Medicare UCCs (MOS 1)</w:t>
            </w:r>
          </w:p>
          <w:p w14:paraId="7FC47CF9" w14:textId="77777777" w:rsidR="00C2291F" w:rsidRPr="009B783C" w:rsidRDefault="00C2291F" w:rsidP="00C2291F">
            <w:pPr>
              <w:pStyle w:val="TableNBullet"/>
              <w:spacing w:line="276" w:lineRule="auto"/>
              <w:rPr>
                <w:sz w:val="21"/>
                <w:szCs w:val="21"/>
              </w:rPr>
            </w:pPr>
            <w:r w:rsidRPr="009B783C">
              <w:rPr>
                <w:sz w:val="21"/>
                <w:szCs w:val="21"/>
              </w:rPr>
              <w:t xml:space="preserve">Medicare UCCs provide a positive </w:t>
            </w:r>
            <w:r w:rsidRPr="009B783C">
              <w:rPr>
                <w:sz w:val="21"/>
                <w:szCs w:val="21"/>
              </w:rPr>
              <w:lastRenderedPageBreak/>
              <w:t>experience for patient/carer (MOS 4)</w:t>
            </w:r>
          </w:p>
          <w:p w14:paraId="2FFB66C7" w14:textId="77777777" w:rsidR="00C2291F" w:rsidRPr="009B783C" w:rsidRDefault="00C2291F" w:rsidP="00C2291F">
            <w:pPr>
              <w:pStyle w:val="TableNBullet"/>
              <w:spacing w:line="276" w:lineRule="auto"/>
              <w:rPr>
                <w:sz w:val="21"/>
                <w:szCs w:val="21"/>
              </w:rPr>
            </w:pPr>
            <w:r w:rsidRPr="009B783C">
              <w:rPr>
                <w:sz w:val="21"/>
                <w:szCs w:val="21"/>
              </w:rPr>
              <w:t>Medicare UCCs provided safe and quality treatment to patients (MOS 2)</w:t>
            </w:r>
          </w:p>
          <w:p w14:paraId="5AA29FC2" w14:textId="77777777" w:rsidR="00C2291F" w:rsidRPr="009B783C" w:rsidRDefault="00C2291F" w:rsidP="00C2291F">
            <w:pPr>
              <w:pStyle w:val="TableNBullet"/>
              <w:spacing w:line="276" w:lineRule="auto"/>
              <w:rPr>
                <w:sz w:val="21"/>
                <w:szCs w:val="21"/>
              </w:rPr>
            </w:pPr>
            <w:r w:rsidRPr="009B783C">
              <w:rPr>
                <w:sz w:val="21"/>
                <w:szCs w:val="21"/>
              </w:rPr>
              <w:t>Medicare UCCs present an attractive employment option for GPs, nurses and other clinicians (MOS 5)</w:t>
            </w:r>
          </w:p>
          <w:p w14:paraId="2BD7A98C" w14:textId="77777777" w:rsidR="00C2291F" w:rsidRPr="009B783C" w:rsidRDefault="00C2291F" w:rsidP="00C2291F">
            <w:pPr>
              <w:pStyle w:val="TableNBullet"/>
              <w:spacing w:line="276" w:lineRule="auto"/>
              <w:rPr>
                <w:sz w:val="21"/>
                <w:szCs w:val="21"/>
              </w:rPr>
            </w:pPr>
            <w:r w:rsidRPr="009B783C">
              <w:rPr>
                <w:sz w:val="21"/>
                <w:szCs w:val="21"/>
              </w:rPr>
              <w:t>Established referral pathways between Medicare UCCs, partner EDs and other local providers (MOS 3 and 8)</w:t>
            </w:r>
          </w:p>
          <w:p w14:paraId="76DC243E" w14:textId="0B90320F" w:rsidR="002D08B9" w:rsidRPr="009B783C" w:rsidRDefault="00C2291F" w:rsidP="00C2291F">
            <w:pPr>
              <w:pStyle w:val="TableNBullet"/>
              <w:spacing w:line="276" w:lineRule="auto"/>
              <w:rPr>
                <w:sz w:val="21"/>
                <w:szCs w:val="21"/>
              </w:rPr>
            </w:pPr>
            <w:r w:rsidRPr="009B783C">
              <w:rPr>
                <w:sz w:val="21"/>
                <w:szCs w:val="21"/>
              </w:rPr>
              <w:lastRenderedPageBreak/>
              <w:t>Improved connection of patients with chronic conditions to a GP where they do not have a regular GP (MOS 3)</w:t>
            </w:r>
          </w:p>
        </w:tc>
        <w:tc>
          <w:tcPr>
            <w:tcW w:w="1966" w:type="dxa"/>
          </w:tcPr>
          <w:p w14:paraId="6C43F998" w14:textId="77777777" w:rsidR="00C2291F" w:rsidRPr="009B783C" w:rsidRDefault="00C2291F" w:rsidP="00C2291F">
            <w:pPr>
              <w:pStyle w:val="TableNBullet"/>
              <w:spacing w:line="276" w:lineRule="auto"/>
              <w:rPr>
                <w:sz w:val="21"/>
                <w:szCs w:val="21"/>
              </w:rPr>
            </w:pPr>
            <w:r w:rsidRPr="009B783C">
              <w:rPr>
                <w:sz w:val="21"/>
                <w:szCs w:val="21"/>
              </w:rPr>
              <w:lastRenderedPageBreak/>
              <w:t>Change in consumer behaviour over time to use Medicare UCCs instead of EDs for urgent non-life-threatening conditions (MOS 7)</w:t>
            </w:r>
          </w:p>
          <w:p w14:paraId="06CB3CB9" w14:textId="77777777" w:rsidR="00C2291F" w:rsidRPr="009B783C" w:rsidRDefault="00C2291F" w:rsidP="00C2291F">
            <w:pPr>
              <w:pStyle w:val="TableNBullet"/>
              <w:spacing w:line="276" w:lineRule="auto"/>
              <w:rPr>
                <w:sz w:val="21"/>
                <w:szCs w:val="21"/>
              </w:rPr>
            </w:pPr>
            <w:r w:rsidRPr="009B783C">
              <w:rPr>
                <w:sz w:val="21"/>
                <w:szCs w:val="21"/>
              </w:rPr>
              <w:t xml:space="preserve">Medicare UCCs provide positive experience for providers at </w:t>
            </w:r>
            <w:r w:rsidRPr="009B783C">
              <w:rPr>
                <w:sz w:val="21"/>
                <w:szCs w:val="21"/>
              </w:rPr>
              <w:lastRenderedPageBreak/>
              <w:t>Medicare UCCs, partner hospital EDs and local GP practices (MOS 5)</w:t>
            </w:r>
          </w:p>
          <w:p w14:paraId="76675F19" w14:textId="3DE54C77" w:rsidR="002D08B9" w:rsidRPr="009B783C" w:rsidRDefault="00C2291F" w:rsidP="00C2291F">
            <w:pPr>
              <w:pStyle w:val="TableNBullet"/>
              <w:spacing w:line="276" w:lineRule="auto"/>
              <w:rPr>
                <w:sz w:val="21"/>
                <w:szCs w:val="21"/>
              </w:rPr>
            </w:pPr>
            <w:r w:rsidRPr="009B783C">
              <w:rPr>
                <w:sz w:val="21"/>
                <w:szCs w:val="21"/>
              </w:rPr>
              <w:t>Medicare UCCs deliver coordinated care for Medicare UCC patients (MOS 3)</w:t>
            </w:r>
          </w:p>
        </w:tc>
        <w:tc>
          <w:tcPr>
            <w:tcW w:w="1966" w:type="dxa"/>
          </w:tcPr>
          <w:p w14:paraId="134D7384" w14:textId="77777777" w:rsidR="00C2291F" w:rsidRPr="009B783C" w:rsidRDefault="00C2291F" w:rsidP="00C2291F">
            <w:pPr>
              <w:pStyle w:val="TableNBullet"/>
              <w:spacing w:line="276" w:lineRule="auto"/>
              <w:rPr>
                <w:sz w:val="21"/>
                <w:szCs w:val="21"/>
              </w:rPr>
            </w:pPr>
            <w:r w:rsidRPr="009B783C">
              <w:rPr>
                <w:sz w:val="21"/>
                <w:szCs w:val="21"/>
              </w:rPr>
              <w:lastRenderedPageBreak/>
              <w:t>Medicare UCCs reduce pressure on hospital ED categories four and five presentations at partner hospitals (MOS 6)</w:t>
            </w:r>
          </w:p>
          <w:p w14:paraId="1D554EF2" w14:textId="77777777" w:rsidR="00C2291F" w:rsidRPr="009B783C" w:rsidRDefault="00C2291F" w:rsidP="00C2291F">
            <w:pPr>
              <w:pStyle w:val="TableNBullet"/>
              <w:spacing w:line="276" w:lineRule="auto"/>
              <w:rPr>
                <w:sz w:val="21"/>
                <w:szCs w:val="21"/>
              </w:rPr>
            </w:pPr>
            <w:r w:rsidRPr="009B783C">
              <w:rPr>
                <w:sz w:val="21"/>
                <w:szCs w:val="21"/>
              </w:rPr>
              <w:t xml:space="preserve">Improved health outcomes for patients receiving care and treatment </w:t>
            </w:r>
            <w:r w:rsidRPr="009B783C">
              <w:rPr>
                <w:sz w:val="21"/>
                <w:szCs w:val="21"/>
              </w:rPr>
              <w:lastRenderedPageBreak/>
              <w:t>at Medicare UCCs (MOS 2)</w:t>
            </w:r>
          </w:p>
          <w:p w14:paraId="6CC25208" w14:textId="77777777" w:rsidR="00C2291F" w:rsidRPr="009B783C" w:rsidRDefault="00C2291F" w:rsidP="00C2291F">
            <w:pPr>
              <w:pStyle w:val="TableNBullet"/>
              <w:spacing w:line="276" w:lineRule="auto"/>
              <w:rPr>
                <w:sz w:val="21"/>
                <w:szCs w:val="21"/>
              </w:rPr>
            </w:pPr>
            <w:r w:rsidRPr="009B783C">
              <w:rPr>
                <w:sz w:val="21"/>
                <w:szCs w:val="21"/>
              </w:rPr>
              <w:t>Medicare UCCs are cost-effective (MOS 9)</w:t>
            </w:r>
          </w:p>
          <w:p w14:paraId="76B83698" w14:textId="75D1FEFB" w:rsidR="002D08B9" w:rsidRPr="009B783C" w:rsidRDefault="00C2291F" w:rsidP="00C2291F">
            <w:pPr>
              <w:pStyle w:val="TableNBullet"/>
              <w:spacing w:line="276" w:lineRule="auto"/>
              <w:rPr>
                <w:sz w:val="21"/>
                <w:szCs w:val="21"/>
              </w:rPr>
            </w:pPr>
            <w:r w:rsidRPr="009B783C">
              <w:rPr>
                <w:sz w:val="21"/>
                <w:szCs w:val="21"/>
              </w:rPr>
              <w:t xml:space="preserve">Medicare UCCs, PHNS, </w:t>
            </w:r>
            <w:proofErr w:type="spellStart"/>
            <w:r w:rsidRPr="009B783C">
              <w:rPr>
                <w:sz w:val="21"/>
                <w:szCs w:val="21"/>
              </w:rPr>
              <w:t>healthdirect</w:t>
            </w:r>
            <w:proofErr w:type="spellEnd"/>
            <w:r w:rsidRPr="009B783C">
              <w:rPr>
                <w:sz w:val="21"/>
                <w:szCs w:val="21"/>
              </w:rPr>
              <w:t>, jurisdictions and the health ecosystem have established an effective coordinated care option for people with urgent non-life-threatening conditions (MOS 8)</w:t>
            </w:r>
          </w:p>
        </w:tc>
      </w:tr>
    </w:tbl>
    <w:p w14:paraId="2B6C09AE" w14:textId="77777777" w:rsidR="00A016A1" w:rsidRPr="009B783C" w:rsidRDefault="00A016A1">
      <w:pPr>
        <w:sectPr w:rsidR="00A016A1" w:rsidRPr="009B783C" w:rsidSect="00A016A1">
          <w:type w:val="continuous"/>
          <w:pgSz w:w="16839" w:h="11907" w:orient="landscape" w:code="9"/>
          <w:pgMar w:top="1134" w:right="1247" w:bottom="851" w:left="1701" w:header="720" w:footer="720" w:gutter="0"/>
          <w:cols w:space="720"/>
          <w:docGrid w:linePitch="360"/>
        </w:sectPr>
      </w:pPr>
    </w:p>
    <w:tbl>
      <w:tblPr>
        <w:tblStyle w:val="TableGrid"/>
        <w:tblW w:w="0" w:type="auto"/>
        <w:tblLook w:val="04A0" w:firstRow="1" w:lastRow="0" w:firstColumn="1" w:lastColumn="0" w:noHBand="0" w:noVBand="1"/>
      </w:tblPr>
      <w:tblGrid>
        <w:gridCol w:w="7508"/>
        <w:gridCol w:w="6373"/>
      </w:tblGrid>
      <w:tr w:rsidR="002D08B9" w:rsidRPr="009B783C" w14:paraId="71F9227E" w14:textId="77777777" w:rsidTr="00BC7584">
        <w:trPr>
          <w:tblHeader/>
        </w:trPr>
        <w:tc>
          <w:tcPr>
            <w:tcW w:w="7508" w:type="dxa"/>
            <w:tcBorders>
              <w:right w:val="single" w:sz="4" w:space="0" w:color="FFFFFF" w:themeColor="background1"/>
            </w:tcBorders>
            <w:shd w:val="clear" w:color="auto" w:fill="00264D" w:themeFill="background2"/>
          </w:tcPr>
          <w:p w14:paraId="5917F3A3" w14:textId="58E39795" w:rsidR="002D08B9" w:rsidRPr="009B783C" w:rsidRDefault="002D08B9" w:rsidP="008C4E7D">
            <w:pPr>
              <w:pStyle w:val="TableNheader"/>
            </w:pPr>
            <w:r w:rsidRPr="009B783C">
              <w:t>Assumptions</w:t>
            </w:r>
          </w:p>
        </w:tc>
        <w:tc>
          <w:tcPr>
            <w:tcW w:w="6373" w:type="dxa"/>
            <w:tcBorders>
              <w:left w:val="single" w:sz="4" w:space="0" w:color="FFFFFF" w:themeColor="background1"/>
            </w:tcBorders>
            <w:shd w:val="clear" w:color="auto" w:fill="00264D" w:themeFill="background2"/>
          </w:tcPr>
          <w:p w14:paraId="06EA9F97" w14:textId="04480682" w:rsidR="002D08B9" w:rsidRPr="009B783C" w:rsidRDefault="002D08B9" w:rsidP="008C4E7D">
            <w:pPr>
              <w:pStyle w:val="TableNheader"/>
            </w:pPr>
            <w:r w:rsidRPr="009B783C">
              <w:t>External factors</w:t>
            </w:r>
          </w:p>
        </w:tc>
      </w:tr>
      <w:tr w:rsidR="002D08B9" w:rsidRPr="009B783C" w14:paraId="4CC1A66B" w14:textId="77777777" w:rsidTr="00394946">
        <w:tc>
          <w:tcPr>
            <w:tcW w:w="7508" w:type="dxa"/>
          </w:tcPr>
          <w:p w14:paraId="0025D5C5" w14:textId="77777777" w:rsidR="00822552" w:rsidRPr="009B783C" w:rsidRDefault="00822552" w:rsidP="00822552">
            <w:pPr>
              <w:pStyle w:val="Bullet"/>
              <w:rPr>
                <w:szCs w:val="21"/>
              </w:rPr>
            </w:pPr>
            <w:r w:rsidRPr="009B783C">
              <w:rPr>
                <w:szCs w:val="21"/>
              </w:rPr>
              <w:t>Sector and community will be supportive and utilise Medicare UCCs</w:t>
            </w:r>
          </w:p>
          <w:p w14:paraId="468694F2" w14:textId="77777777" w:rsidR="00822552" w:rsidRPr="009B783C" w:rsidRDefault="00822552" w:rsidP="00822552">
            <w:pPr>
              <w:pStyle w:val="Bullet"/>
              <w:rPr>
                <w:szCs w:val="21"/>
              </w:rPr>
            </w:pPr>
            <w:r w:rsidRPr="009B783C">
              <w:rPr>
                <w:szCs w:val="21"/>
              </w:rPr>
              <w:lastRenderedPageBreak/>
              <w:t>Medicare UCC program will be implemented with feedback from monitoring that will be used for continuous improvement, which may result in changes to activities</w:t>
            </w:r>
          </w:p>
          <w:p w14:paraId="340CF277" w14:textId="77777777" w:rsidR="00822552" w:rsidRPr="009B783C" w:rsidRDefault="00822552" w:rsidP="00822552">
            <w:pPr>
              <w:pStyle w:val="Bullet"/>
              <w:rPr>
                <w:szCs w:val="21"/>
              </w:rPr>
            </w:pPr>
            <w:r w:rsidRPr="009B783C">
              <w:rPr>
                <w:szCs w:val="21"/>
              </w:rPr>
              <w:t>Unique features will be determined by local conditions and some Medicare UCCs may test innovative approaches </w:t>
            </w:r>
          </w:p>
          <w:p w14:paraId="7DAD3647" w14:textId="6FBE8C54" w:rsidR="002D08B9" w:rsidRPr="009B783C" w:rsidRDefault="00822552" w:rsidP="00822552">
            <w:pPr>
              <w:pStyle w:val="Bullet"/>
              <w:rPr>
                <w:szCs w:val="21"/>
              </w:rPr>
            </w:pPr>
            <w:r w:rsidRPr="009B783C">
              <w:rPr>
                <w:szCs w:val="21"/>
              </w:rPr>
              <w:t>Assumptions utilised to inform the funding model were accurate at that point in time to deliver intended outcomes</w:t>
            </w:r>
          </w:p>
        </w:tc>
        <w:tc>
          <w:tcPr>
            <w:tcW w:w="6373" w:type="dxa"/>
          </w:tcPr>
          <w:p w14:paraId="40302D94" w14:textId="77777777" w:rsidR="00822552" w:rsidRPr="009B783C" w:rsidRDefault="00822552" w:rsidP="00822552">
            <w:pPr>
              <w:pStyle w:val="Bullet"/>
              <w:rPr>
                <w:szCs w:val="21"/>
              </w:rPr>
            </w:pPr>
            <w:r w:rsidRPr="009B783C">
              <w:rPr>
                <w:szCs w:val="21"/>
              </w:rPr>
              <w:lastRenderedPageBreak/>
              <w:t>Local demographics and socio-economic characteristics</w:t>
            </w:r>
          </w:p>
          <w:p w14:paraId="13514F60" w14:textId="77777777" w:rsidR="00822552" w:rsidRPr="009B783C" w:rsidRDefault="00822552" w:rsidP="00822552">
            <w:pPr>
              <w:pStyle w:val="Bullet"/>
              <w:rPr>
                <w:szCs w:val="21"/>
              </w:rPr>
            </w:pPr>
            <w:r w:rsidRPr="009B783C">
              <w:rPr>
                <w:szCs w:val="21"/>
              </w:rPr>
              <w:t>Interoperability between health providers for coordinated care</w:t>
            </w:r>
          </w:p>
          <w:p w14:paraId="1C6DB2B9" w14:textId="27DF7A24" w:rsidR="00822552" w:rsidRPr="009B783C" w:rsidRDefault="00822552" w:rsidP="00822552">
            <w:pPr>
              <w:pStyle w:val="Bullet"/>
              <w:rPr>
                <w:szCs w:val="21"/>
              </w:rPr>
            </w:pPr>
            <w:r w:rsidRPr="009B783C">
              <w:rPr>
                <w:szCs w:val="21"/>
              </w:rPr>
              <w:lastRenderedPageBreak/>
              <w:t>Public transport infrastructure</w:t>
            </w:r>
          </w:p>
          <w:p w14:paraId="376E27FE" w14:textId="77777777" w:rsidR="00822552" w:rsidRPr="009B783C" w:rsidRDefault="00822552" w:rsidP="00822552">
            <w:pPr>
              <w:pStyle w:val="Bullet"/>
              <w:rPr>
                <w:szCs w:val="21"/>
              </w:rPr>
            </w:pPr>
            <w:r w:rsidRPr="009B783C">
              <w:rPr>
                <w:szCs w:val="21"/>
              </w:rPr>
              <w:t>Local workforce availability</w:t>
            </w:r>
          </w:p>
          <w:p w14:paraId="18010B60" w14:textId="77777777" w:rsidR="00822552" w:rsidRPr="009B783C" w:rsidRDefault="00822552" w:rsidP="00822552">
            <w:pPr>
              <w:pStyle w:val="Bullet"/>
              <w:rPr>
                <w:szCs w:val="21"/>
              </w:rPr>
            </w:pPr>
            <w:r w:rsidRPr="009B783C">
              <w:rPr>
                <w:szCs w:val="21"/>
              </w:rPr>
              <w:t>Telecommunications infrastructure</w:t>
            </w:r>
          </w:p>
          <w:p w14:paraId="79084165" w14:textId="7B1E1C04" w:rsidR="002D08B9" w:rsidRPr="009B783C" w:rsidRDefault="00822552" w:rsidP="00822552">
            <w:pPr>
              <w:pStyle w:val="Bullet"/>
              <w:rPr>
                <w:szCs w:val="21"/>
              </w:rPr>
            </w:pPr>
            <w:r w:rsidRPr="009B783C">
              <w:rPr>
                <w:szCs w:val="21"/>
              </w:rPr>
              <w:t>Environmental factors, for example, natural disasters</w:t>
            </w:r>
          </w:p>
        </w:tc>
      </w:tr>
    </w:tbl>
    <w:p w14:paraId="4D7A2475" w14:textId="77777777" w:rsidR="002D08B9" w:rsidRPr="009B783C" w:rsidRDefault="002D08B9"/>
    <w:p w14:paraId="6EDD01B5" w14:textId="2DE2B7EF" w:rsidR="005462D1" w:rsidRPr="009B783C" w:rsidRDefault="005462D1" w:rsidP="003E0004">
      <w:pPr>
        <w:rPr>
          <w:lang w:eastAsia="en-AU"/>
        </w:rPr>
        <w:sectPr w:rsidR="005462D1" w:rsidRPr="009B783C" w:rsidSect="00A016A1">
          <w:type w:val="continuous"/>
          <w:pgSz w:w="16839" w:h="11907" w:orient="landscape" w:code="9"/>
          <w:pgMar w:top="1134" w:right="1247" w:bottom="851" w:left="1701" w:header="720" w:footer="720" w:gutter="0"/>
          <w:cols w:space="720"/>
          <w:docGrid w:linePitch="360"/>
        </w:sectPr>
      </w:pPr>
    </w:p>
    <w:p w14:paraId="079BCE61" w14:textId="3F775F8D" w:rsidR="003C6B52" w:rsidRPr="009B783C" w:rsidRDefault="008047B3" w:rsidP="00C66FFF">
      <w:pPr>
        <w:pStyle w:val="xAppendixLevel1"/>
        <w:ind w:left="2268"/>
      </w:pPr>
      <w:bookmarkStart w:id="204" w:name="_Ref184973692"/>
      <w:bookmarkStart w:id="205" w:name="_Ref184973700"/>
      <w:bookmarkStart w:id="206" w:name="_Ref185495780"/>
      <w:bookmarkStart w:id="207" w:name="_Toc189639238"/>
      <w:bookmarkStart w:id="208" w:name="_Toc189772038"/>
      <w:r w:rsidRPr="009B783C">
        <w:lastRenderedPageBreak/>
        <w:t xml:space="preserve">Medicare UCC </w:t>
      </w:r>
      <w:r w:rsidR="00A87827" w:rsidRPr="009B783C">
        <w:t>data sources</w:t>
      </w:r>
      <w:r w:rsidR="00C635E5" w:rsidRPr="009B783C">
        <w:t xml:space="preserve"> and </w:t>
      </w:r>
      <w:r w:rsidR="0094029A" w:rsidRPr="009B783C">
        <w:t>analysis methodology</w:t>
      </w:r>
      <w:bookmarkEnd w:id="203"/>
      <w:bookmarkEnd w:id="204"/>
      <w:bookmarkEnd w:id="205"/>
      <w:bookmarkEnd w:id="206"/>
      <w:bookmarkEnd w:id="207"/>
      <w:bookmarkEnd w:id="208"/>
    </w:p>
    <w:p w14:paraId="1D0642FB" w14:textId="7B85208A" w:rsidR="00E14914" w:rsidRPr="009B783C" w:rsidRDefault="00E14914" w:rsidP="00E14914">
      <w:pPr>
        <w:pStyle w:val="xAppendixLevel2"/>
      </w:pPr>
      <w:bookmarkStart w:id="209" w:name="_Toc184971898"/>
      <w:bookmarkStart w:id="210" w:name="_Toc189639239"/>
      <w:bookmarkStart w:id="211" w:name="_Toc189772039"/>
      <w:bookmarkStart w:id="212" w:name="_Ref179547390"/>
      <w:r w:rsidRPr="009B783C">
        <w:t>Data sources</w:t>
      </w:r>
      <w:bookmarkEnd w:id="209"/>
      <w:bookmarkEnd w:id="210"/>
      <w:bookmarkEnd w:id="211"/>
    </w:p>
    <w:p w14:paraId="30A173A5" w14:textId="7489E89B" w:rsidR="00C05AA7" w:rsidRPr="009B783C" w:rsidRDefault="00817EDA" w:rsidP="00672B2A">
      <w:pPr>
        <w:jc w:val="both"/>
        <w:rPr>
          <w:szCs w:val="21"/>
        </w:rPr>
      </w:pPr>
      <w:r w:rsidRPr="009B783C">
        <w:rPr>
          <w:szCs w:val="21"/>
        </w:rPr>
        <w:t>There are three primary sources of data on Medicare UCC activity, as outlined in</w:t>
      </w:r>
      <w:r w:rsidR="00C05AA7" w:rsidRPr="009B783C">
        <w:rPr>
          <w:szCs w:val="21"/>
        </w:rPr>
        <w:t xml:space="preserve"> </w:t>
      </w:r>
      <w:r w:rsidR="00DE68D0" w:rsidRPr="009B783C">
        <w:rPr>
          <w:szCs w:val="21"/>
        </w:rPr>
        <w:fldChar w:fldCharType="begin"/>
      </w:r>
      <w:r w:rsidR="00DE68D0" w:rsidRPr="009B783C">
        <w:rPr>
          <w:szCs w:val="21"/>
        </w:rPr>
        <w:instrText xml:space="preserve"> REF _Ref179892978 \h </w:instrText>
      </w:r>
      <w:r w:rsidR="00672B2A" w:rsidRPr="009B783C">
        <w:rPr>
          <w:szCs w:val="21"/>
        </w:rPr>
        <w:instrText xml:space="preserve"> \* MERGEFORMAT </w:instrText>
      </w:r>
      <w:r w:rsidR="00DE68D0" w:rsidRPr="009B783C">
        <w:rPr>
          <w:szCs w:val="21"/>
        </w:rPr>
      </w:r>
      <w:r w:rsidR="00DE68D0" w:rsidRPr="009B783C">
        <w:rPr>
          <w:szCs w:val="21"/>
        </w:rPr>
        <w:fldChar w:fldCharType="separate"/>
      </w:r>
      <w:r w:rsidR="00F83EB3" w:rsidRPr="009B783C">
        <w:rPr>
          <w:szCs w:val="21"/>
        </w:rPr>
        <w:t xml:space="preserve">Table </w:t>
      </w:r>
      <w:r w:rsidR="00F83EB3">
        <w:rPr>
          <w:szCs w:val="21"/>
        </w:rPr>
        <w:t>20</w:t>
      </w:r>
      <w:r w:rsidR="00DE68D0" w:rsidRPr="009B783C">
        <w:rPr>
          <w:szCs w:val="21"/>
        </w:rPr>
        <w:fldChar w:fldCharType="end"/>
      </w:r>
      <w:r w:rsidR="00DE68D0" w:rsidRPr="009B783C">
        <w:rPr>
          <w:szCs w:val="21"/>
        </w:rPr>
        <w:t>.</w:t>
      </w:r>
      <w:r w:rsidR="00FF6538" w:rsidRPr="009B783C">
        <w:rPr>
          <w:szCs w:val="21"/>
        </w:rPr>
        <w:t xml:space="preserve"> </w:t>
      </w:r>
      <w:r w:rsidR="00B34872" w:rsidRPr="009B783C">
        <w:rPr>
          <w:szCs w:val="21"/>
        </w:rPr>
        <w:t xml:space="preserve">To provide </w:t>
      </w:r>
      <w:r w:rsidR="00112532" w:rsidRPr="009B783C">
        <w:rPr>
          <w:szCs w:val="21"/>
        </w:rPr>
        <w:t>overall counts of</w:t>
      </w:r>
      <w:r w:rsidR="00B34872" w:rsidRPr="009B783C">
        <w:rPr>
          <w:szCs w:val="21"/>
        </w:rPr>
        <w:t xml:space="preserve"> presentations</w:t>
      </w:r>
      <w:r w:rsidR="00112532" w:rsidRPr="009B783C">
        <w:rPr>
          <w:szCs w:val="21"/>
        </w:rPr>
        <w:t xml:space="preserve"> across all data sources</w:t>
      </w:r>
      <w:r w:rsidR="00B34872" w:rsidRPr="009B783C">
        <w:rPr>
          <w:szCs w:val="21"/>
        </w:rPr>
        <w:t xml:space="preserve">, these </w:t>
      </w:r>
      <w:r w:rsidR="00112532" w:rsidRPr="009B783C">
        <w:rPr>
          <w:szCs w:val="21"/>
        </w:rPr>
        <w:t>were</w:t>
      </w:r>
      <w:r w:rsidR="00B34872" w:rsidRPr="009B783C">
        <w:rPr>
          <w:szCs w:val="21"/>
        </w:rPr>
        <w:t xml:space="preserve"> summari</w:t>
      </w:r>
      <w:r w:rsidR="00112532" w:rsidRPr="009B783C">
        <w:rPr>
          <w:szCs w:val="21"/>
        </w:rPr>
        <w:t>s</w:t>
      </w:r>
      <w:r w:rsidR="00B34872" w:rsidRPr="009B783C">
        <w:rPr>
          <w:szCs w:val="21"/>
        </w:rPr>
        <w:t>ed and consolidated into a single dataset, which includes aggregated counts of presentations by Medicare UCC and date. This aggregation enables the analysis of presentation trends over time. Additionally, we describe a method used to estimate the annual number of presentations for each Medicare UCC. The presentation counts can also be analy</w:t>
      </w:r>
      <w:r w:rsidR="00482F5D" w:rsidRPr="009B783C">
        <w:rPr>
          <w:szCs w:val="21"/>
        </w:rPr>
        <w:t>s</w:t>
      </w:r>
      <w:r w:rsidR="00B34872" w:rsidRPr="009B783C">
        <w:rPr>
          <w:szCs w:val="21"/>
        </w:rPr>
        <w:t>ed according to specific characteristics of each Medicare UCC</w:t>
      </w:r>
      <w:r w:rsidR="00D2187B" w:rsidRPr="009B783C">
        <w:rPr>
          <w:szCs w:val="21"/>
        </w:rPr>
        <w:t>.</w:t>
      </w:r>
    </w:p>
    <w:p w14:paraId="23BF4948" w14:textId="437A5D61" w:rsidR="006B4E01" w:rsidRPr="009B783C" w:rsidRDefault="006B4E01" w:rsidP="006B4E01">
      <w:pPr>
        <w:pStyle w:val="Caption"/>
        <w:rPr>
          <w:szCs w:val="21"/>
        </w:rPr>
      </w:pPr>
      <w:bookmarkStart w:id="213" w:name="_Ref179892978"/>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F83EB3">
        <w:rPr>
          <w:noProof/>
          <w:szCs w:val="21"/>
        </w:rPr>
        <w:t>20</w:t>
      </w:r>
      <w:r w:rsidRPr="009B783C">
        <w:rPr>
          <w:szCs w:val="21"/>
        </w:rPr>
        <w:fldChar w:fldCharType="end"/>
      </w:r>
      <w:bookmarkEnd w:id="213"/>
      <w:r w:rsidRPr="009B783C">
        <w:rPr>
          <w:szCs w:val="21"/>
        </w:rPr>
        <w:t xml:space="preserve"> | Medicare UCC </w:t>
      </w:r>
      <w:r w:rsidR="00DE68D0" w:rsidRPr="009B783C">
        <w:rPr>
          <w:szCs w:val="21"/>
        </w:rPr>
        <w:t>activity data sources</w:t>
      </w:r>
    </w:p>
    <w:tbl>
      <w:tblPr>
        <w:tblStyle w:val="NOUSSideHeader3"/>
        <w:tblW w:w="0" w:type="auto"/>
        <w:tblLook w:val="04A0" w:firstRow="1" w:lastRow="0" w:firstColumn="1" w:lastColumn="0" w:noHBand="0" w:noVBand="1"/>
      </w:tblPr>
      <w:tblGrid>
        <w:gridCol w:w="2362"/>
        <w:gridCol w:w="3338"/>
        <w:gridCol w:w="8181"/>
      </w:tblGrid>
      <w:tr w:rsidR="00AE6FF8" w:rsidRPr="009B783C" w14:paraId="700C9444" w14:textId="4E42B1E4" w:rsidTr="00E94438">
        <w:trPr>
          <w:cnfStyle w:val="100000000000" w:firstRow="1" w:lastRow="0" w:firstColumn="0" w:lastColumn="0" w:oddVBand="0" w:evenVBand="0" w:oddHBand="0" w:evenHBand="0" w:firstRowFirstColumn="0" w:firstRowLastColumn="0" w:lastRowFirstColumn="0" w:lastRowLastColumn="0"/>
        </w:trPr>
        <w:tc>
          <w:tcPr>
            <w:tcW w:w="0" w:type="auto"/>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7C6B1E94" w14:textId="5C9D05FF" w:rsidR="006B4E01" w:rsidRPr="009B783C" w:rsidRDefault="009C623C" w:rsidP="00B25585">
            <w:pPr>
              <w:pStyle w:val="TableNheader"/>
              <w:rPr>
                <w:rFonts w:cstheme="minorBidi"/>
              </w:rPr>
            </w:pPr>
            <w:r w:rsidRPr="009B783C">
              <w:t>Type of data</w:t>
            </w:r>
          </w:p>
        </w:tc>
        <w:tc>
          <w:tcPr>
            <w:tcW w:w="0" w:type="auto"/>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727E9586" w14:textId="5C0E2B98" w:rsidR="000250E4" w:rsidRPr="009B783C" w:rsidRDefault="009C623C" w:rsidP="00B25585">
            <w:pPr>
              <w:pStyle w:val="TableNheader"/>
            </w:pPr>
            <w:r w:rsidRPr="009B783C">
              <w:t>Activity data source</w:t>
            </w:r>
          </w:p>
        </w:tc>
        <w:tc>
          <w:tcPr>
            <w:tcW w:w="0" w:type="auto"/>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34810249" w14:textId="5BF8CA87" w:rsidR="006B4E01" w:rsidRPr="009B783C" w:rsidRDefault="00CD0E81" w:rsidP="00B25585">
            <w:pPr>
              <w:pStyle w:val="TableNheader"/>
            </w:pPr>
            <w:r w:rsidRPr="009B783C">
              <w:t>Desc</w:t>
            </w:r>
            <w:r w:rsidR="001F489E" w:rsidRPr="009B783C">
              <w:t>ription</w:t>
            </w:r>
          </w:p>
        </w:tc>
      </w:tr>
      <w:tr w:rsidR="00F03F18" w:rsidRPr="009B783C" w14:paraId="6B323A76" w14:textId="33C329F8" w:rsidTr="00E94438">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tcPr>
          <w:p w14:paraId="7CDD7790" w14:textId="5F3BF207" w:rsidR="00F03F18" w:rsidRPr="009B783C" w:rsidRDefault="009C623C" w:rsidP="009760E6">
            <w:pPr>
              <w:pStyle w:val="TableNText"/>
              <w:rPr>
                <w:sz w:val="21"/>
                <w:szCs w:val="21"/>
              </w:rPr>
            </w:pPr>
            <w:r w:rsidRPr="009B783C">
              <w:rPr>
                <w:sz w:val="21"/>
                <w:szCs w:val="21"/>
              </w:rPr>
              <w:t>Unit record for each presentation to the Medicare UCC</w:t>
            </w:r>
          </w:p>
        </w:tc>
        <w:tc>
          <w:tcPr>
            <w:tcW w:w="0" w:type="auto"/>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tcPr>
          <w:p w14:paraId="7DE9AAE2" w14:textId="466785B2" w:rsidR="000250E4" w:rsidRPr="009B783C" w:rsidRDefault="00EE2020" w:rsidP="009760E6">
            <w:pPr>
              <w:pStyle w:val="TableNText"/>
              <w:rPr>
                <w:sz w:val="21"/>
                <w:szCs w:val="21"/>
              </w:rPr>
            </w:pPr>
            <w:r w:rsidRPr="009B783C">
              <w:rPr>
                <w:sz w:val="21"/>
                <w:szCs w:val="21"/>
              </w:rPr>
              <w:t xml:space="preserve">Medicare UCC Module </w:t>
            </w:r>
          </w:p>
        </w:tc>
        <w:tc>
          <w:tcPr>
            <w:tcW w:w="0" w:type="auto"/>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vAlign w:val="top"/>
          </w:tcPr>
          <w:p w14:paraId="5740C77F" w14:textId="4BE718FA" w:rsidR="00F03F18" w:rsidRPr="009B783C" w:rsidRDefault="00F03F18" w:rsidP="00E31BC6">
            <w:pPr>
              <w:pStyle w:val="TableNText"/>
              <w:rPr>
                <w:sz w:val="21"/>
                <w:szCs w:val="21"/>
              </w:rPr>
            </w:pPr>
            <w:r w:rsidRPr="009B783C">
              <w:rPr>
                <w:sz w:val="21"/>
                <w:szCs w:val="21"/>
              </w:rPr>
              <w:t xml:space="preserve">These are patient level data extracts from </w:t>
            </w:r>
            <w:r w:rsidR="005F527C" w:rsidRPr="009B783C">
              <w:rPr>
                <w:sz w:val="21"/>
                <w:szCs w:val="21"/>
              </w:rPr>
              <w:t xml:space="preserve">a Medicare UCC Module that interfaces with the </w:t>
            </w:r>
            <w:r w:rsidRPr="009B783C">
              <w:rPr>
                <w:sz w:val="21"/>
                <w:szCs w:val="21"/>
              </w:rPr>
              <w:t xml:space="preserve">primary care service </w:t>
            </w:r>
            <w:r w:rsidR="00166C38" w:rsidRPr="009B783C">
              <w:rPr>
                <w:sz w:val="21"/>
                <w:szCs w:val="21"/>
              </w:rPr>
              <w:t>practice management syste</w:t>
            </w:r>
            <w:r w:rsidRPr="009B783C">
              <w:rPr>
                <w:sz w:val="21"/>
                <w:szCs w:val="21"/>
              </w:rPr>
              <w:t>m</w:t>
            </w:r>
            <w:r w:rsidR="005F527C" w:rsidRPr="009B783C">
              <w:rPr>
                <w:sz w:val="21"/>
                <w:szCs w:val="21"/>
              </w:rPr>
              <w:t xml:space="preserve">. The </w:t>
            </w:r>
            <w:r w:rsidR="005F527C" w:rsidRPr="009B783C" w:rsidDel="004E7366">
              <w:rPr>
                <w:sz w:val="21"/>
                <w:szCs w:val="21"/>
              </w:rPr>
              <w:t>Module</w:t>
            </w:r>
            <w:r w:rsidR="005F527C" w:rsidRPr="009B783C">
              <w:rPr>
                <w:sz w:val="21"/>
                <w:szCs w:val="21"/>
              </w:rPr>
              <w:t xml:space="preserve"> allows for </w:t>
            </w:r>
            <w:r w:rsidR="000658AF" w:rsidRPr="009B783C">
              <w:rPr>
                <w:sz w:val="21"/>
                <w:szCs w:val="21"/>
              </w:rPr>
              <w:t xml:space="preserve">deidentified data with </w:t>
            </w:r>
            <w:r w:rsidR="005F527C" w:rsidRPr="009B783C">
              <w:rPr>
                <w:sz w:val="21"/>
                <w:szCs w:val="21"/>
              </w:rPr>
              <w:t>a range of Medicare UCC</w:t>
            </w:r>
            <w:r w:rsidR="001829C2" w:rsidRPr="009B783C">
              <w:rPr>
                <w:sz w:val="21"/>
                <w:szCs w:val="21"/>
              </w:rPr>
              <w:t>-</w:t>
            </w:r>
            <w:r w:rsidR="005F527C" w:rsidRPr="009B783C">
              <w:rPr>
                <w:sz w:val="21"/>
                <w:szCs w:val="21"/>
              </w:rPr>
              <w:t xml:space="preserve">specific data elements to be </w:t>
            </w:r>
            <w:r w:rsidR="003D0477" w:rsidRPr="009B783C">
              <w:rPr>
                <w:sz w:val="21"/>
                <w:szCs w:val="21"/>
              </w:rPr>
              <w:t xml:space="preserve">securely </w:t>
            </w:r>
            <w:r w:rsidR="005F527C" w:rsidRPr="009B783C">
              <w:rPr>
                <w:sz w:val="21"/>
                <w:szCs w:val="21"/>
              </w:rPr>
              <w:t>extracted</w:t>
            </w:r>
            <w:r w:rsidR="000658AF" w:rsidRPr="009B783C">
              <w:rPr>
                <w:sz w:val="21"/>
                <w:szCs w:val="21"/>
              </w:rPr>
              <w:t xml:space="preserve"> and </w:t>
            </w:r>
            <w:r w:rsidR="003D0477" w:rsidRPr="009B783C">
              <w:rPr>
                <w:sz w:val="21"/>
                <w:szCs w:val="21"/>
              </w:rPr>
              <w:t>transferred to the Department</w:t>
            </w:r>
            <w:r w:rsidR="005F527C" w:rsidRPr="009B783C">
              <w:rPr>
                <w:sz w:val="21"/>
                <w:szCs w:val="21"/>
              </w:rPr>
              <w:t>.</w:t>
            </w:r>
            <w:r w:rsidR="000658AF" w:rsidRPr="009B783C">
              <w:rPr>
                <w:sz w:val="21"/>
                <w:szCs w:val="21"/>
              </w:rPr>
              <w:t xml:space="preserve"> The </w:t>
            </w:r>
            <w:r w:rsidR="003D0477" w:rsidRPr="009B783C" w:rsidDel="004E7366">
              <w:rPr>
                <w:sz w:val="21"/>
                <w:szCs w:val="21"/>
              </w:rPr>
              <w:t>Module</w:t>
            </w:r>
            <w:r w:rsidR="003D0477" w:rsidRPr="009B783C">
              <w:rPr>
                <w:sz w:val="21"/>
                <w:szCs w:val="21"/>
              </w:rPr>
              <w:t xml:space="preserve"> and extraction process is managed by P</w:t>
            </w:r>
            <w:r w:rsidR="00440265" w:rsidRPr="009B783C">
              <w:rPr>
                <w:sz w:val="21"/>
                <w:szCs w:val="21"/>
              </w:rPr>
              <w:t>en</w:t>
            </w:r>
            <w:r w:rsidR="003D0477" w:rsidRPr="009B783C">
              <w:rPr>
                <w:sz w:val="21"/>
                <w:szCs w:val="21"/>
              </w:rPr>
              <w:t>CS.</w:t>
            </w:r>
            <w:r w:rsidR="008D2C3A" w:rsidRPr="009B783C">
              <w:rPr>
                <w:sz w:val="21"/>
                <w:szCs w:val="21"/>
              </w:rPr>
              <w:t xml:space="preserve"> The extraction process </w:t>
            </w:r>
            <w:r w:rsidR="00C50159" w:rsidRPr="009B783C">
              <w:rPr>
                <w:sz w:val="21"/>
                <w:szCs w:val="21"/>
              </w:rPr>
              <w:t xml:space="preserve">excluded patients who have </w:t>
            </w:r>
            <w:r w:rsidR="001779BB" w:rsidRPr="009B783C">
              <w:rPr>
                <w:sz w:val="21"/>
                <w:szCs w:val="21"/>
              </w:rPr>
              <w:t>declined to allow de-identified data to be extracted from the practice management syste</w:t>
            </w:r>
            <w:r w:rsidR="002B0940" w:rsidRPr="009B783C">
              <w:rPr>
                <w:sz w:val="21"/>
                <w:szCs w:val="21"/>
              </w:rPr>
              <w:t>m.</w:t>
            </w:r>
          </w:p>
        </w:tc>
      </w:tr>
      <w:tr w:rsidR="00440265" w:rsidRPr="009B783C" w14:paraId="15416D91" w14:textId="76094993" w:rsidTr="00407922">
        <w:trPr>
          <w:cnfStyle w:val="000000010000" w:firstRow="0" w:lastRow="0" w:firstColumn="0" w:lastColumn="0" w:oddVBand="0" w:evenVBand="0" w:oddHBand="0" w:evenHBand="1" w:firstRowFirstColumn="0" w:firstRowLastColumn="0" w:lastRowFirstColumn="0" w:lastRowLastColumn="0"/>
        </w:trPr>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DA2B39B" w14:textId="7EBB2ECB" w:rsidR="00440265" w:rsidRPr="009B783C" w:rsidRDefault="00B25585" w:rsidP="009760E6">
            <w:pPr>
              <w:pStyle w:val="TableNText"/>
              <w:rPr>
                <w:sz w:val="21"/>
                <w:szCs w:val="21"/>
              </w:rPr>
            </w:pPr>
            <w:r w:rsidRPr="009B783C">
              <w:rPr>
                <w:sz w:val="21"/>
                <w:szCs w:val="21"/>
              </w:rPr>
              <w:t>Unit record for each presentation to the Medicare UCC</w:t>
            </w:r>
          </w:p>
        </w:tc>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4A0C8D1" w14:textId="01BF48ED" w:rsidR="008119D9" w:rsidRPr="009B783C" w:rsidRDefault="00940DCC" w:rsidP="00E31BC6">
            <w:pPr>
              <w:pStyle w:val="TableNText"/>
              <w:rPr>
                <w:sz w:val="21"/>
                <w:szCs w:val="21"/>
              </w:rPr>
            </w:pPr>
            <w:r w:rsidRPr="009B783C">
              <w:rPr>
                <w:sz w:val="21"/>
                <w:szCs w:val="21"/>
              </w:rPr>
              <w:t>Interim practice data extract</w:t>
            </w:r>
          </w:p>
        </w:tc>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5D13094" w14:textId="7BB61B17" w:rsidR="00440265" w:rsidRPr="009B783C" w:rsidRDefault="00EA7BAB" w:rsidP="00E31BC6">
            <w:pPr>
              <w:pStyle w:val="TableNText"/>
              <w:rPr>
                <w:sz w:val="21"/>
                <w:szCs w:val="21"/>
              </w:rPr>
            </w:pPr>
            <w:r w:rsidRPr="009B783C">
              <w:rPr>
                <w:sz w:val="21"/>
                <w:szCs w:val="21"/>
              </w:rPr>
              <w:t>This was</w:t>
            </w:r>
            <w:r w:rsidR="00EE2020" w:rsidRPr="009B783C">
              <w:rPr>
                <w:sz w:val="21"/>
                <w:szCs w:val="21"/>
              </w:rPr>
              <w:t xml:space="preserve"> </w:t>
            </w:r>
            <w:r w:rsidR="00255F18" w:rsidRPr="009B783C">
              <w:rPr>
                <w:sz w:val="21"/>
                <w:szCs w:val="21"/>
              </w:rPr>
              <w:t>used</w:t>
            </w:r>
            <w:r w:rsidR="00EE2020" w:rsidRPr="009B783C">
              <w:rPr>
                <w:sz w:val="21"/>
                <w:szCs w:val="21"/>
              </w:rPr>
              <w:t xml:space="preserve"> </w:t>
            </w:r>
            <w:r w:rsidRPr="009B783C">
              <w:rPr>
                <w:sz w:val="21"/>
                <w:szCs w:val="21"/>
              </w:rPr>
              <w:t>before</w:t>
            </w:r>
            <w:r w:rsidR="00EE2020" w:rsidRPr="009B783C">
              <w:rPr>
                <w:sz w:val="21"/>
                <w:szCs w:val="21"/>
              </w:rPr>
              <w:t xml:space="preserve"> the </w:t>
            </w:r>
            <w:r w:rsidR="00255F18" w:rsidRPr="009B783C">
              <w:rPr>
                <w:sz w:val="21"/>
                <w:szCs w:val="21"/>
              </w:rPr>
              <w:t>implementation of the Medicare UCC Module</w:t>
            </w:r>
            <w:r w:rsidR="009635B2" w:rsidRPr="009B783C">
              <w:rPr>
                <w:sz w:val="21"/>
                <w:szCs w:val="21"/>
              </w:rPr>
              <w:t xml:space="preserve">. </w:t>
            </w:r>
            <w:r w:rsidR="00622316" w:rsidRPr="009B783C">
              <w:rPr>
                <w:sz w:val="21"/>
                <w:szCs w:val="21"/>
              </w:rPr>
              <w:t>These extracts allowed for the provision of deidentified data on patients attending Medicare UCC</w:t>
            </w:r>
            <w:r w:rsidR="00250D9C" w:rsidRPr="009B783C">
              <w:rPr>
                <w:sz w:val="21"/>
                <w:szCs w:val="21"/>
              </w:rPr>
              <w:t>s</w:t>
            </w:r>
            <w:r w:rsidR="00622316" w:rsidRPr="009B783C">
              <w:rPr>
                <w:sz w:val="21"/>
                <w:szCs w:val="21"/>
              </w:rPr>
              <w:t>.</w:t>
            </w:r>
            <w:r w:rsidR="00F74415" w:rsidRPr="009B783C">
              <w:rPr>
                <w:sz w:val="21"/>
                <w:szCs w:val="21"/>
              </w:rPr>
              <w:t xml:space="preserve"> The extracts included a range of </w:t>
            </w:r>
            <w:r w:rsidR="00C21244" w:rsidRPr="009B783C">
              <w:rPr>
                <w:sz w:val="21"/>
                <w:szCs w:val="21"/>
              </w:rPr>
              <w:t>patient level characteristics</w:t>
            </w:r>
            <w:r w:rsidR="00A562F2" w:rsidRPr="009B783C">
              <w:rPr>
                <w:sz w:val="21"/>
                <w:szCs w:val="21"/>
              </w:rPr>
              <w:t>, but not all the Medicare UCC</w:t>
            </w:r>
            <w:r w:rsidRPr="009B783C">
              <w:rPr>
                <w:sz w:val="21"/>
                <w:szCs w:val="21"/>
              </w:rPr>
              <w:t>-</w:t>
            </w:r>
            <w:r w:rsidR="00A562F2" w:rsidRPr="009B783C">
              <w:rPr>
                <w:sz w:val="21"/>
                <w:szCs w:val="21"/>
              </w:rPr>
              <w:t>specific data items.</w:t>
            </w:r>
          </w:p>
        </w:tc>
      </w:tr>
      <w:tr w:rsidR="006B4E01" w:rsidRPr="009B783C" w14:paraId="6C0B03CF" w14:textId="20C528B8" w:rsidTr="00407922">
        <w:trPr>
          <w:cnfStyle w:val="000000100000" w:firstRow="0" w:lastRow="0" w:firstColumn="0" w:lastColumn="0" w:oddVBand="0" w:evenVBand="0" w:oddHBand="1" w:evenHBand="0" w:firstRowFirstColumn="0" w:firstRowLastColumn="0" w:lastRowFirstColumn="0" w:lastRowLastColumn="0"/>
        </w:trPr>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DA0D97C" w14:textId="00DD7503" w:rsidR="006B4E01" w:rsidRPr="009B783C" w:rsidRDefault="00DE68D0" w:rsidP="009760E6">
            <w:pPr>
              <w:pStyle w:val="TableNText"/>
              <w:rPr>
                <w:sz w:val="21"/>
                <w:szCs w:val="21"/>
              </w:rPr>
            </w:pPr>
            <w:r w:rsidRPr="009B783C">
              <w:rPr>
                <w:sz w:val="21"/>
                <w:szCs w:val="21"/>
              </w:rPr>
              <w:t xml:space="preserve">Aggregate counts of presentations by Medicare UCC by </w:t>
            </w:r>
            <w:r w:rsidR="00CD0E81" w:rsidRPr="009B783C">
              <w:rPr>
                <w:sz w:val="21"/>
                <w:szCs w:val="21"/>
              </w:rPr>
              <w:t>date</w:t>
            </w:r>
          </w:p>
        </w:tc>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31EB11F" w14:textId="143A2D41" w:rsidR="008119D9" w:rsidRPr="009B783C" w:rsidRDefault="00A562F2" w:rsidP="00067A23">
            <w:pPr>
              <w:pStyle w:val="TableNText"/>
              <w:rPr>
                <w:sz w:val="21"/>
                <w:szCs w:val="21"/>
              </w:rPr>
            </w:pPr>
            <w:r w:rsidRPr="009B783C">
              <w:rPr>
                <w:sz w:val="21"/>
                <w:szCs w:val="21"/>
              </w:rPr>
              <w:t>Aggregate counts</w:t>
            </w:r>
            <w:r w:rsidR="00F61D71" w:rsidRPr="009B783C">
              <w:rPr>
                <w:sz w:val="21"/>
                <w:szCs w:val="21"/>
              </w:rPr>
              <w:t xml:space="preserve"> </w:t>
            </w:r>
            <w:r w:rsidRPr="009B783C">
              <w:rPr>
                <w:sz w:val="21"/>
                <w:szCs w:val="21"/>
              </w:rPr>
              <w:t xml:space="preserve">reported directly by Medicare UCCs or derived from </w:t>
            </w:r>
            <w:r w:rsidR="00296509" w:rsidRPr="009B783C">
              <w:rPr>
                <w:sz w:val="21"/>
                <w:szCs w:val="21"/>
              </w:rPr>
              <w:t xml:space="preserve">summary extracts from the </w:t>
            </w:r>
            <w:r w:rsidR="00E2408F" w:rsidRPr="009B783C">
              <w:rPr>
                <w:sz w:val="21"/>
                <w:szCs w:val="21"/>
              </w:rPr>
              <w:t>Medicare UCC Module</w:t>
            </w:r>
          </w:p>
        </w:tc>
        <w:tc>
          <w:tcPr>
            <w:tcW w:w="0" w:type="auto"/>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4048BA1" w14:textId="7175EE49" w:rsidR="00045641" w:rsidRPr="009B783C" w:rsidRDefault="002843AB" w:rsidP="00AD67D7">
            <w:pPr>
              <w:pStyle w:val="TableNText"/>
              <w:rPr>
                <w:sz w:val="21"/>
                <w:szCs w:val="21"/>
              </w:rPr>
            </w:pPr>
            <w:r w:rsidRPr="009B783C">
              <w:rPr>
                <w:sz w:val="21"/>
                <w:szCs w:val="21"/>
              </w:rPr>
              <w:t>This includes</w:t>
            </w:r>
            <w:r w:rsidR="00D2187B" w:rsidRPr="009B783C">
              <w:rPr>
                <w:sz w:val="21"/>
                <w:szCs w:val="21"/>
              </w:rPr>
              <w:t>:</w:t>
            </w:r>
          </w:p>
          <w:p w14:paraId="64F12B5C" w14:textId="57E33FAE" w:rsidR="00045641" w:rsidRPr="009B783C" w:rsidRDefault="00045641" w:rsidP="005E569B">
            <w:pPr>
              <w:pStyle w:val="ListParagraph"/>
              <w:numPr>
                <w:ilvl w:val="4"/>
                <w:numId w:val="1"/>
              </w:numPr>
              <w:ind w:left="346"/>
              <w:rPr>
                <w:szCs w:val="21"/>
              </w:rPr>
            </w:pPr>
            <w:r w:rsidRPr="009B783C">
              <w:rPr>
                <w:szCs w:val="21"/>
              </w:rPr>
              <w:t>A</w:t>
            </w:r>
            <w:r w:rsidR="009E2C03" w:rsidRPr="009B783C">
              <w:rPr>
                <w:szCs w:val="21"/>
              </w:rPr>
              <w:t>ggregate counts of presentations</w:t>
            </w:r>
            <w:r w:rsidR="00F87D11" w:rsidRPr="009B783C">
              <w:rPr>
                <w:szCs w:val="21"/>
              </w:rPr>
              <w:t xml:space="preserve"> where no patient data extract was available.</w:t>
            </w:r>
          </w:p>
          <w:p w14:paraId="23F08813" w14:textId="40D4FC8A" w:rsidR="003F230E" w:rsidRPr="009B783C" w:rsidRDefault="00947FFD" w:rsidP="005E569B">
            <w:pPr>
              <w:pStyle w:val="ListParagraph"/>
              <w:numPr>
                <w:ilvl w:val="4"/>
                <w:numId w:val="1"/>
              </w:numPr>
              <w:ind w:left="346"/>
              <w:rPr>
                <w:szCs w:val="21"/>
              </w:rPr>
            </w:pPr>
            <w:r w:rsidRPr="009B783C">
              <w:rPr>
                <w:szCs w:val="21"/>
              </w:rPr>
              <w:t>Aggregate counts</w:t>
            </w:r>
            <w:r w:rsidR="00045641" w:rsidRPr="009B783C">
              <w:rPr>
                <w:szCs w:val="21"/>
              </w:rPr>
              <w:t xml:space="preserve"> </w:t>
            </w:r>
            <w:r w:rsidR="0081493B" w:rsidRPr="009B783C">
              <w:rPr>
                <w:szCs w:val="21"/>
              </w:rPr>
              <w:t>of presentations for patients who have not</w:t>
            </w:r>
            <w:r w:rsidR="00F87D11" w:rsidRPr="009B783C">
              <w:rPr>
                <w:szCs w:val="21"/>
              </w:rPr>
              <w:t xml:space="preserve"> </w:t>
            </w:r>
            <w:r w:rsidR="00865DC4" w:rsidRPr="009B783C">
              <w:rPr>
                <w:szCs w:val="21"/>
              </w:rPr>
              <w:t xml:space="preserve">consented to </w:t>
            </w:r>
            <w:r w:rsidR="00426942" w:rsidRPr="009B783C">
              <w:rPr>
                <w:szCs w:val="21"/>
              </w:rPr>
              <w:t xml:space="preserve">have de-identified data extracted from the </w:t>
            </w:r>
            <w:r w:rsidR="003F230E" w:rsidRPr="009B783C">
              <w:rPr>
                <w:szCs w:val="21"/>
              </w:rPr>
              <w:t>primary care service practice management system</w:t>
            </w:r>
            <w:r w:rsidR="00EA7BAB" w:rsidRPr="009B783C">
              <w:rPr>
                <w:szCs w:val="21"/>
              </w:rPr>
              <w:t>.</w:t>
            </w:r>
          </w:p>
          <w:p w14:paraId="0EC4295D" w14:textId="4BAFF8C5" w:rsidR="006B4E01" w:rsidRPr="009B783C" w:rsidRDefault="00947FFD" w:rsidP="005E569B">
            <w:pPr>
              <w:pStyle w:val="ListParagraph"/>
              <w:numPr>
                <w:ilvl w:val="4"/>
                <w:numId w:val="1"/>
              </w:numPr>
              <w:ind w:left="346"/>
              <w:rPr>
                <w:szCs w:val="21"/>
              </w:rPr>
            </w:pPr>
            <w:r w:rsidRPr="009B783C">
              <w:rPr>
                <w:szCs w:val="21"/>
              </w:rPr>
              <w:lastRenderedPageBreak/>
              <w:t>Adjustments to address double counting of data sources.</w:t>
            </w:r>
          </w:p>
        </w:tc>
      </w:tr>
    </w:tbl>
    <w:p w14:paraId="00C31BB3" w14:textId="5A243D54" w:rsidR="006B4E01" w:rsidRPr="009B783C" w:rsidRDefault="006B4E01" w:rsidP="00AD093B">
      <w:pPr>
        <w:spacing w:after="0"/>
      </w:pPr>
      <w:r w:rsidRPr="009B783C">
        <w:lastRenderedPageBreak/>
        <w:t xml:space="preserve"> </w:t>
      </w:r>
    </w:p>
    <w:p w14:paraId="4D1368C3" w14:textId="19CD538A" w:rsidR="0097356F" w:rsidRPr="009B783C" w:rsidRDefault="00B22BC7" w:rsidP="00EC21FF">
      <w:pPr>
        <w:rPr>
          <w:szCs w:val="21"/>
        </w:rPr>
      </w:pPr>
      <w:r>
        <w:rPr>
          <w:szCs w:val="21"/>
        </w:rPr>
        <w:fldChar w:fldCharType="begin"/>
      </w:r>
      <w:r>
        <w:rPr>
          <w:szCs w:val="21"/>
        </w:rPr>
        <w:instrText xml:space="preserve"> REF _Ref189771408 \h </w:instrText>
      </w:r>
      <w:r>
        <w:rPr>
          <w:szCs w:val="21"/>
        </w:rPr>
      </w:r>
      <w:r>
        <w:rPr>
          <w:szCs w:val="21"/>
        </w:rPr>
        <w:fldChar w:fldCharType="separate"/>
      </w:r>
      <w:r w:rsidRPr="009B783C">
        <w:rPr>
          <w:szCs w:val="21"/>
        </w:rPr>
        <w:t xml:space="preserve">Table </w:t>
      </w:r>
      <w:r>
        <w:rPr>
          <w:noProof/>
          <w:szCs w:val="21"/>
        </w:rPr>
        <w:t>21</w:t>
      </w:r>
      <w:r>
        <w:rPr>
          <w:szCs w:val="21"/>
        </w:rPr>
        <w:fldChar w:fldCharType="end"/>
      </w:r>
      <w:r>
        <w:rPr>
          <w:szCs w:val="21"/>
        </w:rPr>
        <w:t xml:space="preserve">, </w:t>
      </w:r>
      <w:r w:rsidR="00651F99" w:rsidRPr="009B783C">
        <w:rPr>
          <w:szCs w:val="21"/>
        </w:rPr>
        <w:fldChar w:fldCharType="begin"/>
      </w:r>
      <w:r w:rsidR="00651F99" w:rsidRPr="009B783C">
        <w:rPr>
          <w:szCs w:val="21"/>
        </w:rPr>
        <w:instrText xml:space="preserve"> REF _Ref189487957 \h </w:instrText>
      </w:r>
      <w:r w:rsidR="00EC21FF" w:rsidRPr="009B783C">
        <w:rPr>
          <w:szCs w:val="21"/>
        </w:rPr>
        <w:instrText xml:space="preserve"> \* MERGEFORMAT </w:instrText>
      </w:r>
      <w:r w:rsidR="00651F99" w:rsidRPr="009B783C">
        <w:rPr>
          <w:szCs w:val="21"/>
        </w:rPr>
      </w:r>
      <w:r w:rsidR="00651F99" w:rsidRPr="009B783C">
        <w:rPr>
          <w:szCs w:val="21"/>
        </w:rPr>
        <w:fldChar w:fldCharType="separate"/>
      </w:r>
      <w:r w:rsidRPr="009B783C">
        <w:rPr>
          <w:szCs w:val="21"/>
        </w:rPr>
        <w:t xml:space="preserve">Table </w:t>
      </w:r>
      <w:r>
        <w:rPr>
          <w:szCs w:val="21"/>
        </w:rPr>
        <w:t>22</w:t>
      </w:r>
      <w:r w:rsidR="00651F99" w:rsidRPr="009B783C">
        <w:rPr>
          <w:szCs w:val="21"/>
        </w:rPr>
        <w:fldChar w:fldCharType="end"/>
      </w:r>
      <w:r w:rsidR="00651F99" w:rsidRPr="009B783C">
        <w:rPr>
          <w:szCs w:val="21"/>
        </w:rPr>
        <w:t xml:space="preserve">, and </w:t>
      </w:r>
      <w:r w:rsidR="00651F99" w:rsidRPr="009B783C">
        <w:rPr>
          <w:szCs w:val="21"/>
        </w:rPr>
        <w:fldChar w:fldCharType="begin"/>
      </w:r>
      <w:r w:rsidR="00651F99" w:rsidRPr="009B783C">
        <w:rPr>
          <w:szCs w:val="21"/>
        </w:rPr>
        <w:instrText xml:space="preserve"> REF _Ref189487959 \h </w:instrText>
      </w:r>
      <w:r w:rsidR="00EC21FF" w:rsidRPr="009B783C">
        <w:rPr>
          <w:szCs w:val="21"/>
        </w:rPr>
        <w:instrText xml:space="preserve"> \* MERGEFORMAT </w:instrText>
      </w:r>
      <w:r w:rsidR="00651F99" w:rsidRPr="009B783C">
        <w:rPr>
          <w:szCs w:val="21"/>
        </w:rPr>
      </w:r>
      <w:r w:rsidR="00651F99" w:rsidRPr="009B783C">
        <w:rPr>
          <w:szCs w:val="21"/>
        </w:rPr>
        <w:fldChar w:fldCharType="separate"/>
      </w:r>
      <w:r w:rsidRPr="009B783C">
        <w:rPr>
          <w:szCs w:val="21"/>
        </w:rPr>
        <w:t xml:space="preserve">Table </w:t>
      </w:r>
      <w:r>
        <w:rPr>
          <w:szCs w:val="21"/>
        </w:rPr>
        <w:t>23</w:t>
      </w:r>
      <w:r w:rsidR="00651F99" w:rsidRPr="009B783C">
        <w:rPr>
          <w:szCs w:val="21"/>
        </w:rPr>
        <w:fldChar w:fldCharType="end"/>
      </w:r>
      <w:r w:rsidR="00651F99" w:rsidRPr="009B783C">
        <w:rPr>
          <w:szCs w:val="21"/>
        </w:rPr>
        <w:t xml:space="preserve"> </w:t>
      </w:r>
      <w:r w:rsidR="005973DD" w:rsidRPr="009B783C">
        <w:rPr>
          <w:szCs w:val="21"/>
        </w:rPr>
        <w:t xml:space="preserve">show the </w:t>
      </w:r>
      <w:r w:rsidR="00224AD3" w:rsidRPr="009B783C">
        <w:rPr>
          <w:szCs w:val="21"/>
        </w:rPr>
        <w:t>data elements available for analysis based on the unit record data</w:t>
      </w:r>
      <w:r w:rsidR="00AD093B" w:rsidRPr="009B783C">
        <w:rPr>
          <w:szCs w:val="21"/>
        </w:rPr>
        <w:t xml:space="preserve"> (</w:t>
      </w:r>
      <w:r w:rsidR="004D3B54" w:rsidRPr="009B783C">
        <w:rPr>
          <w:szCs w:val="21"/>
        </w:rPr>
        <w:t>that is,</w:t>
      </w:r>
      <w:r w:rsidR="00AD093B" w:rsidRPr="009B783C">
        <w:rPr>
          <w:szCs w:val="21"/>
        </w:rPr>
        <w:t xml:space="preserve"> the Medicare UCC Module and the </w:t>
      </w:r>
      <w:r w:rsidR="005003BB" w:rsidRPr="009B783C">
        <w:rPr>
          <w:szCs w:val="21"/>
        </w:rPr>
        <w:t>i</w:t>
      </w:r>
      <w:r w:rsidR="00AD093B" w:rsidRPr="009B783C">
        <w:rPr>
          <w:szCs w:val="21"/>
        </w:rPr>
        <w:t>nterim practice data extract)</w:t>
      </w:r>
      <w:r w:rsidR="006A7B95" w:rsidRPr="009B783C">
        <w:rPr>
          <w:szCs w:val="21"/>
        </w:rPr>
        <w:t>.</w:t>
      </w:r>
      <w:r w:rsidR="00651F99" w:rsidRPr="009B783C">
        <w:rPr>
          <w:szCs w:val="21"/>
        </w:rPr>
        <w:t xml:space="preserve"> They</w:t>
      </w:r>
      <w:r w:rsidR="00AD093B" w:rsidRPr="009B783C">
        <w:rPr>
          <w:szCs w:val="21"/>
        </w:rPr>
        <w:t xml:space="preserve"> also </w:t>
      </w:r>
      <w:proofErr w:type="gramStart"/>
      <w:r w:rsidR="00AD093B" w:rsidRPr="009B783C">
        <w:rPr>
          <w:szCs w:val="21"/>
        </w:rPr>
        <w:t>shows</w:t>
      </w:r>
      <w:proofErr w:type="gramEnd"/>
      <w:r w:rsidR="00AD093B" w:rsidRPr="009B783C">
        <w:rPr>
          <w:szCs w:val="21"/>
        </w:rPr>
        <w:t xml:space="preserve"> where multiple values are allowed to be recorded for a variable an</w:t>
      </w:r>
      <w:r w:rsidR="009760E6" w:rsidRPr="009B783C">
        <w:rPr>
          <w:szCs w:val="21"/>
        </w:rPr>
        <w:t>d</w:t>
      </w:r>
      <w:r w:rsidR="00AD093B" w:rsidRPr="009B783C">
        <w:rPr>
          <w:szCs w:val="21"/>
        </w:rPr>
        <w:t xml:space="preserve"> individual presentation.</w:t>
      </w:r>
      <w:r w:rsidR="00D72C9E" w:rsidRPr="009B783C">
        <w:rPr>
          <w:szCs w:val="21"/>
        </w:rPr>
        <w:t xml:space="preserve"> Tables are split by unit </w:t>
      </w:r>
      <w:r w:rsidR="003834E7" w:rsidRPr="009B783C">
        <w:rPr>
          <w:szCs w:val="21"/>
        </w:rPr>
        <w:t>of count</w:t>
      </w:r>
      <w:r w:rsidR="003E2EEB">
        <w:rPr>
          <w:szCs w:val="21"/>
        </w:rPr>
        <w:t>, including:</w:t>
      </w:r>
      <w:r w:rsidR="003834E7" w:rsidRPr="009B783C">
        <w:rPr>
          <w:szCs w:val="21"/>
        </w:rPr>
        <w:t xml:space="preserve"> </w:t>
      </w:r>
    </w:p>
    <w:p w14:paraId="34361DD4" w14:textId="15AD374F" w:rsidR="00EA4F66" w:rsidRPr="003E2EEB" w:rsidRDefault="00EA4F66" w:rsidP="003E2EEB">
      <w:pPr>
        <w:pStyle w:val="Bullet"/>
        <w:rPr>
          <w:szCs w:val="21"/>
        </w:rPr>
      </w:pPr>
      <w:r w:rsidRPr="003E2EEB">
        <w:rPr>
          <w:rFonts w:asciiTheme="majorHAnsi" w:hAnsiTheme="majorHAnsi" w:cstheme="majorHAnsi"/>
          <w:bCs/>
          <w:szCs w:val="21"/>
        </w:rPr>
        <w:t>Presentations:</w:t>
      </w:r>
      <w:r w:rsidR="002A1F73" w:rsidRPr="003E2EEB">
        <w:rPr>
          <w:rFonts w:asciiTheme="majorHAnsi" w:hAnsiTheme="majorHAnsi" w:cstheme="majorHAnsi"/>
          <w:bCs/>
          <w:szCs w:val="21"/>
        </w:rPr>
        <w:t xml:space="preserve"> </w:t>
      </w:r>
      <w:r w:rsidRPr="003E2EEB">
        <w:rPr>
          <w:szCs w:val="21"/>
        </w:rPr>
        <w:t>This is the principal unit reported. A presentation is a single event in which the patient presents to the Medicare UCC and may receive treatment. It includes patients who “Did not wait” to receive treatment as well those who were seen by a clinician.</w:t>
      </w:r>
    </w:p>
    <w:p w14:paraId="278ED823" w14:textId="77777777" w:rsidR="00CC195A" w:rsidRPr="003E2EEB" w:rsidRDefault="00CC195A" w:rsidP="003E2EEB">
      <w:pPr>
        <w:pStyle w:val="Bullet"/>
        <w:rPr>
          <w:szCs w:val="21"/>
          <w:lang w:val="en-US"/>
        </w:rPr>
      </w:pPr>
      <w:r w:rsidRPr="003E2EEB">
        <w:rPr>
          <w:rFonts w:asciiTheme="majorHAnsi" w:hAnsiTheme="majorHAnsi" w:cstheme="majorHAnsi"/>
          <w:bCs/>
          <w:szCs w:val="21"/>
        </w:rPr>
        <w:t xml:space="preserve">Patient: </w:t>
      </w:r>
      <w:r w:rsidRPr="003E2EEB">
        <w:rPr>
          <w:szCs w:val="21"/>
        </w:rPr>
        <w:t>A de-identified unique code is recorded. It allows counting of patients attending a specific Medicare UCC on multiple occasions. In general, this code will not be unique between Medicare UCCs. It may be unique for Medicare UCCs that are aligned with a single organisation.</w:t>
      </w:r>
    </w:p>
    <w:p w14:paraId="7F1C0639" w14:textId="77777777" w:rsidR="003E2EEB" w:rsidRPr="003E2EEB" w:rsidRDefault="003E2EEB" w:rsidP="003E2EEB">
      <w:pPr>
        <w:pStyle w:val="Bullet"/>
        <w:rPr>
          <w:szCs w:val="21"/>
        </w:rPr>
      </w:pPr>
      <w:r w:rsidRPr="003E2EEB">
        <w:rPr>
          <w:rFonts w:asciiTheme="majorHAnsi" w:hAnsiTheme="majorHAnsi" w:cstheme="majorHAnsi"/>
          <w:bCs/>
          <w:szCs w:val="21"/>
        </w:rPr>
        <w:t xml:space="preserve">Interactions (episode): </w:t>
      </w:r>
      <w:r w:rsidRPr="003E2EEB">
        <w:rPr>
          <w:szCs w:val="21"/>
        </w:rPr>
        <w:t>This is a file based on an extraction from the presentations data variable that includes multiple values of all instances in which the patient record was opened by a Medicare UCC staff member.</w:t>
      </w:r>
    </w:p>
    <w:p w14:paraId="5C450B94" w14:textId="6EBF0360" w:rsidR="00651F99" w:rsidRPr="009B783C" w:rsidRDefault="00651F99" w:rsidP="00651F99">
      <w:pPr>
        <w:pStyle w:val="Caption"/>
        <w:rPr>
          <w:szCs w:val="21"/>
        </w:rPr>
      </w:pPr>
      <w:bookmarkStart w:id="214" w:name="_Ref189771408"/>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D25D56">
        <w:rPr>
          <w:noProof/>
          <w:szCs w:val="21"/>
        </w:rPr>
        <w:t>21</w:t>
      </w:r>
      <w:r w:rsidRPr="009B783C">
        <w:rPr>
          <w:szCs w:val="21"/>
        </w:rPr>
        <w:fldChar w:fldCharType="end"/>
      </w:r>
      <w:bookmarkEnd w:id="214"/>
      <w:r w:rsidRPr="009B783C">
        <w:rPr>
          <w:szCs w:val="21"/>
        </w:rPr>
        <w:t xml:space="preserve"> | Medicare UCC unit record data and data elements</w:t>
      </w:r>
      <w:r w:rsidR="00211B67" w:rsidRPr="009B783C">
        <w:rPr>
          <w:szCs w:val="21"/>
        </w:rPr>
        <w:t xml:space="preserve"> by presentations</w:t>
      </w:r>
    </w:p>
    <w:tbl>
      <w:tblPr>
        <w:tblStyle w:val="NOUSSideHeader3"/>
        <w:tblW w:w="13605" w:type="dxa"/>
        <w:tblLook w:val="04A0" w:firstRow="1" w:lastRow="0" w:firstColumn="1" w:lastColumn="0" w:noHBand="0" w:noVBand="1"/>
      </w:tblPr>
      <w:tblGrid>
        <w:gridCol w:w="7143"/>
        <w:gridCol w:w="2154"/>
        <w:gridCol w:w="2154"/>
        <w:gridCol w:w="2154"/>
      </w:tblGrid>
      <w:tr w:rsidR="003E6EFF" w:rsidRPr="009B783C" w14:paraId="657C9476" w14:textId="77777777" w:rsidTr="00407922">
        <w:trPr>
          <w:cnfStyle w:val="100000000000" w:firstRow="1" w:lastRow="0" w:firstColumn="0" w:lastColumn="0" w:oddVBand="0" w:evenVBand="0" w:oddHBand="0" w:evenHBand="0" w:firstRowFirstColumn="0" w:firstRowLastColumn="0" w:lastRowFirstColumn="0" w:lastRowLastColumn="0"/>
        </w:trPr>
        <w:tc>
          <w:tcPr>
            <w:tcW w:w="7143" w:type="dxa"/>
            <w:tcBorders>
              <w:top w:val="single" w:sz="2" w:space="0" w:color="00264D" w:themeColor="background2"/>
              <w:bottom w:val="single" w:sz="4" w:space="0" w:color="00264D" w:themeColor="background2"/>
            </w:tcBorders>
            <w:shd w:val="clear" w:color="auto" w:fill="00264D" w:themeFill="background2"/>
          </w:tcPr>
          <w:p w14:paraId="6E756D37" w14:textId="309C313B" w:rsidR="00EA4F66" w:rsidRPr="009B783C" w:rsidRDefault="00EA4F66" w:rsidP="00177EF6">
            <w:pPr>
              <w:pStyle w:val="TableNheader"/>
            </w:pPr>
            <w:r w:rsidRPr="009B783C">
              <w:t>Data elements</w:t>
            </w:r>
          </w:p>
        </w:tc>
        <w:tc>
          <w:tcPr>
            <w:tcW w:w="2154" w:type="dxa"/>
            <w:tcBorders>
              <w:top w:val="single" w:sz="2" w:space="0" w:color="00264D" w:themeColor="background2"/>
              <w:bottom w:val="single" w:sz="4" w:space="0" w:color="00264D" w:themeColor="background2"/>
            </w:tcBorders>
            <w:shd w:val="clear" w:color="auto" w:fill="00264D" w:themeFill="background2"/>
          </w:tcPr>
          <w:p w14:paraId="57813296" w14:textId="435CAC75" w:rsidR="00EA4F66" w:rsidRPr="009B783C" w:rsidRDefault="00EA4F66" w:rsidP="008C4E7D">
            <w:pPr>
              <w:pStyle w:val="TableNheader"/>
            </w:pPr>
            <w:r w:rsidRPr="009B783C">
              <w:t>Multiple values</w:t>
            </w:r>
          </w:p>
        </w:tc>
        <w:tc>
          <w:tcPr>
            <w:tcW w:w="2154" w:type="dxa"/>
            <w:tcBorders>
              <w:top w:val="single" w:sz="2" w:space="0" w:color="00264D" w:themeColor="background2"/>
              <w:bottom w:val="single" w:sz="4" w:space="0" w:color="00264D" w:themeColor="background2"/>
            </w:tcBorders>
            <w:shd w:val="clear" w:color="auto" w:fill="00264D" w:themeFill="background2"/>
          </w:tcPr>
          <w:p w14:paraId="29EBB731" w14:textId="70C8841D" w:rsidR="00EA4F66" w:rsidRPr="009B783C" w:rsidRDefault="00EA4F66" w:rsidP="008C4E7D">
            <w:pPr>
              <w:pStyle w:val="TableNheader"/>
            </w:pPr>
            <w:r w:rsidRPr="009B783C">
              <w:t>Interim practice data extract</w:t>
            </w:r>
          </w:p>
        </w:tc>
        <w:tc>
          <w:tcPr>
            <w:tcW w:w="2154" w:type="dxa"/>
            <w:tcBorders>
              <w:top w:val="single" w:sz="2" w:space="0" w:color="00264D" w:themeColor="background2"/>
              <w:bottom w:val="single" w:sz="4" w:space="0" w:color="00264D" w:themeColor="background2"/>
            </w:tcBorders>
            <w:shd w:val="clear" w:color="auto" w:fill="00264D" w:themeFill="background2"/>
          </w:tcPr>
          <w:p w14:paraId="52DF8EF8" w14:textId="0DE04431" w:rsidR="00EA4F66" w:rsidRPr="009B783C" w:rsidRDefault="00EA4F66" w:rsidP="008C4E7D">
            <w:pPr>
              <w:pStyle w:val="TableNheader"/>
            </w:pPr>
            <w:r w:rsidRPr="009B783C">
              <w:t>Medicare UCC Module</w:t>
            </w:r>
          </w:p>
        </w:tc>
      </w:tr>
      <w:tr w:rsidR="003E6EFF" w:rsidRPr="009B783C" w14:paraId="30B01F25"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2380EED" w14:textId="13A8C232" w:rsidR="00EA4F66" w:rsidRPr="009B783C" w:rsidRDefault="00EA4F66" w:rsidP="00177EF6">
            <w:pPr>
              <w:pStyle w:val="TableNText"/>
              <w:rPr>
                <w:sz w:val="21"/>
                <w:szCs w:val="21"/>
              </w:rPr>
            </w:pPr>
            <w:r w:rsidRPr="009B783C">
              <w:rPr>
                <w:sz w:val="21"/>
                <w:szCs w:val="21"/>
              </w:rPr>
              <w:t>Date and time of the presentation</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23704A0"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BA15ECE" w14:textId="0F5D5B55"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58BEF454" w14:textId="307FED76" w:rsidR="00EA4F66" w:rsidRPr="009B783C" w:rsidRDefault="00EA4F66" w:rsidP="00177EF6">
            <w:pPr>
              <w:pStyle w:val="TableNText"/>
              <w:jc w:val="center"/>
              <w:rPr>
                <w:sz w:val="21"/>
                <w:szCs w:val="21"/>
              </w:rPr>
            </w:pPr>
            <w:r w:rsidRPr="009B783C">
              <w:rPr>
                <w:sz w:val="21"/>
                <w:szCs w:val="21"/>
              </w:rPr>
              <w:t>Yes</w:t>
            </w:r>
          </w:p>
        </w:tc>
      </w:tr>
      <w:tr w:rsidR="003E6EFF" w:rsidRPr="009B783C" w14:paraId="2EB297EB"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54F0B77" w14:textId="12053219" w:rsidR="00EA4F66" w:rsidRPr="009B783C" w:rsidRDefault="00EA4F66" w:rsidP="00177EF6">
            <w:pPr>
              <w:pStyle w:val="TableNText"/>
              <w:rPr>
                <w:sz w:val="21"/>
                <w:szCs w:val="21"/>
              </w:rPr>
            </w:pPr>
            <w:r w:rsidRPr="009B783C">
              <w:rPr>
                <w:sz w:val="21"/>
                <w:szCs w:val="21"/>
              </w:rPr>
              <w:t>Clinical care commencement time, defined as the time that the patient record is opened by a clinical staff member</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F4A91B0"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477B869" w14:textId="69058F1F"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0FEA685E" w14:textId="36C5A7B4" w:rsidR="00EA4F66" w:rsidRPr="009B783C" w:rsidRDefault="00EA4F66" w:rsidP="00177EF6">
            <w:pPr>
              <w:pStyle w:val="TableNText"/>
              <w:jc w:val="center"/>
              <w:rPr>
                <w:sz w:val="21"/>
                <w:szCs w:val="21"/>
              </w:rPr>
            </w:pPr>
            <w:r w:rsidRPr="009B783C">
              <w:rPr>
                <w:sz w:val="21"/>
                <w:szCs w:val="21"/>
              </w:rPr>
              <w:t>Yes</w:t>
            </w:r>
          </w:p>
        </w:tc>
      </w:tr>
      <w:tr w:rsidR="003E6EFF" w:rsidRPr="009B783C" w14:paraId="11CB1928"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8BAEEB2" w14:textId="7A04BB7E" w:rsidR="00EA4F66" w:rsidRPr="009B783C" w:rsidRDefault="00EA4F66" w:rsidP="00177EF6">
            <w:pPr>
              <w:pStyle w:val="TableNText"/>
              <w:rPr>
                <w:sz w:val="21"/>
                <w:szCs w:val="21"/>
              </w:rPr>
            </w:pPr>
            <w:r w:rsidRPr="009B783C">
              <w:rPr>
                <w:sz w:val="21"/>
                <w:szCs w:val="21"/>
              </w:rPr>
              <w:t>Treatment end date and time</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B2E4B66"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2663F2EA" w14:textId="155077E0"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636AC316" w14:textId="57BF6414" w:rsidR="00EA4F66" w:rsidRPr="009B783C" w:rsidRDefault="00EA4F66" w:rsidP="00177EF6">
            <w:pPr>
              <w:pStyle w:val="TableNText"/>
              <w:jc w:val="center"/>
              <w:rPr>
                <w:sz w:val="21"/>
                <w:szCs w:val="21"/>
              </w:rPr>
            </w:pPr>
            <w:r w:rsidRPr="009B783C">
              <w:rPr>
                <w:sz w:val="21"/>
                <w:szCs w:val="21"/>
              </w:rPr>
              <w:t>Yes</w:t>
            </w:r>
          </w:p>
        </w:tc>
      </w:tr>
      <w:tr w:rsidR="003E6EFF" w:rsidRPr="009B783C" w14:paraId="2AD5B9F8"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1CA777F" w14:textId="054792D6" w:rsidR="00EA4F66" w:rsidRPr="009B783C" w:rsidRDefault="00EA4F66" w:rsidP="00177EF6">
            <w:pPr>
              <w:pStyle w:val="TableNText"/>
              <w:rPr>
                <w:sz w:val="21"/>
                <w:szCs w:val="21"/>
              </w:rPr>
            </w:pPr>
            <w:r w:rsidRPr="009B783C">
              <w:rPr>
                <w:sz w:val="21"/>
                <w:szCs w:val="21"/>
              </w:rPr>
              <w:t>Reason for visit</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7A34EB6" w14:textId="07F7A288"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1F571017" w14:textId="4B137729"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6A110ABC" w14:textId="646F3C3D" w:rsidR="00EA4F66" w:rsidRPr="009B783C" w:rsidRDefault="00EA4F66" w:rsidP="00177EF6">
            <w:pPr>
              <w:pStyle w:val="TableNText"/>
              <w:jc w:val="center"/>
              <w:rPr>
                <w:sz w:val="21"/>
                <w:szCs w:val="21"/>
              </w:rPr>
            </w:pPr>
            <w:r w:rsidRPr="009B783C">
              <w:rPr>
                <w:sz w:val="21"/>
                <w:szCs w:val="21"/>
              </w:rPr>
              <w:t>Yes</w:t>
            </w:r>
          </w:p>
        </w:tc>
      </w:tr>
      <w:tr w:rsidR="003E6EFF" w:rsidRPr="009B783C" w14:paraId="046AF182"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80A45CC" w14:textId="48168E55" w:rsidR="00EA4F66" w:rsidRPr="009B783C" w:rsidRDefault="00EA4F66" w:rsidP="00177EF6">
            <w:pPr>
              <w:pStyle w:val="TableNText"/>
              <w:rPr>
                <w:sz w:val="21"/>
                <w:szCs w:val="21"/>
              </w:rPr>
            </w:pPr>
            <w:r w:rsidRPr="009B783C">
              <w:rPr>
                <w:sz w:val="21"/>
                <w:szCs w:val="21"/>
              </w:rPr>
              <w:t xml:space="preserve">Condition type </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E3CA481" w14:textId="3A9D69DC"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D24924E" w14:textId="26F3498C"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3F0D8317" w14:textId="1A66DC5C" w:rsidR="00EA4F66" w:rsidRPr="009B783C" w:rsidRDefault="00EA4F66" w:rsidP="00177EF6">
            <w:pPr>
              <w:pStyle w:val="TableNText"/>
              <w:jc w:val="center"/>
              <w:rPr>
                <w:sz w:val="21"/>
                <w:szCs w:val="21"/>
              </w:rPr>
            </w:pPr>
            <w:r w:rsidRPr="009B783C">
              <w:rPr>
                <w:sz w:val="21"/>
                <w:szCs w:val="21"/>
              </w:rPr>
              <w:t>Yes</w:t>
            </w:r>
          </w:p>
        </w:tc>
      </w:tr>
      <w:tr w:rsidR="003E6EFF" w:rsidRPr="009B783C" w14:paraId="1110C6DE"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33248E1" w14:textId="1D0FC791" w:rsidR="00EA4F66" w:rsidRPr="009B783C" w:rsidRDefault="00EA4F66" w:rsidP="00177EF6">
            <w:pPr>
              <w:pStyle w:val="TableNText"/>
              <w:rPr>
                <w:sz w:val="21"/>
                <w:szCs w:val="21"/>
              </w:rPr>
            </w:pPr>
            <w:r w:rsidRPr="009B783C">
              <w:rPr>
                <w:sz w:val="21"/>
                <w:szCs w:val="21"/>
              </w:rPr>
              <w:lastRenderedPageBreak/>
              <w:t xml:space="preserve">Cause of injury </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B22C3B1" w14:textId="001CB406"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FBA42FB" w14:textId="6AF7361A"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77A85D50" w14:textId="37C17C9E" w:rsidR="00EA4F66" w:rsidRPr="009B783C" w:rsidRDefault="00EA4F66" w:rsidP="00177EF6">
            <w:pPr>
              <w:pStyle w:val="TableNText"/>
              <w:jc w:val="center"/>
              <w:rPr>
                <w:sz w:val="21"/>
                <w:szCs w:val="21"/>
              </w:rPr>
            </w:pPr>
            <w:r w:rsidRPr="009B783C">
              <w:rPr>
                <w:sz w:val="21"/>
                <w:szCs w:val="21"/>
              </w:rPr>
              <w:t>Yes</w:t>
            </w:r>
          </w:p>
        </w:tc>
      </w:tr>
      <w:tr w:rsidR="003E6EFF" w:rsidRPr="009B783C" w14:paraId="2AA22ABA"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47119486" w14:textId="67B37592" w:rsidR="00EA4F66" w:rsidRPr="009B783C" w:rsidRDefault="00EA4F66" w:rsidP="00177EF6">
            <w:pPr>
              <w:pStyle w:val="TableNText"/>
              <w:rPr>
                <w:sz w:val="21"/>
                <w:szCs w:val="21"/>
              </w:rPr>
            </w:pPr>
            <w:r w:rsidRPr="009B783C">
              <w:rPr>
                <w:sz w:val="21"/>
                <w:szCs w:val="21"/>
              </w:rPr>
              <w:t>Pathology referral</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87BB080" w14:textId="3CD647CD"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C2ECD7C" w14:textId="038D4749"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7A8DBD40" w14:textId="5DF47DC1" w:rsidR="00EA4F66" w:rsidRPr="009B783C" w:rsidRDefault="00EA4F66" w:rsidP="00177EF6">
            <w:pPr>
              <w:pStyle w:val="TableNText"/>
              <w:jc w:val="center"/>
              <w:rPr>
                <w:sz w:val="21"/>
                <w:szCs w:val="21"/>
              </w:rPr>
            </w:pPr>
            <w:r w:rsidRPr="009B783C">
              <w:rPr>
                <w:sz w:val="21"/>
                <w:szCs w:val="21"/>
              </w:rPr>
              <w:t>Yes</w:t>
            </w:r>
          </w:p>
        </w:tc>
      </w:tr>
      <w:tr w:rsidR="003E6EFF" w:rsidRPr="009B783C" w14:paraId="57CF1840"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69471D4" w14:textId="651B2A8A" w:rsidR="00EA4F66" w:rsidRPr="009B783C" w:rsidRDefault="00EA4F66" w:rsidP="00177EF6">
            <w:pPr>
              <w:pStyle w:val="TableNText"/>
              <w:rPr>
                <w:sz w:val="21"/>
                <w:szCs w:val="21"/>
              </w:rPr>
            </w:pPr>
            <w:r w:rsidRPr="009B783C">
              <w:rPr>
                <w:sz w:val="21"/>
                <w:szCs w:val="21"/>
              </w:rPr>
              <w:t>Diagnostic imaging</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4E4394D" w14:textId="4D19DB8F"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7DF9D2C" w14:textId="5B45E5B8"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489D5B94" w14:textId="772073FC" w:rsidR="00EA4F66" w:rsidRPr="009B783C" w:rsidRDefault="00EA4F66" w:rsidP="00177EF6">
            <w:pPr>
              <w:pStyle w:val="TableNText"/>
              <w:jc w:val="center"/>
              <w:rPr>
                <w:sz w:val="21"/>
                <w:szCs w:val="21"/>
              </w:rPr>
            </w:pPr>
            <w:r w:rsidRPr="009B783C">
              <w:rPr>
                <w:sz w:val="21"/>
                <w:szCs w:val="21"/>
              </w:rPr>
              <w:t>Yes</w:t>
            </w:r>
          </w:p>
        </w:tc>
      </w:tr>
      <w:tr w:rsidR="003E6EFF" w:rsidRPr="009B783C" w14:paraId="0874F8D2"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7B9B0C7" w14:textId="4C877577" w:rsidR="00EA4F66" w:rsidRPr="009B783C" w:rsidRDefault="00EA4F66" w:rsidP="00177EF6">
            <w:pPr>
              <w:pStyle w:val="TableNText"/>
              <w:rPr>
                <w:sz w:val="21"/>
                <w:szCs w:val="21"/>
              </w:rPr>
            </w:pPr>
            <w:r w:rsidRPr="009B783C">
              <w:rPr>
                <w:sz w:val="21"/>
                <w:szCs w:val="21"/>
              </w:rPr>
              <w:t>Pharmacy</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3BA022C" w14:textId="038E7913"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9BFB96F" w14:textId="238AB357"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1B398376" w14:textId="330E7E16" w:rsidR="00EA4F66" w:rsidRPr="009B783C" w:rsidRDefault="00EA4F66" w:rsidP="00177EF6">
            <w:pPr>
              <w:pStyle w:val="TableNText"/>
              <w:jc w:val="center"/>
              <w:rPr>
                <w:sz w:val="21"/>
                <w:szCs w:val="21"/>
              </w:rPr>
            </w:pPr>
            <w:r w:rsidRPr="009B783C">
              <w:rPr>
                <w:sz w:val="21"/>
                <w:szCs w:val="21"/>
              </w:rPr>
              <w:t>Yes</w:t>
            </w:r>
          </w:p>
        </w:tc>
      </w:tr>
      <w:tr w:rsidR="003E6EFF" w:rsidRPr="009B783C" w14:paraId="2729E1AB"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76DB44B" w14:textId="7D155CF0" w:rsidR="00EA4F66" w:rsidRPr="009B783C" w:rsidRDefault="00EA4F66" w:rsidP="00177EF6">
            <w:pPr>
              <w:pStyle w:val="TableNText"/>
              <w:rPr>
                <w:sz w:val="21"/>
                <w:szCs w:val="21"/>
              </w:rPr>
            </w:pPr>
            <w:r w:rsidRPr="009B783C">
              <w:rPr>
                <w:sz w:val="21"/>
                <w:szCs w:val="21"/>
              </w:rPr>
              <w:t>Point of entry to UCC </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6AA74A5"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44997C8" w14:textId="30897B42"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4650DC8D" w14:textId="4E07EF6D" w:rsidR="00EA4F66" w:rsidRPr="009B783C" w:rsidRDefault="00EA4F66" w:rsidP="00177EF6">
            <w:pPr>
              <w:pStyle w:val="TableNText"/>
              <w:jc w:val="center"/>
              <w:rPr>
                <w:sz w:val="21"/>
                <w:szCs w:val="21"/>
              </w:rPr>
            </w:pPr>
            <w:r w:rsidRPr="009B783C">
              <w:rPr>
                <w:sz w:val="21"/>
                <w:szCs w:val="21"/>
              </w:rPr>
              <w:t>Yes</w:t>
            </w:r>
          </w:p>
        </w:tc>
      </w:tr>
      <w:tr w:rsidR="003E6EFF" w:rsidRPr="009B783C" w14:paraId="607CA3E2"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A458641" w14:textId="173AA5DA" w:rsidR="00EA4F66" w:rsidRPr="009B783C" w:rsidRDefault="00EA4F66" w:rsidP="00177EF6">
            <w:pPr>
              <w:pStyle w:val="TableNText"/>
              <w:rPr>
                <w:sz w:val="21"/>
                <w:szCs w:val="21"/>
              </w:rPr>
            </w:pPr>
            <w:r w:rsidRPr="009B783C">
              <w:rPr>
                <w:sz w:val="21"/>
                <w:szCs w:val="21"/>
              </w:rPr>
              <w:t xml:space="preserve">Does patient have a regular GP </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83C6C57"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11521D8" w14:textId="0998E5F9"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42C025F3" w14:textId="217915D8" w:rsidR="00EA4F66" w:rsidRPr="009B783C" w:rsidRDefault="00EA4F66" w:rsidP="00177EF6">
            <w:pPr>
              <w:pStyle w:val="TableNText"/>
              <w:jc w:val="center"/>
              <w:rPr>
                <w:sz w:val="21"/>
                <w:szCs w:val="21"/>
              </w:rPr>
            </w:pPr>
            <w:r w:rsidRPr="009B783C">
              <w:rPr>
                <w:sz w:val="21"/>
                <w:szCs w:val="21"/>
              </w:rPr>
              <w:t>Yes</w:t>
            </w:r>
          </w:p>
        </w:tc>
      </w:tr>
      <w:tr w:rsidR="003E6EFF" w:rsidRPr="009B783C" w14:paraId="20905AFF"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471D191" w14:textId="7E15AB70" w:rsidR="00EA4F66" w:rsidRPr="009B783C" w:rsidRDefault="00EA4F66" w:rsidP="00177EF6">
            <w:pPr>
              <w:pStyle w:val="TableNText"/>
              <w:rPr>
                <w:sz w:val="21"/>
                <w:szCs w:val="21"/>
              </w:rPr>
            </w:pPr>
            <w:r w:rsidRPr="009B783C">
              <w:rPr>
                <w:sz w:val="21"/>
                <w:szCs w:val="21"/>
              </w:rPr>
              <w:t>Clinical handover to usual GP or health care provider</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D8166D8" w14:textId="27F4B298"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85324AA" w14:textId="49BB3994"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68B27070" w14:textId="3D47D2DD" w:rsidR="00EA4F66" w:rsidRPr="009B783C" w:rsidRDefault="00EA4F66" w:rsidP="00177EF6">
            <w:pPr>
              <w:pStyle w:val="TableNText"/>
              <w:jc w:val="center"/>
              <w:rPr>
                <w:sz w:val="21"/>
                <w:szCs w:val="21"/>
              </w:rPr>
            </w:pPr>
            <w:r w:rsidRPr="009B783C">
              <w:rPr>
                <w:sz w:val="21"/>
                <w:szCs w:val="21"/>
              </w:rPr>
              <w:t>Yes</w:t>
            </w:r>
          </w:p>
        </w:tc>
      </w:tr>
      <w:tr w:rsidR="003E6EFF" w:rsidRPr="009B783C" w14:paraId="17AE64F8"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D58C592" w14:textId="3F23F042" w:rsidR="00EA4F66" w:rsidRPr="009B783C" w:rsidRDefault="00EA4F66" w:rsidP="00177EF6">
            <w:pPr>
              <w:pStyle w:val="TableNText"/>
              <w:rPr>
                <w:sz w:val="21"/>
                <w:szCs w:val="21"/>
              </w:rPr>
            </w:pPr>
            <w:r w:rsidRPr="009B783C">
              <w:rPr>
                <w:sz w:val="21"/>
                <w:szCs w:val="21"/>
              </w:rPr>
              <w:t>Episode end status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1A02A9D"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88F81D5" w14:textId="2E9CBE7B"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54749614" w14:textId="0771487F" w:rsidR="00EA4F66" w:rsidRPr="009B783C" w:rsidRDefault="00EA4F66" w:rsidP="00177EF6">
            <w:pPr>
              <w:pStyle w:val="TableNText"/>
              <w:jc w:val="center"/>
              <w:rPr>
                <w:sz w:val="21"/>
                <w:szCs w:val="21"/>
              </w:rPr>
            </w:pPr>
            <w:r w:rsidRPr="009B783C">
              <w:rPr>
                <w:sz w:val="21"/>
                <w:szCs w:val="21"/>
              </w:rPr>
              <w:t>Yes</w:t>
            </w:r>
          </w:p>
        </w:tc>
      </w:tr>
      <w:tr w:rsidR="003E6EFF" w:rsidRPr="009B783C" w14:paraId="436EDC46"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A35775C" w14:textId="7B87C9AF" w:rsidR="00EA4F66" w:rsidRPr="009B783C" w:rsidRDefault="00EA4F66" w:rsidP="00177EF6">
            <w:pPr>
              <w:pStyle w:val="TableNText"/>
              <w:rPr>
                <w:sz w:val="21"/>
                <w:szCs w:val="21"/>
              </w:rPr>
            </w:pPr>
            <w:r w:rsidRPr="009B783C">
              <w:rPr>
                <w:sz w:val="21"/>
                <w:szCs w:val="21"/>
              </w:rPr>
              <w:t>Treatment end time three (episode end status completed)</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6030CD07"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B365FC2" w14:textId="0074C37B"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000463A2" w14:textId="27E6444F" w:rsidR="00EA4F66" w:rsidRPr="009B783C" w:rsidRDefault="00EA4F66" w:rsidP="00177EF6">
            <w:pPr>
              <w:pStyle w:val="TableNText"/>
              <w:jc w:val="center"/>
              <w:rPr>
                <w:sz w:val="21"/>
                <w:szCs w:val="21"/>
              </w:rPr>
            </w:pPr>
            <w:r w:rsidRPr="009B783C">
              <w:rPr>
                <w:sz w:val="21"/>
                <w:szCs w:val="21"/>
              </w:rPr>
              <w:t>Yes</w:t>
            </w:r>
          </w:p>
        </w:tc>
      </w:tr>
      <w:tr w:rsidR="003E6EFF" w:rsidRPr="009B783C" w14:paraId="0F9C83CB"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B8F80B3" w14:textId="20014461" w:rsidR="00EA4F66" w:rsidRPr="009B783C" w:rsidRDefault="00EA4F66" w:rsidP="00177EF6">
            <w:pPr>
              <w:pStyle w:val="TableNText"/>
              <w:rPr>
                <w:sz w:val="21"/>
                <w:szCs w:val="21"/>
              </w:rPr>
            </w:pPr>
            <w:r w:rsidRPr="009B783C">
              <w:rPr>
                <w:sz w:val="21"/>
                <w:szCs w:val="21"/>
              </w:rPr>
              <w:t>Other referrals provided (additional to clinical handover)</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B491E09" w14:textId="6E66F01A" w:rsidR="00EA4F66" w:rsidRPr="009B783C" w:rsidRDefault="00EA4F66" w:rsidP="00177EF6">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F11EBEE" w14:textId="1A7BF797"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3D94C6D4" w14:textId="47D74AC3" w:rsidR="00EA4F66" w:rsidRPr="009B783C" w:rsidRDefault="00EA4F66" w:rsidP="00177EF6">
            <w:pPr>
              <w:pStyle w:val="TableNText"/>
              <w:jc w:val="center"/>
              <w:rPr>
                <w:sz w:val="21"/>
                <w:szCs w:val="21"/>
              </w:rPr>
            </w:pPr>
            <w:r w:rsidRPr="009B783C">
              <w:rPr>
                <w:sz w:val="21"/>
                <w:szCs w:val="21"/>
              </w:rPr>
              <w:t>Yes</w:t>
            </w:r>
          </w:p>
        </w:tc>
      </w:tr>
      <w:tr w:rsidR="003E6EFF" w:rsidRPr="009B783C" w14:paraId="0EA399DE"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FE52090" w14:textId="5D88C797" w:rsidR="00EA4F66" w:rsidRPr="009B783C" w:rsidRDefault="00EA4F66" w:rsidP="00177EF6">
            <w:pPr>
              <w:pStyle w:val="TableNText"/>
              <w:rPr>
                <w:sz w:val="21"/>
                <w:szCs w:val="21"/>
              </w:rPr>
            </w:pPr>
            <w:r w:rsidRPr="009B783C">
              <w:rPr>
                <w:sz w:val="21"/>
                <w:szCs w:val="21"/>
              </w:rPr>
              <w:t xml:space="preserve">Where patient would have gone otherwise </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41EF069"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1F9932F" w14:textId="4071640C" w:rsidR="00EA4F66" w:rsidRPr="009B783C" w:rsidRDefault="00EA4F66" w:rsidP="00177EF6">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4E903DE7" w14:textId="5917EDAF" w:rsidR="00EA4F66" w:rsidRPr="009B783C" w:rsidRDefault="00EA4F66" w:rsidP="00177EF6">
            <w:pPr>
              <w:pStyle w:val="TableNText"/>
              <w:jc w:val="center"/>
              <w:rPr>
                <w:sz w:val="21"/>
                <w:szCs w:val="21"/>
              </w:rPr>
            </w:pPr>
            <w:r w:rsidRPr="009B783C">
              <w:rPr>
                <w:sz w:val="21"/>
                <w:szCs w:val="21"/>
              </w:rPr>
              <w:t>Yes</w:t>
            </w:r>
          </w:p>
        </w:tc>
      </w:tr>
      <w:tr w:rsidR="003E6EFF" w:rsidRPr="009B783C" w14:paraId="577AB680"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0D88C38" w14:textId="4399E47F" w:rsidR="00EA4F66" w:rsidRPr="009B783C" w:rsidRDefault="00EA4F66" w:rsidP="00177EF6">
            <w:pPr>
              <w:pStyle w:val="TableNText"/>
              <w:rPr>
                <w:sz w:val="21"/>
                <w:szCs w:val="21"/>
              </w:rPr>
            </w:pPr>
            <w:r w:rsidRPr="009B783C">
              <w:rPr>
                <w:sz w:val="21"/>
                <w:szCs w:val="21"/>
              </w:rPr>
              <w:t>Medicare card present</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E881444"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57E38F7" w14:textId="77777777" w:rsidR="00EA4F66" w:rsidRPr="009B783C" w:rsidRDefault="00EA4F66" w:rsidP="00177EF6">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465C216A" w14:textId="497DF294" w:rsidR="00EA4F66" w:rsidRPr="009B783C" w:rsidRDefault="00EA4F66" w:rsidP="00177EF6">
            <w:pPr>
              <w:pStyle w:val="TableNText"/>
              <w:jc w:val="center"/>
              <w:rPr>
                <w:sz w:val="21"/>
                <w:szCs w:val="21"/>
              </w:rPr>
            </w:pPr>
            <w:r w:rsidRPr="009B783C">
              <w:rPr>
                <w:sz w:val="21"/>
                <w:szCs w:val="21"/>
              </w:rPr>
              <w:t>Not mandatory</w:t>
            </w:r>
          </w:p>
        </w:tc>
      </w:tr>
    </w:tbl>
    <w:p w14:paraId="0994DFF1" w14:textId="522DB932" w:rsidR="00651F99" w:rsidRPr="009B783C" w:rsidRDefault="00651F99" w:rsidP="00EC21FF">
      <w:pPr>
        <w:pStyle w:val="Caption"/>
        <w:spacing w:line="276" w:lineRule="auto"/>
        <w:rPr>
          <w:szCs w:val="21"/>
        </w:rPr>
      </w:pPr>
      <w:bookmarkStart w:id="215" w:name="_Ref189487957"/>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D25D56">
        <w:rPr>
          <w:noProof/>
          <w:szCs w:val="21"/>
        </w:rPr>
        <w:t>22</w:t>
      </w:r>
      <w:r w:rsidRPr="009B783C">
        <w:rPr>
          <w:szCs w:val="21"/>
        </w:rPr>
        <w:fldChar w:fldCharType="end"/>
      </w:r>
      <w:bookmarkEnd w:id="215"/>
      <w:r w:rsidRPr="009B783C">
        <w:rPr>
          <w:szCs w:val="21"/>
        </w:rPr>
        <w:t xml:space="preserve"> | Medicare UCC unit record data and data elements</w:t>
      </w:r>
      <w:r w:rsidR="00211B67" w:rsidRPr="009B783C">
        <w:rPr>
          <w:szCs w:val="21"/>
        </w:rPr>
        <w:t xml:space="preserve"> by patient</w:t>
      </w:r>
    </w:p>
    <w:tbl>
      <w:tblPr>
        <w:tblStyle w:val="NOUSSideHeader3"/>
        <w:tblW w:w="13605" w:type="dxa"/>
        <w:tblLook w:val="04A0" w:firstRow="1" w:lastRow="0" w:firstColumn="1" w:lastColumn="0" w:noHBand="0" w:noVBand="1"/>
      </w:tblPr>
      <w:tblGrid>
        <w:gridCol w:w="7143"/>
        <w:gridCol w:w="2154"/>
        <w:gridCol w:w="2154"/>
        <w:gridCol w:w="2154"/>
      </w:tblGrid>
      <w:tr w:rsidR="007C1B50" w:rsidRPr="009B783C" w14:paraId="3934E7C7" w14:textId="77777777" w:rsidTr="00407922">
        <w:trPr>
          <w:cnfStyle w:val="100000000000" w:firstRow="1" w:lastRow="0" w:firstColumn="0" w:lastColumn="0" w:oddVBand="0" w:evenVBand="0" w:oddHBand="0" w:evenHBand="0" w:firstRowFirstColumn="0" w:firstRowLastColumn="0" w:lastRowFirstColumn="0" w:lastRowLastColumn="0"/>
        </w:trPr>
        <w:tc>
          <w:tcPr>
            <w:tcW w:w="7143" w:type="dxa"/>
            <w:tcBorders>
              <w:top w:val="single" w:sz="4" w:space="0" w:color="E6E6E1" w:themeColor="accent5"/>
              <w:bottom w:val="single" w:sz="4" w:space="0" w:color="00264D" w:themeColor="background2"/>
              <w:right w:val="single" w:sz="4" w:space="0" w:color="FFFFFF" w:themeColor="background1"/>
            </w:tcBorders>
            <w:shd w:val="clear" w:color="auto" w:fill="00264D" w:themeFill="background2"/>
          </w:tcPr>
          <w:p w14:paraId="59DB2310" w14:textId="3F9D268F" w:rsidR="007C1B50" w:rsidRPr="009B783C" w:rsidRDefault="007C1B50" w:rsidP="007C1B50">
            <w:pPr>
              <w:pStyle w:val="TableNText"/>
              <w:rPr>
                <w:rFonts w:asciiTheme="majorHAnsi" w:hAnsiTheme="majorHAnsi" w:cstheme="majorHAnsi"/>
                <w:color w:val="FFFFFF" w:themeColor="background1"/>
                <w:sz w:val="21"/>
                <w:szCs w:val="21"/>
              </w:rPr>
            </w:pPr>
            <w:r w:rsidRPr="009B783C">
              <w:rPr>
                <w:rFonts w:asciiTheme="majorHAnsi" w:hAnsiTheme="majorHAnsi" w:cstheme="majorHAnsi"/>
                <w:color w:val="FFFFFF" w:themeColor="background1"/>
                <w:sz w:val="23"/>
                <w:szCs w:val="23"/>
              </w:rPr>
              <w:t>Data elements</w:t>
            </w:r>
          </w:p>
        </w:tc>
        <w:tc>
          <w:tcPr>
            <w:tcW w:w="2154" w:type="dxa"/>
            <w:tcBorders>
              <w:top w:val="single" w:sz="4" w:space="0" w:color="E6E6E1" w:themeColor="accent5"/>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46DD0F61" w14:textId="0ADD0B74" w:rsidR="007C1B50" w:rsidRPr="009B783C" w:rsidRDefault="007C1B50" w:rsidP="007C1B50">
            <w:pPr>
              <w:pStyle w:val="TableNText"/>
              <w:jc w:val="center"/>
              <w:rPr>
                <w:rFonts w:asciiTheme="majorHAnsi" w:hAnsiTheme="majorHAnsi" w:cstheme="majorHAnsi"/>
                <w:color w:val="FFFFFF" w:themeColor="background1"/>
                <w:sz w:val="21"/>
                <w:szCs w:val="21"/>
              </w:rPr>
            </w:pPr>
            <w:r w:rsidRPr="009B783C">
              <w:rPr>
                <w:rFonts w:asciiTheme="majorHAnsi" w:hAnsiTheme="majorHAnsi" w:cstheme="majorHAnsi"/>
                <w:color w:val="FFFFFF" w:themeColor="background1"/>
                <w:sz w:val="23"/>
                <w:szCs w:val="23"/>
              </w:rPr>
              <w:t>Multiple values</w:t>
            </w:r>
          </w:p>
        </w:tc>
        <w:tc>
          <w:tcPr>
            <w:tcW w:w="2154" w:type="dxa"/>
            <w:tcBorders>
              <w:top w:val="single" w:sz="4" w:space="0" w:color="E6E6E1" w:themeColor="accent5"/>
              <w:left w:val="single" w:sz="4" w:space="0" w:color="FFFFFF" w:themeColor="background1"/>
              <w:bottom w:val="single" w:sz="4" w:space="0" w:color="00264D" w:themeColor="background2"/>
              <w:right w:val="single" w:sz="4" w:space="0" w:color="E6E6E1" w:themeColor="accent5"/>
            </w:tcBorders>
            <w:shd w:val="clear" w:color="auto" w:fill="00264D" w:themeFill="background2"/>
          </w:tcPr>
          <w:p w14:paraId="29A3CBAA" w14:textId="5D0D09E6" w:rsidR="007C1B50" w:rsidRPr="009B783C" w:rsidRDefault="007C1B50" w:rsidP="007C1B50">
            <w:pPr>
              <w:pStyle w:val="TableNText"/>
              <w:jc w:val="center"/>
              <w:rPr>
                <w:rFonts w:asciiTheme="majorHAnsi" w:hAnsiTheme="majorHAnsi" w:cstheme="majorHAnsi"/>
                <w:color w:val="FFFFFF" w:themeColor="background1"/>
                <w:sz w:val="21"/>
                <w:szCs w:val="21"/>
              </w:rPr>
            </w:pPr>
            <w:r w:rsidRPr="009B783C">
              <w:rPr>
                <w:rFonts w:asciiTheme="majorHAnsi" w:hAnsiTheme="majorHAnsi" w:cstheme="majorHAnsi"/>
                <w:color w:val="FFFFFF" w:themeColor="background1"/>
                <w:sz w:val="23"/>
                <w:szCs w:val="23"/>
              </w:rPr>
              <w:t>Interim practice data extract</w:t>
            </w:r>
          </w:p>
        </w:tc>
        <w:tc>
          <w:tcPr>
            <w:tcW w:w="2154" w:type="dxa"/>
            <w:tcBorders>
              <w:top w:val="single" w:sz="4" w:space="0" w:color="FFFFFF" w:themeColor="background1"/>
              <w:left w:val="single" w:sz="4" w:space="0" w:color="E6E6E1" w:themeColor="accent5"/>
              <w:bottom w:val="single" w:sz="4" w:space="0" w:color="00264D" w:themeColor="background2"/>
              <w:right w:val="single" w:sz="4" w:space="0" w:color="FFFFFF" w:themeColor="background1"/>
            </w:tcBorders>
            <w:shd w:val="clear" w:color="auto" w:fill="00264D" w:themeFill="background2"/>
          </w:tcPr>
          <w:p w14:paraId="0BC900EB" w14:textId="5841B590" w:rsidR="007C1B50" w:rsidRPr="009B783C" w:rsidRDefault="007C1B50" w:rsidP="007C1B50">
            <w:pPr>
              <w:pStyle w:val="TableNText"/>
              <w:jc w:val="center"/>
              <w:rPr>
                <w:rFonts w:asciiTheme="majorHAnsi" w:hAnsiTheme="majorHAnsi" w:cstheme="majorHAnsi"/>
                <w:color w:val="FFFFFF" w:themeColor="background1"/>
                <w:sz w:val="21"/>
                <w:szCs w:val="21"/>
              </w:rPr>
            </w:pPr>
            <w:r w:rsidRPr="009B783C">
              <w:rPr>
                <w:rFonts w:asciiTheme="majorHAnsi" w:hAnsiTheme="majorHAnsi" w:cstheme="majorHAnsi"/>
                <w:color w:val="FFFFFF" w:themeColor="background1"/>
                <w:sz w:val="23"/>
                <w:szCs w:val="23"/>
              </w:rPr>
              <w:t>Medicare UCC Module</w:t>
            </w:r>
          </w:p>
        </w:tc>
      </w:tr>
      <w:tr w:rsidR="003E6EFF" w:rsidRPr="009B783C" w14:paraId="1FE11B5E"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C623468" w14:textId="3507E85D" w:rsidR="003E6EFF" w:rsidRPr="009B783C" w:rsidRDefault="003E6EFF" w:rsidP="003D6294">
            <w:pPr>
              <w:pStyle w:val="TableNText"/>
              <w:rPr>
                <w:color w:val="000000" w:themeColor="text1"/>
                <w:sz w:val="21"/>
                <w:szCs w:val="21"/>
              </w:rPr>
            </w:pPr>
            <w:r w:rsidRPr="009B783C">
              <w:rPr>
                <w:color w:val="000000" w:themeColor="text1"/>
                <w:sz w:val="21"/>
                <w:szCs w:val="21"/>
              </w:rPr>
              <w:t>Age at presentation</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4E814FCC"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1DF3307" w14:textId="0B6A062A"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7AB57F49" w14:textId="7D7B2C95" w:rsidR="003E6EFF" w:rsidRPr="009B783C" w:rsidRDefault="003E6EFF" w:rsidP="003D6294">
            <w:pPr>
              <w:pStyle w:val="TableNText"/>
              <w:jc w:val="center"/>
              <w:rPr>
                <w:sz w:val="21"/>
                <w:szCs w:val="21"/>
              </w:rPr>
            </w:pPr>
            <w:r w:rsidRPr="009B783C">
              <w:rPr>
                <w:sz w:val="21"/>
                <w:szCs w:val="21"/>
              </w:rPr>
              <w:t>Yes</w:t>
            </w:r>
          </w:p>
        </w:tc>
      </w:tr>
      <w:tr w:rsidR="003E6EFF" w:rsidRPr="009B783C" w14:paraId="46D8C5FA"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5A6AAA2" w14:textId="052FEF3A" w:rsidR="003E6EFF" w:rsidRPr="009B783C" w:rsidRDefault="003E6EFF" w:rsidP="003D6294">
            <w:pPr>
              <w:pStyle w:val="TableNText"/>
              <w:rPr>
                <w:color w:val="000000" w:themeColor="text1"/>
                <w:sz w:val="21"/>
                <w:szCs w:val="21"/>
              </w:rPr>
            </w:pPr>
            <w:r w:rsidRPr="009B783C">
              <w:rPr>
                <w:color w:val="000000" w:themeColor="text1"/>
                <w:sz w:val="21"/>
                <w:szCs w:val="21"/>
              </w:rPr>
              <w:lastRenderedPageBreak/>
              <w:t>Sex defined as the biological distinction between male and female represented by a code</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5ECB536"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4F0A079" w14:textId="1AF92AA9"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E492337" w14:textId="63E65DC6" w:rsidR="003E6EFF" w:rsidRPr="009B783C" w:rsidRDefault="003E6EFF" w:rsidP="003D6294">
            <w:pPr>
              <w:pStyle w:val="TableNText"/>
              <w:jc w:val="center"/>
              <w:rPr>
                <w:sz w:val="21"/>
                <w:szCs w:val="21"/>
              </w:rPr>
            </w:pPr>
            <w:r w:rsidRPr="009B783C">
              <w:rPr>
                <w:sz w:val="21"/>
                <w:szCs w:val="21"/>
              </w:rPr>
              <w:t>Yes</w:t>
            </w:r>
          </w:p>
        </w:tc>
      </w:tr>
      <w:tr w:rsidR="003E6EFF" w:rsidRPr="009B783C" w14:paraId="7DF6E561"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10E6853E" w14:textId="03CAC17D" w:rsidR="003E6EFF" w:rsidRPr="009B783C" w:rsidRDefault="003E6EFF" w:rsidP="003D6294">
            <w:pPr>
              <w:pStyle w:val="TableNText"/>
              <w:rPr>
                <w:sz w:val="21"/>
                <w:szCs w:val="21"/>
              </w:rPr>
            </w:pPr>
            <w:r w:rsidRPr="009B783C">
              <w:rPr>
                <w:sz w:val="21"/>
                <w:szCs w:val="21"/>
              </w:rPr>
              <w:t>Indigenous status where the patient identifies as Aboriginal and/or Torres Strait Islander</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76924E8C"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65DC4572" w14:textId="146D86A5"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4E611887" w14:textId="48D31E30" w:rsidR="003E6EFF" w:rsidRPr="009B783C" w:rsidRDefault="003E6EFF" w:rsidP="003D6294">
            <w:pPr>
              <w:pStyle w:val="TableNText"/>
              <w:jc w:val="center"/>
              <w:rPr>
                <w:sz w:val="21"/>
                <w:szCs w:val="21"/>
              </w:rPr>
            </w:pPr>
            <w:r w:rsidRPr="009B783C">
              <w:rPr>
                <w:sz w:val="21"/>
                <w:szCs w:val="21"/>
              </w:rPr>
              <w:t>Yes</w:t>
            </w:r>
          </w:p>
        </w:tc>
      </w:tr>
      <w:tr w:rsidR="003E6EFF" w:rsidRPr="009B783C" w14:paraId="1DBC0B8F"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A7B7057" w14:textId="52141E1A" w:rsidR="003E6EFF" w:rsidRPr="009B783C" w:rsidRDefault="003E6EFF" w:rsidP="003D6294">
            <w:pPr>
              <w:pStyle w:val="TableNText"/>
              <w:rPr>
                <w:sz w:val="21"/>
                <w:szCs w:val="21"/>
              </w:rPr>
            </w:pPr>
            <w:r w:rsidRPr="009B783C">
              <w:rPr>
                <w:sz w:val="21"/>
                <w:szCs w:val="21"/>
              </w:rPr>
              <w:t>Post code of the current residence</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C91813C"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517CD83" w14:textId="68D3AB47"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0D33F7F4" w14:textId="1B5EA8D9" w:rsidR="003E6EFF" w:rsidRPr="009B783C" w:rsidRDefault="003E6EFF" w:rsidP="003D6294">
            <w:pPr>
              <w:pStyle w:val="TableNText"/>
              <w:jc w:val="center"/>
              <w:rPr>
                <w:sz w:val="21"/>
                <w:szCs w:val="21"/>
              </w:rPr>
            </w:pPr>
            <w:r w:rsidRPr="009B783C">
              <w:rPr>
                <w:sz w:val="21"/>
                <w:szCs w:val="21"/>
              </w:rPr>
              <w:t>Yes</w:t>
            </w:r>
          </w:p>
        </w:tc>
      </w:tr>
      <w:tr w:rsidR="003E6EFF" w:rsidRPr="009B783C" w14:paraId="25B4E37B"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9041F29" w14:textId="2787B5DC" w:rsidR="003E6EFF" w:rsidRPr="009B783C" w:rsidRDefault="003E6EFF" w:rsidP="003D6294">
            <w:pPr>
              <w:pStyle w:val="TableNText"/>
              <w:rPr>
                <w:sz w:val="21"/>
                <w:szCs w:val="21"/>
              </w:rPr>
            </w:pPr>
            <w:r w:rsidRPr="009B783C">
              <w:rPr>
                <w:sz w:val="21"/>
                <w:szCs w:val="21"/>
              </w:rPr>
              <w:t>Country of birth</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0E2C475B"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3BA3145" w14:textId="1C587A09"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900FB49" w14:textId="094E7F31" w:rsidR="003E6EFF" w:rsidRPr="009B783C" w:rsidRDefault="003E6EFF" w:rsidP="003D6294">
            <w:pPr>
              <w:pStyle w:val="TableNText"/>
              <w:jc w:val="center"/>
              <w:rPr>
                <w:sz w:val="21"/>
                <w:szCs w:val="21"/>
              </w:rPr>
            </w:pPr>
            <w:r w:rsidRPr="009B783C">
              <w:rPr>
                <w:sz w:val="21"/>
                <w:szCs w:val="21"/>
              </w:rPr>
              <w:t>Yes</w:t>
            </w:r>
          </w:p>
        </w:tc>
      </w:tr>
      <w:tr w:rsidR="003E6EFF" w:rsidRPr="009B783C" w14:paraId="1B8B3942"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BEAAFFB" w14:textId="4720657A" w:rsidR="003E6EFF" w:rsidRPr="009B783C" w:rsidRDefault="003E6EFF" w:rsidP="003D6294">
            <w:pPr>
              <w:pStyle w:val="TableNText"/>
              <w:rPr>
                <w:sz w:val="21"/>
                <w:szCs w:val="21"/>
              </w:rPr>
            </w:pPr>
            <w:r w:rsidRPr="009B783C">
              <w:rPr>
                <w:sz w:val="21"/>
                <w:szCs w:val="21"/>
              </w:rPr>
              <w:t>Language spoken at home</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356E0860"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59441CB2" w14:textId="40E1E49E" w:rsidR="003E6EFF" w:rsidRPr="009B783C" w:rsidRDefault="003E6EFF" w:rsidP="003D6294">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50DBFFE" w14:textId="350C5F6F" w:rsidR="003E6EFF" w:rsidRPr="009B783C" w:rsidRDefault="003E6EFF" w:rsidP="003D6294">
            <w:pPr>
              <w:pStyle w:val="TableNText"/>
              <w:jc w:val="center"/>
              <w:rPr>
                <w:sz w:val="21"/>
                <w:szCs w:val="21"/>
              </w:rPr>
            </w:pPr>
            <w:r w:rsidRPr="009B783C">
              <w:rPr>
                <w:sz w:val="21"/>
                <w:szCs w:val="21"/>
              </w:rPr>
              <w:t>Yes</w:t>
            </w:r>
          </w:p>
        </w:tc>
      </w:tr>
      <w:tr w:rsidR="003E6EFF" w:rsidRPr="009B783C" w14:paraId="5E3783EF"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309501A" w14:textId="12CD46C3" w:rsidR="003E6EFF" w:rsidRPr="009B783C" w:rsidRDefault="003E6EFF" w:rsidP="003D6294">
            <w:pPr>
              <w:pStyle w:val="TableNText"/>
              <w:rPr>
                <w:sz w:val="21"/>
                <w:szCs w:val="21"/>
              </w:rPr>
            </w:pPr>
            <w:r w:rsidRPr="009B783C">
              <w:rPr>
                <w:sz w:val="21"/>
                <w:szCs w:val="21"/>
              </w:rPr>
              <w:t>Was an interpreter required</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2752E278" w14:textId="77777777" w:rsidR="003E6EFF" w:rsidRPr="009B783C" w:rsidRDefault="003E6EFF"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31C6D416" w14:textId="68205FA2" w:rsidR="003E6EFF" w:rsidRPr="009B783C" w:rsidRDefault="003E6EFF" w:rsidP="003D6294">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33C31633" w14:textId="3D01BDEA" w:rsidR="003E6EFF" w:rsidRPr="009B783C" w:rsidRDefault="003E6EFF" w:rsidP="003D6294">
            <w:pPr>
              <w:pStyle w:val="TableNText"/>
              <w:jc w:val="center"/>
              <w:rPr>
                <w:sz w:val="21"/>
                <w:szCs w:val="21"/>
              </w:rPr>
            </w:pPr>
            <w:r w:rsidRPr="009B783C">
              <w:rPr>
                <w:sz w:val="21"/>
                <w:szCs w:val="21"/>
              </w:rPr>
              <w:t>Yes</w:t>
            </w:r>
          </w:p>
        </w:tc>
      </w:tr>
      <w:tr w:rsidR="003E6EFF" w:rsidRPr="009B783C" w14:paraId="23A13BFB"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D84A503" w14:textId="7B86C068" w:rsidR="003E6EFF" w:rsidRPr="009B783C" w:rsidRDefault="003E6EFF" w:rsidP="003D6294">
            <w:pPr>
              <w:pStyle w:val="TableNText"/>
              <w:rPr>
                <w:sz w:val="21"/>
                <w:szCs w:val="21"/>
              </w:rPr>
            </w:pPr>
            <w:r w:rsidRPr="009B783C">
              <w:rPr>
                <w:sz w:val="21"/>
                <w:szCs w:val="21"/>
              </w:rPr>
              <w:t>Disability status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tcPr>
          <w:p w14:paraId="54BB3BFB" w14:textId="7B9046C5" w:rsidR="003E6EFF" w:rsidRPr="009B783C" w:rsidRDefault="003E6EFF" w:rsidP="003D6294">
            <w:pPr>
              <w:pStyle w:val="TableNText"/>
              <w:jc w:val="center"/>
              <w:rPr>
                <w:sz w:val="21"/>
                <w:szCs w:val="21"/>
              </w:rPr>
            </w:pPr>
            <w:r w:rsidRPr="009B783C">
              <w:rPr>
                <w:sz w:val="21"/>
                <w:szCs w:val="21"/>
              </w:rPr>
              <w:t>Yes</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DF8E87F" w14:textId="68F7F078" w:rsidR="003E6EFF" w:rsidRPr="009B783C" w:rsidRDefault="003E6EFF" w:rsidP="003D6294">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40FC2196" w14:textId="0AD12402" w:rsidR="003E6EFF" w:rsidRPr="009B783C" w:rsidRDefault="003E6EFF" w:rsidP="003D6294">
            <w:pPr>
              <w:pStyle w:val="TableNText"/>
              <w:jc w:val="center"/>
              <w:rPr>
                <w:sz w:val="21"/>
                <w:szCs w:val="21"/>
              </w:rPr>
            </w:pPr>
            <w:r w:rsidRPr="009B783C">
              <w:rPr>
                <w:sz w:val="21"/>
                <w:szCs w:val="21"/>
              </w:rPr>
              <w:t>Yes</w:t>
            </w:r>
          </w:p>
        </w:tc>
      </w:tr>
    </w:tbl>
    <w:p w14:paraId="0AE12E1F" w14:textId="09944D90" w:rsidR="00651F99" w:rsidRPr="009B783C" w:rsidRDefault="00651F99" w:rsidP="00651F99">
      <w:pPr>
        <w:pStyle w:val="Caption"/>
        <w:rPr>
          <w:szCs w:val="21"/>
        </w:rPr>
      </w:pPr>
      <w:bookmarkStart w:id="216" w:name="_Ref189487959"/>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D25D56">
        <w:rPr>
          <w:noProof/>
          <w:szCs w:val="21"/>
        </w:rPr>
        <w:t>23</w:t>
      </w:r>
      <w:r w:rsidRPr="009B783C">
        <w:rPr>
          <w:szCs w:val="21"/>
        </w:rPr>
        <w:fldChar w:fldCharType="end"/>
      </w:r>
      <w:bookmarkEnd w:id="216"/>
      <w:r w:rsidRPr="009B783C">
        <w:rPr>
          <w:szCs w:val="21"/>
        </w:rPr>
        <w:t xml:space="preserve"> | Medicare UCC unit record data and data elements</w:t>
      </w:r>
      <w:r w:rsidR="00211B67" w:rsidRPr="009B783C">
        <w:rPr>
          <w:szCs w:val="21"/>
        </w:rPr>
        <w:t xml:space="preserve"> by interactions (episode)</w:t>
      </w:r>
    </w:p>
    <w:tbl>
      <w:tblPr>
        <w:tblStyle w:val="NOUSSideHeader3"/>
        <w:tblW w:w="13605" w:type="dxa"/>
        <w:tblLook w:val="04A0" w:firstRow="1" w:lastRow="0" w:firstColumn="1" w:lastColumn="0" w:noHBand="0" w:noVBand="1"/>
      </w:tblPr>
      <w:tblGrid>
        <w:gridCol w:w="7143"/>
        <w:gridCol w:w="2154"/>
        <w:gridCol w:w="2154"/>
        <w:gridCol w:w="2154"/>
      </w:tblGrid>
      <w:tr w:rsidR="007C1B50" w:rsidRPr="009B783C" w14:paraId="7318477A" w14:textId="77777777" w:rsidTr="00407922">
        <w:trPr>
          <w:cnfStyle w:val="100000000000" w:firstRow="1" w:lastRow="0" w:firstColumn="0" w:lastColumn="0" w:oddVBand="0" w:evenVBand="0" w:oddHBand="0" w:evenHBand="0" w:firstRowFirstColumn="0" w:firstRowLastColumn="0" w:lastRowFirstColumn="0" w:lastRowLastColumn="0"/>
        </w:trPr>
        <w:tc>
          <w:tcPr>
            <w:tcW w:w="7143" w:type="dxa"/>
            <w:tcBorders>
              <w:top w:val="single" w:sz="4" w:space="0" w:color="E6E6E1" w:themeColor="accent5"/>
              <w:bottom w:val="single" w:sz="4" w:space="0" w:color="00264D" w:themeColor="background2"/>
              <w:right w:val="single" w:sz="4" w:space="0" w:color="FFFFFF" w:themeColor="background1"/>
            </w:tcBorders>
            <w:shd w:val="clear" w:color="auto" w:fill="00264D" w:themeFill="background2"/>
          </w:tcPr>
          <w:p w14:paraId="03971A7D" w14:textId="7D7D6FD3" w:rsidR="007C1B50" w:rsidRPr="009B783C" w:rsidRDefault="007C1B50" w:rsidP="00107854">
            <w:pPr>
              <w:pStyle w:val="TableNheader"/>
              <w:rPr>
                <w:sz w:val="21"/>
                <w:szCs w:val="21"/>
              </w:rPr>
            </w:pPr>
            <w:r w:rsidRPr="009B783C">
              <w:t>Data elements</w:t>
            </w:r>
          </w:p>
        </w:tc>
        <w:tc>
          <w:tcPr>
            <w:tcW w:w="2154" w:type="dxa"/>
            <w:tcBorders>
              <w:top w:val="single" w:sz="4" w:space="0" w:color="E6E6E1" w:themeColor="accent5"/>
              <w:left w:val="single" w:sz="4" w:space="0" w:color="FFFFFF" w:themeColor="background1"/>
              <w:bottom w:val="single" w:sz="4" w:space="0" w:color="00264D" w:themeColor="background2"/>
              <w:right w:val="single" w:sz="4" w:space="0" w:color="FFFFFF" w:themeColor="background1"/>
            </w:tcBorders>
            <w:shd w:val="clear" w:color="auto" w:fill="00264D" w:themeFill="background2"/>
          </w:tcPr>
          <w:p w14:paraId="56DFF26B" w14:textId="5037EF15" w:rsidR="007C1B50" w:rsidRPr="009B783C" w:rsidRDefault="007C1B50" w:rsidP="00107854">
            <w:pPr>
              <w:pStyle w:val="TableNheader"/>
              <w:rPr>
                <w:sz w:val="21"/>
                <w:szCs w:val="21"/>
              </w:rPr>
            </w:pPr>
            <w:r w:rsidRPr="009B783C">
              <w:t>Multiple values</w:t>
            </w:r>
          </w:p>
        </w:tc>
        <w:tc>
          <w:tcPr>
            <w:tcW w:w="2154" w:type="dxa"/>
            <w:tcBorders>
              <w:top w:val="single" w:sz="4" w:space="0" w:color="E6E6E1" w:themeColor="accent5"/>
              <w:left w:val="single" w:sz="4" w:space="0" w:color="FFFFFF" w:themeColor="background1"/>
              <w:bottom w:val="single" w:sz="4" w:space="0" w:color="00264D" w:themeColor="background2"/>
              <w:right w:val="single" w:sz="4" w:space="0" w:color="E6E6E1" w:themeColor="accent5"/>
            </w:tcBorders>
            <w:shd w:val="clear" w:color="auto" w:fill="00264D" w:themeFill="background2"/>
          </w:tcPr>
          <w:p w14:paraId="6863D7DF" w14:textId="0CDBD52B" w:rsidR="007C1B50" w:rsidRPr="009B783C" w:rsidRDefault="007C1B50" w:rsidP="00107854">
            <w:pPr>
              <w:pStyle w:val="TableNheader"/>
              <w:rPr>
                <w:sz w:val="21"/>
                <w:szCs w:val="21"/>
              </w:rPr>
            </w:pPr>
            <w:r w:rsidRPr="009B783C">
              <w:t>Interim practice data extract</w:t>
            </w:r>
          </w:p>
        </w:tc>
        <w:tc>
          <w:tcPr>
            <w:tcW w:w="2154" w:type="dxa"/>
            <w:tcBorders>
              <w:top w:val="single" w:sz="4" w:space="0" w:color="FFFFFF" w:themeColor="background1"/>
              <w:left w:val="single" w:sz="4" w:space="0" w:color="E6E6E1" w:themeColor="accent5"/>
              <w:bottom w:val="single" w:sz="4" w:space="0" w:color="00264D" w:themeColor="background2"/>
              <w:right w:val="single" w:sz="4" w:space="0" w:color="FFFFFF" w:themeColor="background1"/>
            </w:tcBorders>
            <w:shd w:val="clear" w:color="auto" w:fill="00264D" w:themeFill="background2"/>
          </w:tcPr>
          <w:p w14:paraId="595D8085" w14:textId="688D929C" w:rsidR="007C1B50" w:rsidRPr="009B783C" w:rsidRDefault="007C1B50" w:rsidP="00107854">
            <w:pPr>
              <w:pStyle w:val="TableNheader"/>
              <w:rPr>
                <w:sz w:val="21"/>
                <w:szCs w:val="21"/>
              </w:rPr>
            </w:pPr>
            <w:r w:rsidRPr="009B783C">
              <w:t>Medicare UCC Module</w:t>
            </w:r>
          </w:p>
        </w:tc>
      </w:tr>
      <w:tr w:rsidR="007C1B50" w:rsidRPr="009B783C" w14:paraId="1C73A90F" w14:textId="77777777" w:rsidTr="0074347F">
        <w:trPr>
          <w:cnfStyle w:val="000000100000" w:firstRow="0" w:lastRow="0" w:firstColumn="0" w:lastColumn="0" w:oddVBand="0" w:evenVBand="0" w:oddHBand="1" w:evenHBand="0"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vAlign w:val="top"/>
          </w:tcPr>
          <w:p w14:paraId="5D4438E1" w14:textId="2A7315D9" w:rsidR="007C1B50" w:rsidRPr="009B783C" w:rsidRDefault="007C1B50" w:rsidP="003D6294">
            <w:pPr>
              <w:pStyle w:val="TableNText"/>
              <w:rPr>
                <w:sz w:val="21"/>
                <w:szCs w:val="21"/>
              </w:rPr>
            </w:pPr>
            <w:r w:rsidRPr="009B783C">
              <w:rPr>
                <w:sz w:val="21"/>
                <w:szCs w:val="21"/>
              </w:rPr>
              <w:t>Date/time of interaction</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1D46E8AE" w14:textId="77777777" w:rsidR="007C1B50" w:rsidRPr="009B783C" w:rsidRDefault="007C1B50"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445925FD" w14:textId="1C19E78C" w:rsidR="007C1B50" w:rsidRPr="009B783C" w:rsidRDefault="007C1B50" w:rsidP="003D6294">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2B133F64" w14:textId="28D4A4CD" w:rsidR="007C1B50" w:rsidRPr="009B783C" w:rsidRDefault="007C1B50" w:rsidP="003D6294">
            <w:pPr>
              <w:pStyle w:val="TableNText"/>
              <w:jc w:val="center"/>
              <w:rPr>
                <w:sz w:val="21"/>
                <w:szCs w:val="21"/>
              </w:rPr>
            </w:pPr>
            <w:r w:rsidRPr="009B783C">
              <w:rPr>
                <w:sz w:val="21"/>
                <w:szCs w:val="21"/>
              </w:rPr>
              <w:t>Yes</w:t>
            </w:r>
          </w:p>
        </w:tc>
      </w:tr>
      <w:tr w:rsidR="007C1B50" w:rsidRPr="009B783C" w14:paraId="2297318F" w14:textId="77777777" w:rsidTr="0074347F">
        <w:trPr>
          <w:cnfStyle w:val="000000010000" w:firstRow="0" w:lastRow="0" w:firstColumn="0" w:lastColumn="0" w:oddVBand="0" w:evenVBand="0" w:oddHBand="0" w:evenHBand="1" w:firstRowFirstColumn="0" w:firstRowLastColumn="0" w:lastRowFirstColumn="0" w:lastRowLastColumn="0"/>
        </w:trPr>
        <w:tc>
          <w:tcPr>
            <w:tcW w:w="7143"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14AC93B9" w14:textId="1D55079A" w:rsidR="007C1B50" w:rsidRPr="009B783C" w:rsidRDefault="007C1B50" w:rsidP="003D6294">
            <w:pPr>
              <w:pStyle w:val="TableNText"/>
              <w:rPr>
                <w:sz w:val="21"/>
                <w:szCs w:val="21"/>
              </w:rPr>
            </w:pPr>
            <w:r w:rsidRPr="009B783C">
              <w:rPr>
                <w:sz w:val="21"/>
                <w:szCs w:val="21"/>
              </w:rPr>
              <w:t>Provider type – type of provider/role. This includes a range of provider types including clinical and non-clinical (for example, receptionist)</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3BABD209" w14:textId="77777777" w:rsidR="007C1B50" w:rsidRPr="009B783C" w:rsidRDefault="007C1B50" w:rsidP="003D6294">
            <w:pPr>
              <w:pStyle w:val="TableNText"/>
              <w:jc w:val="center"/>
              <w:rPr>
                <w:sz w:val="21"/>
                <w:szCs w:val="21"/>
              </w:rPr>
            </w:pP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49A57517" w14:textId="621171D0" w:rsidR="007C1B50" w:rsidRPr="009B783C" w:rsidRDefault="007C1B50" w:rsidP="003D6294">
            <w:pPr>
              <w:pStyle w:val="TableNText"/>
              <w:jc w:val="center"/>
              <w:rPr>
                <w:sz w:val="21"/>
                <w:szCs w:val="21"/>
              </w:rPr>
            </w:pPr>
            <w:r w:rsidRPr="009B783C">
              <w:rPr>
                <w:sz w:val="21"/>
                <w:szCs w:val="21"/>
              </w:rPr>
              <w:t>No</w:t>
            </w:r>
          </w:p>
        </w:tc>
        <w:tc>
          <w:tcPr>
            <w:tcW w:w="2154" w:type="dxa"/>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auto"/>
          </w:tcPr>
          <w:p w14:paraId="6B89DAAE" w14:textId="524834B8" w:rsidR="007C1B50" w:rsidRPr="009B783C" w:rsidRDefault="007C1B50" w:rsidP="003D6294">
            <w:pPr>
              <w:pStyle w:val="TableNText"/>
              <w:jc w:val="center"/>
              <w:rPr>
                <w:sz w:val="21"/>
                <w:szCs w:val="21"/>
              </w:rPr>
            </w:pPr>
            <w:r w:rsidRPr="009B783C">
              <w:rPr>
                <w:sz w:val="21"/>
                <w:szCs w:val="21"/>
              </w:rPr>
              <w:t>Yes</w:t>
            </w:r>
          </w:p>
        </w:tc>
      </w:tr>
    </w:tbl>
    <w:p w14:paraId="7A2CE3E3" w14:textId="77777777" w:rsidR="00AD0E78" w:rsidRPr="009B783C" w:rsidRDefault="00AD0E78">
      <w:pPr>
        <w:spacing w:after="160" w:line="259" w:lineRule="auto"/>
        <w:rPr>
          <w:highlight w:val="yellow"/>
        </w:rPr>
      </w:pPr>
      <w:r w:rsidRPr="009B783C">
        <w:rPr>
          <w:highlight w:val="yellow"/>
        </w:rPr>
        <w:br w:type="page"/>
      </w:r>
    </w:p>
    <w:bookmarkStart w:id="217" w:name="_Ref179979963"/>
    <w:p w14:paraId="176D98CB" w14:textId="40E53DA2" w:rsidR="00AD0E78" w:rsidRPr="009B783C" w:rsidRDefault="006A7900" w:rsidP="00EC21FF">
      <w:pPr>
        <w:rPr>
          <w:szCs w:val="21"/>
        </w:rPr>
      </w:pPr>
      <w:r w:rsidRPr="009B783C">
        <w:rPr>
          <w:szCs w:val="21"/>
        </w:rPr>
        <w:lastRenderedPageBreak/>
        <w:fldChar w:fldCharType="begin"/>
      </w:r>
      <w:r w:rsidRPr="009B783C">
        <w:rPr>
          <w:szCs w:val="21"/>
        </w:rPr>
        <w:instrText xml:space="preserve"> REF _Ref179980055 \h </w:instrText>
      </w:r>
      <w:r w:rsidR="00183056" w:rsidRPr="009B783C">
        <w:rPr>
          <w:szCs w:val="21"/>
        </w:rPr>
        <w:instrText xml:space="preserve"> \* MERGEFORMAT </w:instrText>
      </w:r>
      <w:r w:rsidRPr="009B783C">
        <w:rPr>
          <w:szCs w:val="21"/>
        </w:rPr>
      </w:r>
      <w:r w:rsidRPr="009B783C">
        <w:rPr>
          <w:szCs w:val="21"/>
        </w:rPr>
        <w:fldChar w:fldCharType="separate"/>
      </w:r>
      <w:r w:rsidR="00164D77" w:rsidRPr="009B783C">
        <w:rPr>
          <w:szCs w:val="21"/>
        </w:rPr>
        <w:t>Table 24</w:t>
      </w:r>
      <w:r w:rsidRPr="009B783C">
        <w:rPr>
          <w:szCs w:val="21"/>
        </w:rPr>
        <w:fldChar w:fldCharType="end"/>
      </w:r>
      <w:r w:rsidR="00164D77" w:rsidRPr="009B783C">
        <w:rPr>
          <w:szCs w:val="21"/>
        </w:rPr>
        <w:t xml:space="preserve">, </w:t>
      </w:r>
      <w:r w:rsidR="00164D77" w:rsidRPr="009B783C">
        <w:rPr>
          <w:szCs w:val="21"/>
        </w:rPr>
        <w:fldChar w:fldCharType="begin"/>
      </w:r>
      <w:r w:rsidR="00164D77" w:rsidRPr="009B783C">
        <w:rPr>
          <w:szCs w:val="21"/>
        </w:rPr>
        <w:instrText xml:space="preserve"> REF _Ref189648528 \h </w:instrText>
      </w:r>
      <w:r w:rsidR="00164D77" w:rsidRPr="009B783C">
        <w:rPr>
          <w:szCs w:val="21"/>
        </w:rPr>
      </w:r>
      <w:r w:rsidR="00164D77" w:rsidRPr="009B783C">
        <w:rPr>
          <w:szCs w:val="21"/>
        </w:rPr>
        <w:fldChar w:fldCharType="separate"/>
      </w:r>
      <w:r w:rsidR="00164D77" w:rsidRPr="009B783C">
        <w:rPr>
          <w:szCs w:val="21"/>
        </w:rPr>
        <w:t>Table 25</w:t>
      </w:r>
      <w:r w:rsidR="00164D77" w:rsidRPr="009B783C">
        <w:rPr>
          <w:szCs w:val="21"/>
        </w:rPr>
        <w:fldChar w:fldCharType="end"/>
      </w:r>
      <w:r w:rsidR="00164D77" w:rsidRPr="009B783C">
        <w:rPr>
          <w:szCs w:val="21"/>
        </w:rPr>
        <w:t xml:space="preserve">, and </w:t>
      </w:r>
      <w:r w:rsidR="00164D77" w:rsidRPr="009B783C">
        <w:rPr>
          <w:szCs w:val="21"/>
        </w:rPr>
        <w:fldChar w:fldCharType="begin"/>
      </w:r>
      <w:r w:rsidR="00164D77" w:rsidRPr="009B783C">
        <w:rPr>
          <w:szCs w:val="21"/>
        </w:rPr>
        <w:instrText xml:space="preserve"> REF _Ref189648531 \h </w:instrText>
      </w:r>
      <w:r w:rsidR="00164D77" w:rsidRPr="009B783C">
        <w:rPr>
          <w:szCs w:val="21"/>
        </w:rPr>
      </w:r>
      <w:r w:rsidR="00164D77" w:rsidRPr="009B783C">
        <w:rPr>
          <w:szCs w:val="21"/>
        </w:rPr>
        <w:fldChar w:fldCharType="separate"/>
      </w:r>
      <w:r w:rsidR="00164D77" w:rsidRPr="009B783C">
        <w:rPr>
          <w:szCs w:val="21"/>
        </w:rPr>
        <w:t>Table 26</w:t>
      </w:r>
      <w:r w:rsidR="00164D77" w:rsidRPr="009B783C">
        <w:rPr>
          <w:szCs w:val="21"/>
        </w:rPr>
        <w:fldChar w:fldCharType="end"/>
      </w:r>
      <w:r w:rsidR="00DE46B8" w:rsidRPr="009B783C">
        <w:rPr>
          <w:szCs w:val="21"/>
        </w:rPr>
        <w:t xml:space="preserve"> </w:t>
      </w:r>
      <w:r w:rsidR="00832A9B" w:rsidRPr="009B783C">
        <w:rPr>
          <w:szCs w:val="21"/>
        </w:rPr>
        <w:t xml:space="preserve">show a summary of </w:t>
      </w:r>
      <w:r w:rsidR="002B7530" w:rsidRPr="009B783C">
        <w:rPr>
          <w:szCs w:val="21"/>
        </w:rPr>
        <w:t xml:space="preserve">presentations </w:t>
      </w:r>
      <w:r w:rsidR="00AD6CFD" w:rsidRPr="009B783C">
        <w:rPr>
          <w:szCs w:val="21"/>
        </w:rPr>
        <w:t>to Medicare UCCs</w:t>
      </w:r>
      <w:r w:rsidR="000345C3" w:rsidRPr="009B783C">
        <w:rPr>
          <w:szCs w:val="21"/>
        </w:rPr>
        <w:t xml:space="preserve"> and the</w:t>
      </w:r>
      <w:r w:rsidR="00E95E84" w:rsidRPr="009B783C">
        <w:rPr>
          <w:szCs w:val="21"/>
        </w:rPr>
        <w:t xml:space="preserve"> total presentations versus those reported through the </w:t>
      </w:r>
      <w:r w:rsidR="007413D6" w:rsidRPr="009B783C">
        <w:rPr>
          <w:szCs w:val="21"/>
        </w:rPr>
        <w:t xml:space="preserve">unit record data (which </w:t>
      </w:r>
      <w:r w:rsidR="00537D6B" w:rsidRPr="009B783C">
        <w:rPr>
          <w:szCs w:val="21"/>
        </w:rPr>
        <w:t>includes</w:t>
      </w:r>
      <w:r w:rsidR="007413D6" w:rsidRPr="009B783C">
        <w:rPr>
          <w:szCs w:val="21"/>
        </w:rPr>
        <w:t xml:space="preserve"> the </w:t>
      </w:r>
      <w:r w:rsidR="00E21E7A" w:rsidRPr="009B783C">
        <w:rPr>
          <w:szCs w:val="21"/>
        </w:rPr>
        <w:t>i</w:t>
      </w:r>
      <w:r w:rsidR="00537D6B" w:rsidRPr="009B783C">
        <w:rPr>
          <w:szCs w:val="21"/>
        </w:rPr>
        <w:t xml:space="preserve">nterim practice data extract data as well as the Module data) and those coming through the </w:t>
      </w:r>
      <w:r w:rsidR="00AD0E78" w:rsidRPr="009B783C">
        <w:rPr>
          <w:szCs w:val="21"/>
        </w:rPr>
        <w:t>Module data only.</w:t>
      </w:r>
      <w:bookmarkStart w:id="218" w:name="_Hlk179910612"/>
    </w:p>
    <w:p w14:paraId="5AA01F0B" w14:textId="27A52308" w:rsidR="002C449E" w:rsidRPr="009B783C" w:rsidRDefault="00422266" w:rsidP="00AD0E78">
      <w:pPr>
        <w:pStyle w:val="Caption"/>
        <w:rPr>
          <w:szCs w:val="21"/>
        </w:rPr>
      </w:pPr>
      <w:bookmarkStart w:id="219" w:name="_Ref179980055"/>
      <w:r w:rsidRPr="009B783C">
        <w:rPr>
          <w:szCs w:val="21"/>
        </w:rPr>
        <w:t xml:space="preserve">Table </w:t>
      </w:r>
      <w:r w:rsidR="00584D62" w:rsidRPr="009B783C">
        <w:rPr>
          <w:szCs w:val="21"/>
        </w:rPr>
        <w:fldChar w:fldCharType="begin"/>
      </w:r>
      <w:r w:rsidR="00584D62" w:rsidRPr="009B783C">
        <w:rPr>
          <w:szCs w:val="21"/>
        </w:rPr>
        <w:instrText xml:space="preserve"> SEQ Table \* ARABIC </w:instrText>
      </w:r>
      <w:r w:rsidR="00584D62" w:rsidRPr="009B783C">
        <w:rPr>
          <w:szCs w:val="21"/>
        </w:rPr>
        <w:fldChar w:fldCharType="separate"/>
      </w:r>
      <w:r w:rsidR="00D25D56">
        <w:rPr>
          <w:noProof/>
          <w:szCs w:val="21"/>
        </w:rPr>
        <w:t>24</w:t>
      </w:r>
      <w:r w:rsidR="00584D62" w:rsidRPr="009B783C">
        <w:rPr>
          <w:szCs w:val="21"/>
        </w:rPr>
        <w:fldChar w:fldCharType="end"/>
      </w:r>
      <w:bookmarkEnd w:id="217"/>
      <w:bookmarkEnd w:id="219"/>
      <w:r w:rsidRPr="009B783C">
        <w:rPr>
          <w:szCs w:val="21"/>
        </w:rPr>
        <w:t xml:space="preserve"> | </w:t>
      </w:r>
      <w:bookmarkEnd w:id="218"/>
      <w:r w:rsidR="00C75A99" w:rsidRPr="009B783C">
        <w:rPr>
          <w:szCs w:val="21"/>
        </w:rPr>
        <w:t xml:space="preserve">Summary of presentations </w:t>
      </w:r>
      <w:r w:rsidR="004F5031" w:rsidRPr="009B783C">
        <w:rPr>
          <w:szCs w:val="21"/>
        </w:rPr>
        <w:t xml:space="preserve">to Medicare UCCs </w:t>
      </w:r>
      <w:r w:rsidR="008F31EE" w:rsidRPr="009B783C">
        <w:rPr>
          <w:szCs w:val="21"/>
        </w:rPr>
        <w:t>and source of data</w:t>
      </w:r>
      <w:r w:rsidR="008330BC" w:rsidRPr="009B783C">
        <w:rPr>
          <w:szCs w:val="21"/>
        </w:rPr>
        <w:t xml:space="preserve">, </w:t>
      </w:r>
      <w:r w:rsidR="007E6AFA" w:rsidRPr="009B783C">
        <w:rPr>
          <w:szCs w:val="21"/>
        </w:rPr>
        <w:t>30 June</w:t>
      </w:r>
      <w:r w:rsidR="004F5031" w:rsidRPr="009B783C">
        <w:rPr>
          <w:szCs w:val="21"/>
        </w:rPr>
        <w:t xml:space="preserve"> 2023 to 30 September </w:t>
      </w:r>
      <w:r w:rsidR="003B5E83" w:rsidRPr="009B783C">
        <w:rPr>
          <w:szCs w:val="21"/>
        </w:rPr>
        <w:t>20</w:t>
      </w:r>
      <w:r w:rsidR="00892DA8" w:rsidRPr="009B783C">
        <w:rPr>
          <w:szCs w:val="21"/>
        </w:rPr>
        <w:t>2</w:t>
      </w:r>
      <w:r w:rsidR="008F7F7E" w:rsidRPr="009B783C">
        <w:rPr>
          <w:szCs w:val="21"/>
        </w:rPr>
        <w:t>4</w:t>
      </w:r>
      <w:r w:rsidR="00D16816" w:rsidRPr="009B783C">
        <w:rPr>
          <w:szCs w:val="21"/>
        </w:rPr>
        <w:t xml:space="preserve"> for the i</w:t>
      </w:r>
      <w:r w:rsidR="00D16816" w:rsidRPr="009B783C">
        <w:rPr>
          <w:rFonts w:asciiTheme="majorHAnsi" w:hAnsiTheme="majorHAnsi" w:cstheme="majorHAnsi"/>
          <w:szCs w:val="21"/>
        </w:rPr>
        <w:t>nitial 58 clinics operational prior to 31 December 2023</w:t>
      </w:r>
    </w:p>
    <w:tbl>
      <w:tblPr>
        <w:tblW w:w="5000" w:type="pct"/>
        <w:jc w:val="center"/>
        <w:tblLook w:val="0420" w:firstRow="1" w:lastRow="0" w:firstColumn="0" w:lastColumn="0" w:noHBand="0" w:noVBand="1"/>
      </w:tblPr>
      <w:tblGrid>
        <w:gridCol w:w="5679"/>
        <w:gridCol w:w="1996"/>
        <w:gridCol w:w="1750"/>
        <w:gridCol w:w="2704"/>
        <w:gridCol w:w="1752"/>
      </w:tblGrid>
      <w:tr w:rsidR="002C449E" w:rsidRPr="009B783C" w14:paraId="5D45664C" w14:textId="77777777" w:rsidTr="00D16816">
        <w:trPr>
          <w:trHeight w:val="347"/>
          <w:tblHeader/>
          <w:jc w:val="center"/>
        </w:trPr>
        <w:tc>
          <w:tcPr>
            <w:tcW w:w="2046" w:type="pct"/>
            <w:tcBorders>
              <w:top w:val="single" w:sz="8" w:space="0" w:color="FFFFFF"/>
              <w:left w:val="none" w:sz="0" w:space="0" w:color="000000"/>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46145DFB" w14:textId="7241E2E2" w:rsidR="002C449E" w:rsidRPr="00107854" w:rsidRDefault="00BD2383" w:rsidP="0081279F">
            <w:pPr>
              <w:pStyle w:val="TableNheader"/>
            </w:pPr>
            <w:r>
              <w:t>Clinics operational prior to 31 December 2023</w:t>
            </w:r>
          </w:p>
        </w:tc>
        <w:tc>
          <w:tcPr>
            <w:tcW w:w="719" w:type="pct"/>
            <w:tcBorders>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16662DE5" w14:textId="1B7D8848" w:rsidR="002C449E" w:rsidRPr="00107854" w:rsidRDefault="00F648A4" w:rsidP="003E79FA">
            <w:pPr>
              <w:pStyle w:val="TableNheader"/>
            </w:pPr>
            <w:r w:rsidRPr="00107854">
              <w:rPr>
                <w:rFonts w:eastAsia="Segoe UI Semibold"/>
              </w:rPr>
              <w:t>Number of Medicare UCCs</w:t>
            </w:r>
          </w:p>
        </w:tc>
        <w:tc>
          <w:tcPr>
            <w:tcW w:w="63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68FB5725" w14:textId="425C2FCD" w:rsidR="002C449E" w:rsidRPr="00107854" w:rsidRDefault="00F648A4" w:rsidP="00107854">
            <w:pPr>
              <w:pStyle w:val="TableNheader"/>
            </w:pPr>
            <w:r w:rsidRPr="00107854">
              <w:rPr>
                <w:rFonts w:eastAsia="Segoe UI Semibold"/>
              </w:rPr>
              <w:t xml:space="preserve">Presentations, </w:t>
            </w:r>
            <w:r w:rsidR="002C449E" w:rsidRPr="00107854">
              <w:rPr>
                <w:rFonts w:eastAsia="Segoe UI Semibold"/>
              </w:rPr>
              <w:t>Total (a)</w:t>
            </w:r>
          </w:p>
        </w:tc>
        <w:tc>
          <w:tcPr>
            <w:tcW w:w="974"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0D4B260C" w14:textId="0983D8F8" w:rsidR="002C449E" w:rsidRPr="00107854" w:rsidRDefault="00F648A4" w:rsidP="00107854">
            <w:pPr>
              <w:pStyle w:val="TableNheader"/>
            </w:pPr>
            <w:r w:rsidRPr="00107854">
              <w:rPr>
                <w:rFonts w:eastAsia="Segoe UI Semibold"/>
              </w:rPr>
              <w:t>Presentations u</w:t>
            </w:r>
            <w:r w:rsidR="002C449E" w:rsidRPr="00107854">
              <w:rPr>
                <w:rFonts w:eastAsia="Segoe UI Semibold"/>
              </w:rPr>
              <w:t>nit record data</w:t>
            </w:r>
            <w:r w:rsidR="003E34F9" w:rsidRPr="00107854">
              <w:rPr>
                <w:rFonts w:eastAsia="Segoe UI Semibold"/>
              </w:rPr>
              <w:t xml:space="preserve">: </w:t>
            </w:r>
            <w:r w:rsidR="00E21E7A" w:rsidRPr="00107854">
              <w:rPr>
                <w:rFonts w:eastAsia="Segoe UI Semibold"/>
              </w:rPr>
              <w:t>i</w:t>
            </w:r>
            <w:r w:rsidR="003E34F9" w:rsidRPr="00107854">
              <w:rPr>
                <w:rFonts w:eastAsia="Segoe UI Semibold"/>
              </w:rPr>
              <w:t xml:space="preserve">nterim data extract + </w:t>
            </w:r>
            <w:r w:rsidR="00A93D9C" w:rsidRPr="00107854">
              <w:rPr>
                <w:rFonts w:eastAsia="Segoe UI Semibold"/>
              </w:rPr>
              <w:t>M</w:t>
            </w:r>
            <w:r w:rsidR="00490107" w:rsidRPr="00107854">
              <w:rPr>
                <w:rFonts w:eastAsia="Segoe UI Semibold"/>
              </w:rPr>
              <w:t>odule data</w:t>
            </w:r>
            <w:r w:rsidR="002C449E" w:rsidRPr="00107854">
              <w:rPr>
                <w:rFonts w:eastAsia="Segoe UI Semibold"/>
              </w:rPr>
              <w:t xml:space="preserve"> (b)</w:t>
            </w:r>
          </w:p>
        </w:tc>
        <w:tc>
          <w:tcPr>
            <w:tcW w:w="631"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16FF5AA7" w14:textId="25EA16D1" w:rsidR="002C449E" w:rsidRPr="00107854" w:rsidRDefault="00F648A4" w:rsidP="00107854">
            <w:pPr>
              <w:pStyle w:val="TableNheader"/>
            </w:pPr>
            <w:r w:rsidRPr="00107854">
              <w:rPr>
                <w:rFonts w:eastAsia="Segoe UI Semibold"/>
              </w:rPr>
              <w:t xml:space="preserve">Presentations, </w:t>
            </w:r>
            <w:r w:rsidR="002C449E" w:rsidRPr="00107854">
              <w:rPr>
                <w:rFonts w:eastAsia="Segoe UI Semibold"/>
              </w:rPr>
              <w:t>Module data (c)</w:t>
            </w:r>
          </w:p>
        </w:tc>
      </w:tr>
      <w:tr w:rsidR="00AC3E96" w:rsidRPr="009B783C" w14:paraId="03C116D0"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8C00B05" w14:textId="54E19CCC" w:rsidR="00AC3E96" w:rsidRPr="009B783C" w:rsidRDefault="0072748D" w:rsidP="0081279F">
            <w:pPr>
              <w:pStyle w:val="TableNText"/>
              <w:rPr>
                <w:sz w:val="21"/>
                <w:szCs w:val="21"/>
              </w:rPr>
            </w:pPr>
            <w:r w:rsidRPr="009B783C">
              <w:rPr>
                <w:sz w:val="21"/>
                <w:szCs w:val="21"/>
              </w:rPr>
              <w:t>Excluding ACT clinics</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A73B679" w14:textId="3E3149FF" w:rsidR="00AC3E96" w:rsidRPr="009B783C" w:rsidRDefault="00546928" w:rsidP="0081279F">
            <w:pPr>
              <w:pStyle w:val="TableNText"/>
              <w:jc w:val="center"/>
              <w:rPr>
                <w:sz w:val="21"/>
                <w:szCs w:val="21"/>
              </w:rPr>
            </w:pPr>
            <w:r w:rsidRPr="009B783C">
              <w:rPr>
                <w:sz w:val="21"/>
                <w:szCs w:val="21"/>
              </w:rPr>
              <w:t>53</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42C434E" w14:textId="660B6540" w:rsidR="00AC3E96" w:rsidRPr="009B783C" w:rsidRDefault="00546928" w:rsidP="0081279F">
            <w:pPr>
              <w:pStyle w:val="TableNText"/>
              <w:jc w:val="center"/>
              <w:rPr>
                <w:sz w:val="21"/>
                <w:szCs w:val="21"/>
              </w:rPr>
            </w:pPr>
            <w:r w:rsidRPr="009B783C">
              <w:rPr>
                <w:sz w:val="21"/>
                <w:szCs w:val="21"/>
              </w:rPr>
              <w:t>632,719</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11EF135" w14:textId="44E4FF5B" w:rsidR="00AC3E96" w:rsidRPr="009B783C" w:rsidRDefault="00546928" w:rsidP="0081279F">
            <w:pPr>
              <w:pStyle w:val="TableNText"/>
              <w:jc w:val="center"/>
              <w:rPr>
                <w:sz w:val="21"/>
                <w:szCs w:val="21"/>
              </w:rPr>
            </w:pPr>
            <w:r w:rsidRPr="009B783C">
              <w:rPr>
                <w:sz w:val="21"/>
                <w:szCs w:val="21"/>
              </w:rPr>
              <w:t>509,344</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B187158" w14:textId="2A578F5A" w:rsidR="00AC3E96" w:rsidRPr="009B783C" w:rsidRDefault="00B460E7" w:rsidP="0081279F">
            <w:pPr>
              <w:pStyle w:val="TableNText"/>
              <w:jc w:val="center"/>
              <w:rPr>
                <w:sz w:val="21"/>
                <w:szCs w:val="21"/>
              </w:rPr>
            </w:pPr>
            <w:r w:rsidRPr="009B783C">
              <w:rPr>
                <w:sz w:val="21"/>
                <w:szCs w:val="21"/>
              </w:rPr>
              <w:t>409,952</w:t>
            </w:r>
          </w:p>
        </w:tc>
      </w:tr>
      <w:tr w:rsidR="00AC3E96" w:rsidRPr="009B783C" w14:paraId="5AF35419"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A890165" w14:textId="53DF67E8" w:rsidR="00AC3E96" w:rsidRPr="009B783C" w:rsidRDefault="0072748D" w:rsidP="0081279F">
            <w:pPr>
              <w:pStyle w:val="TableNText"/>
              <w:rPr>
                <w:sz w:val="21"/>
                <w:szCs w:val="21"/>
              </w:rPr>
            </w:pPr>
            <w:r w:rsidRPr="009B783C">
              <w:rPr>
                <w:sz w:val="21"/>
                <w:szCs w:val="21"/>
              </w:rPr>
              <w:t xml:space="preserve">ACT </w:t>
            </w:r>
            <w:r w:rsidR="004E2B7B" w:rsidRPr="009B783C">
              <w:rPr>
                <w:sz w:val="21"/>
                <w:szCs w:val="21"/>
              </w:rPr>
              <w:t>M</w:t>
            </w:r>
            <w:r w:rsidR="0064615B" w:rsidRPr="009B783C">
              <w:rPr>
                <w:sz w:val="21"/>
                <w:szCs w:val="21"/>
              </w:rPr>
              <w:t>edicare UCCs</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50770E8" w14:textId="03F08718" w:rsidR="00AC3E96" w:rsidRPr="009B783C" w:rsidRDefault="00546928" w:rsidP="0081279F">
            <w:pPr>
              <w:pStyle w:val="TableNText"/>
              <w:jc w:val="center"/>
              <w:rPr>
                <w:sz w:val="21"/>
                <w:szCs w:val="21"/>
              </w:rPr>
            </w:pPr>
            <w:r w:rsidRPr="009B783C">
              <w:rPr>
                <w:sz w:val="21"/>
                <w:szCs w:val="21"/>
              </w:rPr>
              <w:t>5</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9835FCE" w14:textId="172A6D87" w:rsidR="00AC3E96" w:rsidRPr="009B783C" w:rsidRDefault="00546928" w:rsidP="0081279F">
            <w:pPr>
              <w:pStyle w:val="TableNText"/>
              <w:jc w:val="center"/>
              <w:rPr>
                <w:sz w:val="21"/>
                <w:szCs w:val="21"/>
              </w:rPr>
            </w:pPr>
            <w:r w:rsidRPr="009B783C">
              <w:rPr>
                <w:sz w:val="21"/>
                <w:szCs w:val="21"/>
              </w:rPr>
              <w:t>122,364</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FFF2E7C" w14:textId="2DE892C5" w:rsidR="00AC3E96" w:rsidRPr="009B783C" w:rsidRDefault="00C30075" w:rsidP="0081279F">
            <w:pPr>
              <w:pStyle w:val="TableNText"/>
              <w:jc w:val="center"/>
              <w:rPr>
                <w:sz w:val="21"/>
                <w:szCs w:val="21"/>
              </w:rPr>
            </w:pPr>
            <w:r w:rsidRPr="009B783C">
              <w:rPr>
                <w:sz w:val="21"/>
                <w:szCs w:val="21"/>
              </w:rPr>
              <w:t>0</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BA74447" w14:textId="7C234509" w:rsidR="00AC3E96" w:rsidRPr="009B783C" w:rsidRDefault="00B460E7" w:rsidP="0081279F">
            <w:pPr>
              <w:pStyle w:val="TableNText"/>
              <w:jc w:val="center"/>
              <w:rPr>
                <w:sz w:val="21"/>
                <w:szCs w:val="21"/>
              </w:rPr>
            </w:pPr>
            <w:r w:rsidRPr="009B783C">
              <w:rPr>
                <w:sz w:val="21"/>
                <w:szCs w:val="21"/>
              </w:rPr>
              <w:t>0</w:t>
            </w:r>
          </w:p>
        </w:tc>
      </w:tr>
      <w:tr w:rsidR="0064615B" w:rsidRPr="009B783C" w14:paraId="3DFA0162"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CE3B3DF" w14:textId="65D30F16" w:rsidR="0064615B" w:rsidRPr="009B783C" w:rsidRDefault="0064615B" w:rsidP="0064615B">
            <w:pPr>
              <w:pStyle w:val="TableNText"/>
              <w:rPr>
                <w:rFonts w:asciiTheme="majorHAnsi" w:hAnsiTheme="majorHAnsi" w:cstheme="majorHAnsi"/>
                <w:sz w:val="21"/>
                <w:szCs w:val="21"/>
              </w:rPr>
            </w:pPr>
            <w:r w:rsidRPr="009B783C">
              <w:rPr>
                <w:rFonts w:asciiTheme="majorHAnsi" w:hAnsiTheme="majorHAnsi" w:cstheme="majorHAnsi"/>
                <w:sz w:val="21"/>
                <w:szCs w:val="21"/>
              </w:rPr>
              <w:t>Total, initial 58 clinics operational prior to 31 December 202</w:t>
            </w:r>
            <w:r w:rsidR="00BD2383">
              <w:rPr>
                <w:rFonts w:asciiTheme="majorHAnsi" w:hAnsiTheme="majorHAnsi" w:cstheme="majorHAnsi"/>
                <w:sz w:val="21"/>
                <w:szCs w:val="21"/>
              </w:rPr>
              <w:t>3</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6784170" w14:textId="22C4DE08" w:rsidR="0064615B" w:rsidRPr="009B783C" w:rsidRDefault="0064615B" w:rsidP="0064615B">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58</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E732DD8" w14:textId="7586A0FC" w:rsidR="0064615B" w:rsidRPr="009B783C" w:rsidRDefault="0064615B" w:rsidP="0064615B">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755,083</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B28E3C" w14:textId="48DAD9B5" w:rsidR="0064615B" w:rsidRPr="009B783C" w:rsidRDefault="0064615B" w:rsidP="0064615B">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509,344</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4077AAC" w14:textId="0EDEDFD4" w:rsidR="0064615B" w:rsidRPr="009B783C" w:rsidRDefault="0064615B" w:rsidP="0064615B">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409,952</w:t>
            </w:r>
          </w:p>
        </w:tc>
      </w:tr>
    </w:tbl>
    <w:p w14:paraId="7179A50A" w14:textId="76836329" w:rsidR="00164D77" w:rsidRPr="009B783C" w:rsidRDefault="00164D77" w:rsidP="00164D77">
      <w:pPr>
        <w:pStyle w:val="Caption"/>
        <w:rPr>
          <w:szCs w:val="21"/>
        </w:rPr>
      </w:pPr>
      <w:bookmarkStart w:id="220" w:name="_Ref189648528"/>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D25D56">
        <w:rPr>
          <w:noProof/>
          <w:szCs w:val="21"/>
        </w:rPr>
        <w:t>25</w:t>
      </w:r>
      <w:r w:rsidRPr="009B783C">
        <w:rPr>
          <w:szCs w:val="21"/>
        </w:rPr>
        <w:fldChar w:fldCharType="end"/>
      </w:r>
      <w:bookmarkEnd w:id="220"/>
      <w:r w:rsidRPr="009B783C">
        <w:rPr>
          <w:szCs w:val="21"/>
        </w:rPr>
        <w:t xml:space="preserve"> | </w:t>
      </w:r>
      <w:r w:rsidR="00D16816" w:rsidRPr="009B783C">
        <w:rPr>
          <w:szCs w:val="21"/>
        </w:rPr>
        <w:t>Summary of presentations to Medicare UCCs and source of data, 30 June 2023 to 30 September 2024 for c</w:t>
      </w:r>
      <w:r w:rsidRPr="009B783C">
        <w:rPr>
          <w:szCs w:val="21"/>
        </w:rPr>
        <w:t>linics announced in the 2024-25 Budget, operational prior to 30 September 2024</w:t>
      </w:r>
    </w:p>
    <w:tbl>
      <w:tblPr>
        <w:tblW w:w="4996" w:type="pct"/>
        <w:jc w:val="center"/>
        <w:tblLook w:val="0420" w:firstRow="1" w:lastRow="0" w:firstColumn="0" w:lastColumn="0" w:noHBand="0" w:noVBand="1"/>
      </w:tblPr>
      <w:tblGrid>
        <w:gridCol w:w="5679"/>
        <w:gridCol w:w="1995"/>
        <w:gridCol w:w="1750"/>
        <w:gridCol w:w="2704"/>
        <w:gridCol w:w="1752"/>
      </w:tblGrid>
      <w:tr w:rsidR="00BD5403" w:rsidRPr="009B783C" w14:paraId="7CA61A94" w14:textId="77777777" w:rsidTr="00BC7584">
        <w:trPr>
          <w:tblHeader/>
          <w:jc w:val="center"/>
        </w:trPr>
        <w:tc>
          <w:tcPr>
            <w:tcW w:w="2046"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7592FC82" w14:textId="2A09CFB4" w:rsidR="00BD5403" w:rsidRPr="00107854" w:rsidRDefault="00BD2383" w:rsidP="00107854">
            <w:pPr>
              <w:pStyle w:val="TableNheader"/>
            </w:pPr>
            <w:r>
              <w:t xml:space="preserve">Clinics </w:t>
            </w:r>
            <w:r w:rsidR="00D26576">
              <w:t>announced in the 2024-25 budget, operational prior to 30 September 2024</w:t>
            </w:r>
          </w:p>
        </w:tc>
        <w:tc>
          <w:tcPr>
            <w:tcW w:w="719"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22EE0C14" w14:textId="443C84E4" w:rsidR="00BD5403" w:rsidRPr="00107854" w:rsidRDefault="00BD5403" w:rsidP="00107854">
            <w:pPr>
              <w:pStyle w:val="TableNheader"/>
            </w:pPr>
            <w:r w:rsidRPr="00107854">
              <w:rPr>
                <w:rFonts w:eastAsia="Segoe UI Semibold"/>
              </w:rPr>
              <w:t>Number of Medicare UCCs</w:t>
            </w:r>
          </w:p>
        </w:tc>
        <w:tc>
          <w:tcPr>
            <w:tcW w:w="630"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215210B1" w14:textId="60C2FFDC" w:rsidR="00BD5403" w:rsidRPr="00107854" w:rsidRDefault="00BD5403" w:rsidP="00107854">
            <w:pPr>
              <w:pStyle w:val="TableNheader"/>
            </w:pPr>
            <w:r w:rsidRPr="00107854">
              <w:rPr>
                <w:rFonts w:eastAsia="Segoe UI Semibold"/>
              </w:rPr>
              <w:t>Presentations, Total (a)</w:t>
            </w:r>
          </w:p>
        </w:tc>
        <w:tc>
          <w:tcPr>
            <w:tcW w:w="974"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64571D55" w14:textId="33DE7D61" w:rsidR="00BD5403" w:rsidRPr="00107854" w:rsidRDefault="00BD5403" w:rsidP="00107854">
            <w:pPr>
              <w:pStyle w:val="TableNheader"/>
            </w:pPr>
            <w:r w:rsidRPr="00107854">
              <w:rPr>
                <w:rFonts w:eastAsia="Segoe UI Semibold"/>
              </w:rPr>
              <w:t>Presentations unit record data: interim data extract + Module data (b)</w:t>
            </w:r>
          </w:p>
        </w:tc>
        <w:tc>
          <w:tcPr>
            <w:tcW w:w="631"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7D0D2735" w14:textId="797CBFA3" w:rsidR="00BD5403" w:rsidRPr="00107854" w:rsidRDefault="00BD5403" w:rsidP="00107854">
            <w:pPr>
              <w:pStyle w:val="TableNheader"/>
            </w:pPr>
            <w:r w:rsidRPr="00107854">
              <w:rPr>
                <w:rFonts w:eastAsia="Segoe UI Semibold"/>
              </w:rPr>
              <w:t>Presentations, Module data (c)</w:t>
            </w:r>
          </w:p>
        </w:tc>
      </w:tr>
      <w:tr w:rsidR="00F754AD" w:rsidRPr="009B783C" w14:paraId="482B6344"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9402B62" w14:textId="3E829FAE" w:rsidR="00F754AD" w:rsidRPr="009B783C" w:rsidRDefault="00F754AD" w:rsidP="0081279F">
            <w:pPr>
              <w:pStyle w:val="TableNText"/>
              <w:rPr>
                <w:sz w:val="21"/>
                <w:szCs w:val="21"/>
              </w:rPr>
            </w:pPr>
            <w:r w:rsidRPr="009B783C">
              <w:rPr>
                <w:sz w:val="21"/>
                <w:szCs w:val="21"/>
              </w:rPr>
              <w:t>Clinics with unit record data</w:t>
            </w:r>
            <w:r w:rsidR="00C7456B" w:rsidRPr="009B783C">
              <w:rPr>
                <w:sz w:val="21"/>
                <w:szCs w:val="21"/>
              </w:rPr>
              <w:t xml:space="preserve"> </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DCD1363" w14:textId="2FEF42FC" w:rsidR="00F754AD" w:rsidRPr="009B783C" w:rsidRDefault="001510AB" w:rsidP="0081279F">
            <w:pPr>
              <w:pStyle w:val="TableNText"/>
              <w:jc w:val="center"/>
              <w:rPr>
                <w:sz w:val="21"/>
                <w:szCs w:val="21"/>
              </w:rPr>
            </w:pPr>
            <w:r w:rsidRPr="009B783C">
              <w:rPr>
                <w:sz w:val="21"/>
                <w:szCs w:val="21"/>
              </w:rPr>
              <w:t>10</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F6D8D10" w14:textId="25979EC7" w:rsidR="00F754AD" w:rsidRPr="009B783C" w:rsidRDefault="005D1490" w:rsidP="0081279F">
            <w:pPr>
              <w:pStyle w:val="TableNText"/>
              <w:jc w:val="center"/>
              <w:rPr>
                <w:sz w:val="21"/>
                <w:szCs w:val="21"/>
              </w:rPr>
            </w:pPr>
            <w:r w:rsidRPr="009B783C">
              <w:rPr>
                <w:sz w:val="21"/>
                <w:szCs w:val="21"/>
              </w:rPr>
              <w:t>22,638</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8C97F52" w14:textId="6DF0B262" w:rsidR="00F754AD" w:rsidRPr="009B783C" w:rsidRDefault="00C7456B" w:rsidP="0081279F">
            <w:pPr>
              <w:pStyle w:val="TableNText"/>
              <w:jc w:val="center"/>
              <w:rPr>
                <w:sz w:val="21"/>
                <w:szCs w:val="21"/>
              </w:rPr>
            </w:pPr>
            <w:r w:rsidRPr="009B783C">
              <w:rPr>
                <w:sz w:val="21"/>
                <w:szCs w:val="21"/>
              </w:rPr>
              <w:t>16,527</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52644D5" w14:textId="300E877E" w:rsidR="00F754AD" w:rsidRPr="009B783C" w:rsidRDefault="00C7456B" w:rsidP="0081279F">
            <w:pPr>
              <w:pStyle w:val="TableNText"/>
              <w:jc w:val="center"/>
              <w:rPr>
                <w:sz w:val="21"/>
                <w:szCs w:val="21"/>
              </w:rPr>
            </w:pPr>
            <w:r w:rsidRPr="009B783C">
              <w:rPr>
                <w:sz w:val="21"/>
                <w:szCs w:val="21"/>
              </w:rPr>
              <w:t>16,527</w:t>
            </w:r>
          </w:p>
        </w:tc>
      </w:tr>
      <w:tr w:rsidR="00F754AD" w:rsidRPr="009B783C" w14:paraId="35BD871E"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4149B40" w14:textId="227093B5" w:rsidR="00F754AD" w:rsidRPr="009B783C" w:rsidRDefault="00B41427" w:rsidP="0081279F">
            <w:pPr>
              <w:pStyle w:val="TableNText"/>
              <w:rPr>
                <w:sz w:val="21"/>
                <w:szCs w:val="21"/>
              </w:rPr>
            </w:pPr>
            <w:r w:rsidRPr="009B783C">
              <w:rPr>
                <w:sz w:val="21"/>
                <w:szCs w:val="21"/>
              </w:rPr>
              <w:t>Clinics without unit record data</w:t>
            </w:r>
            <w:r w:rsidR="00A668A5" w:rsidRPr="009B783C">
              <w:rPr>
                <w:sz w:val="21"/>
                <w:szCs w:val="21"/>
              </w:rPr>
              <w:t>, excluding remote NT</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594C171" w14:textId="435D5AFB" w:rsidR="00F754AD" w:rsidRPr="009B783C" w:rsidRDefault="00842525" w:rsidP="0081279F">
            <w:pPr>
              <w:pStyle w:val="TableNText"/>
              <w:jc w:val="center"/>
              <w:rPr>
                <w:sz w:val="21"/>
                <w:szCs w:val="21"/>
              </w:rPr>
            </w:pPr>
            <w:r w:rsidRPr="009B783C">
              <w:rPr>
                <w:sz w:val="21"/>
                <w:szCs w:val="21"/>
              </w:rPr>
              <w:t>4</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6CDC1B3" w14:textId="6A21A509" w:rsidR="00F754AD" w:rsidRPr="009B783C" w:rsidRDefault="00C7456B" w:rsidP="0081279F">
            <w:pPr>
              <w:pStyle w:val="TableNText"/>
              <w:jc w:val="center"/>
              <w:rPr>
                <w:sz w:val="21"/>
                <w:szCs w:val="21"/>
              </w:rPr>
            </w:pPr>
            <w:r w:rsidRPr="009B783C">
              <w:rPr>
                <w:sz w:val="21"/>
                <w:szCs w:val="21"/>
              </w:rPr>
              <w:t>4,175</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E8CCBF8" w14:textId="5F28E9EA" w:rsidR="00F754AD" w:rsidRPr="009B783C" w:rsidRDefault="00C7456B" w:rsidP="0081279F">
            <w:pPr>
              <w:pStyle w:val="TableNText"/>
              <w:jc w:val="center"/>
              <w:rPr>
                <w:sz w:val="21"/>
                <w:szCs w:val="21"/>
              </w:rPr>
            </w:pPr>
            <w:r w:rsidRPr="009B783C">
              <w:rPr>
                <w:sz w:val="21"/>
                <w:szCs w:val="21"/>
              </w:rPr>
              <w:t>0</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A7997B3" w14:textId="5CCE0E79" w:rsidR="00F754AD" w:rsidRPr="009B783C" w:rsidRDefault="00C7456B" w:rsidP="0081279F">
            <w:pPr>
              <w:pStyle w:val="TableNText"/>
              <w:jc w:val="center"/>
              <w:rPr>
                <w:sz w:val="21"/>
                <w:szCs w:val="21"/>
              </w:rPr>
            </w:pPr>
            <w:r w:rsidRPr="009B783C">
              <w:rPr>
                <w:sz w:val="21"/>
                <w:szCs w:val="21"/>
              </w:rPr>
              <w:t>0</w:t>
            </w:r>
          </w:p>
        </w:tc>
      </w:tr>
      <w:tr w:rsidR="00B460E7" w:rsidRPr="009B783C" w14:paraId="1A4187BA"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784930A" w14:textId="2E786A32" w:rsidR="00B460E7" w:rsidRPr="009B783C" w:rsidRDefault="00A668A5" w:rsidP="0081279F">
            <w:pPr>
              <w:pStyle w:val="TableNText"/>
              <w:rPr>
                <w:sz w:val="21"/>
                <w:szCs w:val="21"/>
              </w:rPr>
            </w:pPr>
            <w:r w:rsidRPr="009B783C">
              <w:rPr>
                <w:sz w:val="21"/>
                <w:szCs w:val="21"/>
              </w:rPr>
              <w:t>Remote NT clinics</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409D1A2" w14:textId="6F78189C" w:rsidR="00B460E7" w:rsidRPr="009B783C" w:rsidRDefault="00842525" w:rsidP="0081279F">
            <w:pPr>
              <w:pStyle w:val="TableNText"/>
              <w:jc w:val="center"/>
              <w:rPr>
                <w:sz w:val="21"/>
                <w:szCs w:val="21"/>
              </w:rPr>
            </w:pPr>
            <w:r w:rsidRPr="009B783C">
              <w:rPr>
                <w:sz w:val="21"/>
                <w:szCs w:val="21"/>
              </w:rPr>
              <w:t>3</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7BBF603" w14:textId="6088120A" w:rsidR="00B460E7" w:rsidRPr="009B783C" w:rsidRDefault="00C7456B" w:rsidP="0081279F">
            <w:pPr>
              <w:pStyle w:val="TableNText"/>
              <w:jc w:val="center"/>
              <w:rPr>
                <w:sz w:val="21"/>
                <w:szCs w:val="21"/>
              </w:rPr>
            </w:pPr>
            <w:r w:rsidRPr="009B783C">
              <w:rPr>
                <w:sz w:val="21"/>
                <w:szCs w:val="21"/>
              </w:rPr>
              <w:t>2,175</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0D9B9D8" w14:textId="3FA29F82" w:rsidR="00B460E7" w:rsidRPr="009B783C" w:rsidRDefault="00C7456B" w:rsidP="0081279F">
            <w:pPr>
              <w:pStyle w:val="TableNText"/>
              <w:jc w:val="center"/>
              <w:rPr>
                <w:sz w:val="21"/>
                <w:szCs w:val="21"/>
              </w:rPr>
            </w:pPr>
            <w:r w:rsidRPr="009B783C">
              <w:rPr>
                <w:sz w:val="21"/>
                <w:szCs w:val="21"/>
              </w:rPr>
              <w:t>0</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BBB448C" w14:textId="680E2666" w:rsidR="00B460E7" w:rsidRPr="009B783C" w:rsidRDefault="00C7456B" w:rsidP="0081279F">
            <w:pPr>
              <w:pStyle w:val="TableNText"/>
              <w:jc w:val="center"/>
              <w:rPr>
                <w:sz w:val="21"/>
                <w:szCs w:val="21"/>
              </w:rPr>
            </w:pPr>
            <w:r w:rsidRPr="009B783C">
              <w:rPr>
                <w:sz w:val="21"/>
                <w:szCs w:val="21"/>
              </w:rPr>
              <w:t>0</w:t>
            </w:r>
          </w:p>
        </w:tc>
      </w:tr>
      <w:tr w:rsidR="00B460E7" w:rsidRPr="009B783C" w14:paraId="488728A3"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2F5EC9E" w14:textId="0DE8675C" w:rsidR="00B460E7" w:rsidRPr="009B783C" w:rsidRDefault="001510AB" w:rsidP="0081279F">
            <w:pPr>
              <w:pStyle w:val="TableNText"/>
              <w:rPr>
                <w:rFonts w:asciiTheme="majorHAnsi" w:hAnsiTheme="majorHAnsi" w:cstheme="majorHAnsi"/>
                <w:sz w:val="21"/>
                <w:szCs w:val="21"/>
              </w:rPr>
            </w:pPr>
            <w:r w:rsidRPr="009B783C">
              <w:rPr>
                <w:rFonts w:asciiTheme="majorHAnsi" w:hAnsiTheme="majorHAnsi" w:cstheme="majorHAnsi"/>
                <w:sz w:val="21"/>
                <w:szCs w:val="21"/>
              </w:rPr>
              <w:lastRenderedPageBreak/>
              <w:t>Total, clinics announced in the 2024</w:t>
            </w:r>
            <w:r w:rsidR="000C7003" w:rsidRPr="009B783C">
              <w:rPr>
                <w:rFonts w:asciiTheme="majorHAnsi" w:hAnsiTheme="majorHAnsi" w:cstheme="majorHAnsi"/>
                <w:sz w:val="21"/>
                <w:szCs w:val="21"/>
              </w:rPr>
              <w:t>-</w:t>
            </w:r>
            <w:r w:rsidRPr="009B783C">
              <w:rPr>
                <w:rFonts w:asciiTheme="majorHAnsi" w:hAnsiTheme="majorHAnsi" w:cstheme="majorHAnsi"/>
                <w:sz w:val="21"/>
                <w:szCs w:val="21"/>
              </w:rPr>
              <w:t xml:space="preserve">25 </w:t>
            </w:r>
            <w:r w:rsidR="00E21E7A" w:rsidRPr="009B783C">
              <w:rPr>
                <w:rFonts w:asciiTheme="majorHAnsi" w:hAnsiTheme="majorHAnsi" w:cstheme="majorHAnsi"/>
                <w:sz w:val="21"/>
                <w:szCs w:val="21"/>
              </w:rPr>
              <w:t>B</w:t>
            </w:r>
            <w:r w:rsidRPr="009B783C">
              <w:rPr>
                <w:rFonts w:asciiTheme="majorHAnsi" w:hAnsiTheme="majorHAnsi" w:cstheme="majorHAnsi"/>
                <w:sz w:val="21"/>
                <w:szCs w:val="21"/>
              </w:rPr>
              <w:t>udget, operational prior to 30 September 2024</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F8347F5" w14:textId="462D0C8F" w:rsidR="00B460E7" w:rsidRPr="009B783C" w:rsidRDefault="001510AB" w:rsidP="0081279F">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17</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A6C64B0" w14:textId="4947A13E" w:rsidR="00B460E7" w:rsidRPr="009B783C" w:rsidRDefault="001510AB" w:rsidP="0081279F">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28,988</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B5F6FF4" w14:textId="5C019273" w:rsidR="00B460E7" w:rsidRPr="009B783C" w:rsidRDefault="001510AB" w:rsidP="0081279F">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16,527</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756D070" w14:textId="435C3831" w:rsidR="00B460E7" w:rsidRPr="009B783C" w:rsidRDefault="001510AB" w:rsidP="0081279F">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16,527</w:t>
            </w:r>
          </w:p>
        </w:tc>
      </w:tr>
    </w:tbl>
    <w:p w14:paraId="7FD2B9E9" w14:textId="30F21642" w:rsidR="00164D77" w:rsidRPr="009B783C" w:rsidRDefault="00164D77" w:rsidP="00164D77">
      <w:pPr>
        <w:pStyle w:val="Caption"/>
        <w:rPr>
          <w:szCs w:val="21"/>
        </w:rPr>
      </w:pPr>
      <w:bookmarkStart w:id="221" w:name="_Ref189648531"/>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D25D56">
        <w:rPr>
          <w:noProof/>
          <w:szCs w:val="21"/>
        </w:rPr>
        <w:t>26</w:t>
      </w:r>
      <w:r w:rsidRPr="009B783C">
        <w:rPr>
          <w:szCs w:val="21"/>
        </w:rPr>
        <w:fldChar w:fldCharType="end"/>
      </w:r>
      <w:bookmarkEnd w:id="221"/>
      <w:r w:rsidRPr="009B783C">
        <w:rPr>
          <w:szCs w:val="21"/>
        </w:rPr>
        <w:t xml:space="preserve"> | </w:t>
      </w:r>
      <w:r w:rsidR="00D16816" w:rsidRPr="009B783C">
        <w:rPr>
          <w:szCs w:val="21"/>
        </w:rPr>
        <w:t>Summary of presentations to Medicare UCCs and source of data, 30 June 2023 to 30 September 2024 for a</w:t>
      </w:r>
      <w:r w:rsidRPr="009B783C">
        <w:rPr>
          <w:szCs w:val="21"/>
        </w:rPr>
        <w:t>ll clinics</w:t>
      </w:r>
    </w:p>
    <w:tbl>
      <w:tblPr>
        <w:tblW w:w="4996" w:type="pct"/>
        <w:jc w:val="center"/>
        <w:tblLook w:val="0420" w:firstRow="1" w:lastRow="0" w:firstColumn="0" w:lastColumn="0" w:noHBand="0" w:noVBand="1"/>
      </w:tblPr>
      <w:tblGrid>
        <w:gridCol w:w="5679"/>
        <w:gridCol w:w="1995"/>
        <w:gridCol w:w="1750"/>
        <w:gridCol w:w="2704"/>
        <w:gridCol w:w="1752"/>
      </w:tblGrid>
      <w:tr w:rsidR="00BD5403" w:rsidRPr="009B783C" w14:paraId="1D280544" w14:textId="77777777" w:rsidTr="00BC7584">
        <w:trPr>
          <w:tblHeader/>
          <w:jc w:val="center"/>
        </w:trPr>
        <w:tc>
          <w:tcPr>
            <w:tcW w:w="2046"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3B7ACF1E" w14:textId="1B16A3F1" w:rsidR="00BD5403" w:rsidRPr="009B783C" w:rsidRDefault="00766C73" w:rsidP="00107854">
            <w:pPr>
              <w:pStyle w:val="TableNheader"/>
            </w:pPr>
            <w:r>
              <w:t>All c</w:t>
            </w:r>
            <w:r w:rsidR="00C8642D">
              <w:t>linics</w:t>
            </w:r>
            <w:r>
              <w:t xml:space="preserve"> </w:t>
            </w:r>
            <w:r w:rsidR="00794B78">
              <w:t xml:space="preserve">(operational and/or announced) as </w:t>
            </w:r>
            <w:proofErr w:type="gramStart"/>
            <w:r w:rsidR="00794B78">
              <w:t>at</w:t>
            </w:r>
            <w:proofErr w:type="gramEnd"/>
            <w:r w:rsidR="00794B78">
              <w:t xml:space="preserve"> 30 September 2024</w:t>
            </w:r>
          </w:p>
        </w:tc>
        <w:tc>
          <w:tcPr>
            <w:tcW w:w="719"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71688584" w14:textId="13181825" w:rsidR="00BD5403" w:rsidRPr="009B783C" w:rsidRDefault="00BD5403" w:rsidP="00107854">
            <w:pPr>
              <w:pStyle w:val="TableNheader"/>
              <w:rPr>
                <w:rFonts w:asciiTheme="majorHAnsi" w:hAnsiTheme="majorHAnsi" w:cstheme="majorHAnsi"/>
              </w:rPr>
            </w:pPr>
            <w:r w:rsidRPr="009B783C">
              <w:rPr>
                <w:rFonts w:asciiTheme="majorHAnsi" w:eastAsia="Segoe UI Semibold" w:hAnsiTheme="majorHAnsi" w:cstheme="majorHAnsi"/>
              </w:rPr>
              <w:t>Number of Medicare UCCs</w:t>
            </w:r>
          </w:p>
        </w:tc>
        <w:tc>
          <w:tcPr>
            <w:tcW w:w="630"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51D70E11" w14:textId="1E62F9F4" w:rsidR="00BD5403" w:rsidRPr="009B783C" w:rsidRDefault="00BD5403" w:rsidP="00107854">
            <w:pPr>
              <w:pStyle w:val="TableNheader"/>
              <w:rPr>
                <w:rFonts w:asciiTheme="majorHAnsi" w:hAnsiTheme="majorHAnsi" w:cstheme="majorHAnsi"/>
              </w:rPr>
            </w:pPr>
            <w:r w:rsidRPr="009B783C">
              <w:rPr>
                <w:rFonts w:asciiTheme="majorHAnsi" w:eastAsia="Segoe UI Semibold" w:hAnsiTheme="majorHAnsi" w:cstheme="majorHAnsi"/>
              </w:rPr>
              <w:t>Presentations, Total (a)</w:t>
            </w:r>
          </w:p>
        </w:tc>
        <w:tc>
          <w:tcPr>
            <w:tcW w:w="974"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4243786B" w14:textId="561BD1CE" w:rsidR="00BD5403" w:rsidRPr="009B783C" w:rsidRDefault="00BD5403" w:rsidP="00107854">
            <w:pPr>
              <w:pStyle w:val="TableNheader"/>
              <w:rPr>
                <w:rFonts w:asciiTheme="majorHAnsi" w:hAnsiTheme="majorHAnsi" w:cstheme="majorHAnsi"/>
              </w:rPr>
            </w:pPr>
            <w:r w:rsidRPr="009B783C">
              <w:rPr>
                <w:rFonts w:asciiTheme="majorHAnsi" w:eastAsia="Segoe UI Semibold" w:hAnsiTheme="majorHAnsi" w:cstheme="majorHAnsi"/>
              </w:rPr>
              <w:t>Presentations unit record data: interim data extract + Module data (b)</w:t>
            </w:r>
          </w:p>
        </w:tc>
        <w:tc>
          <w:tcPr>
            <w:tcW w:w="631" w:type="pct"/>
            <w:tcBorders>
              <w:top w:val="single" w:sz="8" w:space="0" w:color="E6E6E1"/>
              <w:left w:val="none" w:sz="0" w:space="0" w:color="000000"/>
              <w:bottom w:val="single" w:sz="4" w:space="0" w:color="00264D" w:themeColor="background2"/>
              <w:right w:val="none" w:sz="0" w:space="0" w:color="000000"/>
            </w:tcBorders>
            <w:shd w:val="clear" w:color="auto" w:fill="00264D" w:themeFill="background2"/>
            <w:tcMar>
              <w:top w:w="80" w:type="dxa"/>
              <w:left w:w="140" w:type="dxa"/>
              <w:bottom w:w="80" w:type="dxa"/>
              <w:right w:w="140" w:type="dxa"/>
            </w:tcMar>
            <w:vAlign w:val="center"/>
          </w:tcPr>
          <w:p w14:paraId="316F7D55" w14:textId="044CAAF6" w:rsidR="00BD5403" w:rsidRPr="009B783C" w:rsidRDefault="00BD5403" w:rsidP="00107854">
            <w:pPr>
              <w:pStyle w:val="TableNheader"/>
              <w:rPr>
                <w:rFonts w:asciiTheme="majorHAnsi" w:hAnsiTheme="majorHAnsi" w:cstheme="majorHAnsi"/>
              </w:rPr>
            </w:pPr>
            <w:r w:rsidRPr="009B783C">
              <w:rPr>
                <w:rFonts w:asciiTheme="majorHAnsi" w:eastAsia="Segoe UI Semibold" w:hAnsiTheme="majorHAnsi" w:cstheme="majorHAnsi"/>
              </w:rPr>
              <w:t>Presentations, Module data (c)</w:t>
            </w:r>
          </w:p>
        </w:tc>
      </w:tr>
      <w:tr w:rsidR="002C449E" w:rsidRPr="009B783C" w14:paraId="3DBE0DC6"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39513E2" w14:textId="77777777" w:rsidR="002C449E" w:rsidRPr="009B783C" w:rsidRDefault="002C449E" w:rsidP="0081279F">
            <w:pPr>
              <w:pStyle w:val="TableNText"/>
              <w:rPr>
                <w:sz w:val="21"/>
                <w:szCs w:val="21"/>
              </w:rPr>
            </w:pPr>
            <w:r w:rsidRPr="009B783C">
              <w:rPr>
                <w:sz w:val="21"/>
                <w:szCs w:val="21"/>
              </w:rPr>
              <w:t xml:space="preserve">Subtotal of clinics operational </w:t>
            </w:r>
            <w:proofErr w:type="gramStart"/>
            <w:r w:rsidRPr="009B783C">
              <w:rPr>
                <w:sz w:val="21"/>
                <w:szCs w:val="21"/>
              </w:rPr>
              <w:t>at</w:t>
            </w:r>
            <w:proofErr w:type="gramEnd"/>
            <w:r w:rsidRPr="009B783C">
              <w:rPr>
                <w:sz w:val="21"/>
                <w:szCs w:val="21"/>
              </w:rPr>
              <w:t xml:space="preserve"> 30 September 2024</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9288397" w14:textId="77777777" w:rsidR="002C449E" w:rsidRPr="009B783C" w:rsidRDefault="002C449E" w:rsidP="00DE7C89">
            <w:pPr>
              <w:pStyle w:val="TableNText"/>
              <w:jc w:val="center"/>
              <w:rPr>
                <w:sz w:val="21"/>
                <w:szCs w:val="21"/>
              </w:rPr>
            </w:pPr>
            <w:r w:rsidRPr="009B783C">
              <w:rPr>
                <w:sz w:val="21"/>
                <w:szCs w:val="21"/>
              </w:rPr>
              <w:t>75</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24D246E" w14:textId="3E8CC33E" w:rsidR="002C449E" w:rsidRPr="009B783C" w:rsidRDefault="002C449E" w:rsidP="00DE7C89">
            <w:pPr>
              <w:pStyle w:val="TableNText"/>
              <w:jc w:val="center"/>
              <w:rPr>
                <w:sz w:val="21"/>
                <w:szCs w:val="21"/>
              </w:rPr>
            </w:pPr>
            <w:r w:rsidRPr="009B783C">
              <w:rPr>
                <w:sz w:val="21"/>
                <w:szCs w:val="21"/>
              </w:rPr>
              <w:t>784,0</w:t>
            </w:r>
            <w:r w:rsidR="007822EE" w:rsidRPr="009B783C">
              <w:rPr>
                <w:sz w:val="21"/>
                <w:szCs w:val="21"/>
              </w:rPr>
              <w:t>71</w:t>
            </w: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47B4B01" w14:textId="54ADE3D6" w:rsidR="002C449E" w:rsidRPr="009B783C" w:rsidRDefault="002C449E" w:rsidP="00DE7C89">
            <w:pPr>
              <w:pStyle w:val="TableNText"/>
              <w:jc w:val="center"/>
              <w:rPr>
                <w:sz w:val="21"/>
                <w:szCs w:val="21"/>
              </w:rPr>
            </w:pPr>
            <w:r w:rsidRPr="009B783C">
              <w:rPr>
                <w:sz w:val="21"/>
                <w:szCs w:val="21"/>
              </w:rPr>
              <w:t>525,8</w:t>
            </w:r>
            <w:r w:rsidR="007822EE" w:rsidRPr="009B783C">
              <w:rPr>
                <w:sz w:val="21"/>
                <w:szCs w:val="21"/>
              </w:rPr>
              <w:t>71</w:t>
            </w: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8F9444C" w14:textId="77777777" w:rsidR="002C449E" w:rsidRPr="009B783C" w:rsidRDefault="002C449E" w:rsidP="00DE7C89">
            <w:pPr>
              <w:pStyle w:val="TableNText"/>
              <w:jc w:val="center"/>
              <w:rPr>
                <w:sz w:val="21"/>
                <w:szCs w:val="21"/>
              </w:rPr>
            </w:pPr>
            <w:r w:rsidRPr="009B783C">
              <w:rPr>
                <w:sz w:val="21"/>
                <w:szCs w:val="21"/>
              </w:rPr>
              <w:t>426,479</w:t>
            </w:r>
          </w:p>
        </w:tc>
      </w:tr>
      <w:tr w:rsidR="002C449E" w:rsidRPr="009B783C" w14:paraId="58EFC6DC"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F232990" w14:textId="27D1E37B" w:rsidR="002C449E" w:rsidRPr="009B783C" w:rsidRDefault="002C449E" w:rsidP="0081279F">
            <w:pPr>
              <w:pStyle w:val="TableNText"/>
              <w:rPr>
                <w:sz w:val="21"/>
                <w:szCs w:val="21"/>
              </w:rPr>
            </w:pPr>
            <w:r w:rsidRPr="009B783C">
              <w:rPr>
                <w:sz w:val="21"/>
                <w:szCs w:val="21"/>
              </w:rPr>
              <w:t>Clinics announced in the 2024</w:t>
            </w:r>
            <w:r w:rsidR="000C7003" w:rsidRPr="009B783C">
              <w:rPr>
                <w:sz w:val="21"/>
                <w:szCs w:val="21"/>
              </w:rPr>
              <w:t>-</w:t>
            </w:r>
            <w:r w:rsidRPr="009B783C">
              <w:rPr>
                <w:sz w:val="21"/>
                <w:szCs w:val="21"/>
              </w:rPr>
              <w:t xml:space="preserve">25 </w:t>
            </w:r>
            <w:r w:rsidR="00E21E7A" w:rsidRPr="009B783C">
              <w:rPr>
                <w:sz w:val="21"/>
                <w:szCs w:val="21"/>
              </w:rPr>
              <w:t>B</w:t>
            </w:r>
            <w:r w:rsidRPr="009B783C">
              <w:rPr>
                <w:sz w:val="21"/>
                <w:szCs w:val="21"/>
              </w:rPr>
              <w:t>udget, that are not yet operational</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2FE61D6" w14:textId="77777777" w:rsidR="002C449E" w:rsidRPr="009B783C" w:rsidRDefault="002C449E" w:rsidP="0081279F">
            <w:pPr>
              <w:pStyle w:val="TableNText"/>
              <w:jc w:val="center"/>
              <w:rPr>
                <w:sz w:val="21"/>
                <w:szCs w:val="21"/>
              </w:rPr>
            </w:pPr>
            <w:r w:rsidRPr="009B783C">
              <w:rPr>
                <w:sz w:val="21"/>
                <w:szCs w:val="21"/>
              </w:rPr>
              <w:t>12</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3FC377E" w14:textId="77777777" w:rsidR="002C449E" w:rsidRPr="009B783C" w:rsidRDefault="002C449E" w:rsidP="0081279F">
            <w:pPr>
              <w:pStyle w:val="TableNText"/>
              <w:jc w:val="center"/>
              <w:rPr>
                <w:sz w:val="21"/>
                <w:szCs w:val="21"/>
              </w:rPr>
            </w:pP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DE9B410" w14:textId="77777777" w:rsidR="002C449E" w:rsidRPr="009B783C" w:rsidRDefault="002C449E" w:rsidP="0081279F">
            <w:pPr>
              <w:pStyle w:val="TableNText"/>
              <w:jc w:val="center"/>
              <w:rPr>
                <w:sz w:val="21"/>
                <w:szCs w:val="21"/>
              </w:rPr>
            </w:pP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9ADBB1B" w14:textId="77777777" w:rsidR="002C449E" w:rsidRPr="009B783C" w:rsidRDefault="002C449E" w:rsidP="0081279F">
            <w:pPr>
              <w:pStyle w:val="TableNText"/>
              <w:jc w:val="center"/>
              <w:rPr>
                <w:sz w:val="21"/>
                <w:szCs w:val="21"/>
              </w:rPr>
            </w:pPr>
          </w:p>
        </w:tc>
      </w:tr>
      <w:tr w:rsidR="002C449E" w:rsidRPr="009B783C" w14:paraId="41CA8C8C" w14:textId="77777777" w:rsidTr="00D16816">
        <w:trPr>
          <w:jc w:val="center"/>
        </w:trPr>
        <w:tc>
          <w:tcPr>
            <w:tcW w:w="204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1ACCDC7" w14:textId="77777777" w:rsidR="002C449E" w:rsidRPr="009B783C" w:rsidRDefault="002C449E" w:rsidP="0081279F">
            <w:pPr>
              <w:pStyle w:val="TableNText"/>
              <w:rPr>
                <w:rFonts w:asciiTheme="majorHAnsi" w:hAnsiTheme="majorHAnsi" w:cstheme="majorHAnsi"/>
                <w:sz w:val="21"/>
                <w:szCs w:val="21"/>
              </w:rPr>
            </w:pPr>
            <w:r w:rsidRPr="009B783C">
              <w:rPr>
                <w:rFonts w:asciiTheme="majorHAnsi" w:hAnsiTheme="majorHAnsi" w:cstheme="majorHAnsi"/>
                <w:sz w:val="21"/>
                <w:szCs w:val="21"/>
              </w:rPr>
              <w:t>Total</w:t>
            </w:r>
          </w:p>
        </w:tc>
        <w:tc>
          <w:tcPr>
            <w:tcW w:w="71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D5EF554" w14:textId="77777777" w:rsidR="002C449E" w:rsidRPr="009B783C" w:rsidRDefault="002C449E" w:rsidP="0081279F">
            <w:pPr>
              <w:pStyle w:val="TableNText"/>
              <w:jc w:val="center"/>
              <w:rPr>
                <w:rFonts w:asciiTheme="majorHAnsi" w:hAnsiTheme="majorHAnsi" w:cstheme="majorHAnsi"/>
                <w:sz w:val="21"/>
                <w:szCs w:val="21"/>
              </w:rPr>
            </w:pPr>
            <w:r w:rsidRPr="009B783C">
              <w:rPr>
                <w:rFonts w:asciiTheme="majorHAnsi" w:hAnsiTheme="majorHAnsi" w:cstheme="majorHAnsi"/>
                <w:sz w:val="21"/>
                <w:szCs w:val="21"/>
              </w:rPr>
              <w:t>87</w:t>
            </w:r>
          </w:p>
        </w:tc>
        <w:tc>
          <w:tcPr>
            <w:tcW w:w="6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EF66D8A" w14:textId="77777777" w:rsidR="002C449E" w:rsidRPr="009B783C" w:rsidRDefault="002C449E" w:rsidP="0081279F">
            <w:pPr>
              <w:pStyle w:val="TableNText"/>
              <w:jc w:val="center"/>
              <w:rPr>
                <w:sz w:val="21"/>
                <w:szCs w:val="21"/>
              </w:rPr>
            </w:pPr>
          </w:p>
        </w:tc>
        <w:tc>
          <w:tcPr>
            <w:tcW w:w="97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ED4FF54" w14:textId="77777777" w:rsidR="002C449E" w:rsidRPr="009B783C" w:rsidRDefault="002C449E" w:rsidP="0081279F">
            <w:pPr>
              <w:pStyle w:val="TableNText"/>
              <w:jc w:val="center"/>
              <w:rPr>
                <w:sz w:val="21"/>
                <w:szCs w:val="21"/>
              </w:rPr>
            </w:pPr>
          </w:p>
        </w:tc>
        <w:tc>
          <w:tcPr>
            <w:tcW w:w="63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C541C31" w14:textId="77777777" w:rsidR="002C449E" w:rsidRPr="009B783C" w:rsidRDefault="002C449E" w:rsidP="0081279F">
            <w:pPr>
              <w:pStyle w:val="TableNText"/>
              <w:jc w:val="center"/>
              <w:rPr>
                <w:sz w:val="21"/>
                <w:szCs w:val="21"/>
              </w:rPr>
            </w:pPr>
          </w:p>
        </w:tc>
      </w:tr>
    </w:tbl>
    <w:bookmarkEnd w:id="212"/>
    <w:p w14:paraId="46A680F0" w14:textId="77777777" w:rsidR="00230195" w:rsidRPr="00531152" w:rsidRDefault="00230195" w:rsidP="00230195">
      <w:pPr>
        <w:pBdr>
          <w:top w:val="none" w:sz="0" w:space="0" w:color="000000"/>
          <w:left w:val="none" w:sz="0" w:space="0" w:color="000000"/>
          <w:bottom w:val="none" w:sz="0" w:space="0" w:color="000000"/>
          <w:right w:val="none" w:sz="0" w:space="0" w:color="000000"/>
        </w:pBdr>
        <w:spacing w:after="0"/>
        <w:ind w:left="102" w:right="102"/>
        <w:rPr>
          <w:sz w:val="20"/>
          <w:szCs w:val="20"/>
        </w:rPr>
      </w:pPr>
      <w:r w:rsidRPr="00531152">
        <w:rPr>
          <w:rFonts w:eastAsia="Segoe UI" w:cs="Segoe UI"/>
          <w:color w:val="000000"/>
          <w:sz w:val="20"/>
          <w:szCs w:val="20"/>
        </w:rPr>
        <w:t>Note: The table reflects data from 30 June 2023 to 30 September 2024 and extracted on 6 November 2024. (a) Total presentations include aggregate counts for clinics where unit record data was not reported. (b) Unit record data includes data from the interim practice data extract and the Medicare UCC Module data. (c) Includes data extracted using the Medicare UCC Module only.</w:t>
      </w:r>
    </w:p>
    <w:p w14:paraId="4A4B6D09" w14:textId="78F9AC74" w:rsidR="00966047" w:rsidRPr="009B783C" w:rsidRDefault="00966047" w:rsidP="007C6A9A">
      <w:pPr>
        <w:pStyle w:val="xAppendixLevel2"/>
      </w:pPr>
      <w:bookmarkStart w:id="222" w:name="_Toc189639240"/>
      <w:bookmarkStart w:id="223" w:name="_Toc189772040"/>
      <w:r w:rsidRPr="009B783C">
        <w:t>Publicly available data</w:t>
      </w:r>
      <w:bookmarkEnd w:id="222"/>
      <w:bookmarkEnd w:id="223"/>
    </w:p>
    <w:p w14:paraId="54D36E14" w14:textId="77777777" w:rsidR="002A4EAE" w:rsidRPr="009B783C" w:rsidRDefault="00966047" w:rsidP="00230195">
      <w:pPr>
        <w:rPr>
          <w:szCs w:val="21"/>
        </w:rPr>
      </w:pPr>
      <w:r w:rsidRPr="009B783C">
        <w:rPr>
          <w:szCs w:val="21"/>
        </w:rPr>
        <w:t xml:space="preserve">A range of external data sources are used for comparisons, designed to provide a deeper understanding of the Medicare UCCs. Three primary types of comparisons are used at this stage of the evaluation: </w:t>
      </w:r>
    </w:p>
    <w:p w14:paraId="5E76E5E5" w14:textId="548B104A" w:rsidR="002A4EAE" w:rsidRPr="009B783C" w:rsidRDefault="002A4EAE" w:rsidP="00230195">
      <w:pPr>
        <w:pStyle w:val="Listnumbered"/>
        <w:numPr>
          <w:ilvl w:val="0"/>
          <w:numId w:val="60"/>
        </w:numPr>
        <w:rPr>
          <w:szCs w:val="21"/>
        </w:rPr>
      </w:pPr>
      <w:r w:rsidRPr="009B783C">
        <w:rPr>
          <w:szCs w:val="21"/>
        </w:rPr>
        <w:lastRenderedPageBreak/>
        <w:t>G</w:t>
      </w:r>
      <w:r w:rsidR="007C06D6" w:rsidRPr="009B783C">
        <w:rPr>
          <w:szCs w:val="21"/>
        </w:rPr>
        <w:t>eographic</w:t>
      </w:r>
      <w:r w:rsidR="00966047" w:rsidRPr="009B783C">
        <w:rPr>
          <w:szCs w:val="21"/>
        </w:rPr>
        <w:t xml:space="preserve"> distribution</w:t>
      </w:r>
      <w:r w:rsidRPr="009B783C">
        <w:rPr>
          <w:szCs w:val="21"/>
        </w:rPr>
        <w:t>.</w:t>
      </w:r>
    </w:p>
    <w:p w14:paraId="04982E82" w14:textId="6A3080D4" w:rsidR="002A4EAE" w:rsidRPr="009B783C" w:rsidRDefault="002A4EAE" w:rsidP="00230195">
      <w:pPr>
        <w:pStyle w:val="Listnumbered"/>
        <w:rPr>
          <w:szCs w:val="21"/>
        </w:rPr>
      </w:pPr>
      <w:r w:rsidRPr="009B783C">
        <w:rPr>
          <w:szCs w:val="21"/>
        </w:rPr>
        <w:t>D</w:t>
      </w:r>
      <w:r w:rsidR="007C06D6" w:rsidRPr="009B783C">
        <w:rPr>
          <w:szCs w:val="21"/>
        </w:rPr>
        <w:t>emographic</w:t>
      </w:r>
      <w:r w:rsidR="00966047" w:rsidRPr="009B783C">
        <w:rPr>
          <w:szCs w:val="21"/>
        </w:rPr>
        <w:t xml:space="preserve"> characteristics</w:t>
      </w:r>
      <w:r w:rsidRPr="009B783C">
        <w:rPr>
          <w:szCs w:val="21"/>
        </w:rPr>
        <w:t>.</w:t>
      </w:r>
    </w:p>
    <w:p w14:paraId="4AA2C91C" w14:textId="56C818A5" w:rsidR="00966047" w:rsidRPr="009B783C" w:rsidRDefault="002A4EAE" w:rsidP="00230195">
      <w:pPr>
        <w:pStyle w:val="Listnumbered"/>
        <w:rPr>
          <w:szCs w:val="21"/>
        </w:rPr>
      </w:pPr>
      <w:r w:rsidRPr="009B783C">
        <w:rPr>
          <w:szCs w:val="21"/>
        </w:rPr>
        <w:t>S</w:t>
      </w:r>
      <w:r w:rsidR="007C06D6" w:rsidRPr="009B783C">
        <w:rPr>
          <w:szCs w:val="21"/>
        </w:rPr>
        <w:t>ervice characteristic</w:t>
      </w:r>
      <w:r w:rsidR="00966047" w:rsidRPr="009B783C">
        <w:rPr>
          <w:szCs w:val="21"/>
        </w:rPr>
        <w:t>.</w:t>
      </w:r>
    </w:p>
    <w:p w14:paraId="620A2504" w14:textId="14932072" w:rsidR="00966047" w:rsidRPr="009B783C" w:rsidRDefault="00966047" w:rsidP="00230195">
      <w:pPr>
        <w:rPr>
          <w:szCs w:val="21"/>
          <w:lang w:eastAsia="en-AU"/>
        </w:rPr>
      </w:pPr>
      <w:r w:rsidRPr="009B783C">
        <w:rPr>
          <w:szCs w:val="21"/>
        </w:rPr>
        <w:t xml:space="preserve">The </w:t>
      </w:r>
      <w:r w:rsidRPr="009B783C">
        <w:rPr>
          <w:rFonts w:asciiTheme="majorHAnsi" w:hAnsiTheme="majorHAnsi" w:cstheme="majorBidi"/>
          <w:szCs w:val="21"/>
        </w:rPr>
        <w:t>geographic comparisons</w:t>
      </w:r>
      <w:r w:rsidRPr="009B783C">
        <w:rPr>
          <w:szCs w:val="21"/>
        </w:rPr>
        <w:t xml:space="preserve"> examine the alignment between the locations of Medicare UCCs and the distribution of the Australian population across different regions. Regions are characterised by the MMM and the IRSD</w:t>
      </w:r>
      <w:r w:rsidR="007C06D6" w:rsidRPr="009B783C">
        <w:rPr>
          <w:szCs w:val="21"/>
        </w:rPr>
        <w:t>.</w:t>
      </w:r>
      <w:r w:rsidRPr="009B783C">
        <w:rPr>
          <w:szCs w:val="21"/>
        </w:rPr>
        <w:t xml:space="preserve"> MMM categorises regions by remoteness and population size, allowing for an assessment of whether the placement of clinics corresponds with population density and access needs in metropolitan, regional, rural and remote areas. By comparing the proportion of Medicare UCCs in each MMM category with the percentage of the population residing in these regions, the analysis provides insight into the equity and accessibility of healthcare services across diverse geographic areas. ABS data are used for this purpose.</w:t>
      </w:r>
      <w:r w:rsidR="00867B2F" w:rsidRPr="009B783C">
        <w:rPr>
          <w:szCs w:val="21"/>
        </w:rPr>
        <w:t xml:space="preserve"> </w:t>
      </w:r>
      <w:r w:rsidRPr="009B783C">
        <w:rPr>
          <w:szCs w:val="21"/>
          <w:lang w:eastAsia="en-AU"/>
        </w:rPr>
        <w:t>IRSD is used to analyse the location of Medicare UCCs relative to socioeconomic conditions.</w:t>
      </w:r>
      <w:r w:rsidRPr="009B783C">
        <w:rPr>
          <w:rStyle w:val="FootnoteReference"/>
          <w:szCs w:val="21"/>
          <w:lang w:eastAsia="en-AU"/>
        </w:rPr>
        <w:footnoteReference w:id="101"/>
      </w:r>
      <w:r w:rsidRPr="009B783C">
        <w:rPr>
          <w:szCs w:val="21"/>
          <w:lang w:eastAsia="en-AU"/>
        </w:rPr>
        <w:t xml:space="preserve"> This comparison provides insight into how well the program is addressing socioeconomic disparities by placing clinics in areas with greater health and resource needs.</w:t>
      </w:r>
    </w:p>
    <w:p w14:paraId="3A3AEF3B" w14:textId="5AD42AA2" w:rsidR="00966047" w:rsidRPr="009B783C" w:rsidRDefault="00966047" w:rsidP="00230195">
      <w:pPr>
        <w:rPr>
          <w:szCs w:val="21"/>
        </w:rPr>
      </w:pPr>
      <w:r w:rsidRPr="009B783C">
        <w:rPr>
          <w:szCs w:val="21"/>
          <w:lang w:eastAsia="en-AU"/>
        </w:rPr>
        <w:t xml:space="preserve">The </w:t>
      </w:r>
      <w:r w:rsidRPr="009B783C">
        <w:rPr>
          <w:rFonts w:asciiTheme="majorHAnsi" w:hAnsiTheme="majorHAnsi" w:cstheme="majorHAnsi"/>
          <w:szCs w:val="21"/>
          <w:lang w:eastAsia="en-AU"/>
        </w:rPr>
        <w:t>demographic comparisons</w:t>
      </w:r>
      <w:r w:rsidRPr="009B783C">
        <w:rPr>
          <w:szCs w:val="21"/>
          <w:lang w:eastAsia="en-AU"/>
        </w:rPr>
        <w:t xml:space="preserve"> focus on the characteristics of patients attending Medicare UCCs, contrasted with patients attending EDs assigned to </w:t>
      </w:r>
      <w:r w:rsidR="003D1F51" w:rsidRPr="009B783C">
        <w:rPr>
          <w:szCs w:val="21"/>
          <w:lang w:eastAsia="en-AU"/>
        </w:rPr>
        <w:t>triage</w:t>
      </w:r>
      <w:r w:rsidRPr="009B783C">
        <w:rPr>
          <w:szCs w:val="21"/>
          <w:lang w:eastAsia="en-AU"/>
        </w:rPr>
        <w:t xml:space="preserve"> category </w:t>
      </w:r>
      <w:r w:rsidR="007B5A95" w:rsidRPr="009B783C">
        <w:rPr>
          <w:szCs w:val="21"/>
          <w:lang w:eastAsia="en-AU"/>
        </w:rPr>
        <w:t>four</w:t>
      </w:r>
      <w:r w:rsidRPr="009B783C">
        <w:rPr>
          <w:szCs w:val="21"/>
          <w:lang w:eastAsia="en-AU"/>
        </w:rPr>
        <w:t xml:space="preserve"> (semi-urgent) or </w:t>
      </w:r>
      <w:r w:rsidR="007B5A95" w:rsidRPr="009B783C">
        <w:rPr>
          <w:szCs w:val="21"/>
          <w:lang w:eastAsia="en-AU"/>
        </w:rPr>
        <w:t>five</w:t>
      </w:r>
      <w:r w:rsidRPr="009B783C">
        <w:rPr>
          <w:szCs w:val="21"/>
          <w:lang w:eastAsia="en-AU"/>
        </w:rPr>
        <w:t xml:space="preserve"> (non-urgent care) using the ATS</w:t>
      </w:r>
      <w:r w:rsidR="007C06D6" w:rsidRPr="009B783C">
        <w:rPr>
          <w:szCs w:val="21"/>
          <w:lang w:eastAsia="en-AU"/>
        </w:rPr>
        <w:t>.</w:t>
      </w:r>
      <w:r w:rsidRPr="009B783C">
        <w:rPr>
          <w:szCs w:val="21"/>
          <w:lang w:eastAsia="en-AU"/>
        </w:rPr>
        <w:t xml:space="preserve"> These ATS categories are considered to align with the types of conditions that Medicare UCCs aim to treat. The basis for this comparison is the </w:t>
      </w:r>
      <w:r w:rsidRPr="009B783C">
        <w:rPr>
          <w:szCs w:val="21"/>
        </w:rPr>
        <w:t>National Healthcare Agreement indicator</w:t>
      </w:r>
      <w:r w:rsidRPr="009B783C">
        <w:rPr>
          <w:szCs w:val="21"/>
          <w:vertAlign w:val="superscript"/>
        </w:rPr>
        <w:footnoteReference w:id="102"/>
      </w:r>
      <w:r w:rsidRPr="009B783C">
        <w:rPr>
          <w:szCs w:val="21"/>
        </w:rPr>
        <w:t xml:space="preserve"> of potentially avoidable GP-type presentations to EDs, although the indicator uses other variables (such as arrival mode and whether the patient was admitted to the hospital, referred to another hospital, or died). ED data with these other variables is not currently available to the evaluation team, therefore, comparisons are with all patients in </w:t>
      </w:r>
      <w:r w:rsidR="003D1F51" w:rsidRPr="009B783C">
        <w:rPr>
          <w:szCs w:val="21"/>
        </w:rPr>
        <w:t>triage</w:t>
      </w:r>
      <w:r w:rsidRPr="009B783C">
        <w:rPr>
          <w:szCs w:val="21"/>
        </w:rPr>
        <w:t xml:space="preserve"> categories </w:t>
      </w:r>
      <w:r w:rsidR="00B33E58" w:rsidRPr="009B783C">
        <w:rPr>
          <w:szCs w:val="21"/>
        </w:rPr>
        <w:t>four</w:t>
      </w:r>
      <w:r w:rsidRPr="009B783C">
        <w:rPr>
          <w:szCs w:val="21"/>
        </w:rPr>
        <w:t xml:space="preserve"> and </w:t>
      </w:r>
      <w:r w:rsidR="00B33E58" w:rsidRPr="009B783C">
        <w:rPr>
          <w:szCs w:val="21"/>
          <w:lang w:eastAsia="en-AU"/>
        </w:rPr>
        <w:t>five</w:t>
      </w:r>
      <w:r w:rsidR="007C06D6" w:rsidRPr="009B783C">
        <w:rPr>
          <w:szCs w:val="21"/>
          <w:lang w:eastAsia="en-AU"/>
        </w:rPr>
        <w:t>.</w:t>
      </w:r>
      <w:r w:rsidRPr="009B783C">
        <w:rPr>
          <w:szCs w:val="21"/>
          <w:lang w:eastAsia="en-AU"/>
        </w:rPr>
        <w:t xml:space="preserve"> The comparisons use 2022</w:t>
      </w:r>
      <w:r w:rsidR="0082165A" w:rsidRPr="009B783C">
        <w:rPr>
          <w:szCs w:val="21"/>
          <w:lang w:eastAsia="en-AU"/>
        </w:rPr>
        <w:t>-</w:t>
      </w:r>
      <w:r w:rsidRPr="009B783C">
        <w:rPr>
          <w:szCs w:val="21"/>
          <w:lang w:eastAsia="en-AU"/>
        </w:rPr>
        <w:t>23 national ED data</w:t>
      </w:r>
      <w:r w:rsidRPr="009B783C">
        <w:rPr>
          <w:szCs w:val="21"/>
        </w:rPr>
        <w:t>.</w:t>
      </w:r>
      <w:r w:rsidRPr="009B783C">
        <w:rPr>
          <w:rStyle w:val="FootnoteReference"/>
          <w:szCs w:val="21"/>
        </w:rPr>
        <w:footnoteReference w:id="103"/>
      </w:r>
    </w:p>
    <w:p w14:paraId="324ED015" w14:textId="74077C92" w:rsidR="00966047" w:rsidRPr="009B783C" w:rsidRDefault="00966047" w:rsidP="00230195">
      <w:pPr>
        <w:rPr>
          <w:szCs w:val="21"/>
        </w:rPr>
        <w:sectPr w:rsidR="00966047" w:rsidRPr="009B783C" w:rsidSect="007C06D6">
          <w:pgSz w:w="16839" w:h="11907" w:orient="landscape" w:code="9"/>
          <w:pgMar w:top="1134" w:right="1247" w:bottom="851" w:left="1701" w:header="720" w:footer="720" w:gutter="0"/>
          <w:cols w:space="720"/>
          <w:docGrid w:linePitch="360"/>
        </w:sectPr>
      </w:pPr>
      <w:r w:rsidRPr="009B783C">
        <w:rPr>
          <w:rFonts w:asciiTheme="majorHAnsi" w:hAnsiTheme="majorHAnsi" w:cstheme="majorBidi"/>
          <w:szCs w:val="21"/>
        </w:rPr>
        <w:t>Service comparisons</w:t>
      </w:r>
      <w:r w:rsidRPr="009B783C">
        <w:rPr>
          <w:szCs w:val="21"/>
        </w:rPr>
        <w:t xml:space="preserve"> include comparisons of patient presentations by day of week and time of </w:t>
      </w:r>
      <w:proofErr w:type="gramStart"/>
      <w:r w:rsidRPr="009B783C">
        <w:rPr>
          <w:szCs w:val="21"/>
        </w:rPr>
        <w:t>day, and</w:t>
      </w:r>
      <w:proofErr w:type="gramEnd"/>
      <w:r w:rsidRPr="009B783C">
        <w:rPr>
          <w:szCs w:val="21"/>
        </w:rPr>
        <w:t xml:space="preserve"> waiting times for clinical care. These comparisons also restrict ED presentations to </w:t>
      </w:r>
      <w:r w:rsidR="003D1F51" w:rsidRPr="009B783C">
        <w:rPr>
          <w:szCs w:val="21"/>
        </w:rPr>
        <w:t>triage</w:t>
      </w:r>
      <w:r w:rsidRPr="009B783C">
        <w:rPr>
          <w:szCs w:val="21"/>
        </w:rPr>
        <w:t xml:space="preserve"> categories </w:t>
      </w:r>
      <w:r w:rsidR="00B33E58" w:rsidRPr="009B783C">
        <w:rPr>
          <w:szCs w:val="21"/>
        </w:rPr>
        <w:t>four</w:t>
      </w:r>
      <w:r w:rsidRPr="009B783C">
        <w:rPr>
          <w:szCs w:val="21"/>
        </w:rPr>
        <w:t xml:space="preserve"> and </w:t>
      </w:r>
      <w:r w:rsidR="00B33E58" w:rsidRPr="009B783C">
        <w:rPr>
          <w:szCs w:val="21"/>
        </w:rPr>
        <w:t>five</w:t>
      </w:r>
      <w:r w:rsidR="007C06D6" w:rsidRPr="009B783C">
        <w:rPr>
          <w:szCs w:val="21"/>
        </w:rPr>
        <w:t>.</w:t>
      </w:r>
      <w:r w:rsidRPr="009B783C">
        <w:rPr>
          <w:szCs w:val="21"/>
        </w:rPr>
        <w:t xml:space="preserve"> They use 2022</w:t>
      </w:r>
      <w:r w:rsidR="0082165A" w:rsidRPr="009B783C">
        <w:rPr>
          <w:szCs w:val="21"/>
        </w:rPr>
        <w:t>-</w:t>
      </w:r>
      <w:r w:rsidRPr="009B783C">
        <w:rPr>
          <w:szCs w:val="21"/>
        </w:rPr>
        <w:t>23 national ED data.</w:t>
      </w:r>
      <w:r w:rsidR="008A611A" w:rsidRPr="009B783C">
        <w:rPr>
          <w:szCs w:val="21"/>
        </w:rPr>
        <w:t xml:space="preserve"> </w:t>
      </w:r>
    </w:p>
    <w:p w14:paraId="729BCAC6" w14:textId="658E46FC" w:rsidR="0094569E" w:rsidRPr="009B783C" w:rsidRDefault="0094569E" w:rsidP="0094569E">
      <w:pPr>
        <w:pStyle w:val="xAppendixLevel1"/>
        <w:ind w:left="2268"/>
      </w:pPr>
      <w:bookmarkStart w:id="224" w:name="_Ref184973730"/>
      <w:bookmarkStart w:id="225" w:name="_Toc184971899"/>
      <w:bookmarkStart w:id="226" w:name="_Toc189639241"/>
      <w:bookmarkStart w:id="227" w:name="_Toc189772041"/>
      <w:r w:rsidRPr="009B783C">
        <w:lastRenderedPageBreak/>
        <w:t>Stakeholders consulted</w:t>
      </w:r>
      <w:bookmarkEnd w:id="224"/>
      <w:bookmarkEnd w:id="225"/>
      <w:bookmarkEnd w:id="226"/>
      <w:bookmarkEnd w:id="227"/>
    </w:p>
    <w:p w14:paraId="506DDAEA" w14:textId="2E77A196" w:rsidR="00584D62" w:rsidRPr="009B783C" w:rsidRDefault="00584D62" w:rsidP="00584D62">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70BA2">
        <w:rPr>
          <w:noProof/>
          <w:szCs w:val="21"/>
        </w:rPr>
        <w:t>27</w:t>
      </w:r>
      <w:r w:rsidRPr="009B783C">
        <w:rPr>
          <w:szCs w:val="21"/>
        </w:rPr>
        <w:fldChar w:fldCharType="end"/>
      </w:r>
      <w:r w:rsidRPr="009B783C">
        <w:rPr>
          <w:szCs w:val="21"/>
        </w:rPr>
        <w:t xml:space="preserve"> | Stakeholders</w:t>
      </w:r>
      <w:r w:rsidR="009E2CA0" w:rsidRPr="009B783C">
        <w:rPr>
          <w:szCs w:val="21"/>
        </w:rPr>
        <w:t xml:space="preserve"> consulted</w:t>
      </w:r>
    </w:p>
    <w:tbl>
      <w:tblPr>
        <w:tblStyle w:val="NOUSSideHeader3"/>
        <w:tblpPr w:leftFromText="180" w:rightFromText="180" w:vertAnchor="text" w:tblpY="1"/>
        <w:tblOverlap w:val="never"/>
        <w:tblW w:w="0" w:type="auto"/>
        <w:tblBorders>
          <w:top w:val="single" w:sz="4" w:space="0" w:color="00264D" w:themeColor="background2"/>
          <w:left w:val="single" w:sz="4" w:space="0" w:color="00264D" w:themeColor="background2"/>
          <w:bottom w:val="single" w:sz="4" w:space="0" w:color="00264D" w:themeColor="background2"/>
          <w:right w:val="single" w:sz="4" w:space="0" w:color="00264D" w:themeColor="background2"/>
          <w:insideH w:val="single" w:sz="4" w:space="0" w:color="00264D" w:themeColor="background2"/>
          <w:insideV w:val="single" w:sz="4" w:space="0" w:color="00264D" w:themeColor="background2"/>
        </w:tblBorders>
        <w:tblLook w:val="04A0" w:firstRow="1" w:lastRow="0" w:firstColumn="1" w:lastColumn="0" w:noHBand="0" w:noVBand="1"/>
      </w:tblPr>
      <w:tblGrid>
        <w:gridCol w:w="8920"/>
      </w:tblGrid>
      <w:tr w:rsidR="002C6FA4" w:rsidRPr="009B783C" w14:paraId="252B8E9A" w14:textId="77777777" w:rsidTr="00067F4B">
        <w:trPr>
          <w:cnfStyle w:val="100000000000" w:firstRow="1" w:lastRow="0" w:firstColumn="0" w:lastColumn="0" w:oddVBand="0" w:evenVBand="0" w:oddHBand="0" w:evenHBand="0" w:firstRowFirstColumn="0" w:firstRowLastColumn="0" w:lastRowFirstColumn="0" w:lastRowLastColumn="0"/>
          <w:trHeight w:val="227"/>
        </w:trPr>
        <w:tc>
          <w:tcPr>
            <w:tcW w:w="89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Pr>
          <w:p w14:paraId="177957D7" w14:textId="5CF90ED3" w:rsidR="003E4D2E" w:rsidRPr="00107854" w:rsidRDefault="00624FD8" w:rsidP="008A4AB6">
            <w:pPr>
              <w:pStyle w:val="TableNheader"/>
            </w:pPr>
            <w:r w:rsidRPr="00107854">
              <w:t>Organisation</w:t>
            </w:r>
          </w:p>
        </w:tc>
      </w:tr>
      <w:tr w:rsidR="003E4D2E" w:rsidRPr="009B783C" w14:paraId="10F67B2B" w14:textId="77777777" w:rsidTr="00067F4B">
        <w:trPr>
          <w:cnfStyle w:val="000000100000" w:firstRow="0" w:lastRow="0" w:firstColumn="0" w:lastColumn="0" w:oddVBand="0" w:evenVBand="0" w:oddHBand="1" w:evenHBand="0" w:firstRowFirstColumn="0" w:firstRowLastColumn="0" w:lastRowFirstColumn="0" w:lastRowLastColumn="0"/>
          <w:trHeight w:val="227"/>
        </w:trPr>
        <w:tc>
          <w:tcPr>
            <w:tcW w:w="8920" w:type="dxa"/>
            <w:tcBorders>
              <w:top w:val="single" w:sz="4" w:space="0" w:color="FFFFFF" w:themeColor="background1"/>
            </w:tcBorders>
            <w:shd w:val="clear" w:color="auto" w:fill="E6E6E1" w:themeFill="accent5"/>
          </w:tcPr>
          <w:p w14:paraId="130A65F7" w14:textId="2A427E2E" w:rsidR="003E4D2E" w:rsidRPr="009B783C" w:rsidRDefault="00624FD8" w:rsidP="008A4AB6">
            <w:pPr>
              <w:pStyle w:val="TableNText"/>
              <w:rPr>
                <w:rFonts w:asciiTheme="majorHAnsi" w:hAnsiTheme="majorHAnsi" w:cstheme="majorHAnsi"/>
                <w:sz w:val="21"/>
                <w:szCs w:val="21"/>
              </w:rPr>
            </w:pPr>
            <w:r w:rsidRPr="009B783C">
              <w:rPr>
                <w:rFonts w:asciiTheme="majorHAnsi" w:hAnsiTheme="majorHAnsi" w:cstheme="majorHAnsi"/>
                <w:sz w:val="21"/>
                <w:szCs w:val="21"/>
              </w:rPr>
              <w:t>NSW</w:t>
            </w:r>
          </w:p>
        </w:tc>
      </w:tr>
      <w:tr w:rsidR="00B2479F" w:rsidRPr="009B783C" w14:paraId="565D25D3"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5ADFCA34" w14:textId="21969AA8" w:rsidR="00B2479F" w:rsidRPr="009B783C" w:rsidRDefault="00B2479F" w:rsidP="008A4AB6">
            <w:pPr>
              <w:pStyle w:val="TableNText"/>
              <w:rPr>
                <w:sz w:val="21"/>
                <w:szCs w:val="21"/>
              </w:rPr>
            </w:pPr>
            <w:r w:rsidRPr="009B783C">
              <w:rPr>
                <w:sz w:val="21"/>
                <w:szCs w:val="21"/>
              </w:rPr>
              <w:t>Central and Eastern Sydney PHN</w:t>
            </w:r>
          </w:p>
        </w:tc>
      </w:tr>
      <w:tr w:rsidR="00B2479F" w:rsidRPr="009B783C" w14:paraId="43818D53"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4E80EFEF" w14:textId="5C70A140" w:rsidR="00B2479F" w:rsidRPr="009B783C" w:rsidRDefault="00870F8A" w:rsidP="008A4AB6">
            <w:pPr>
              <w:pStyle w:val="TableNText"/>
              <w:rPr>
                <w:sz w:val="21"/>
                <w:szCs w:val="21"/>
              </w:rPr>
            </w:pPr>
            <w:proofErr w:type="spellStart"/>
            <w:r w:rsidRPr="009B783C">
              <w:rPr>
                <w:sz w:val="21"/>
                <w:szCs w:val="21"/>
              </w:rPr>
              <w:t>Coordinare</w:t>
            </w:r>
            <w:proofErr w:type="spellEnd"/>
            <w:r w:rsidRPr="009B783C">
              <w:rPr>
                <w:sz w:val="21"/>
                <w:szCs w:val="21"/>
              </w:rPr>
              <w:t xml:space="preserve"> (</w:t>
            </w:r>
            <w:proofErr w:type="gramStart"/>
            <w:r w:rsidRPr="009B783C">
              <w:rPr>
                <w:sz w:val="21"/>
                <w:szCs w:val="21"/>
              </w:rPr>
              <w:t>South Eastern</w:t>
            </w:r>
            <w:proofErr w:type="gramEnd"/>
            <w:r w:rsidRPr="009B783C">
              <w:rPr>
                <w:sz w:val="21"/>
                <w:szCs w:val="21"/>
              </w:rPr>
              <w:t xml:space="preserve"> NSW PHN)</w:t>
            </w:r>
          </w:p>
        </w:tc>
      </w:tr>
      <w:tr w:rsidR="00B95D7E" w:rsidRPr="009B783C" w14:paraId="4430AB52"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4EEBB94D" w14:textId="57970D52" w:rsidR="00B95D7E" w:rsidRPr="009B783C" w:rsidRDefault="00B95D7E" w:rsidP="008A4AB6">
            <w:pPr>
              <w:pStyle w:val="TableNText"/>
              <w:rPr>
                <w:sz w:val="21"/>
                <w:szCs w:val="21"/>
              </w:rPr>
            </w:pPr>
            <w:r w:rsidRPr="009B783C">
              <w:rPr>
                <w:sz w:val="21"/>
                <w:szCs w:val="21"/>
              </w:rPr>
              <w:t>Healthy North Coast PHN</w:t>
            </w:r>
          </w:p>
        </w:tc>
      </w:tr>
      <w:tr w:rsidR="00B2479F" w:rsidRPr="009B783C" w14:paraId="0B992C81"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5C177966" w14:textId="0DE8A947" w:rsidR="00B2479F" w:rsidRPr="009B783C" w:rsidRDefault="00870F8A" w:rsidP="008A4AB6">
            <w:pPr>
              <w:pStyle w:val="TableNText"/>
              <w:rPr>
                <w:sz w:val="21"/>
                <w:szCs w:val="21"/>
              </w:rPr>
            </w:pPr>
            <w:r w:rsidRPr="009B783C">
              <w:rPr>
                <w:sz w:val="21"/>
                <w:szCs w:val="21"/>
              </w:rPr>
              <w:t>Hunter New England and Central Coast PHN</w:t>
            </w:r>
          </w:p>
        </w:tc>
      </w:tr>
      <w:tr w:rsidR="00B95D7E" w:rsidRPr="009B783C" w14:paraId="7176EA34"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78BFCF0C" w14:textId="23F03D14" w:rsidR="00B95D7E" w:rsidRPr="009B783C" w:rsidRDefault="00B95D7E" w:rsidP="008A4AB6">
            <w:pPr>
              <w:pStyle w:val="TableNText"/>
              <w:rPr>
                <w:sz w:val="21"/>
                <w:szCs w:val="21"/>
              </w:rPr>
            </w:pPr>
            <w:r w:rsidRPr="009B783C">
              <w:rPr>
                <w:sz w:val="21"/>
                <w:szCs w:val="21"/>
              </w:rPr>
              <w:t>Murray PHN</w:t>
            </w:r>
          </w:p>
        </w:tc>
      </w:tr>
      <w:tr w:rsidR="00B95D7E" w:rsidRPr="009B783C" w14:paraId="5DAF6BFB"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11AABA07" w14:textId="1639F8DC" w:rsidR="00B95D7E" w:rsidRPr="009B783C" w:rsidRDefault="00B95D7E" w:rsidP="008A4AB6">
            <w:pPr>
              <w:pStyle w:val="TableNText"/>
              <w:rPr>
                <w:sz w:val="21"/>
                <w:szCs w:val="21"/>
              </w:rPr>
            </w:pPr>
            <w:proofErr w:type="gramStart"/>
            <w:r w:rsidRPr="009B783C">
              <w:rPr>
                <w:sz w:val="21"/>
                <w:szCs w:val="21"/>
              </w:rPr>
              <w:t>South Western</w:t>
            </w:r>
            <w:proofErr w:type="gramEnd"/>
            <w:r w:rsidRPr="009B783C">
              <w:rPr>
                <w:sz w:val="21"/>
                <w:szCs w:val="21"/>
              </w:rPr>
              <w:t xml:space="preserve"> Sydney PHN</w:t>
            </w:r>
          </w:p>
        </w:tc>
      </w:tr>
      <w:tr w:rsidR="00B95D7E" w:rsidRPr="009B783C" w14:paraId="5380022F"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6A7CDEE6" w14:textId="3927B307" w:rsidR="00B95D7E" w:rsidRPr="009B783C" w:rsidRDefault="00B95D7E" w:rsidP="008A4AB6">
            <w:pPr>
              <w:pStyle w:val="TableNText"/>
              <w:rPr>
                <w:sz w:val="21"/>
                <w:szCs w:val="21"/>
              </w:rPr>
            </w:pPr>
            <w:r w:rsidRPr="009B783C">
              <w:rPr>
                <w:sz w:val="21"/>
                <w:szCs w:val="21"/>
              </w:rPr>
              <w:t>Sydney North Health Network</w:t>
            </w:r>
          </w:p>
        </w:tc>
      </w:tr>
      <w:tr w:rsidR="00B2479F" w:rsidRPr="009B783C" w14:paraId="3A2B209C"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0E4CFA4D" w14:textId="6C9E96D0" w:rsidR="00B2479F" w:rsidRPr="009B783C" w:rsidRDefault="00870F8A" w:rsidP="008A4AB6">
            <w:pPr>
              <w:pStyle w:val="TableNText"/>
              <w:rPr>
                <w:sz w:val="21"/>
                <w:szCs w:val="21"/>
              </w:rPr>
            </w:pPr>
            <w:r w:rsidRPr="009B783C">
              <w:rPr>
                <w:sz w:val="21"/>
                <w:szCs w:val="21"/>
              </w:rPr>
              <w:t>Wentworth Healthcare (Nepean Blue Mountains PHN)</w:t>
            </w:r>
          </w:p>
        </w:tc>
      </w:tr>
      <w:tr w:rsidR="00870F8A" w:rsidRPr="009B783C" w14:paraId="36D54E21"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238EC2D6" w14:textId="5D1E8878" w:rsidR="00870F8A" w:rsidRPr="009B783C" w:rsidRDefault="00870F8A" w:rsidP="008A4AB6">
            <w:pPr>
              <w:pStyle w:val="TableNText"/>
              <w:rPr>
                <w:sz w:val="21"/>
                <w:szCs w:val="21"/>
              </w:rPr>
            </w:pPr>
            <w:proofErr w:type="spellStart"/>
            <w:r w:rsidRPr="009B783C">
              <w:rPr>
                <w:sz w:val="21"/>
                <w:szCs w:val="21"/>
              </w:rPr>
              <w:t>WentWest</w:t>
            </w:r>
            <w:proofErr w:type="spellEnd"/>
            <w:r w:rsidRPr="009B783C">
              <w:rPr>
                <w:sz w:val="21"/>
                <w:szCs w:val="21"/>
              </w:rPr>
              <w:t xml:space="preserve"> (Western Sydney PHN)</w:t>
            </w:r>
          </w:p>
        </w:tc>
      </w:tr>
      <w:tr w:rsidR="00B36C43" w:rsidRPr="009B783C" w14:paraId="405820C5"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2BBE588F" w14:textId="224EC853" w:rsidR="00B36C43" w:rsidRPr="009B783C" w:rsidRDefault="00B36C43" w:rsidP="008A4AB6">
            <w:pPr>
              <w:pStyle w:val="TableNText"/>
              <w:rPr>
                <w:sz w:val="21"/>
                <w:szCs w:val="21"/>
              </w:rPr>
            </w:pPr>
            <w:r w:rsidRPr="009B783C">
              <w:rPr>
                <w:sz w:val="21"/>
                <w:szCs w:val="21"/>
              </w:rPr>
              <w:t>Wollongong Medicare UCC</w:t>
            </w:r>
          </w:p>
        </w:tc>
      </w:tr>
      <w:tr w:rsidR="00870F8A" w:rsidRPr="009B783C" w14:paraId="07B15F49"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638F3356" w14:textId="6C792A9A" w:rsidR="00870F8A" w:rsidRPr="009B783C" w:rsidRDefault="00870F8A" w:rsidP="008A4AB6">
            <w:pPr>
              <w:pStyle w:val="TableNText"/>
              <w:rPr>
                <w:sz w:val="21"/>
                <w:szCs w:val="21"/>
              </w:rPr>
            </w:pPr>
            <w:r w:rsidRPr="009B783C">
              <w:rPr>
                <w:rFonts w:asciiTheme="majorHAnsi" w:hAnsiTheme="majorHAnsi" w:cstheme="majorHAnsi"/>
                <w:sz w:val="21"/>
                <w:szCs w:val="21"/>
              </w:rPr>
              <w:t>QLD</w:t>
            </w:r>
          </w:p>
        </w:tc>
      </w:tr>
      <w:tr w:rsidR="00AB204D" w:rsidRPr="009B783C" w14:paraId="51C9A8AC"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3AA11C5B" w14:textId="50DAAF28" w:rsidR="00AB204D" w:rsidRPr="009B783C" w:rsidRDefault="00AB204D" w:rsidP="008A4AB6">
            <w:pPr>
              <w:pStyle w:val="TableNText"/>
              <w:rPr>
                <w:sz w:val="21"/>
                <w:szCs w:val="21"/>
              </w:rPr>
            </w:pPr>
            <w:r w:rsidRPr="009B783C">
              <w:rPr>
                <w:sz w:val="21"/>
                <w:szCs w:val="21"/>
              </w:rPr>
              <w:t>Brisbane North PHN</w:t>
            </w:r>
          </w:p>
        </w:tc>
      </w:tr>
      <w:tr w:rsidR="00AB204D" w:rsidRPr="009B783C" w14:paraId="25A2B9CA"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4058B19D" w14:textId="6FF47322" w:rsidR="00AB204D" w:rsidRPr="009B783C" w:rsidRDefault="00AB204D" w:rsidP="008A4AB6">
            <w:pPr>
              <w:pStyle w:val="TableNText"/>
              <w:rPr>
                <w:sz w:val="21"/>
                <w:szCs w:val="21"/>
              </w:rPr>
            </w:pPr>
            <w:r w:rsidRPr="009B783C">
              <w:rPr>
                <w:sz w:val="21"/>
                <w:szCs w:val="21"/>
              </w:rPr>
              <w:t>Brisbane South PHN</w:t>
            </w:r>
          </w:p>
        </w:tc>
      </w:tr>
      <w:tr w:rsidR="00AB204D" w:rsidRPr="009B783C" w14:paraId="14C9365E"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6EBE477B" w14:textId="3E28D4C3" w:rsidR="00AB204D" w:rsidRPr="009B783C" w:rsidRDefault="00AB204D" w:rsidP="008A4AB6">
            <w:pPr>
              <w:pStyle w:val="TableNText"/>
              <w:rPr>
                <w:sz w:val="21"/>
                <w:szCs w:val="21"/>
              </w:rPr>
            </w:pPr>
            <w:r w:rsidRPr="009B783C">
              <w:rPr>
                <w:sz w:val="21"/>
                <w:szCs w:val="21"/>
              </w:rPr>
              <w:t xml:space="preserve">Central </w:t>
            </w:r>
            <w:r w:rsidR="00967E52" w:rsidRPr="009B783C">
              <w:rPr>
                <w:sz w:val="21"/>
                <w:szCs w:val="21"/>
              </w:rPr>
              <w:t>QLD</w:t>
            </w:r>
            <w:r w:rsidRPr="009B783C">
              <w:rPr>
                <w:sz w:val="21"/>
                <w:szCs w:val="21"/>
              </w:rPr>
              <w:t>, Wide Bay, Sunshine Coast PHN</w:t>
            </w:r>
          </w:p>
        </w:tc>
      </w:tr>
      <w:tr w:rsidR="00AB204D" w:rsidRPr="009B783C" w14:paraId="17FF263F"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06377138" w14:textId="3D80D450" w:rsidR="00AB204D" w:rsidRPr="009B783C" w:rsidRDefault="00AB204D" w:rsidP="008A4AB6">
            <w:pPr>
              <w:pStyle w:val="TableNText"/>
              <w:rPr>
                <w:sz w:val="21"/>
                <w:szCs w:val="21"/>
              </w:rPr>
            </w:pPr>
            <w:r w:rsidRPr="009B783C">
              <w:rPr>
                <w:sz w:val="21"/>
                <w:szCs w:val="21"/>
              </w:rPr>
              <w:t>Darling Downs and West Moreton PHN</w:t>
            </w:r>
          </w:p>
        </w:tc>
      </w:tr>
      <w:tr w:rsidR="00AB204D" w:rsidRPr="009B783C" w14:paraId="4D3F5BAE"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326AFB81" w14:textId="18282ECD" w:rsidR="00AB204D" w:rsidRPr="009B783C" w:rsidRDefault="00AB204D" w:rsidP="008A4AB6">
            <w:pPr>
              <w:pStyle w:val="TableNText"/>
              <w:rPr>
                <w:sz w:val="21"/>
                <w:szCs w:val="21"/>
              </w:rPr>
            </w:pPr>
            <w:r w:rsidRPr="009B783C">
              <w:rPr>
                <w:sz w:val="21"/>
                <w:szCs w:val="21"/>
              </w:rPr>
              <w:t>Gold Coast PHN</w:t>
            </w:r>
          </w:p>
        </w:tc>
      </w:tr>
      <w:tr w:rsidR="00AB204D" w:rsidRPr="009B783C" w14:paraId="7DFC3272"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61225AA4" w14:textId="67A5A763" w:rsidR="00AB204D" w:rsidRPr="009B783C" w:rsidRDefault="00AB204D" w:rsidP="008A4AB6">
            <w:pPr>
              <w:pStyle w:val="TableNText"/>
              <w:rPr>
                <w:sz w:val="21"/>
                <w:szCs w:val="21"/>
              </w:rPr>
            </w:pPr>
            <w:r w:rsidRPr="009B783C">
              <w:rPr>
                <w:sz w:val="21"/>
                <w:szCs w:val="21"/>
              </w:rPr>
              <w:t xml:space="preserve">Northern </w:t>
            </w:r>
            <w:r w:rsidR="00D21918" w:rsidRPr="009B783C">
              <w:rPr>
                <w:sz w:val="21"/>
                <w:szCs w:val="21"/>
              </w:rPr>
              <w:t>QLD</w:t>
            </w:r>
            <w:r w:rsidRPr="009B783C">
              <w:rPr>
                <w:sz w:val="21"/>
                <w:szCs w:val="21"/>
              </w:rPr>
              <w:t xml:space="preserve"> PHN</w:t>
            </w:r>
          </w:p>
        </w:tc>
      </w:tr>
      <w:tr w:rsidR="00AB204D" w:rsidRPr="009B783C" w14:paraId="55AD471D"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shd w:val="clear" w:color="auto" w:fill="E6E6E1" w:themeFill="accent5"/>
          </w:tcPr>
          <w:p w14:paraId="4F283CB2" w14:textId="66855540" w:rsidR="00AB204D" w:rsidRPr="009B783C" w:rsidRDefault="002B19BA" w:rsidP="008A4AB6">
            <w:pPr>
              <w:pStyle w:val="TableNText"/>
              <w:rPr>
                <w:rFonts w:asciiTheme="majorHAnsi" w:hAnsiTheme="majorHAnsi" w:cstheme="majorHAnsi"/>
                <w:sz w:val="21"/>
                <w:szCs w:val="21"/>
              </w:rPr>
            </w:pPr>
            <w:r w:rsidRPr="009B783C">
              <w:rPr>
                <w:rFonts w:asciiTheme="majorHAnsi" w:hAnsiTheme="majorHAnsi" w:cstheme="majorHAnsi"/>
                <w:sz w:val="21"/>
                <w:szCs w:val="21"/>
              </w:rPr>
              <w:t>SA</w:t>
            </w:r>
          </w:p>
        </w:tc>
      </w:tr>
      <w:tr w:rsidR="00AB204D" w:rsidRPr="009B783C" w14:paraId="4C25C84C"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24041852" w14:textId="3D00123E" w:rsidR="00AB204D" w:rsidRPr="009B783C" w:rsidRDefault="002B19BA" w:rsidP="008A4AB6">
            <w:pPr>
              <w:pStyle w:val="TableNText"/>
              <w:rPr>
                <w:sz w:val="21"/>
                <w:szCs w:val="21"/>
              </w:rPr>
            </w:pPr>
            <w:r w:rsidRPr="009B783C">
              <w:rPr>
                <w:sz w:val="21"/>
                <w:szCs w:val="21"/>
              </w:rPr>
              <w:t>Adelaide PHN</w:t>
            </w:r>
          </w:p>
        </w:tc>
      </w:tr>
      <w:tr w:rsidR="00AB204D" w:rsidRPr="009B783C" w14:paraId="71DC237D"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6081E286" w14:textId="7E31C7E9" w:rsidR="00AB204D" w:rsidRPr="009B783C" w:rsidRDefault="002B19BA" w:rsidP="008A4AB6">
            <w:pPr>
              <w:pStyle w:val="TableNText"/>
              <w:rPr>
                <w:sz w:val="21"/>
                <w:szCs w:val="21"/>
              </w:rPr>
            </w:pPr>
            <w:r w:rsidRPr="009B783C">
              <w:rPr>
                <w:sz w:val="21"/>
                <w:szCs w:val="21"/>
              </w:rPr>
              <w:t>Country SA PHN</w:t>
            </w:r>
          </w:p>
        </w:tc>
      </w:tr>
      <w:tr w:rsidR="00AB204D" w:rsidRPr="009B783C" w14:paraId="35215717"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254A796F" w14:textId="7ACE842F" w:rsidR="00AB204D" w:rsidRPr="009B783C" w:rsidRDefault="00492DF8" w:rsidP="008A4AB6">
            <w:pPr>
              <w:pStyle w:val="TableNText"/>
              <w:rPr>
                <w:sz w:val="21"/>
                <w:szCs w:val="21"/>
              </w:rPr>
            </w:pPr>
            <w:r w:rsidRPr="009B783C">
              <w:rPr>
                <w:rFonts w:asciiTheme="majorHAnsi" w:hAnsiTheme="majorHAnsi" w:cstheme="majorHAnsi"/>
                <w:sz w:val="21"/>
                <w:szCs w:val="21"/>
              </w:rPr>
              <w:t>VIC</w:t>
            </w:r>
          </w:p>
        </w:tc>
      </w:tr>
      <w:tr w:rsidR="00B95D7E" w:rsidRPr="009B783C" w14:paraId="261FCE49"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7E65E56F" w14:textId="3508ADA8" w:rsidR="00B95D7E" w:rsidRPr="009B783C" w:rsidRDefault="00B95D7E" w:rsidP="008A4AB6">
            <w:pPr>
              <w:pStyle w:val="TableNText"/>
              <w:rPr>
                <w:sz w:val="21"/>
                <w:szCs w:val="21"/>
              </w:rPr>
            </w:pPr>
            <w:proofErr w:type="gramStart"/>
            <w:r w:rsidRPr="009B783C">
              <w:rPr>
                <w:sz w:val="21"/>
                <w:szCs w:val="21"/>
              </w:rPr>
              <w:lastRenderedPageBreak/>
              <w:t>North West</w:t>
            </w:r>
            <w:proofErr w:type="gramEnd"/>
            <w:r w:rsidRPr="009B783C">
              <w:rPr>
                <w:sz w:val="21"/>
                <w:szCs w:val="21"/>
              </w:rPr>
              <w:t xml:space="preserve"> Melbourne PHN</w:t>
            </w:r>
          </w:p>
        </w:tc>
      </w:tr>
      <w:tr w:rsidR="00AB204D" w:rsidRPr="009B783C" w14:paraId="164076E7"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5B16D6EF" w14:textId="45D25CC3" w:rsidR="00AB204D" w:rsidRPr="009B783C" w:rsidRDefault="00D21918" w:rsidP="008A4AB6">
            <w:pPr>
              <w:pStyle w:val="TableNText"/>
              <w:rPr>
                <w:sz w:val="21"/>
                <w:szCs w:val="21"/>
              </w:rPr>
            </w:pPr>
            <w:r w:rsidRPr="009B783C">
              <w:rPr>
                <w:sz w:val="21"/>
                <w:szCs w:val="21"/>
              </w:rPr>
              <w:t>V</w:t>
            </w:r>
            <w:r w:rsidR="0082165A" w:rsidRPr="009B783C">
              <w:rPr>
                <w:sz w:val="21"/>
                <w:szCs w:val="21"/>
              </w:rPr>
              <w:t>ictorian</w:t>
            </w:r>
            <w:r w:rsidR="00492DF8" w:rsidRPr="009B783C">
              <w:rPr>
                <w:sz w:val="21"/>
                <w:szCs w:val="21"/>
              </w:rPr>
              <w:t xml:space="preserve"> Department of Health </w:t>
            </w:r>
          </w:p>
        </w:tc>
      </w:tr>
      <w:tr w:rsidR="00AB204D" w:rsidRPr="009B783C" w14:paraId="52E894ED"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shd w:val="clear" w:color="auto" w:fill="E6E6E1" w:themeFill="accent5"/>
          </w:tcPr>
          <w:p w14:paraId="522790BD" w14:textId="0ABE4BBC" w:rsidR="00AB204D" w:rsidRPr="009B783C" w:rsidRDefault="00EB640F" w:rsidP="008A4AB6">
            <w:pPr>
              <w:pStyle w:val="TableNText"/>
              <w:rPr>
                <w:rFonts w:asciiTheme="majorHAnsi" w:hAnsiTheme="majorHAnsi" w:cstheme="majorHAnsi"/>
                <w:sz w:val="21"/>
                <w:szCs w:val="21"/>
              </w:rPr>
            </w:pPr>
            <w:r w:rsidRPr="009B783C">
              <w:rPr>
                <w:rFonts w:asciiTheme="majorHAnsi" w:hAnsiTheme="majorHAnsi" w:cstheme="majorHAnsi"/>
                <w:sz w:val="21"/>
                <w:szCs w:val="21"/>
              </w:rPr>
              <w:t>NT</w:t>
            </w:r>
          </w:p>
        </w:tc>
      </w:tr>
      <w:tr w:rsidR="00B95D7E" w:rsidRPr="009B783C" w14:paraId="09D1A3C3"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1E003A84" w14:textId="07A595BA" w:rsidR="00B95D7E" w:rsidRPr="009B783C" w:rsidRDefault="00B95D7E" w:rsidP="008A4AB6">
            <w:pPr>
              <w:pStyle w:val="TableNText"/>
              <w:rPr>
                <w:sz w:val="21"/>
                <w:szCs w:val="21"/>
              </w:rPr>
            </w:pPr>
            <w:proofErr w:type="spellStart"/>
            <w:r w:rsidRPr="009B783C">
              <w:rPr>
                <w:sz w:val="21"/>
                <w:szCs w:val="21"/>
              </w:rPr>
              <w:t>Mala’la</w:t>
            </w:r>
            <w:proofErr w:type="spellEnd"/>
            <w:r w:rsidRPr="009B783C">
              <w:rPr>
                <w:sz w:val="21"/>
                <w:szCs w:val="21"/>
              </w:rPr>
              <w:t xml:space="preserve"> – Maningrida UCC</w:t>
            </w:r>
          </w:p>
        </w:tc>
      </w:tr>
      <w:tr w:rsidR="00AB204D" w:rsidRPr="009B783C" w14:paraId="6373A5BA"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3FA62203" w14:textId="2BD72117" w:rsidR="00AB204D" w:rsidRPr="009B783C" w:rsidRDefault="00EB640F" w:rsidP="008A4AB6">
            <w:pPr>
              <w:pStyle w:val="TableNText"/>
              <w:rPr>
                <w:sz w:val="21"/>
                <w:szCs w:val="21"/>
              </w:rPr>
            </w:pPr>
            <w:r w:rsidRPr="009B783C">
              <w:rPr>
                <w:sz w:val="21"/>
                <w:szCs w:val="21"/>
              </w:rPr>
              <w:t>NT Health</w:t>
            </w:r>
          </w:p>
        </w:tc>
      </w:tr>
      <w:tr w:rsidR="002E2BBD" w:rsidRPr="009B783C" w14:paraId="2A43B1C8"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738E0431" w14:textId="2D3EEADD" w:rsidR="002E2BBD" w:rsidRPr="009B783C" w:rsidRDefault="002E2BBD" w:rsidP="008A4AB6">
            <w:pPr>
              <w:pStyle w:val="TableNText"/>
              <w:rPr>
                <w:sz w:val="21"/>
                <w:szCs w:val="21"/>
              </w:rPr>
            </w:pPr>
            <w:r w:rsidRPr="009B783C">
              <w:rPr>
                <w:rFonts w:asciiTheme="majorHAnsi" w:hAnsiTheme="majorHAnsi" w:cstheme="majorHAnsi"/>
                <w:sz w:val="21"/>
                <w:szCs w:val="21"/>
              </w:rPr>
              <w:t>TAS</w:t>
            </w:r>
          </w:p>
        </w:tc>
      </w:tr>
      <w:tr w:rsidR="002E2BBD" w:rsidRPr="009B783C" w14:paraId="082990CD"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02080161" w14:textId="40502DB2" w:rsidR="002E2BBD" w:rsidRPr="009B783C" w:rsidRDefault="002E2BBD" w:rsidP="008A4AB6">
            <w:pPr>
              <w:pStyle w:val="TableNText"/>
              <w:rPr>
                <w:sz w:val="21"/>
                <w:szCs w:val="21"/>
              </w:rPr>
            </w:pPr>
            <w:r w:rsidRPr="009B783C">
              <w:rPr>
                <w:sz w:val="21"/>
                <w:szCs w:val="21"/>
              </w:rPr>
              <w:t>Tasmanian Department of Health</w:t>
            </w:r>
          </w:p>
        </w:tc>
      </w:tr>
      <w:tr w:rsidR="002E2BBD" w:rsidRPr="009B783C" w14:paraId="71E6A02D"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3FB084E2" w14:textId="58754092" w:rsidR="002E2BBD" w:rsidRPr="009B783C" w:rsidRDefault="002E2BBD" w:rsidP="008A4AB6">
            <w:pPr>
              <w:pStyle w:val="TableNText"/>
              <w:rPr>
                <w:sz w:val="21"/>
                <w:szCs w:val="21"/>
              </w:rPr>
            </w:pPr>
            <w:r w:rsidRPr="009B783C">
              <w:rPr>
                <w:rFonts w:asciiTheme="majorHAnsi" w:hAnsiTheme="majorHAnsi" w:cstheme="majorHAnsi"/>
                <w:sz w:val="21"/>
                <w:szCs w:val="21"/>
              </w:rPr>
              <w:t xml:space="preserve">WA </w:t>
            </w:r>
          </w:p>
        </w:tc>
      </w:tr>
      <w:tr w:rsidR="002E2BBD" w:rsidRPr="009B783C" w14:paraId="6D828956"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379BC287" w14:textId="253AF7A8" w:rsidR="002E2BBD" w:rsidRPr="009B783C" w:rsidRDefault="002E2BBD" w:rsidP="008A4AB6">
            <w:pPr>
              <w:pStyle w:val="TableNText"/>
              <w:rPr>
                <w:sz w:val="21"/>
                <w:szCs w:val="21"/>
              </w:rPr>
            </w:pPr>
            <w:r w:rsidRPr="009B783C">
              <w:rPr>
                <w:sz w:val="21"/>
                <w:szCs w:val="21"/>
              </w:rPr>
              <w:t>WAPHA</w:t>
            </w:r>
          </w:p>
        </w:tc>
      </w:tr>
      <w:tr w:rsidR="002E2BBD" w:rsidRPr="009B783C" w14:paraId="756CE384"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1035A7A3" w14:textId="623BC0F8" w:rsidR="002E2BBD" w:rsidRPr="009B783C" w:rsidRDefault="002E2BBD" w:rsidP="008A4AB6">
            <w:pPr>
              <w:pStyle w:val="TableNText"/>
              <w:rPr>
                <w:sz w:val="21"/>
                <w:szCs w:val="21"/>
              </w:rPr>
            </w:pPr>
            <w:r w:rsidRPr="009B783C">
              <w:rPr>
                <w:rFonts w:asciiTheme="majorHAnsi" w:hAnsiTheme="majorHAnsi" w:cstheme="majorHAnsi"/>
                <w:sz w:val="21"/>
                <w:szCs w:val="21"/>
              </w:rPr>
              <w:t>ACT</w:t>
            </w:r>
          </w:p>
        </w:tc>
      </w:tr>
      <w:tr w:rsidR="002E2BBD" w:rsidRPr="009B783C" w14:paraId="4428B114"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6D612DD8" w14:textId="377F40E0" w:rsidR="002E2BBD" w:rsidRPr="009B783C" w:rsidRDefault="002E2BBD" w:rsidP="008A4AB6">
            <w:pPr>
              <w:pStyle w:val="TableNText"/>
              <w:rPr>
                <w:sz w:val="21"/>
                <w:szCs w:val="21"/>
              </w:rPr>
            </w:pPr>
            <w:r w:rsidRPr="009B783C">
              <w:rPr>
                <w:sz w:val="21"/>
                <w:szCs w:val="21"/>
              </w:rPr>
              <w:t>ACT Health</w:t>
            </w:r>
          </w:p>
        </w:tc>
      </w:tr>
      <w:tr w:rsidR="00B95D7E" w:rsidRPr="009B783C" w14:paraId="52DC74AC"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44BE47FC" w14:textId="633A28EB" w:rsidR="00B95D7E" w:rsidRPr="009B783C" w:rsidRDefault="00B95D7E" w:rsidP="008A4AB6">
            <w:pPr>
              <w:pStyle w:val="TableNText"/>
              <w:rPr>
                <w:sz w:val="21"/>
                <w:szCs w:val="21"/>
              </w:rPr>
            </w:pPr>
            <w:r w:rsidRPr="009B783C">
              <w:rPr>
                <w:sz w:val="21"/>
                <w:szCs w:val="21"/>
              </w:rPr>
              <w:t>ACT Medicare UCCs</w:t>
            </w:r>
          </w:p>
        </w:tc>
      </w:tr>
      <w:tr w:rsidR="00B95D7E" w:rsidRPr="009B783C" w14:paraId="3AE7326A"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0520158B" w14:textId="3AEAEA83" w:rsidR="00B95D7E" w:rsidRPr="009B783C" w:rsidRDefault="00B95D7E" w:rsidP="008A4AB6">
            <w:pPr>
              <w:pStyle w:val="TableNText"/>
              <w:rPr>
                <w:sz w:val="21"/>
                <w:szCs w:val="21"/>
              </w:rPr>
            </w:pPr>
            <w:r w:rsidRPr="009B783C">
              <w:rPr>
                <w:sz w:val="21"/>
                <w:szCs w:val="21"/>
              </w:rPr>
              <w:t>CHS</w:t>
            </w:r>
          </w:p>
        </w:tc>
      </w:tr>
      <w:tr w:rsidR="002E2BBD" w:rsidRPr="009B783C" w14:paraId="4DA380B7"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18B75E25" w14:textId="375E9B91" w:rsidR="002E2BBD" w:rsidRPr="009B783C" w:rsidRDefault="002D1FA0" w:rsidP="008A4AB6">
            <w:pPr>
              <w:pStyle w:val="TableNText"/>
              <w:rPr>
                <w:sz w:val="21"/>
                <w:szCs w:val="21"/>
              </w:rPr>
            </w:pPr>
            <w:r w:rsidRPr="009B783C">
              <w:rPr>
                <w:rFonts w:asciiTheme="majorHAnsi" w:hAnsiTheme="majorHAnsi" w:cstheme="majorHAnsi"/>
                <w:sz w:val="21"/>
                <w:szCs w:val="21"/>
              </w:rPr>
              <w:t>Other</w:t>
            </w:r>
          </w:p>
        </w:tc>
      </w:tr>
      <w:tr w:rsidR="002E2BBD" w:rsidRPr="009B783C" w14:paraId="1F00BDD3"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148DCD11" w14:textId="1E43664E" w:rsidR="002E2BBD" w:rsidRPr="009B783C" w:rsidRDefault="00031E1C" w:rsidP="008A4AB6">
            <w:pPr>
              <w:pStyle w:val="TableNText"/>
              <w:rPr>
                <w:sz w:val="21"/>
                <w:szCs w:val="21"/>
              </w:rPr>
            </w:pPr>
            <w:r w:rsidRPr="009B783C">
              <w:rPr>
                <w:sz w:val="21"/>
                <w:szCs w:val="21"/>
              </w:rPr>
              <w:t>CHF</w:t>
            </w:r>
          </w:p>
        </w:tc>
      </w:tr>
      <w:tr w:rsidR="009604AF" w:rsidRPr="009B783C" w14:paraId="13F60C51"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shd w:val="clear" w:color="auto" w:fill="E6E6E1" w:themeFill="accent5"/>
          </w:tcPr>
          <w:p w14:paraId="6AA9ED00" w14:textId="32907752" w:rsidR="009604AF" w:rsidRPr="009B783C" w:rsidRDefault="009604AF" w:rsidP="008A4AB6">
            <w:pPr>
              <w:pStyle w:val="TableNText"/>
              <w:rPr>
                <w:sz w:val="21"/>
                <w:szCs w:val="21"/>
              </w:rPr>
            </w:pPr>
            <w:r w:rsidRPr="009B783C">
              <w:rPr>
                <w:rFonts w:asciiTheme="majorHAnsi" w:hAnsiTheme="majorHAnsi" w:cstheme="majorHAnsi"/>
                <w:sz w:val="21"/>
                <w:szCs w:val="21"/>
              </w:rPr>
              <w:t>Medicare UCC Operational Advisory Group</w:t>
            </w:r>
          </w:p>
        </w:tc>
      </w:tr>
      <w:tr w:rsidR="009604AF" w:rsidRPr="009B783C" w14:paraId="6D269581"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614347CE" w14:textId="04E4881B" w:rsidR="009604AF" w:rsidRPr="009B783C" w:rsidRDefault="00B95D7E" w:rsidP="008A4AB6">
            <w:pPr>
              <w:pStyle w:val="TableNText"/>
              <w:rPr>
                <w:sz w:val="21"/>
                <w:szCs w:val="21"/>
              </w:rPr>
            </w:pPr>
            <w:r w:rsidRPr="009B783C">
              <w:rPr>
                <w:sz w:val="21"/>
                <w:szCs w:val="21"/>
              </w:rPr>
              <w:t>CHS</w:t>
            </w:r>
          </w:p>
        </w:tc>
      </w:tr>
      <w:tr w:rsidR="009604AF" w:rsidRPr="009B783C" w14:paraId="1CD21AB0"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7C4276BD" w14:textId="7E53D24F" w:rsidR="009604AF" w:rsidRPr="009B783C" w:rsidRDefault="0082165A" w:rsidP="008A4AB6">
            <w:pPr>
              <w:pStyle w:val="TableNText"/>
              <w:rPr>
                <w:sz w:val="21"/>
                <w:szCs w:val="21"/>
              </w:rPr>
            </w:pPr>
            <w:r w:rsidRPr="009B783C">
              <w:rPr>
                <w:sz w:val="21"/>
                <w:szCs w:val="21"/>
              </w:rPr>
              <w:t xml:space="preserve">Tasmanian Department of </w:t>
            </w:r>
            <w:r w:rsidR="00B95D7E" w:rsidRPr="009B783C">
              <w:rPr>
                <w:sz w:val="21"/>
                <w:szCs w:val="21"/>
              </w:rPr>
              <w:t>Health</w:t>
            </w:r>
          </w:p>
        </w:tc>
      </w:tr>
      <w:tr w:rsidR="00504A8B" w:rsidRPr="009B783C" w14:paraId="259662A5"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456DEFD4" w14:textId="7DFC1F72" w:rsidR="00504A8B" w:rsidRPr="009B783C" w:rsidRDefault="00504A8B" w:rsidP="008A4AB6">
            <w:pPr>
              <w:pStyle w:val="TableNText"/>
              <w:rPr>
                <w:sz w:val="21"/>
                <w:szCs w:val="21"/>
              </w:rPr>
            </w:pPr>
            <w:r w:rsidRPr="009B783C">
              <w:rPr>
                <w:sz w:val="21"/>
                <w:szCs w:val="21"/>
              </w:rPr>
              <w:t>NSW Health</w:t>
            </w:r>
          </w:p>
        </w:tc>
      </w:tr>
      <w:tr w:rsidR="009604AF" w:rsidRPr="009B783C" w14:paraId="3B467304"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0B6EF8AB" w14:textId="6DD7DF05" w:rsidR="009604AF" w:rsidRPr="009B783C" w:rsidRDefault="009604AF" w:rsidP="008A4AB6">
            <w:pPr>
              <w:pStyle w:val="TableNText"/>
              <w:rPr>
                <w:sz w:val="21"/>
                <w:szCs w:val="21"/>
              </w:rPr>
            </w:pPr>
            <w:proofErr w:type="gramStart"/>
            <w:r w:rsidRPr="009B783C">
              <w:rPr>
                <w:sz w:val="21"/>
                <w:szCs w:val="21"/>
              </w:rPr>
              <w:t>North Western</w:t>
            </w:r>
            <w:proofErr w:type="gramEnd"/>
            <w:r w:rsidRPr="009B783C">
              <w:rPr>
                <w:sz w:val="21"/>
                <w:szCs w:val="21"/>
              </w:rPr>
              <w:t xml:space="preserve"> Melbourne </w:t>
            </w:r>
            <w:r w:rsidR="00456528" w:rsidRPr="009B783C">
              <w:rPr>
                <w:sz w:val="21"/>
                <w:szCs w:val="21"/>
              </w:rPr>
              <w:t>PHN</w:t>
            </w:r>
          </w:p>
        </w:tc>
      </w:tr>
      <w:tr w:rsidR="009604AF" w:rsidRPr="009B783C" w14:paraId="66893869"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681E1E9C" w14:textId="18BD0A00" w:rsidR="009604AF" w:rsidRPr="009B783C" w:rsidRDefault="00504A8B" w:rsidP="008A4AB6">
            <w:pPr>
              <w:pStyle w:val="TableNText"/>
              <w:rPr>
                <w:sz w:val="21"/>
                <w:szCs w:val="21"/>
              </w:rPr>
            </w:pPr>
            <w:r w:rsidRPr="009B783C">
              <w:rPr>
                <w:sz w:val="21"/>
                <w:szCs w:val="21"/>
              </w:rPr>
              <w:t>NT Health</w:t>
            </w:r>
          </w:p>
        </w:tc>
      </w:tr>
      <w:tr w:rsidR="009604AF" w:rsidRPr="009B783C" w14:paraId="5EA8ED5B"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045226D8" w14:textId="39432B4F" w:rsidR="009604AF" w:rsidRPr="009B783C" w:rsidRDefault="00D21918" w:rsidP="008A4AB6">
            <w:pPr>
              <w:pStyle w:val="TableNText"/>
              <w:rPr>
                <w:sz w:val="21"/>
                <w:szCs w:val="21"/>
              </w:rPr>
            </w:pPr>
            <w:r w:rsidRPr="009B783C">
              <w:rPr>
                <w:sz w:val="21"/>
                <w:szCs w:val="21"/>
              </w:rPr>
              <w:t>QLD</w:t>
            </w:r>
            <w:r w:rsidR="009604AF" w:rsidRPr="009B783C">
              <w:rPr>
                <w:sz w:val="21"/>
                <w:szCs w:val="21"/>
              </w:rPr>
              <w:t xml:space="preserve"> Health</w:t>
            </w:r>
          </w:p>
        </w:tc>
      </w:tr>
      <w:tr w:rsidR="009604AF" w:rsidRPr="009B783C" w14:paraId="408C1650"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11A6A171" w14:textId="41820427" w:rsidR="009604AF" w:rsidRPr="009B783C" w:rsidRDefault="00B95D7E" w:rsidP="008A4AB6">
            <w:pPr>
              <w:pStyle w:val="TableNText"/>
              <w:rPr>
                <w:sz w:val="21"/>
                <w:szCs w:val="21"/>
              </w:rPr>
            </w:pPr>
            <w:r w:rsidRPr="009B783C">
              <w:rPr>
                <w:sz w:val="21"/>
                <w:szCs w:val="21"/>
              </w:rPr>
              <w:t>RACGP</w:t>
            </w:r>
          </w:p>
        </w:tc>
      </w:tr>
      <w:tr w:rsidR="00B95D7E" w:rsidRPr="009B783C" w14:paraId="7595D3ED"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2155D9EB" w14:textId="70B810B7" w:rsidR="00B95D7E" w:rsidRPr="009B783C" w:rsidRDefault="0082165A" w:rsidP="008A4AB6">
            <w:pPr>
              <w:rPr>
                <w:szCs w:val="21"/>
              </w:rPr>
            </w:pPr>
            <w:r w:rsidRPr="009B783C">
              <w:rPr>
                <w:szCs w:val="21"/>
              </w:rPr>
              <w:t xml:space="preserve">Victorian </w:t>
            </w:r>
            <w:r w:rsidR="00B95D7E" w:rsidRPr="009B783C">
              <w:rPr>
                <w:szCs w:val="21"/>
              </w:rPr>
              <w:t>Department of Health</w:t>
            </w:r>
          </w:p>
        </w:tc>
      </w:tr>
      <w:tr w:rsidR="00B95D7E" w:rsidRPr="009B783C" w14:paraId="618DCAED"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5EDD0ECE" w14:textId="74F4EBD8" w:rsidR="00B95D7E" w:rsidRPr="009B783C" w:rsidRDefault="00B95D7E" w:rsidP="008A4AB6">
            <w:pPr>
              <w:rPr>
                <w:szCs w:val="21"/>
              </w:rPr>
            </w:pPr>
            <w:r w:rsidRPr="009B783C">
              <w:rPr>
                <w:szCs w:val="21"/>
              </w:rPr>
              <w:lastRenderedPageBreak/>
              <w:t>WA Department of Health</w:t>
            </w:r>
          </w:p>
        </w:tc>
      </w:tr>
      <w:tr w:rsidR="009604AF" w:rsidRPr="009B783C" w14:paraId="5D666C6F" w14:textId="77777777" w:rsidTr="008A4AB6">
        <w:trPr>
          <w:cnfStyle w:val="000000010000" w:firstRow="0" w:lastRow="0" w:firstColumn="0" w:lastColumn="0" w:oddVBand="0" w:evenVBand="0" w:oddHBand="0" w:evenHBand="1" w:firstRowFirstColumn="0" w:firstRowLastColumn="0" w:lastRowFirstColumn="0" w:lastRowLastColumn="0"/>
          <w:trHeight w:val="227"/>
        </w:trPr>
        <w:tc>
          <w:tcPr>
            <w:tcW w:w="8920" w:type="dxa"/>
          </w:tcPr>
          <w:p w14:paraId="3FE20855" w14:textId="44E40AA2" w:rsidR="009604AF" w:rsidRPr="009B783C" w:rsidRDefault="009604AF" w:rsidP="008A4AB6">
            <w:pPr>
              <w:rPr>
                <w:szCs w:val="21"/>
              </w:rPr>
            </w:pPr>
            <w:proofErr w:type="spellStart"/>
            <w:r w:rsidRPr="009B783C">
              <w:rPr>
                <w:szCs w:val="21"/>
              </w:rPr>
              <w:t>WentWest</w:t>
            </w:r>
            <w:proofErr w:type="spellEnd"/>
            <w:r w:rsidRPr="009B783C">
              <w:rPr>
                <w:szCs w:val="21"/>
              </w:rPr>
              <w:t xml:space="preserve"> (Western Sydney PHN)</w:t>
            </w:r>
          </w:p>
        </w:tc>
      </w:tr>
      <w:tr w:rsidR="00B95D7E" w:rsidRPr="009B783C" w14:paraId="7BB98109" w14:textId="77777777" w:rsidTr="008A4AB6">
        <w:trPr>
          <w:cnfStyle w:val="000000100000" w:firstRow="0" w:lastRow="0" w:firstColumn="0" w:lastColumn="0" w:oddVBand="0" w:evenVBand="0" w:oddHBand="1" w:evenHBand="0" w:firstRowFirstColumn="0" w:firstRowLastColumn="0" w:lastRowFirstColumn="0" w:lastRowLastColumn="0"/>
          <w:trHeight w:val="227"/>
        </w:trPr>
        <w:tc>
          <w:tcPr>
            <w:tcW w:w="8920" w:type="dxa"/>
          </w:tcPr>
          <w:p w14:paraId="19CA29FD" w14:textId="113CD7E4" w:rsidR="00B95D7E" w:rsidRPr="009B783C" w:rsidRDefault="00B95D7E" w:rsidP="008A4AB6">
            <w:pPr>
              <w:rPr>
                <w:szCs w:val="21"/>
              </w:rPr>
            </w:pPr>
            <w:r w:rsidRPr="009B783C">
              <w:rPr>
                <w:szCs w:val="21"/>
              </w:rPr>
              <w:t>Wellbeing SA</w:t>
            </w:r>
          </w:p>
        </w:tc>
      </w:tr>
    </w:tbl>
    <w:p w14:paraId="44703DBF" w14:textId="49E78C5E" w:rsidR="00B33F36" w:rsidRPr="009B783C" w:rsidRDefault="00B33F36" w:rsidP="0031172E">
      <w:pPr>
        <w:pStyle w:val="xAppendixLevel1"/>
        <w:ind w:left="2127" w:hanging="2127"/>
        <w:jc w:val="left"/>
      </w:pPr>
      <w:bookmarkStart w:id="228" w:name="_Toc188533782"/>
      <w:bookmarkStart w:id="229" w:name="_Toc188534039"/>
      <w:bookmarkStart w:id="230" w:name="_Toc188534297"/>
      <w:bookmarkStart w:id="231" w:name="_Toc188546573"/>
      <w:bookmarkStart w:id="232" w:name="_Toc188946112"/>
      <w:bookmarkStart w:id="233" w:name="_Toc188533783"/>
      <w:bookmarkStart w:id="234" w:name="_Toc188534040"/>
      <w:bookmarkStart w:id="235" w:name="_Toc188534298"/>
      <w:bookmarkStart w:id="236" w:name="_Toc188546574"/>
      <w:bookmarkStart w:id="237" w:name="_Toc188946113"/>
      <w:bookmarkStart w:id="238" w:name="_Toc188533784"/>
      <w:bookmarkStart w:id="239" w:name="_Toc188534041"/>
      <w:bookmarkStart w:id="240" w:name="_Toc188534299"/>
      <w:bookmarkStart w:id="241" w:name="_Toc188546575"/>
      <w:bookmarkStart w:id="242" w:name="_Toc188946114"/>
      <w:bookmarkStart w:id="243" w:name="_Toc188533785"/>
      <w:bookmarkStart w:id="244" w:name="_Toc188534042"/>
      <w:bookmarkStart w:id="245" w:name="_Toc188534300"/>
      <w:bookmarkStart w:id="246" w:name="_Toc188546576"/>
      <w:bookmarkStart w:id="247" w:name="_Toc188946115"/>
      <w:bookmarkStart w:id="248" w:name="_Toc188533786"/>
      <w:bookmarkStart w:id="249" w:name="_Toc188534043"/>
      <w:bookmarkStart w:id="250" w:name="_Toc188534301"/>
      <w:bookmarkStart w:id="251" w:name="_Toc188546577"/>
      <w:bookmarkStart w:id="252" w:name="_Toc188946116"/>
      <w:bookmarkStart w:id="253" w:name="_Toc188533787"/>
      <w:bookmarkStart w:id="254" w:name="_Toc188534044"/>
      <w:bookmarkStart w:id="255" w:name="_Toc188534302"/>
      <w:bookmarkStart w:id="256" w:name="_Toc188546578"/>
      <w:bookmarkStart w:id="257" w:name="_Toc188946117"/>
      <w:bookmarkStart w:id="258" w:name="_Toc188533788"/>
      <w:bookmarkStart w:id="259" w:name="_Toc188534045"/>
      <w:bookmarkStart w:id="260" w:name="_Toc188534303"/>
      <w:bookmarkStart w:id="261" w:name="_Toc188546579"/>
      <w:bookmarkStart w:id="262" w:name="_Toc188946118"/>
      <w:bookmarkStart w:id="263" w:name="_Toc188533789"/>
      <w:bookmarkStart w:id="264" w:name="_Toc188534046"/>
      <w:bookmarkStart w:id="265" w:name="_Toc188534304"/>
      <w:bookmarkStart w:id="266" w:name="_Toc188546580"/>
      <w:bookmarkStart w:id="267" w:name="_Toc188946119"/>
      <w:bookmarkStart w:id="268" w:name="_Toc188533790"/>
      <w:bookmarkStart w:id="269" w:name="_Toc188534047"/>
      <w:bookmarkStart w:id="270" w:name="_Toc188534305"/>
      <w:bookmarkStart w:id="271" w:name="_Toc188546581"/>
      <w:bookmarkStart w:id="272" w:name="_Toc188946120"/>
      <w:bookmarkStart w:id="273" w:name="_Toc188533791"/>
      <w:bookmarkStart w:id="274" w:name="_Toc188534048"/>
      <w:bookmarkStart w:id="275" w:name="_Toc188534306"/>
      <w:bookmarkStart w:id="276" w:name="_Toc188546582"/>
      <w:bookmarkStart w:id="277" w:name="_Toc188946121"/>
      <w:bookmarkStart w:id="278" w:name="_Toc188533792"/>
      <w:bookmarkStart w:id="279" w:name="_Toc188534049"/>
      <w:bookmarkStart w:id="280" w:name="_Toc188534307"/>
      <w:bookmarkStart w:id="281" w:name="_Toc188546583"/>
      <w:bookmarkStart w:id="282" w:name="_Toc188946122"/>
      <w:bookmarkStart w:id="283" w:name="_Toc188533793"/>
      <w:bookmarkStart w:id="284" w:name="_Toc188534050"/>
      <w:bookmarkStart w:id="285" w:name="_Toc188534308"/>
      <w:bookmarkStart w:id="286" w:name="_Toc188546584"/>
      <w:bookmarkStart w:id="287" w:name="_Toc188946123"/>
      <w:bookmarkStart w:id="288" w:name="_Toc188533794"/>
      <w:bookmarkStart w:id="289" w:name="_Toc188534051"/>
      <w:bookmarkStart w:id="290" w:name="_Toc188534309"/>
      <w:bookmarkStart w:id="291" w:name="_Toc188546585"/>
      <w:bookmarkStart w:id="292" w:name="_Toc188946124"/>
      <w:bookmarkStart w:id="293" w:name="_Toc188533795"/>
      <w:bookmarkStart w:id="294" w:name="_Toc188534052"/>
      <w:bookmarkStart w:id="295" w:name="_Toc188534310"/>
      <w:bookmarkStart w:id="296" w:name="_Toc188546586"/>
      <w:bookmarkStart w:id="297" w:name="_Toc188946125"/>
      <w:bookmarkStart w:id="298" w:name="_Toc188533796"/>
      <w:bookmarkStart w:id="299" w:name="_Toc188534053"/>
      <w:bookmarkStart w:id="300" w:name="_Toc188534311"/>
      <w:bookmarkStart w:id="301" w:name="_Toc188546587"/>
      <w:bookmarkStart w:id="302" w:name="_Toc188946126"/>
      <w:bookmarkStart w:id="303" w:name="_Toc188533797"/>
      <w:bookmarkStart w:id="304" w:name="_Toc188534054"/>
      <w:bookmarkStart w:id="305" w:name="_Toc188534312"/>
      <w:bookmarkStart w:id="306" w:name="_Toc188546588"/>
      <w:bookmarkStart w:id="307" w:name="_Toc188946127"/>
      <w:bookmarkStart w:id="308" w:name="_Toc188533798"/>
      <w:bookmarkStart w:id="309" w:name="_Toc188534055"/>
      <w:bookmarkStart w:id="310" w:name="_Toc188534313"/>
      <w:bookmarkStart w:id="311" w:name="_Toc188546589"/>
      <w:bookmarkStart w:id="312" w:name="_Toc188946128"/>
      <w:bookmarkStart w:id="313" w:name="_Toc188533799"/>
      <w:bookmarkStart w:id="314" w:name="_Toc188534056"/>
      <w:bookmarkStart w:id="315" w:name="_Toc188534314"/>
      <w:bookmarkStart w:id="316" w:name="_Toc188546590"/>
      <w:bookmarkStart w:id="317" w:name="_Toc188946129"/>
      <w:bookmarkStart w:id="318" w:name="_Toc188533800"/>
      <w:bookmarkStart w:id="319" w:name="_Toc188534057"/>
      <w:bookmarkStart w:id="320" w:name="_Toc188534315"/>
      <w:bookmarkStart w:id="321" w:name="_Toc188546591"/>
      <w:bookmarkStart w:id="322" w:name="_Toc188946130"/>
      <w:bookmarkStart w:id="323" w:name="_Toc188533801"/>
      <w:bookmarkStart w:id="324" w:name="_Toc188534058"/>
      <w:bookmarkStart w:id="325" w:name="_Toc188534316"/>
      <w:bookmarkStart w:id="326" w:name="_Toc188546592"/>
      <w:bookmarkStart w:id="327" w:name="_Toc188946131"/>
      <w:bookmarkStart w:id="328" w:name="_Toc188533802"/>
      <w:bookmarkStart w:id="329" w:name="_Toc188534059"/>
      <w:bookmarkStart w:id="330" w:name="_Toc188534317"/>
      <w:bookmarkStart w:id="331" w:name="_Toc188546593"/>
      <w:bookmarkStart w:id="332" w:name="_Toc188946132"/>
      <w:bookmarkStart w:id="333" w:name="_Toc188533803"/>
      <w:bookmarkStart w:id="334" w:name="_Toc188534060"/>
      <w:bookmarkStart w:id="335" w:name="_Toc188534318"/>
      <w:bookmarkStart w:id="336" w:name="_Toc188546594"/>
      <w:bookmarkStart w:id="337" w:name="_Toc188946133"/>
      <w:bookmarkStart w:id="338" w:name="_Toc188533804"/>
      <w:bookmarkStart w:id="339" w:name="_Toc188534061"/>
      <w:bookmarkStart w:id="340" w:name="_Toc188534319"/>
      <w:bookmarkStart w:id="341" w:name="_Toc188546595"/>
      <w:bookmarkStart w:id="342" w:name="_Toc188946134"/>
      <w:bookmarkStart w:id="343" w:name="_Toc188533805"/>
      <w:bookmarkStart w:id="344" w:name="_Toc188534062"/>
      <w:bookmarkStart w:id="345" w:name="_Toc188534320"/>
      <w:bookmarkStart w:id="346" w:name="_Toc188546596"/>
      <w:bookmarkStart w:id="347" w:name="_Toc188946135"/>
      <w:bookmarkStart w:id="348" w:name="_Toc188533806"/>
      <w:bookmarkStart w:id="349" w:name="_Toc188534063"/>
      <w:bookmarkStart w:id="350" w:name="_Toc188534321"/>
      <w:bookmarkStart w:id="351" w:name="_Toc188546597"/>
      <w:bookmarkStart w:id="352" w:name="_Toc188946136"/>
      <w:bookmarkStart w:id="353" w:name="_Toc188533807"/>
      <w:bookmarkStart w:id="354" w:name="_Toc188534064"/>
      <w:bookmarkStart w:id="355" w:name="_Toc188534322"/>
      <w:bookmarkStart w:id="356" w:name="_Toc188546598"/>
      <w:bookmarkStart w:id="357" w:name="_Toc188946137"/>
      <w:bookmarkStart w:id="358" w:name="_Toc188533808"/>
      <w:bookmarkStart w:id="359" w:name="_Toc188534065"/>
      <w:bookmarkStart w:id="360" w:name="_Toc188534323"/>
      <w:bookmarkStart w:id="361" w:name="_Toc188546599"/>
      <w:bookmarkStart w:id="362" w:name="_Toc188946138"/>
      <w:bookmarkStart w:id="363" w:name="_Toc188533809"/>
      <w:bookmarkStart w:id="364" w:name="_Toc188534066"/>
      <w:bookmarkStart w:id="365" w:name="_Toc188534324"/>
      <w:bookmarkStart w:id="366" w:name="_Toc188546600"/>
      <w:bookmarkStart w:id="367" w:name="_Toc188946139"/>
      <w:bookmarkStart w:id="368" w:name="_Toc188533810"/>
      <w:bookmarkStart w:id="369" w:name="_Toc188534067"/>
      <w:bookmarkStart w:id="370" w:name="_Toc188534325"/>
      <w:bookmarkStart w:id="371" w:name="_Toc188546601"/>
      <w:bookmarkStart w:id="372" w:name="_Toc188946140"/>
      <w:bookmarkStart w:id="373" w:name="_Toc188533811"/>
      <w:bookmarkStart w:id="374" w:name="_Toc188534068"/>
      <w:bookmarkStart w:id="375" w:name="_Toc188534326"/>
      <w:bookmarkStart w:id="376" w:name="_Toc188546602"/>
      <w:bookmarkStart w:id="377" w:name="_Toc188946141"/>
      <w:bookmarkStart w:id="378" w:name="_Toc188533812"/>
      <w:bookmarkStart w:id="379" w:name="_Toc188534069"/>
      <w:bookmarkStart w:id="380" w:name="_Toc188534327"/>
      <w:bookmarkStart w:id="381" w:name="_Toc188546603"/>
      <w:bookmarkStart w:id="382" w:name="_Toc188946142"/>
      <w:bookmarkStart w:id="383" w:name="_Toc188533813"/>
      <w:bookmarkStart w:id="384" w:name="_Toc188534070"/>
      <w:bookmarkStart w:id="385" w:name="_Toc188534328"/>
      <w:bookmarkStart w:id="386" w:name="_Toc188546604"/>
      <w:bookmarkStart w:id="387" w:name="_Toc188946143"/>
      <w:bookmarkStart w:id="388" w:name="_Toc188533814"/>
      <w:bookmarkStart w:id="389" w:name="_Toc188534071"/>
      <w:bookmarkStart w:id="390" w:name="_Toc188534329"/>
      <w:bookmarkStart w:id="391" w:name="_Toc188546605"/>
      <w:bookmarkStart w:id="392" w:name="_Toc188946144"/>
      <w:bookmarkStart w:id="393" w:name="_Toc188533815"/>
      <w:bookmarkStart w:id="394" w:name="_Toc188534072"/>
      <w:bookmarkStart w:id="395" w:name="_Toc188534330"/>
      <w:bookmarkStart w:id="396" w:name="_Toc188546606"/>
      <w:bookmarkStart w:id="397" w:name="_Toc188946145"/>
      <w:bookmarkStart w:id="398" w:name="_Toc188533816"/>
      <w:bookmarkStart w:id="399" w:name="_Toc188534073"/>
      <w:bookmarkStart w:id="400" w:name="_Toc188534331"/>
      <w:bookmarkStart w:id="401" w:name="_Toc188546607"/>
      <w:bookmarkStart w:id="402" w:name="_Toc188946146"/>
      <w:bookmarkStart w:id="403" w:name="_Toc188533817"/>
      <w:bookmarkStart w:id="404" w:name="_Toc188534074"/>
      <w:bookmarkStart w:id="405" w:name="_Toc188534332"/>
      <w:bookmarkStart w:id="406" w:name="_Toc188546608"/>
      <w:bookmarkStart w:id="407" w:name="_Toc188946147"/>
      <w:bookmarkStart w:id="408" w:name="_Toc188533818"/>
      <w:bookmarkStart w:id="409" w:name="_Toc188534075"/>
      <w:bookmarkStart w:id="410" w:name="_Toc188534333"/>
      <w:bookmarkStart w:id="411" w:name="_Toc188546609"/>
      <w:bookmarkStart w:id="412" w:name="_Toc188946148"/>
      <w:bookmarkStart w:id="413" w:name="_Toc188533819"/>
      <w:bookmarkStart w:id="414" w:name="_Toc188534076"/>
      <w:bookmarkStart w:id="415" w:name="_Toc188534334"/>
      <w:bookmarkStart w:id="416" w:name="_Toc188546610"/>
      <w:bookmarkStart w:id="417" w:name="_Toc188946149"/>
      <w:bookmarkStart w:id="418" w:name="_Toc188533820"/>
      <w:bookmarkStart w:id="419" w:name="_Toc188534077"/>
      <w:bookmarkStart w:id="420" w:name="_Toc188534335"/>
      <w:bookmarkStart w:id="421" w:name="_Toc188546611"/>
      <w:bookmarkStart w:id="422" w:name="_Toc188946150"/>
      <w:bookmarkStart w:id="423" w:name="_Toc188533821"/>
      <w:bookmarkStart w:id="424" w:name="_Toc188534078"/>
      <w:bookmarkStart w:id="425" w:name="_Toc188534336"/>
      <w:bookmarkStart w:id="426" w:name="_Toc188546612"/>
      <w:bookmarkStart w:id="427" w:name="_Toc188946151"/>
      <w:bookmarkStart w:id="428" w:name="_Toc188533822"/>
      <w:bookmarkStart w:id="429" w:name="_Toc188534079"/>
      <w:bookmarkStart w:id="430" w:name="_Toc188534337"/>
      <w:bookmarkStart w:id="431" w:name="_Toc188546613"/>
      <w:bookmarkStart w:id="432" w:name="_Toc188946152"/>
      <w:bookmarkStart w:id="433" w:name="_Toc188533823"/>
      <w:bookmarkStart w:id="434" w:name="_Toc188534080"/>
      <w:bookmarkStart w:id="435" w:name="_Toc188534338"/>
      <w:bookmarkStart w:id="436" w:name="_Toc188546614"/>
      <w:bookmarkStart w:id="437" w:name="_Toc188946153"/>
      <w:bookmarkStart w:id="438" w:name="_Toc188533824"/>
      <w:bookmarkStart w:id="439" w:name="_Toc188534081"/>
      <w:bookmarkStart w:id="440" w:name="_Toc188534339"/>
      <w:bookmarkStart w:id="441" w:name="_Toc188546615"/>
      <w:bookmarkStart w:id="442" w:name="_Toc188946154"/>
      <w:bookmarkStart w:id="443" w:name="_Toc188533825"/>
      <w:bookmarkStart w:id="444" w:name="_Toc188534082"/>
      <w:bookmarkStart w:id="445" w:name="_Toc188534340"/>
      <w:bookmarkStart w:id="446" w:name="_Toc188546616"/>
      <w:bookmarkStart w:id="447" w:name="_Toc188946155"/>
      <w:bookmarkStart w:id="448" w:name="_Toc188533826"/>
      <w:bookmarkStart w:id="449" w:name="_Toc188534083"/>
      <w:bookmarkStart w:id="450" w:name="_Toc188534341"/>
      <w:bookmarkStart w:id="451" w:name="_Toc188546617"/>
      <w:bookmarkStart w:id="452" w:name="_Toc188946156"/>
      <w:bookmarkStart w:id="453" w:name="_Toc188533827"/>
      <w:bookmarkStart w:id="454" w:name="_Toc188534084"/>
      <w:bookmarkStart w:id="455" w:name="_Toc188534342"/>
      <w:bookmarkStart w:id="456" w:name="_Toc188546618"/>
      <w:bookmarkStart w:id="457" w:name="_Toc188946157"/>
      <w:bookmarkStart w:id="458" w:name="_Toc188533828"/>
      <w:bookmarkStart w:id="459" w:name="_Toc188534085"/>
      <w:bookmarkStart w:id="460" w:name="_Toc188534343"/>
      <w:bookmarkStart w:id="461" w:name="_Toc188546619"/>
      <w:bookmarkStart w:id="462" w:name="_Toc188946158"/>
      <w:bookmarkStart w:id="463" w:name="_Toc188533829"/>
      <w:bookmarkStart w:id="464" w:name="_Toc188534086"/>
      <w:bookmarkStart w:id="465" w:name="_Toc188534344"/>
      <w:bookmarkStart w:id="466" w:name="_Toc188546620"/>
      <w:bookmarkStart w:id="467" w:name="_Toc188946159"/>
      <w:bookmarkStart w:id="468" w:name="_Toc188533830"/>
      <w:bookmarkStart w:id="469" w:name="_Toc188534087"/>
      <w:bookmarkStart w:id="470" w:name="_Toc188534345"/>
      <w:bookmarkStart w:id="471" w:name="_Toc188546621"/>
      <w:bookmarkStart w:id="472" w:name="_Toc188946160"/>
      <w:bookmarkStart w:id="473" w:name="_Toc188533831"/>
      <w:bookmarkStart w:id="474" w:name="_Toc188534088"/>
      <w:bookmarkStart w:id="475" w:name="_Toc188534346"/>
      <w:bookmarkStart w:id="476" w:name="_Toc188546622"/>
      <w:bookmarkStart w:id="477" w:name="_Toc188946161"/>
      <w:bookmarkStart w:id="478" w:name="_Toc188533848"/>
      <w:bookmarkStart w:id="479" w:name="_Toc188534105"/>
      <w:bookmarkStart w:id="480" w:name="_Toc188534363"/>
      <w:bookmarkStart w:id="481" w:name="_Toc188546639"/>
      <w:bookmarkStart w:id="482" w:name="_Toc188946178"/>
      <w:bookmarkStart w:id="483" w:name="_Toc188533849"/>
      <w:bookmarkStart w:id="484" w:name="_Toc188534106"/>
      <w:bookmarkStart w:id="485" w:name="_Toc188534364"/>
      <w:bookmarkStart w:id="486" w:name="_Toc188546640"/>
      <w:bookmarkStart w:id="487" w:name="_Toc188946179"/>
      <w:bookmarkStart w:id="488" w:name="_Toc188533850"/>
      <w:bookmarkStart w:id="489" w:name="_Toc188534107"/>
      <w:bookmarkStart w:id="490" w:name="_Toc188534365"/>
      <w:bookmarkStart w:id="491" w:name="_Toc188546641"/>
      <w:bookmarkStart w:id="492" w:name="_Toc188946180"/>
      <w:bookmarkStart w:id="493" w:name="_Toc188533869"/>
      <w:bookmarkStart w:id="494" w:name="_Toc188534126"/>
      <w:bookmarkStart w:id="495" w:name="_Toc188534384"/>
      <w:bookmarkStart w:id="496" w:name="_Toc188546660"/>
      <w:bookmarkStart w:id="497" w:name="_Toc188946199"/>
      <w:bookmarkStart w:id="498" w:name="_Toc188533870"/>
      <w:bookmarkStart w:id="499" w:name="_Toc188534127"/>
      <w:bookmarkStart w:id="500" w:name="_Toc188534385"/>
      <w:bookmarkStart w:id="501" w:name="_Toc188546661"/>
      <w:bookmarkStart w:id="502" w:name="_Toc188946200"/>
      <w:bookmarkStart w:id="503" w:name="_Toc188533871"/>
      <w:bookmarkStart w:id="504" w:name="_Toc188534128"/>
      <w:bookmarkStart w:id="505" w:name="_Toc188534386"/>
      <w:bookmarkStart w:id="506" w:name="_Toc188546662"/>
      <w:bookmarkStart w:id="507" w:name="_Toc188946201"/>
      <w:bookmarkStart w:id="508" w:name="_Toc188533872"/>
      <w:bookmarkStart w:id="509" w:name="_Toc188534129"/>
      <w:bookmarkStart w:id="510" w:name="_Toc188534387"/>
      <w:bookmarkStart w:id="511" w:name="_Toc188546663"/>
      <w:bookmarkStart w:id="512" w:name="_Toc188946202"/>
      <w:bookmarkStart w:id="513" w:name="_Toc188533873"/>
      <w:bookmarkStart w:id="514" w:name="_Toc188534130"/>
      <w:bookmarkStart w:id="515" w:name="_Toc188534388"/>
      <w:bookmarkStart w:id="516" w:name="_Toc188546664"/>
      <w:bookmarkStart w:id="517" w:name="_Toc188946203"/>
      <w:bookmarkStart w:id="518" w:name="_Toc188533874"/>
      <w:bookmarkStart w:id="519" w:name="_Toc188534131"/>
      <w:bookmarkStart w:id="520" w:name="_Toc188534389"/>
      <w:bookmarkStart w:id="521" w:name="_Toc188546665"/>
      <w:bookmarkStart w:id="522" w:name="_Toc188946204"/>
      <w:bookmarkStart w:id="523" w:name="_Toc188533875"/>
      <w:bookmarkStart w:id="524" w:name="_Toc188534132"/>
      <w:bookmarkStart w:id="525" w:name="_Toc188534390"/>
      <w:bookmarkStart w:id="526" w:name="_Toc188546666"/>
      <w:bookmarkStart w:id="527" w:name="_Toc188946205"/>
      <w:bookmarkStart w:id="528" w:name="_Toc188533876"/>
      <w:bookmarkStart w:id="529" w:name="_Toc188534133"/>
      <w:bookmarkStart w:id="530" w:name="_Toc188534391"/>
      <w:bookmarkStart w:id="531" w:name="_Toc188546667"/>
      <w:bookmarkStart w:id="532" w:name="_Toc188946206"/>
      <w:bookmarkStart w:id="533" w:name="_Toc188533877"/>
      <w:bookmarkStart w:id="534" w:name="_Toc188534134"/>
      <w:bookmarkStart w:id="535" w:name="_Toc188534392"/>
      <w:bookmarkStart w:id="536" w:name="_Toc188546668"/>
      <w:bookmarkStart w:id="537" w:name="_Toc188946207"/>
      <w:bookmarkStart w:id="538" w:name="_Toc188533878"/>
      <w:bookmarkStart w:id="539" w:name="_Toc188534135"/>
      <w:bookmarkStart w:id="540" w:name="_Toc188534393"/>
      <w:bookmarkStart w:id="541" w:name="_Toc188546669"/>
      <w:bookmarkStart w:id="542" w:name="_Toc188946208"/>
      <w:bookmarkStart w:id="543" w:name="_Toc188533879"/>
      <w:bookmarkStart w:id="544" w:name="_Toc188534136"/>
      <w:bookmarkStart w:id="545" w:name="_Toc188534394"/>
      <w:bookmarkStart w:id="546" w:name="_Toc188546670"/>
      <w:bookmarkStart w:id="547" w:name="_Toc188946209"/>
      <w:bookmarkStart w:id="548" w:name="_Toc188533880"/>
      <w:bookmarkStart w:id="549" w:name="_Toc188534137"/>
      <w:bookmarkStart w:id="550" w:name="_Toc188534395"/>
      <w:bookmarkStart w:id="551" w:name="_Toc188546671"/>
      <w:bookmarkStart w:id="552" w:name="_Toc188946210"/>
      <w:bookmarkStart w:id="553" w:name="_Toc188533881"/>
      <w:bookmarkStart w:id="554" w:name="_Toc188534138"/>
      <w:bookmarkStart w:id="555" w:name="_Toc188534396"/>
      <w:bookmarkStart w:id="556" w:name="_Toc188546672"/>
      <w:bookmarkStart w:id="557" w:name="_Toc188946211"/>
      <w:bookmarkStart w:id="558" w:name="_Toc188533882"/>
      <w:bookmarkStart w:id="559" w:name="_Toc188534139"/>
      <w:bookmarkStart w:id="560" w:name="_Toc188534397"/>
      <w:bookmarkStart w:id="561" w:name="_Toc188546673"/>
      <w:bookmarkStart w:id="562" w:name="_Toc188946212"/>
      <w:bookmarkStart w:id="563" w:name="_Toc188533883"/>
      <w:bookmarkStart w:id="564" w:name="_Toc188534140"/>
      <w:bookmarkStart w:id="565" w:name="_Toc188534398"/>
      <w:bookmarkStart w:id="566" w:name="_Toc188546674"/>
      <w:bookmarkStart w:id="567" w:name="_Toc188946213"/>
      <w:bookmarkStart w:id="568" w:name="_Toc188533884"/>
      <w:bookmarkStart w:id="569" w:name="_Toc188534141"/>
      <w:bookmarkStart w:id="570" w:name="_Toc188534399"/>
      <w:bookmarkStart w:id="571" w:name="_Toc188546675"/>
      <w:bookmarkStart w:id="572" w:name="_Toc188946214"/>
      <w:bookmarkStart w:id="573" w:name="_Toc188533885"/>
      <w:bookmarkStart w:id="574" w:name="_Toc188534142"/>
      <w:bookmarkStart w:id="575" w:name="_Toc188534400"/>
      <w:bookmarkStart w:id="576" w:name="_Toc188546676"/>
      <w:bookmarkStart w:id="577" w:name="_Toc188946215"/>
      <w:bookmarkStart w:id="578" w:name="_Toc188533886"/>
      <w:bookmarkStart w:id="579" w:name="_Toc188534143"/>
      <w:bookmarkStart w:id="580" w:name="_Toc188534401"/>
      <w:bookmarkStart w:id="581" w:name="_Toc188546677"/>
      <w:bookmarkStart w:id="582" w:name="_Toc188946216"/>
      <w:bookmarkStart w:id="583" w:name="_Toc188533887"/>
      <w:bookmarkStart w:id="584" w:name="_Toc188534144"/>
      <w:bookmarkStart w:id="585" w:name="_Toc188534402"/>
      <w:bookmarkStart w:id="586" w:name="_Toc188546678"/>
      <w:bookmarkStart w:id="587" w:name="_Toc188946217"/>
      <w:bookmarkStart w:id="588" w:name="_Toc188533888"/>
      <w:bookmarkStart w:id="589" w:name="_Toc188534145"/>
      <w:bookmarkStart w:id="590" w:name="_Toc188534403"/>
      <w:bookmarkStart w:id="591" w:name="_Toc188546679"/>
      <w:bookmarkStart w:id="592" w:name="_Toc188946218"/>
      <w:bookmarkStart w:id="593" w:name="_Toc188533889"/>
      <w:bookmarkStart w:id="594" w:name="_Toc188534146"/>
      <w:bookmarkStart w:id="595" w:name="_Toc188534404"/>
      <w:bookmarkStart w:id="596" w:name="_Toc188546680"/>
      <w:bookmarkStart w:id="597" w:name="_Toc188946219"/>
      <w:bookmarkStart w:id="598" w:name="_Toc188533890"/>
      <w:bookmarkStart w:id="599" w:name="_Toc188534147"/>
      <w:bookmarkStart w:id="600" w:name="_Toc188534405"/>
      <w:bookmarkStart w:id="601" w:name="_Toc188546681"/>
      <w:bookmarkStart w:id="602" w:name="_Toc188946220"/>
      <w:bookmarkStart w:id="603" w:name="_Toc188533936"/>
      <w:bookmarkStart w:id="604" w:name="_Toc188534193"/>
      <w:bookmarkStart w:id="605" w:name="_Toc188534451"/>
      <w:bookmarkStart w:id="606" w:name="_Toc188546727"/>
      <w:bookmarkStart w:id="607" w:name="_Toc188946266"/>
      <w:bookmarkStart w:id="608" w:name="_Toc188533937"/>
      <w:bookmarkStart w:id="609" w:name="_Toc188534194"/>
      <w:bookmarkStart w:id="610" w:name="_Toc188534452"/>
      <w:bookmarkStart w:id="611" w:name="_Toc188546728"/>
      <w:bookmarkStart w:id="612" w:name="_Toc188946267"/>
      <w:bookmarkStart w:id="613" w:name="_Toc188533938"/>
      <w:bookmarkStart w:id="614" w:name="_Toc188534195"/>
      <w:bookmarkStart w:id="615" w:name="_Toc188534453"/>
      <w:bookmarkStart w:id="616" w:name="_Toc188546729"/>
      <w:bookmarkStart w:id="617" w:name="_Toc188946268"/>
      <w:bookmarkStart w:id="618" w:name="_Toc188533939"/>
      <w:bookmarkStart w:id="619" w:name="_Toc188534196"/>
      <w:bookmarkStart w:id="620" w:name="_Toc188534454"/>
      <w:bookmarkStart w:id="621" w:name="_Toc188546730"/>
      <w:bookmarkStart w:id="622" w:name="_Toc188946269"/>
      <w:bookmarkStart w:id="623" w:name="_Toc188533940"/>
      <w:bookmarkStart w:id="624" w:name="_Toc188534197"/>
      <w:bookmarkStart w:id="625" w:name="_Toc188534455"/>
      <w:bookmarkStart w:id="626" w:name="_Toc188546731"/>
      <w:bookmarkStart w:id="627" w:name="_Toc188946270"/>
      <w:bookmarkStart w:id="628" w:name="_Toc188533941"/>
      <w:bookmarkStart w:id="629" w:name="_Toc188534198"/>
      <w:bookmarkStart w:id="630" w:name="_Toc188534456"/>
      <w:bookmarkStart w:id="631" w:name="_Toc188546732"/>
      <w:bookmarkStart w:id="632" w:name="_Toc188946271"/>
      <w:bookmarkStart w:id="633" w:name="_Toc188533942"/>
      <w:bookmarkStart w:id="634" w:name="_Toc188534199"/>
      <w:bookmarkStart w:id="635" w:name="_Toc188534457"/>
      <w:bookmarkStart w:id="636" w:name="_Toc188546733"/>
      <w:bookmarkStart w:id="637" w:name="_Toc188946272"/>
      <w:bookmarkStart w:id="638" w:name="_Toc188533943"/>
      <w:bookmarkStart w:id="639" w:name="_Toc188534200"/>
      <w:bookmarkStart w:id="640" w:name="_Toc188534458"/>
      <w:bookmarkStart w:id="641" w:name="_Toc188546734"/>
      <w:bookmarkStart w:id="642" w:name="_Toc188946273"/>
      <w:bookmarkStart w:id="643" w:name="_Toc188533944"/>
      <w:bookmarkStart w:id="644" w:name="_Toc188534201"/>
      <w:bookmarkStart w:id="645" w:name="_Toc188534459"/>
      <w:bookmarkStart w:id="646" w:name="_Toc188546735"/>
      <w:bookmarkStart w:id="647" w:name="_Toc188946274"/>
      <w:bookmarkStart w:id="648" w:name="_Toc188533945"/>
      <w:bookmarkStart w:id="649" w:name="_Toc188534202"/>
      <w:bookmarkStart w:id="650" w:name="_Toc188534460"/>
      <w:bookmarkStart w:id="651" w:name="_Toc188546736"/>
      <w:bookmarkStart w:id="652" w:name="_Toc188946275"/>
      <w:bookmarkStart w:id="653" w:name="_Toc188533946"/>
      <w:bookmarkStart w:id="654" w:name="_Toc188534203"/>
      <w:bookmarkStart w:id="655" w:name="_Toc188534461"/>
      <w:bookmarkStart w:id="656" w:name="_Toc188546737"/>
      <w:bookmarkStart w:id="657" w:name="_Toc188946276"/>
      <w:bookmarkStart w:id="658" w:name="_Toc188533947"/>
      <w:bookmarkStart w:id="659" w:name="_Toc188534204"/>
      <w:bookmarkStart w:id="660" w:name="_Toc188534462"/>
      <w:bookmarkStart w:id="661" w:name="_Toc188546738"/>
      <w:bookmarkStart w:id="662" w:name="_Toc188946277"/>
      <w:bookmarkStart w:id="663" w:name="_Toc188533948"/>
      <w:bookmarkStart w:id="664" w:name="_Toc188534205"/>
      <w:bookmarkStart w:id="665" w:name="_Toc188534463"/>
      <w:bookmarkStart w:id="666" w:name="_Toc188546739"/>
      <w:bookmarkStart w:id="667" w:name="_Toc188946278"/>
      <w:bookmarkStart w:id="668" w:name="_Toc188533949"/>
      <w:bookmarkStart w:id="669" w:name="_Toc188534206"/>
      <w:bookmarkStart w:id="670" w:name="_Toc188534464"/>
      <w:bookmarkStart w:id="671" w:name="_Toc188546740"/>
      <w:bookmarkStart w:id="672" w:name="_Toc188946279"/>
      <w:bookmarkStart w:id="673" w:name="_Toc188533950"/>
      <w:bookmarkStart w:id="674" w:name="_Toc188534207"/>
      <w:bookmarkStart w:id="675" w:name="_Toc188534465"/>
      <w:bookmarkStart w:id="676" w:name="_Toc188546741"/>
      <w:bookmarkStart w:id="677" w:name="_Toc188946280"/>
      <w:bookmarkStart w:id="678" w:name="_Toc188533951"/>
      <w:bookmarkStart w:id="679" w:name="_Toc188534208"/>
      <w:bookmarkStart w:id="680" w:name="_Toc188534466"/>
      <w:bookmarkStart w:id="681" w:name="_Toc188546742"/>
      <w:bookmarkStart w:id="682" w:name="_Toc188946281"/>
      <w:bookmarkStart w:id="683" w:name="_Toc188533952"/>
      <w:bookmarkStart w:id="684" w:name="_Toc188534209"/>
      <w:bookmarkStart w:id="685" w:name="_Toc188534467"/>
      <w:bookmarkStart w:id="686" w:name="_Toc188546743"/>
      <w:bookmarkStart w:id="687" w:name="_Toc188946282"/>
      <w:bookmarkStart w:id="688" w:name="_Toc188533953"/>
      <w:bookmarkStart w:id="689" w:name="_Toc188534210"/>
      <w:bookmarkStart w:id="690" w:name="_Toc188534468"/>
      <w:bookmarkStart w:id="691" w:name="_Toc188546744"/>
      <w:bookmarkStart w:id="692" w:name="_Toc188946283"/>
      <w:bookmarkStart w:id="693" w:name="_Toc188533954"/>
      <w:bookmarkStart w:id="694" w:name="_Toc188534211"/>
      <w:bookmarkStart w:id="695" w:name="_Toc188534469"/>
      <w:bookmarkStart w:id="696" w:name="_Toc188546745"/>
      <w:bookmarkStart w:id="697" w:name="_Toc188946284"/>
      <w:bookmarkStart w:id="698" w:name="_Toc188533955"/>
      <w:bookmarkStart w:id="699" w:name="_Toc188534212"/>
      <w:bookmarkStart w:id="700" w:name="_Toc188534470"/>
      <w:bookmarkStart w:id="701" w:name="_Toc188546746"/>
      <w:bookmarkStart w:id="702" w:name="_Toc188946285"/>
      <w:bookmarkStart w:id="703" w:name="_Toc188533956"/>
      <w:bookmarkStart w:id="704" w:name="_Toc188534213"/>
      <w:bookmarkStart w:id="705" w:name="_Toc188534471"/>
      <w:bookmarkStart w:id="706" w:name="_Toc188546747"/>
      <w:bookmarkStart w:id="707" w:name="_Toc188946286"/>
      <w:bookmarkStart w:id="708" w:name="_Toc188533957"/>
      <w:bookmarkStart w:id="709" w:name="_Toc188534214"/>
      <w:bookmarkStart w:id="710" w:name="_Toc188534472"/>
      <w:bookmarkStart w:id="711" w:name="_Toc188546748"/>
      <w:bookmarkStart w:id="712" w:name="_Toc188946287"/>
      <w:bookmarkStart w:id="713" w:name="_Toc188533958"/>
      <w:bookmarkStart w:id="714" w:name="_Toc188534215"/>
      <w:bookmarkStart w:id="715" w:name="_Toc188534473"/>
      <w:bookmarkStart w:id="716" w:name="_Toc188546749"/>
      <w:bookmarkStart w:id="717" w:name="_Toc188946288"/>
      <w:bookmarkStart w:id="718" w:name="_Toc188533959"/>
      <w:bookmarkStart w:id="719" w:name="_Toc188534216"/>
      <w:bookmarkStart w:id="720" w:name="_Toc188534474"/>
      <w:bookmarkStart w:id="721" w:name="_Toc188546750"/>
      <w:bookmarkStart w:id="722" w:name="_Toc188946289"/>
      <w:bookmarkStart w:id="723" w:name="_Toc188533960"/>
      <w:bookmarkStart w:id="724" w:name="_Toc188534217"/>
      <w:bookmarkStart w:id="725" w:name="_Toc188534475"/>
      <w:bookmarkStart w:id="726" w:name="_Toc188546751"/>
      <w:bookmarkStart w:id="727" w:name="_Toc188946290"/>
      <w:bookmarkStart w:id="728" w:name="_Toc188533961"/>
      <w:bookmarkStart w:id="729" w:name="_Toc188534218"/>
      <w:bookmarkStart w:id="730" w:name="_Toc188534476"/>
      <w:bookmarkStart w:id="731" w:name="_Toc188546752"/>
      <w:bookmarkStart w:id="732" w:name="_Toc188946291"/>
      <w:bookmarkStart w:id="733" w:name="_Toc188533962"/>
      <w:bookmarkStart w:id="734" w:name="_Toc188534219"/>
      <w:bookmarkStart w:id="735" w:name="_Toc188534477"/>
      <w:bookmarkStart w:id="736" w:name="_Toc188546753"/>
      <w:bookmarkStart w:id="737" w:name="_Toc188946292"/>
      <w:bookmarkStart w:id="738" w:name="_Toc188533963"/>
      <w:bookmarkStart w:id="739" w:name="_Toc188534220"/>
      <w:bookmarkStart w:id="740" w:name="_Toc188534478"/>
      <w:bookmarkStart w:id="741" w:name="_Toc188546754"/>
      <w:bookmarkStart w:id="742" w:name="_Toc188946293"/>
      <w:bookmarkStart w:id="743" w:name="_Toc188533964"/>
      <w:bookmarkStart w:id="744" w:name="_Toc188534221"/>
      <w:bookmarkStart w:id="745" w:name="_Toc188534479"/>
      <w:bookmarkStart w:id="746" w:name="_Toc188546755"/>
      <w:bookmarkStart w:id="747" w:name="_Toc188946294"/>
      <w:bookmarkStart w:id="748" w:name="_Toc188533975"/>
      <w:bookmarkStart w:id="749" w:name="_Toc188534232"/>
      <w:bookmarkStart w:id="750" w:name="_Toc188534490"/>
      <w:bookmarkStart w:id="751" w:name="_Toc188546766"/>
      <w:bookmarkStart w:id="752" w:name="_Toc188946305"/>
      <w:bookmarkStart w:id="753" w:name="_Toc188533976"/>
      <w:bookmarkStart w:id="754" w:name="_Toc188534233"/>
      <w:bookmarkStart w:id="755" w:name="_Toc188534491"/>
      <w:bookmarkStart w:id="756" w:name="_Toc188546767"/>
      <w:bookmarkStart w:id="757" w:name="_Toc188946306"/>
      <w:bookmarkStart w:id="758" w:name="_Toc188533977"/>
      <w:bookmarkStart w:id="759" w:name="_Toc188534234"/>
      <w:bookmarkStart w:id="760" w:name="_Toc188534492"/>
      <w:bookmarkStart w:id="761" w:name="_Toc188546768"/>
      <w:bookmarkStart w:id="762" w:name="_Toc188946307"/>
      <w:bookmarkStart w:id="763" w:name="_Ref185400257"/>
      <w:bookmarkStart w:id="764" w:name="_Toc189639242"/>
      <w:bookmarkStart w:id="765" w:name="_Toc189772042"/>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r w:rsidRPr="009B783C">
        <w:lastRenderedPageBreak/>
        <w:t>Methodology for cost effectiveness analysis</w:t>
      </w:r>
      <w:bookmarkEnd w:id="763"/>
      <w:bookmarkEnd w:id="764"/>
      <w:bookmarkEnd w:id="765"/>
    </w:p>
    <w:p w14:paraId="20FDAD3E" w14:textId="77777777" w:rsidR="00B33F36" w:rsidRPr="009B783C" w:rsidRDefault="00B33F36" w:rsidP="00950D18">
      <w:pPr>
        <w:pStyle w:val="xAppendixLevel2"/>
        <w:numPr>
          <w:ilvl w:val="0"/>
          <w:numId w:val="0"/>
        </w:numPr>
      </w:pPr>
      <w:bookmarkStart w:id="766" w:name="_Toc189772043"/>
      <w:r w:rsidRPr="009B783C">
        <w:t>Overview of methods</w:t>
      </w:r>
      <w:bookmarkEnd w:id="766"/>
    </w:p>
    <w:p w14:paraId="76ABAA9D" w14:textId="0936D389" w:rsidR="00B33F36" w:rsidRPr="009B783C" w:rsidRDefault="00B33F36" w:rsidP="00344FA6">
      <w:pPr>
        <w:spacing w:after="165"/>
        <w:rPr>
          <w:szCs w:val="21"/>
          <w:lang w:eastAsia="en-AU"/>
        </w:rPr>
      </w:pPr>
      <w:r w:rsidRPr="009B783C">
        <w:rPr>
          <w:szCs w:val="21"/>
          <w:lang w:eastAsia="en-AU"/>
        </w:rPr>
        <w:t xml:space="preserve">Cost effectiveness analysis is an economic evaluation approach through which alternatives are compared </w:t>
      </w:r>
      <w:r w:rsidR="00205770" w:rsidRPr="009B783C">
        <w:rPr>
          <w:szCs w:val="21"/>
          <w:lang w:eastAsia="en-AU"/>
        </w:rPr>
        <w:t xml:space="preserve">considering </w:t>
      </w:r>
      <w:r w:rsidRPr="009B783C">
        <w:rPr>
          <w:szCs w:val="21"/>
          <w:lang w:eastAsia="en-AU"/>
        </w:rPr>
        <w:t>the costs and outcomes, with outcomes measured across a single important dimension.</w:t>
      </w:r>
      <w:r w:rsidR="008A611A" w:rsidRPr="009B783C">
        <w:rPr>
          <w:szCs w:val="21"/>
          <w:lang w:eastAsia="en-AU"/>
        </w:rPr>
        <w:t xml:space="preserve"> </w:t>
      </w:r>
      <w:r w:rsidRPr="009B783C">
        <w:rPr>
          <w:szCs w:val="21"/>
          <w:lang w:eastAsia="en-AU"/>
        </w:rPr>
        <w:t>For the Medicare UCC evaluation, the two main options being compared are:</w:t>
      </w:r>
    </w:p>
    <w:p w14:paraId="32BD5048" w14:textId="2807EDC3" w:rsidR="00B33F36" w:rsidRPr="00067F4B" w:rsidRDefault="00B33F36" w:rsidP="00DD5491">
      <w:pPr>
        <w:pStyle w:val="Listnumbered"/>
        <w:numPr>
          <w:ilvl w:val="0"/>
          <w:numId w:val="70"/>
        </w:numPr>
        <w:rPr>
          <w:szCs w:val="21"/>
        </w:rPr>
      </w:pPr>
      <w:r w:rsidRPr="00067F4B">
        <w:rPr>
          <w:szCs w:val="21"/>
        </w:rPr>
        <w:t>Absence of a Medicare UCC within the local community</w:t>
      </w:r>
      <w:r w:rsidR="002B713B" w:rsidRPr="00067F4B">
        <w:rPr>
          <w:szCs w:val="21"/>
        </w:rPr>
        <w:t>.</w:t>
      </w:r>
    </w:p>
    <w:p w14:paraId="747EC489" w14:textId="1CF5998D" w:rsidR="00B33F36" w:rsidRPr="00067F4B" w:rsidRDefault="00B33F36" w:rsidP="00DD5491">
      <w:pPr>
        <w:pStyle w:val="Listnumbered"/>
        <w:rPr>
          <w:szCs w:val="21"/>
        </w:rPr>
      </w:pPr>
      <w:r w:rsidRPr="00067F4B">
        <w:rPr>
          <w:szCs w:val="21"/>
        </w:rPr>
        <w:t>The availability of a Medicare UCC within the local community.</w:t>
      </w:r>
    </w:p>
    <w:p w14:paraId="3EE5D85D" w14:textId="21DD1898" w:rsidR="00054C2A" w:rsidRPr="009B783C" w:rsidRDefault="00054C2A" w:rsidP="00344FA6">
      <w:pPr>
        <w:spacing w:after="165"/>
        <w:rPr>
          <w:szCs w:val="21"/>
          <w:lang w:val="en-US" w:eastAsia="en-AU"/>
        </w:rPr>
      </w:pPr>
      <w:r w:rsidRPr="009B783C">
        <w:rPr>
          <w:szCs w:val="21"/>
          <w:lang w:eastAsia="en-AU"/>
        </w:rPr>
        <w:t xml:space="preserve">Interim Evaluation Report 1 has focused on setting the foundations for conducting an economic evaluation, specifically developing estimates of the cost to the Australian Government of urgent care being delivered through Medicare UCCs and estimating the cost savings to the Australian </w:t>
      </w:r>
      <w:r w:rsidR="008D2EF6" w:rsidRPr="009B783C">
        <w:rPr>
          <w:szCs w:val="21"/>
          <w:lang w:eastAsia="en-AU"/>
        </w:rPr>
        <w:t>Government</w:t>
      </w:r>
      <w:r w:rsidRPr="009B783C">
        <w:rPr>
          <w:szCs w:val="21"/>
          <w:lang w:eastAsia="en-AU"/>
        </w:rPr>
        <w:t xml:space="preserve"> where a patient would have attended an ED had the Medicare UCC not been available. </w:t>
      </w:r>
      <w:r w:rsidR="00141794" w:rsidRPr="009B783C">
        <w:rPr>
          <w:szCs w:val="21"/>
          <w:lang w:eastAsia="en-AU"/>
        </w:rPr>
        <w:t xml:space="preserve">The key features and scope of the analysis for Interim Evaluation Report 1 is shown in </w:t>
      </w:r>
      <w:r w:rsidR="00141794" w:rsidRPr="009B783C">
        <w:rPr>
          <w:szCs w:val="21"/>
        </w:rPr>
        <w:fldChar w:fldCharType="begin"/>
      </w:r>
      <w:r w:rsidR="00141794" w:rsidRPr="009B783C">
        <w:rPr>
          <w:szCs w:val="21"/>
        </w:rPr>
        <w:instrText xml:space="preserve"> REF _Ref185347444 \h  \* MERGEFORMAT </w:instrText>
      </w:r>
      <w:r w:rsidR="00141794" w:rsidRPr="009B783C">
        <w:rPr>
          <w:szCs w:val="21"/>
        </w:rPr>
      </w:r>
      <w:r w:rsidR="00141794" w:rsidRPr="009B783C">
        <w:rPr>
          <w:szCs w:val="21"/>
        </w:rPr>
        <w:fldChar w:fldCharType="separate"/>
      </w:r>
      <w:r w:rsidR="00820A3F" w:rsidRPr="00820A3F">
        <w:rPr>
          <w:szCs w:val="21"/>
        </w:rPr>
        <w:t>Table 28</w:t>
      </w:r>
      <w:r w:rsidR="00141794" w:rsidRPr="009B783C">
        <w:rPr>
          <w:szCs w:val="21"/>
        </w:rPr>
        <w:fldChar w:fldCharType="end"/>
      </w:r>
      <w:r w:rsidR="00141794" w:rsidRPr="009B783C">
        <w:rPr>
          <w:szCs w:val="21"/>
        </w:rPr>
        <w:t>.</w:t>
      </w:r>
    </w:p>
    <w:p w14:paraId="12AA2EBF" w14:textId="7F3CBEAC" w:rsidR="00054C2A" w:rsidRPr="009B783C" w:rsidRDefault="00054C2A" w:rsidP="00344FA6">
      <w:pPr>
        <w:spacing w:after="165"/>
        <w:rPr>
          <w:szCs w:val="21"/>
          <w:lang w:eastAsia="en-AU"/>
        </w:rPr>
      </w:pPr>
      <w:r w:rsidRPr="009B783C">
        <w:rPr>
          <w:szCs w:val="21"/>
          <w:lang w:eastAsia="en-AU"/>
        </w:rPr>
        <w:t xml:space="preserve">Interim Evaluation Report 2 and the Final Evaluation Report will have broader focus, which is also described in </w:t>
      </w:r>
      <w:r w:rsidR="008D2EF6" w:rsidRPr="009B783C">
        <w:rPr>
          <w:szCs w:val="21"/>
          <w:lang w:eastAsia="en-AU"/>
        </w:rPr>
        <w:fldChar w:fldCharType="begin"/>
      </w:r>
      <w:r w:rsidR="008D2EF6" w:rsidRPr="009B783C">
        <w:rPr>
          <w:szCs w:val="21"/>
          <w:lang w:eastAsia="en-AU"/>
        </w:rPr>
        <w:instrText xml:space="preserve"> REF _Ref185347444 \h  \* MERGEFORMAT </w:instrText>
      </w:r>
      <w:r w:rsidR="008D2EF6" w:rsidRPr="009B783C">
        <w:rPr>
          <w:szCs w:val="21"/>
          <w:lang w:eastAsia="en-AU"/>
        </w:rPr>
      </w:r>
      <w:r w:rsidR="008D2EF6" w:rsidRPr="009B783C">
        <w:rPr>
          <w:szCs w:val="21"/>
          <w:lang w:eastAsia="en-AU"/>
        </w:rPr>
        <w:fldChar w:fldCharType="separate"/>
      </w:r>
      <w:r w:rsidR="00820A3F" w:rsidRPr="00820A3F">
        <w:rPr>
          <w:szCs w:val="21"/>
          <w:lang w:eastAsia="en-AU"/>
        </w:rPr>
        <w:t>Table 28</w:t>
      </w:r>
      <w:r w:rsidR="008D2EF6" w:rsidRPr="009B783C">
        <w:rPr>
          <w:szCs w:val="21"/>
          <w:lang w:eastAsia="en-AU"/>
        </w:rPr>
        <w:fldChar w:fldCharType="end"/>
      </w:r>
      <w:r w:rsidRPr="009B783C">
        <w:rPr>
          <w:szCs w:val="21"/>
          <w:lang w:eastAsia="en-AU"/>
        </w:rPr>
        <w:t>.</w:t>
      </w:r>
    </w:p>
    <w:p w14:paraId="13BCA061" w14:textId="77777777" w:rsidR="00B33F36" w:rsidRPr="009B783C" w:rsidRDefault="00B33F36" w:rsidP="00344FA6">
      <w:pPr>
        <w:spacing w:after="165"/>
        <w:rPr>
          <w:szCs w:val="21"/>
          <w:lang w:eastAsia="en-AU"/>
        </w:rPr>
      </w:pPr>
      <w:r w:rsidRPr="009B783C">
        <w:rPr>
          <w:szCs w:val="21"/>
          <w:lang w:eastAsia="en-AU"/>
        </w:rPr>
        <w:t>This Appendix includes details of the analysis of costs conducted for Interim Evaluation Report 1.</w:t>
      </w:r>
    </w:p>
    <w:p w14:paraId="466167F4" w14:textId="1ADF4BBC" w:rsidR="00B33F36" w:rsidRPr="009B783C" w:rsidRDefault="00B33F36" w:rsidP="00B33F36">
      <w:pPr>
        <w:rPr>
          <w:rFonts w:asciiTheme="majorHAnsi" w:hAnsiTheme="majorHAnsi" w:cstheme="majorHAnsi"/>
          <w:color w:val="00264D" w:themeColor="background2"/>
          <w:szCs w:val="21"/>
          <w:lang w:eastAsia="en-AU"/>
        </w:rPr>
      </w:pPr>
      <w:bookmarkStart w:id="767" w:name="_Ref185347444"/>
      <w:r w:rsidRPr="009B783C">
        <w:rPr>
          <w:rFonts w:asciiTheme="majorHAnsi" w:hAnsiTheme="majorHAnsi" w:cstheme="majorHAnsi"/>
          <w:color w:val="00264D" w:themeColor="background2"/>
          <w:szCs w:val="21"/>
          <w:lang w:eastAsia="en-AU"/>
        </w:rPr>
        <w:t xml:space="preserve">Table </w:t>
      </w:r>
      <w:r w:rsidRPr="009B783C">
        <w:rPr>
          <w:rFonts w:asciiTheme="majorHAnsi" w:hAnsiTheme="majorHAnsi" w:cstheme="majorHAnsi"/>
          <w:color w:val="00264D" w:themeColor="background2"/>
          <w:szCs w:val="21"/>
          <w:lang w:eastAsia="en-AU"/>
        </w:rPr>
        <w:fldChar w:fldCharType="begin"/>
      </w:r>
      <w:r w:rsidRPr="009B783C">
        <w:rPr>
          <w:rFonts w:asciiTheme="majorHAnsi" w:hAnsiTheme="majorHAnsi" w:cstheme="majorHAnsi"/>
          <w:color w:val="00264D" w:themeColor="background2"/>
          <w:szCs w:val="21"/>
          <w:lang w:eastAsia="en-AU"/>
        </w:rPr>
        <w:instrText xml:space="preserve"> SEQ Table \* ARABIC </w:instrText>
      </w:r>
      <w:r w:rsidRPr="009B783C">
        <w:rPr>
          <w:rFonts w:asciiTheme="majorHAnsi" w:hAnsiTheme="majorHAnsi" w:cstheme="majorHAnsi"/>
          <w:color w:val="00264D" w:themeColor="background2"/>
          <w:szCs w:val="21"/>
          <w:lang w:eastAsia="en-AU"/>
        </w:rPr>
        <w:fldChar w:fldCharType="separate"/>
      </w:r>
      <w:r w:rsidR="00820A3F">
        <w:rPr>
          <w:rFonts w:asciiTheme="majorHAnsi" w:hAnsiTheme="majorHAnsi" w:cstheme="majorHAnsi"/>
          <w:noProof/>
          <w:color w:val="00264D" w:themeColor="background2"/>
          <w:szCs w:val="21"/>
          <w:lang w:eastAsia="en-AU"/>
        </w:rPr>
        <w:t>28</w:t>
      </w:r>
      <w:r w:rsidRPr="009B783C">
        <w:rPr>
          <w:rFonts w:asciiTheme="majorHAnsi" w:hAnsiTheme="majorHAnsi" w:cstheme="majorHAnsi"/>
          <w:color w:val="00264D" w:themeColor="background2"/>
          <w:szCs w:val="21"/>
          <w:lang w:eastAsia="en-AU"/>
        </w:rPr>
        <w:fldChar w:fldCharType="end"/>
      </w:r>
      <w:bookmarkEnd w:id="767"/>
      <w:r w:rsidRPr="009B783C">
        <w:rPr>
          <w:rFonts w:asciiTheme="majorHAnsi" w:hAnsiTheme="majorHAnsi" w:cstheme="majorHAnsi"/>
          <w:color w:val="00264D" w:themeColor="background2"/>
          <w:szCs w:val="21"/>
          <w:lang w:eastAsia="en-AU"/>
        </w:rPr>
        <w:t xml:space="preserve"> | Medicare UCC evaluation: Economic evaluation components</w:t>
      </w:r>
    </w:p>
    <w:tbl>
      <w:tblPr>
        <w:tblStyle w:val="NOUSSideHeader1"/>
        <w:tblW w:w="5000" w:type="pct"/>
        <w:tblLook w:val="04A0" w:firstRow="1" w:lastRow="0" w:firstColumn="1" w:lastColumn="0" w:noHBand="0" w:noVBand="1"/>
      </w:tblPr>
      <w:tblGrid>
        <w:gridCol w:w="1503"/>
        <w:gridCol w:w="3645"/>
        <w:gridCol w:w="3782"/>
      </w:tblGrid>
      <w:tr w:rsidR="00AE6FF8" w:rsidRPr="009B783C" w14:paraId="437849F3" w14:textId="77777777" w:rsidTr="00D16816">
        <w:trPr>
          <w:cnfStyle w:val="100000000000" w:firstRow="1" w:lastRow="0" w:firstColumn="0" w:lastColumn="0" w:oddVBand="0" w:evenVBand="0" w:oddHBand="0" w:evenHBand="0" w:firstRowFirstColumn="0" w:firstRowLastColumn="0" w:lastRowFirstColumn="0" w:lastRowLastColumn="0"/>
        </w:trPr>
        <w:tc>
          <w:tcPr>
            <w:tcW w:w="735" w:type="pct"/>
            <w:tcBorders>
              <w:top w:val="single" w:sz="2" w:space="0" w:color="00264D" w:themeColor="background2"/>
              <w:bottom w:val="single" w:sz="4" w:space="0" w:color="00264D" w:themeColor="background2"/>
            </w:tcBorders>
            <w:shd w:val="clear" w:color="auto" w:fill="00264D" w:themeFill="background2"/>
          </w:tcPr>
          <w:p w14:paraId="0E8690A2" w14:textId="77777777" w:rsidR="00054C2A" w:rsidRPr="009B783C" w:rsidRDefault="00054C2A" w:rsidP="00786482">
            <w:pPr>
              <w:pStyle w:val="TableNheader"/>
            </w:pPr>
            <w:r w:rsidRPr="009B783C">
              <w:t>Components</w:t>
            </w:r>
          </w:p>
        </w:tc>
        <w:tc>
          <w:tcPr>
            <w:tcW w:w="2094" w:type="pct"/>
            <w:tcBorders>
              <w:top w:val="single" w:sz="2" w:space="0" w:color="00264D" w:themeColor="background2"/>
              <w:bottom w:val="single" w:sz="4" w:space="0" w:color="00264D" w:themeColor="background2"/>
            </w:tcBorders>
            <w:shd w:val="clear" w:color="auto" w:fill="00264D" w:themeFill="background2"/>
          </w:tcPr>
          <w:p w14:paraId="5B674156" w14:textId="77777777" w:rsidR="00054C2A" w:rsidRPr="009B783C" w:rsidRDefault="00054C2A" w:rsidP="00786482">
            <w:pPr>
              <w:pStyle w:val="TableNheader"/>
            </w:pPr>
            <w:r w:rsidRPr="009B783C">
              <w:t>Interim Evaluation Report 1</w:t>
            </w:r>
          </w:p>
        </w:tc>
        <w:tc>
          <w:tcPr>
            <w:tcW w:w="2171" w:type="pct"/>
            <w:tcBorders>
              <w:top w:val="single" w:sz="2" w:space="0" w:color="00264D" w:themeColor="background2"/>
              <w:bottom w:val="single" w:sz="4" w:space="0" w:color="00264D" w:themeColor="background2"/>
            </w:tcBorders>
            <w:shd w:val="clear" w:color="auto" w:fill="00264D" w:themeFill="background2"/>
          </w:tcPr>
          <w:p w14:paraId="234259B5" w14:textId="77777777" w:rsidR="00054C2A" w:rsidRPr="009B783C" w:rsidRDefault="00054C2A" w:rsidP="00786482">
            <w:pPr>
              <w:pStyle w:val="TableNheader"/>
            </w:pPr>
            <w:r w:rsidRPr="009B783C">
              <w:t>Interim Evaluation Report 2 and Final Evaluation Report</w:t>
            </w:r>
          </w:p>
        </w:tc>
      </w:tr>
      <w:tr w:rsidR="00054C2A" w:rsidRPr="009B783C" w14:paraId="16468D6B" w14:textId="77777777" w:rsidTr="00D16816">
        <w:trPr>
          <w:cnfStyle w:val="000000100000" w:firstRow="0" w:lastRow="0" w:firstColumn="0" w:lastColumn="0" w:oddVBand="0" w:evenVBand="0" w:oddHBand="1" w:evenHBand="0"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8B9B6E8" w14:textId="77777777" w:rsidR="00054C2A" w:rsidRPr="009B783C" w:rsidRDefault="00054C2A" w:rsidP="003E79FA">
            <w:pPr>
              <w:pStyle w:val="TableNText"/>
              <w:keepLines/>
              <w:rPr>
                <w:sz w:val="21"/>
                <w:szCs w:val="21"/>
              </w:rPr>
            </w:pPr>
            <w:r w:rsidRPr="009B783C">
              <w:rPr>
                <w:sz w:val="21"/>
                <w:szCs w:val="21"/>
              </w:rPr>
              <w:t>Perspective</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07AAD500" w14:textId="1CB62E66" w:rsidR="00054C2A" w:rsidRPr="009B783C" w:rsidRDefault="00054C2A" w:rsidP="003E79FA">
            <w:pPr>
              <w:pStyle w:val="TableNText"/>
              <w:keepLines/>
              <w:rPr>
                <w:sz w:val="21"/>
                <w:szCs w:val="21"/>
              </w:rPr>
            </w:pPr>
            <w:r w:rsidRPr="009B783C">
              <w:rPr>
                <w:sz w:val="21"/>
                <w:szCs w:val="21"/>
              </w:rPr>
              <w:t xml:space="preserve">Government funders, with separate analysis for Commonwealth and </w:t>
            </w:r>
            <w:r w:rsidR="008D2EF6" w:rsidRPr="009B783C">
              <w:rPr>
                <w:sz w:val="21"/>
                <w:szCs w:val="21"/>
              </w:rPr>
              <w:t>state/territo</w:t>
            </w:r>
            <w:r w:rsidRPr="009B783C">
              <w:rPr>
                <w:sz w:val="21"/>
                <w:szCs w:val="21"/>
              </w:rPr>
              <w:t>ry funders</w:t>
            </w:r>
            <w:r w:rsidR="008D2EF6"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FBA1813" w14:textId="57EC6894" w:rsidR="00054C2A" w:rsidRPr="009B783C" w:rsidRDefault="00054C2A" w:rsidP="003E79FA">
            <w:pPr>
              <w:pStyle w:val="TableNBullet"/>
              <w:keepLines/>
              <w:rPr>
                <w:sz w:val="21"/>
                <w:szCs w:val="21"/>
              </w:rPr>
            </w:pPr>
            <w:r w:rsidRPr="009B783C">
              <w:rPr>
                <w:sz w:val="21"/>
                <w:szCs w:val="21"/>
              </w:rPr>
              <w:t xml:space="preserve">Government funders, with separate analysis for Commonwealth and </w:t>
            </w:r>
            <w:r w:rsidR="008D2EF6" w:rsidRPr="009B783C">
              <w:rPr>
                <w:sz w:val="21"/>
                <w:szCs w:val="21"/>
              </w:rPr>
              <w:t>state/territory</w:t>
            </w:r>
            <w:r w:rsidRPr="009B783C">
              <w:rPr>
                <w:sz w:val="21"/>
                <w:szCs w:val="21"/>
              </w:rPr>
              <w:t xml:space="preserve"> funders</w:t>
            </w:r>
            <w:r w:rsidR="008D2EF6" w:rsidRPr="009B783C">
              <w:rPr>
                <w:sz w:val="21"/>
                <w:szCs w:val="21"/>
              </w:rPr>
              <w:t>.</w:t>
            </w:r>
          </w:p>
          <w:p w14:paraId="613A57C8" w14:textId="6A0A3CA3" w:rsidR="00054C2A" w:rsidRPr="009B783C" w:rsidRDefault="00054C2A" w:rsidP="003E79FA">
            <w:pPr>
              <w:pStyle w:val="TableNBullet"/>
              <w:keepLines/>
              <w:rPr>
                <w:sz w:val="21"/>
                <w:szCs w:val="21"/>
              </w:rPr>
            </w:pPr>
            <w:r w:rsidRPr="009B783C">
              <w:rPr>
                <w:sz w:val="21"/>
                <w:szCs w:val="21"/>
              </w:rPr>
              <w:t>Whole population</w:t>
            </w:r>
            <w:r w:rsidR="008D2EF6" w:rsidRPr="009B783C">
              <w:rPr>
                <w:sz w:val="21"/>
                <w:szCs w:val="21"/>
              </w:rPr>
              <w:t>.</w:t>
            </w:r>
          </w:p>
        </w:tc>
      </w:tr>
      <w:tr w:rsidR="00054C2A" w:rsidRPr="009B783C" w14:paraId="04E82FBA" w14:textId="77777777" w:rsidTr="00D16816">
        <w:trPr>
          <w:cnfStyle w:val="000000010000" w:firstRow="0" w:lastRow="0" w:firstColumn="0" w:lastColumn="0" w:oddVBand="0" w:evenVBand="0" w:oddHBand="0" w:evenHBand="1"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BABFBB8" w14:textId="77777777" w:rsidR="00054C2A" w:rsidRPr="009B783C" w:rsidRDefault="00054C2A" w:rsidP="003E79FA">
            <w:pPr>
              <w:pStyle w:val="TableNText"/>
              <w:keepLines/>
              <w:rPr>
                <w:sz w:val="21"/>
                <w:szCs w:val="21"/>
              </w:rPr>
            </w:pPr>
            <w:r w:rsidRPr="009B783C">
              <w:rPr>
                <w:sz w:val="21"/>
                <w:szCs w:val="21"/>
              </w:rPr>
              <w:t>Population</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FE47E02" w14:textId="3CD7C8C0" w:rsidR="00054C2A" w:rsidRPr="009B783C" w:rsidRDefault="00054C2A" w:rsidP="003E79FA">
            <w:pPr>
              <w:pStyle w:val="TableNText"/>
              <w:keepLines/>
              <w:rPr>
                <w:sz w:val="21"/>
                <w:szCs w:val="21"/>
              </w:rPr>
            </w:pPr>
            <w:r w:rsidRPr="009B783C">
              <w:rPr>
                <w:sz w:val="21"/>
                <w:szCs w:val="21"/>
              </w:rPr>
              <w:t>People requiring urgent care equivalent services</w:t>
            </w:r>
            <w:r w:rsidR="008D2EF6"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7BC30D75" w14:textId="06FA3335" w:rsidR="00054C2A" w:rsidRPr="009B783C" w:rsidRDefault="00054C2A" w:rsidP="003E79FA">
            <w:pPr>
              <w:pStyle w:val="TableNText"/>
              <w:keepLines/>
              <w:rPr>
                <w:sz w:val="21"/>
                <w:szCs w:val="21"/>
              </w:rPr>
            </w:pPr>
            <w:r w:rsidRPr="009B783C">
              <w:rPr>
                <w:sz w:val="21"/>
                <w:szCs w:val="21"/>
              </w:rPr>
              <w:t>People requiring urgent care equivalent services</w:t>
            </w:r>
            <w:r w:rsidR="008D2EF6" w:rsidRPr="009B783C">
              <w:rPr>
                <w:sz w:val="21"/>
                <w:szCs w:val="21"/>
              </w:rPr>
              <w:t>.</w:t>
            </w:r>
          </w:p>
        </w:tc>
      </w:tr>
      <w:tr w:rsidR="00054C2A" w:rsidRPr="009B783C" w14:paraId="6A042E1C" w14:textId="77777777" w:rsidTr="00D16816">
        <w:trPr>
          <w:cnfStyle w:val="000000100000" w:firstRow="0" w:lastRow="0" w:firstColumn="0" w:lastColumn="0" w:oddVBand="0" w:evenVBand="0" w:oddHBand="1" w:evenHBand="0"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A7BAD8A" w14:textId="77777777" w:rsidR="00054C2A" w:rsidRPr="009B783C" w:rsidRDefault="00054C2A" w:rsidP="003E79FA">
            <w:pPr>
              <w:pStyle w:val="TableNText"/>
              <w:keepLines/>
              <w:rPr>
                <w:sz w:val="21"/>
                <w:szCs w:val="21"/>
              </w:rPr>
            </w:pPr>
            <w:r w:rsidRPr="009B783C">
              <w:rPr>
                <w:sz w:val="21"/>
                <w:szCs w:val="21"/>
              </w:rPr>
              <w:t>Comparator</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5BD5F19" w14:textId="742E598B" w:rsidR="00054C2A" w:rsidRPr="009B783C" w:rsidRDefault="00054C2A" w:rsidP="003E79FA">
            <w:pPr>
              <w:pStyle w:val="TableNText"/>
              <w:keepLines/>
              <w:rPr>
                <w:sz w:val="21"/>
                <w:szCs w:val="21"/>
              </w:rPr>
            </w:pPr>
            <w:r w:rsidRPr="009B783C">
              <w:rPr>
                <w:sz w:val="21"/>
                <w:szCs w:val="21"/>
              </w:rPr>
              <w:t>A. Absence of a Medicare UCC within the local community</w:t>
            </w:r>
            <w:r w:rsidR="008D2EF6"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CF6255C" w14:textId="1B7FDDE6" w:rsidR="00054C2A" w:rsidRPr="009B783C" w:rsidRDefault="00054C2A" w:rsidP="003E79FA">
            <w:pPr>
              <w:pStyle w:val="TableNText"/>
              <w:keepLines/>
              <w:rPr>
                <w:sz w:val="21"/>
                <w:szCs w:val="21"/>
              </w:rPr>
            </w:pPr>
            <w:r w:rsidRPr="009B783C">
              <w:rPr>
                <w:sz w:val="21"/>
                <w:szCs w:val="21"/>
              </w:rPr>
              <w:t>A. Absence of a Medicare UCC within the local community</w:t>
            </w:r>
            <w:r w:rsidR="008D2EF6" w:rsidRPr="009B783C">
              <w:rPr>
                <w:sz w:val="21"/>
                <w:szCs w:val="21"/>
              </w:rPr>
              <w:t>.</w:t>
            </w:r>
          </w:p>
        </w:tc>
      </w:tr>
      <w:tr w:rsidR="00054C2A" w:rsidRPr="009B783C" w14:paraId="32720CB4" w14:textId="77777777" w:rsidTr="00D16816">
        <w:trPr>
          <w:cnfStyle w:val="000000010000" w:firstRow="0" w:lastRow="0" w:firstColumn="0" w:lastColumn="0" w:oddVBand="0" w:evenVBand="0" w:oddHBand="0" w:evenHBand="1"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D69D365" w14:textId="77777777" w:rsidR="00054C2A" w:rsidRPr="009B783C" w:rsidRDefault="00054C2A" w:rsidP="003E79FA">
            <w:pPr>
              <w:pStyle w:val="TableNText"/>
              <w:keepLines/>
              <w:rPr>
                <w:sz w:val="21"/>
                <w:szCs w:val="21"/>
              </w:rPr>
            </w:pPr>
            <w:r w:rsidRPr="009B783C">
              <w:rPr>
                <w:sz w:val="21"/>
                <w:szCs w:val="21"/>
              </w:rPr>
              <w:t>Intervention</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FDFA0C3" w14:textId="37CAFEFA" w:rsidR="00054C2A" w:rsidRPr="009B783C" w:rsidRDefault="00054C2A" w:rsidP="003E79FA">
            <w:pPr>
              <w:pStyle w:val="TableNText"/>
              <w:keepLines/>
              <w:rPr>
                <w:sz w:val="21"/>
                <w:szCs w:val="21"/>
              </w:rPr>
            </w:pPr>
            <w:r w:rsidRPr="009B783C">
              <w:rPr>
                <w:sz w:val="21"/>
                <w:szCs w:val="21"/>
              </w:rPr>
              <w:t>B. Presence of a Medicare UCC within the local community</w:t>
            </w:r>
            <w:r w:rsidR="008D2EF6"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61270EDD" w14:textId="1EB84A04" w:rsidR="00054C2A" w:rsidRPr="009B783C" w:rsidRDefault="00054C2A" w:rsidP="003E79FA">
            <w:pPr>
              <w:pStyle w:val="TableNText"/>
              <w:keepLines/>
              <w:rPr>
                <w:sz w:val="21"/>
                <w:szCs w:val="21"/>
              </w:rPr>
            </w:pPr>
            <w:r w:rsidRPr="009B783C">
              <w:rPr>
                <w:sz w:val="21"/>
                <w:szCs w:val="21"/>
              </w:rPr>
              <w:t>A. Presence of a Medicare UCC within the local community</w:t>
            </w:r>
            <w:r w:rsidR="008D2EF6" w:rsidRPr="009B783C">
              <w:rPr>
                <w:sz w:val="21"/>
                <w:szCs w:val="21"/>
              </w:rPr>
              <w:t>.</w:t>
            </w:r>
          </w:p>
        </w:tc>
      </w:tr>
      <w:tr w:rsidR="00054C2A" w:rsidRPr="009B783C" w14:paraId="4D7D607E" w14:textId="77777777" w:rsidTr="00D16816">
        <w:trPr>
          <w:cnfStyle w:val="000000100000" w:firstRow="0" w:lastRow="0" w:firstColumn="0" w:lastColumn="0" w:oddVBand="0" w:evenVBand="0" w:oddHBand="1" w:evenHBand="0"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C5E15C1" w14:textId="77777777" w:rsidR="00054C2A" w:rsidRPr="009B783C" w:rsidRDefault="00054C2A" w:rsidP="003E79FA">
            <w:pPr>
              <w:pStyle w:val="TableNText"/>
              <w:keepLines/>
              <w:rPr>
                <w:sz w:val="21"/>
                <w:szCs w:val="21"/>
              </w:rPr>
            </w:pPr>
            <w:bookmarkStart w:id="768" w:name="_Ref185347240"/>
            <w:r w:rsidRPr="009B783C">
              <w:rPr>
                <w:sz w:val="21"/>
                <w:szCs w:val="21"/>
              </w:rPr>
              <w:lastRenderedPageBreak/>
              <w:t>Evaluation period</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0756814" w14:textId="77777777" w:rsidR="00054C2A" w:rsidRPr="009B783C" w:rsidRDefault="00054C2A" w:rsidP="003E79FA">
            <w:pPr>
              <w:pStyle w:val="TableNBullet"/>
              <w:keepLines/>
              <w:rPr>
                <w:sz w:val="21"/>
                <w:szCs w:val="21"/>
              </w:rPr>
            </w:pPr>
            <w:r w:rsidRPr="009B783C">
              <w:rPr>
                <w:sz w:val="21"/>
                <w:szCs w:val="21"/>
              </w:rPr>
              <w:t xml:space="preserve">Data from the first 15 months of the Program. </w:t>
            </w:r>
          </w:p>
          <w:p w14:paraId="0930BAD1" w14:textId="0584362B" w:rsidR="00054C2A" w:rsidRPr="009B783C" w:rsidRDefault="00054C2A" w:rsidP="003E79FA">
            <w:pPr>
              <w:pStyle w:val="TableNBullet"/>
              <w:keepLines/>
              <w:rPr>
                <w:sz w:val="21"/>
                <w:szCs w:val="21"/>
              </w:rPr>
            </w:pPr>
            <w:r w:rsidRPr="009B783C">
              <w:rPr>
                <w:sz w:val="21"/>
                <w:szCs w:val="21"/>
              </w:rPr>
              <w:t xml:space="preserve">Annualised estimates have been developed for each measure and results are presented on an annualised basis. </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D7B9169" w14:textId="77777777" w:rsidR="00054C2A" w:rsidRPr="009B783C" w:rsidRDefault="00054C2A" w:rsidP="003E79FA">
            <w:pPr>
              <w:pStyle w:val="TableNBullet"/>
              <w:keepLines/>
              <w:rPr>
                <w:sz w:val="21"/>
                <w:szCs w:val="21"/>
              </w:rPr>
            </w:pPr>
            <w:r w:rsidRPr="009B783C">
              <w:rPr>
                <w:sz w:val="21"/>
                <w:szCs w:val="21"/>
              </w:rPr>
              <w:t>Data from the first 27 months (Interim Evaluation Report 2) and 36 months (Final Evaluation Report) of the Program.</w:t>
            </w:r>
          </w:p>
          <w:p w14:paraId="7886266F" w14:textId="35FD5C80" w:rsidR="00054C2A" w:rsidRPr="009B783C" w:rsidRDefault="00054C2A" w:rsidP="003E79FA">
            <w:pPr>
              <w:pStyle w:val="TableNBullet"/>
              <w:keepLines/>
              <w:rPr>
                <w:sz w:val="21"/>
                <w:szCs w:val="21"/>
              </w:rPr>
            </w:pPr>
            <w:r w:rsidRPr="009B783C">
              <w:rPr>
                <w:sz w:val="21"/>
                <w:szCs w:val="21"/>
              </w:rPr>
              <w:t>Annualised estimates will be developed for each measure and results presented on an annualised basis.</w:t>
            </w:r>
          </w:p>
        </w:tc>
      </w:tr>
      <w:tr w:rsidR="00054C2A" w:rsidRPr="009B783C" w14:paraId="096E4418" w14:textId="77777777" w:rsidTr="00D16816">
        <w:trPr>
          <w:cnfStyle w:val="000000010000" w:firstRow="0" w:lastRow="0" w:firstColumn="0" w:lastColumn="0" w:oddVBand="0" w:evenVBand="0" w:oddHBand="0" w:evenHBand="1"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DEB9877" w14:textId="77777777" w:rsidR="00054C2A" w:rsidRPr="009B783C" w:rsidRDefault="00054C2A" w:rsidP="003E79FA">
            <w:pPr>
              <w:pStyle w:val="TableNText"/>
              <w:keepLines/>
              <w:rPr>
                <w:sz w:val="21"/>
                <w:szCs w:val="21"/>
              </w:rPr>
            </w:pPr>
            <w:r w:rsidRPr="009B783C">
              <w:rPr>
                <w:sz w:val="21"/>
                <w:szCs w:val="21"/>
              </w:rPr>
              <w:t>Time adjustments</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244ED24" w14:textId="53D27BD5" w:rsidR="00054C2A" w:rsidRPr="009B783C" w:rsidRDefault="00054C2A" w:rsidP="003E79FA">
            <w:pPr>
              <w:pStyle w:val="TableNBullet"/>
              <w:keepLines/>
              <w:rPr>
                <w:sz w:val="21"/>
                <w:szCs w:val="21"/>
              </w:rPr>
            </w:pPr>
            <w:r w:rsidRPr="009B783C">
              <w:rPr>
                <w:sz w:val="21"/>
                <w:szCs w:val="21"/>
              </w:rPr>
              <w:t>The value of capital and equipment grants have been converted to annualised values</w:t>
            </w:r>
            <w:r w:rsidR="008D2EF6" w:rsidRPr="009B783C">
              <w:rPr>
                <w:sz w:val="21"/>
                <w:szCs w:val="21"/>
              </w:rPr>
              <w:t>.</w:t>
            </w:r>
          </w:p>
          <w:p w14:paraId="194A44BD" w14:textId="77777777" w:rsidR="00054C2A" w:rsidRPr="009B783C" w:rsidRDefault="00054C2A" w:rsidP="003E79FA">
            <w:pPr>
              <w:pStyle w:val="TableNBullet"/>
              <w:keepLines/>
              <w:rPr>
                <w:sz w:val="21"/>
                <w:szCs w:val="21"/>
              </w:rPr>
            </w:pPr>
            <w:r w:rsidRPr="009B783C">
              <w:rPr>
                <w:sz w:val="21"/>
                <w:szCs w:val="21"/>
              </w:rPr>
              <w:t xml:space="preserve">Benefits and costs of the program largely occur within the same </w:t>
            </w:r>
            <w:proofErr w:type="gramStart"/>
            <w:r w:rsidRPr="009B783C">
              <w:rPr>
                <w:sz w:val="21"/>
                <w:szCs w:val="21"/>
              </w:rPr>
              <w:t>time period</w:t>
            </w:r>
            <w:proofErr w:type="gramEnd"/>
            <w:r w:rsidRPr="009B783C">
              <w:rPr>
                <w:sz w:val="21"/>
                <w:szCs w:val="21"/>
              </w:rPr>
              <w:t>, so a discounting factor is not required to reflect time preferences.</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513BC526" w14:textId="394C10F7" w:rsidR="00054C2A" w:rsidRPr="009B783C" w:rsidRDefault="00054C2A" w:rsidP="003E79FA">
            <w:pPr>
              <w:pStyle w:val="TableNBullet"/>
              <w:keepLines/>
              <w:rPr>
                <w:sz w:val="21"/>
                <w:szCs w:val="21"/>
              </w:rPr>
            </w:pPr>
            <w:r w:rsidRPr="009B783C">
              <w:rPr>
                <w:sz w:val="21"/>
                <w:szCs w:val="21"/>
              </w:rPr>
              <w:t>The value of capital and equipment grants have been converted to annualised values, guided by the Australian Taxation Office guidance on depreciation rates.</w:t>
            </w:r>
            <w:r w:rsidR="008A611A" w:rsidRPr="009B783C">
              <w:rPr>
                <w:sz w:val="21"/>
                <w:szCs w:val="21"/>
              </w:rPr>
              <w:t xml:space="preserve"> </w:t>
            </w:r>
          </w:p>
          <w:p w14:paraId="7D072F5F" w14:textId="77777777" w:rsidR="00054C2A" w:rsidRPr="009B783C" w:rsidRDefault="00054C2A" w:rsidP="003E79FA">
            <w:pPr>
              <w:pStyle w:val="TableNBullet"/>
              <w:keepLines/>
              <w:rPr>
                <w:sz w:val="21"/>
                <w:szCs w:val="21"/>
              </w:rPr>
            </w:pPr>
            <w:r w:rsidRPr="009B783C">
              <w:rPr>
                <w:sz w:val="21"/>
                <w:szCs w:val="21"/>
              </w:rPr>
              <w:t>Costs will be adjusted to a single period using an agreed price index.</w:t>
            </w:r>
          </w:p>
          <w:p w14:paraId="17B15749" w14:textId="77777777" w:rsidR="00054C2A" w:rsidRPr="009B783C" w:rsidRDefault="00054C2A" w:rsidP="003E79FA">
            <w:pPr>
              <w:pStyle w:val="TableNBullet"/>
              <w:keepLines/>
              <w:rPr>
                <w:sz w:val="21"/>
                <w:szCs w:val="21"/>
              </w:rPr>
            </w:pPr>
            <w:r w:rsidRPr="009B783C">
              <w:rPr>
                <w:sz w:val="21"/>
                <w:szCs w:val="21"/>
              </w:rPr>
              <w:t xml:space="preserve">Benefits and costs of the program largely occur within the same </w:t>
            </w:r>
            <w:proofErr w:type="gramStart"/>
            <w:r w:rsidRPr="009B783C">
              <w:rPr>
                <w:sz w:val="21"/>
                <w:szCs w:val="21"/>
              </w:rPr>
              <w:t>time period</w:t>
            </w:r>
            <w:proofErr w:type="gramEnd"/>
            <w:r w:rsidRPr="009B783C">
              <w:rPr>
                <w:sz w:val="21"/>
                <w:szCs w:val="21"/>
              </w:rPr>
              <w:t>, so a discounting factor is not required to reflect time preferences.</w:t>
            </w:r>
          </w:p>
        </w:tc>
      </w:tr>
      <w:tr w:rsidR="00054C2A" w:rsidRPr="009B783C" w14:paraId="28074629" w14:textId="77777777" w:rsidTr="00D16816">
        <w:trPr>
          <w:cnfStyle w:val="000000100000" w:firstRow="0" w:lastRow="0" w:firstColumn="0" w:lastColumn="0" w:oddVBand="0" w:evenVBand="0" w:oddHBand="1" w:evenHBand="0"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66370583" w14:textId="77777777" w:rsidR="00054C2A" w:rsidRPr="009B783C" w:rsidRDefault="00054C2A" w:rsidP="003E79FA">
            <w:pPr>
              <w:pStyle w:val="TableNText"/>
              <w:keepLines/>
              <w:rPr>
                <w:sz w:val="21"/>
                <w:szCs w:val="21"/>
              </w:rPr>
            </w:pPr>
            <w:r w:rsidRPr="009B783C">
              <w:rPr>
                <w:sz w:val="21"/>
                <w:szCs w:val="21"/>
              </w:rPr>
              <w:t xml:space="preserve">Cost estimates </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67DB66A7" w14:textId="3DDF34BB" w:rsidR="00054C2A" w:rsidRPr="009B783C" w:rsidRDefault="00054C2A" w:rsidP="003E79FA">
            <w:pPr>
              <w:pStyle w:val="TableNBullet"/>
              <w:keepLines/>
              <w:rPr>
                <w:sz w:val="21"/>
                <w:szCs w:val="21"/>
              </w:rPr>
            </w:pPr>
            <w:r w:rsidRPr="009B783C">
              <w:rPr>
                <w:sz w:val="21"/>
                <w:szCs w:val="21"/>
              </w:rPr>
              <w:t>Commonwealth grants to Medicare UCCs</w:t>
            </w:r>
            <w:r w:rsidR="000A5D6B" w:rsidRPr="009B783C">
              <w:rPr>
                <w:sz w:val="21"/>
                <w:szCs w:val="21"/>
              </w:rPr>
              <w:t>.</w:t>
            </w:r>
          </w:p>
          <w:p w14:paraId="66FDFC5E" w14:textId="19607D40" w:rsidR="00054C2A" w:rsidRPr="009B783C" w:rsidRDefault="00054C2A" w:rsidP="003E79FA">
            <w:pPr>
              <w:pStyle w:val="TableNBullet"/>
              <w:keepLines/>
              <w:rPr>
                <w:sz w:val="21"/>
                <w:szCs w:val="21"/>
              </w:rPr>
            </w:pPr>
            <w:r w:rsidRPr="009B783C">
              <w:rPr>
                <w:sz w:val="21"/>
                <w:szCs w:val="21"/>
              </w:rPr>
              <w:t>MBS payments</w:t>
            </w:r>
            <w:r w:rsidR="000A5D6B" w:rsidRPr="009B783C">
              <w:rPr>
                <w:sz w:val="21"/>
                <w:szCs w:val="21"/>
              </w:rPr>
              <w:t>.</w:t>
            </w:r>
          </w:p>
          <w:p w14:paraId="38C78AF9" w14:textId="76B5B030" w:rsidR="00054C2A" w:rsidRPr="009B783C" w:rsidRDefault="00054C2A" w:rsidP="003E79FA">
            <w:pPr>
              <w:pStyle w:val="TableNBullet"/>
              <w:keepLines/>
              <w:rPr>
                <w:b/>
                <w:i/>
                <w:sz w:val="21"/>
                <w:szCs w:val="21"/>
              </w:rPr>
            </w:pPr>
            <w:r w:rsidRPr="009B783C">
              <w:rPr>
                <w:sz w:val="21"/>
                <w:szCs w:val="21"/>
              </w:rPr>
              <w:t xml:space="preserve">For avoided ED: Commonwealth and state/territory contributions for public hospital </w:t>
            </w:r>
            <w:proofErr w:type="spellStart"/>
            <w:r w:rsidR="000A5D6B" w:rsidRPr="009B783C">
              <w:rPr>
                <w:sz w:val="21"/>
                <w:szCs w:val="21"/>
              </w:rPr>
              <w:t>EDs.</w:t>
            </w:r>
            <w:proofErr w:type="spellEnd"/>
          </w:p>
          <w:p w14:paraId="5A2B50B7" w14:textId="77777777" w:rsidR="00054C2A" w:rsidRPr="009B783C" w:rsidRDefault="00054C2A" w:rsidP="003E79FA">
            <w:pPr>
              <w:pStyle w:val="TableNText"/>
              <w:keepLines/>
              <w:rPr>
                <w:sz w:val="21"/>
                <w:szCs w:val="21"/>
              </w:rPr>
            </w:pPr>
            <w:r w:rsidRPr="009B783C">
              <w:rPr>
                <w:sz w:val="21"/>
                <w:szCs w:val="21"/>
              </w:rPr>
              <w:t>Exclusions:</w:t>
            </w:r>
          </w:p>
          <w:p w14:paraId="4AC469A7" w14:textId="51CF84FF" w:rsidR="00054C2A" w:rsidRPr="009B783C" w:rsidRDefault="00054C2A" w:rsidP="003E79FA">
            <w:pPr>
              <w:pStyle w:val="TableNBullet"/>
              <w:keepLines/>
              <w:rPr>
                <w:sz w:val="21"/>
                <w:szCs w:val="21"/>
              </w:rPr>
            </w:pPr>
            <w:r w:rsidRPr="009B783C">
              <w:rPr>
                <w:sz w:val="21"/>
                <w:szCs w:val="21"/>
              </w:rPr>
              <w:t>State/territory contribution to Medicare UCCs</w:t>
            </w:r>
            <w:r w:rsidR="00690C11" w:rsidRPr="009B783C">
              <w:rPr>
                <w:sz w:val="21"/>
                <w:szCs w:val="21"/>
              </w:rPr>
              <w:t>,</w:t>
            </w:r>
            <w:r w:rsidRPr="009B783C">
              <w:rPr>
                <w:sz w:val="21"/>
                <w:szCs w:val="21"/>
              </w:rPr>
              <w:t xml:space="preserve"> which are not available for Interim Evaluation Report 1</w:t>
            </w:r>
            <w:r w:rsidR="000A5D6B" w:rsidRPr="009B783C">
              <w:rPr>
                <w:sz w:val="21"/>
                <w:szCs w:val="21"/>
              </w:rPr>
              <w:t>.</w:t>
            </w:r>
          </w:p>
          <w:p w14:paraId="6C15F818" w14:textId="18BA1DEE" w:rsidR="00054C2A" w:rsidRPr="009B783C" w:rsidRDefault="00054C2A" w:rsidP="003E79FA">
            <w:pPr>
              <w:pStyle w:val="TableNBullet"/>
              <w:keepLines/>
              <w:rPr>
                <w:sz w:val="21"/>
                <w:szCs w:val="21"/>
              </w:rPr>
            </w:pPr>
            <w:r w:rsidRPr="009B783C">
              <w:rPr>
                <w:sz w:val="21"/>
                <w:szCs w:val="21"/>
              </w:rPr>
              <w:t>Pharmaceutical Benefits Scheme payments.</w:t>
            </w:r>
          </w:p>
          <w:p w14:paraId="21DB950D" w14:textId="60E504F9" w:rsidR="00054C2A" w:rsidRPr="009B783C" w:rsidRDefault="00054C2A" w:rsidP="003E79FA">
            <w:pPr>
              <w:pStyle w:val="TableNBullet"/>
              <w:keepLines/>
              <w:rPr>
                <w:sz w:val="21"/>
                <w:szCs w:val="21"/>
              </w:rPr>
            </w:pPr>
            <w:r w:rsidRPr="009B783C">
              <w:rPr>
                <w:sz w:val="21"/>
                <w:szCs w:val="21"/>
              </w:rPr>
              <w:t xml:space="preserve">Out-of-pocket expenses </w:t>
            </w:r>
            <w:r w:rsidR="00753575" w:rsidRPr="009B783C">
              <w:rPr>
                <w:sz w:val="21"/>
                <w:szCs w:val="21"/>
              </w:rPr>
              <w:t xml:space="preserve">related to </w:t>
            </w:r>
            <w:r w:rsidR="007562D0" w:rsidRPr="009B783C">
              <w:rPr>
                <w:sz w:val="21"/>
                <w:szCs w:val="21"/>
              </w:rPr>
              <w:t>travelling to</w:t>
            </w:r>
            <w:r w:rsidR="00922D91" w:rsidRPr="009B783C">
              <w:rPr>
                <w:sz w:val="21"/>
                <w:szCs w:val="21"/>
              </w:rPr>
              <w:t xml:space="preserve"> a Medicare UCC</w:t>
            </w:r>
            <w:r w:rsidRPr="009B783C">
              <w:rPr>
                <w:sz w:val="21"/>
                <w:szCs w:val="21"/>
              </w:rPr>
              <w:t xml:space="preserve"> will be excluded</w:t>
            </w:r>
            <w:r w:rsidR="000A5D6B"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9156C27" w14:textId="643F49C7" w:rsidR="00651080" w:rsidRPr="009B783C" w:rsidRDefault="00651080" w:rsidP="003E79FA">
            <w:pPr>
              <w:pStyle w:val="TableNBullet"/>
              <w:keepLines/>
              <w:rPr>
                <w:sz w:val="21"/>
                <w:szCs w:val="21"/>
              </w:rPr>
            </w:pPr>
            <w:r w:rsidRPr="009B783C">
              <w:rPr>
                <w:sz w:val="21"/>
                <w:szCs w:val="21"/>
              </w:rPr>
              <w:t xml:space="preserve">Broader administrative costs to </w:t>
            </w:r>
            <w:r w:rsidR="000A5D6B" w:rsidRPr="009B783C">
              <w:rPr>
                <w:sz w:val="21"/>
                <w:szCs w:val="21"/>
              </w:rPr>
              <w:t>government</w:t>
            </w:r>
            <w:r w:rsidRPr="009B783C">
              <w:rPr>
                <w:sz w:val="21"/>
                <w:szCs w:val="21"/>
              </w:rPr>
              <w:t xml:space="preserve"> of establishing and maintaining the Medicare UCC Program</w:t>
            </w:r>
            <w:r w:rsidR="000A5D6B" w:rsidRPr="009B783C">
              <w:rPr>
                <w:sz w:val="21"/>
                <w:szCs w:val="21"/>
              </w:rPr>
              <w:t>.</w:t>
            </w:r>
          </w:p>
          <w:p w14:paraId="7FF1CF96" w14:textId="1B35E489" w:rsidR="00054C2A" w:rsidRPr="009B783C" w:rsidRDefault="00054C2A" w:rsidP="003E79FA">
            <w:pPr>
              <w:pStyle w:val="TableNBullet"/>
              <w:keepLines/>
              <w:rPr>
                <w:sz w:val="21"/>
                <w:szCs w:val="21"/>
              </w:rPr>
            </w:pPr>
            <w:r w:rsidRPr="009B783C">
              <w:rPr>
                <w:sz w:val="21"/>
                <w:szCs w:val="21"/>
              </w:rPr>
              <w:t>Commonwealth grants to Medicare UCCs</w:t>
            </w:r>
            <w:r w:rsidR="000A5D6B" w:rsidRPr="009B783C">
              <w:rPr>
                <w:sz w:val="21"/>
                <w:szCs w:val="21"/>
              </w:rPr>
              <w:t>.</w:t>
            </w:r>
          </w:p>
          <w:p w14:paraId="7AB5B2B6" w14:textId="21141497" w:rsidR="00054C2A" w:rsidRPr="009B783C" w:rsidRDefault="00054C2A" w:rsidP="003E79FA">
            <w:pPr>
              <w:pStyle w:val="TableNBullet"/>
              <w:keepLines/>
              <w:rPr>
                <w:sz w:val="21"/>
                <w:szCs w:val="21"/>
              </w:rPr>
            </w:pPr>
            <w:r w:rsidRPr="009B783C">
              <w:rPr>
                <w:sz w:val="21"/>
                <w:szCs w:val="21"/>
              </w:rPr>
              <w:t>MBS payments</w:t>
            </w:r>
            <w:r w:rsidR="000A5D6B" w:rsidRPr="009B783C">
              <w:rPr>
                <w:sz w:val="21"/>
                <w:szCs w:val="21"/>
              </w:rPr>
              <w:t>.</w:t>
            </w:r>
          </w:p>
          <w:p w14:paraId="2795EED3" w14:textId="77777777" w:rsidR="00054C2A" w:rsidRPr="009B783C" w:rsidRDefault="00054C2A" w:rsidP="003E79FA">
            <w:pPr>
              <w:pStyle w:val="TableNBullet"/>
              <w:keepLines/>
              <w:rPr>
                <w:sz w:val="21"/>
                <w:szCs w:val="21"/>
              </w:rPr>
            </w:pPr>
            <w:r w:rsidRPr="009B783C">
              <w:rPr>
                <w:sz w:val="21"/>
                <w:szCs w:val="21"/>
              </w:rPr>
              <w:t>State/territory contribution to Medicare UCCs are not available.</w:t>
            </w:r>
          </w:p>
          <w:p w14:paraId="3DF7CE1F" w14:textId="22B4596C" w:rsidR="00054C2A" w:rsidRPr="009B783C" w:rsidRDefault="00054C2A" w:rsidP="003E79FA">
            <w:pPr>
              <w:pStyle w:val="TableNBullet"/>
              <w:keepLines/>
              <w:rPr>
                <w:sz w:val="21"/>
                <w:szCs w:val="21"/>
              </w:rPr>
            </w:pPr>
            <w:r w:rsidRPr="009B783C">
              <w:rPr>
                <w:sz w:val="21"/>
                <w:szCs w:val="21"/>
              </w:rPr>
              <w:t xml:space="preserve">For avoided ED: Commonwealth and state/territory contributions for public hospital </w:t>
            </w:r>
            <w:proofErr w:type="spellStart"/>
            <w:r w:rsidR="000A5D6B" w:rsidRPr="009B783C">
              <w:rPr>
                <w:sz w:val="21"/>
                <w:szCs w:val="21"/>
              </w:rPr>
              <w:t>EDs.</w:t>
            </w:r>
            <w:proofErr w:type="spellEnd"/>
          </w:p>
          <w:p w14:paraId="66AB6150" w14:textId="3C1ECCFD" w:rsidR="00054C2A" w:rsidRPr="009B783C" w:rsidRDefault="00054C2A" w:rsidP="003E79FA">
            <w:pPr>
              <w:pStyle w:val="TableNBullet"/>
              <w:keepLines/>
              <w:rPr>
                <w:sz w:val="21"/>
                <w:szCs w:val="21"/>
              </w:rPr>
            </w:pPr>
            <w:r w:rsidRPr="009B783C">
              <w:rPr>
                <w:sz w:val="21"/>
                <w:szCs w:val="21"/>
              </w:rPr>
              <w:t>Costs of alternative actions by patients that would be taken if the Medicare UCC were not available</w:t>
            </w:r>
            <w:r w:rsidR="000A5D6B" w:rsidRPr="009B783C">
              <w:rPr>
                <w:sz w:val="21"/>
                <w:szCs w:val="21"/>
              </w:rPr>
              <w:t>.</w:t>
            </w:r>
          </w:p>
          <w:p w14:paraId="2769FC78" w14:textId="04AAD6B0" w:rsidR="00054C2A" w:rsidRPr="009B783C" w:rsidRDefault="00054C2A" w:rsidP="0031172E">
            <w:pPr>
              <w:pStyle w:val="TableNBullet"/>
              <w:keepLines/>
              <w:rPr>
                <w:sz w:val="21"/>
                <w:szCs w:val="21"/>
              </w:rPr>
            </w:pPr>
            <w:r w:rsidRPr="009B783C">
              <w:rPr>
                <w:sz w:val="21"/>
                <w:szCs w:val="21"/>
              </w:rPr>
              <w:lastRenderedPageBreak/>
              <w:t>Out-of-pocket expenses for patients</w:t>
            </w:r>
            <w:r w:rsidR="00922D91" w:rsidRPr="009B783C">
              <w:rPr>
                <w:sz w:val="21"/>
                <w:szCs w:val="21"/>
              </w:rPr>
              <w:t xml:space="preserve"> related to travelling to a Medicare UCC</w:t>
            </w:r>
            <w:r w:rsidR="000A5D6B" w:rsidRPr="009B783C">
              <w:rPr>
                <w:sz w:val="21"/>
                <w:szCs w:val="21"/>
              </w:rPr>
              <w:t>.</w:t>
            </w:r>
          </w:p>
        </w:tc>
      </w:tr>
      <w:tr w:rsidR="00054C2A" w:rsidRPr="009B783C" w14:paraId="273C4902" w14:textId="77777777" w:rsidTr="00D16816">
        <w:trPr>
          <w:cnfStyle w:val="000000010000" w:firstRow="0" w:lastRow="0" w:firstColumn="0" w:lastColumn="0" w:oddVBand="0" w:evenVBand="0" w:oddHBand="0" w:evenHBand="1"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A1B6012" w14:textId="77777777" w:rsidR="00054C2A" w:rsidRPr="009B783C" w:rsidRDefault="00054C2A" w:rsidP="003E79FA">
            <w:pPr>
              <w:pStyle w:val="TableNText"/>
              <w:keepLines/>
              <w:rPr>
                <w:sz w:val="21"/>
                <w:szCs w:val="21"/>
              </w:rPr>
            </w:pPr>
            <w:r w:rsidRPr="009B783C">
              <w:rPr>
                <w:sz w:val="21"/>
                <w:szCs w:val="21"/>
              </w:rPr>
              <w:lastRenderedPageBreak/>
              <w:t>Clinical outcomes</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7416FD3" w14:textId="77777777" w:rsidR="00054C2A" w:rsidRPr="009B783C" w:rsidRDefault="00054C2A" w:rsidP="003E79FA">
            <w:pPr>
              <w:pStyle w:val="TableNText"/>
              <w:keepLines/>
              <w:rPr>
                <w:sz w:val="21"/>
                <w:szCs w:val="21"/>
              </w:rPr>
            </w:pPr>
            <w:r w:rsidRPr="009B783C">
              <w:rPr>
                <w:sz w:val="21"/>
                <w:szCs w:val="21"/>
              </w:rPr>
              <w:t>Clinical outcomes have been assumed to be equivalent between the alternatives.</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46BD0F6" w14:textId="645E18EC" w:rsidR="00054C2A" w:rsidRPr="009B783C" w:rsidRDefault="00054C2A" w:rsidP="003E79FA">
            <w:pPr>
              <w:pStyle w:val="TableNText"/>
              <w:keepLines/>
              <w:rPr>
                <w:sz w:val="21"/>
                <w:szCs w:val="21"/>
              </w:rPr>
            </w:pPr>
            <w:r w:rsidRPr="009B783C">
              <w:rPr>
                <w:sz w:val="21"/>
                <w:szCs w:val="21"/>
              </w:rPr>
              <w:t xml:space="preserve">Later </w:t>
            </w:r>
            <w:r w:rsidR="000A5D6B" w:rsidRPr="009B783C">
              <w:rPr>
                <w:sz w:val="21"/>
                <w:szCs w:val="21"/>
              </w:rPr>
              <w:t>evaluation</w:t>
            </w:r>
            <w:r w:rsidRPr="009B783C">
              <w:rPr>
                <w:sz w:val="21"/>
                <w:szCs w:val="21"/>
              </w:rPr>
              <w:t xml:space="preserve"> reports will consider whether any available evidence of differences in clinical outcomes.</w:t>
            </w:r>
          </w:p>
        </w:tc>
      </w:tr>
      <w:tr w:rsidR="00054C2A" w:rsidRPr="009B783C" w14:paraId="0164F4D4" w14:textId="77777777" w:rsidTr="00D16816">
        <w:trPr>
          <w:cnfStyle w:val="000000100000" w:firstRow="0" w:lastRow="0" w:firstColumn="0" w:lastColumn="0" w:oddVBand="0" w:evenVBand="0" w:oddHBand="1" w:evenHBand="0" w:firstRowFirstColumn="0" w:firstRowLastColumn="0" w:lastRowFirstColumn="0" w:lastRowLastColumn="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EC98AD2" w14:textId="77777777" w:rsidR="00054C2A" w:rsidRPr="009B783C" w:rsidRDefault="00054C2A" w:rsidP="003E79FA">
            <w:pPr>
              <w:pStyle w:val="TableNText"/>
              <w:keepLines/>
              <w:rPr>
                <w:sz w:val="21"/>
                <w:szCs w:val="21"/>
              </w:rPr>
            </w:pPr>
            <w:r w:rsidRPr="009B783C">
              <w:rPr>
                <w:sz w:val="21"/>
                <w:szCs w:val="21"/>
              </w:rPr>
              <w:t>Non-clinical outcomes</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4DF83DD" w14:textId="77777777" w:rsidR="00054C2A" w:rsidRPr="009B783C" w:rsidRDefault="00054C2A" w:rsidP="003E79FA">
            <w:pPr>
              <w:pStyle w:val="TableNText"/>
              <w:keepLines/>
              <w:rPr>
                <w:sz w:val="21"/>
                <w:szCs w:val="21"/>
              </w:rPr>
            </w:pPr>
            <w:r w:rsidRPr="009B783C">
              <w:rPr>
                <w:sz w:val="21"/>
                <w:szCs w:val="21"/>
              </w:rPr>
              <w:t>Non-clinical outcomes have been assumed to be equivalent between the alternatives.</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2DD28C81" w14:textId="7BD74365" w:rsidR="00054C2A" w:rsidRPr="009B783C" w:rsidRDefault="00054C2A" w:rsidP="003E79FA">
            <w:pPr>
              <w:pStyle w:val="TableNText"/>
              <w:keepLines/>
              <w:rPr>
                <w:sz w:val="21"/>
                <w:szCs w:val="21"/>
              </w:rPr>
            </w:pPr>
            <w:r w:rsidRPr="009B783C">
              <w:rPr>
                <w:sz w:val="21"/>
                <w:szCs w:val="21"/>
              </w:rPr>
              <w:t>Time savings for patients in accessing care, both in terms of waiting times at a Medicare UCC compared with an ED and in travel to the location of the service.</w:t>
            </w:r>
          </w:p>
        </w:tc>
      </w:tr>
      <w:tr w:rsidR="00054C2A" w:rsidRPr="009B783C" w14:paraId="065B08FB" w14:textId="77777777" w:rsidTr="00D16816">
        <w:trPr>
          <w:cnfStyle w:val="000000010000" w:firstRow="0" w:lastRow="0" w:firstColumn="0" w:lastColumn="0" w:oddVBand="0" w:evenVBand="0" w:oddHBand="0" w:evenHBand="1" w:firstRowFirstColumn="0" w:firstRowLastColumn="0" w:lastRowFirstColumn="0" w:lastRowLastColumn="0"/>
          <w:trHeight w:val="300"/>
        </w:trPr>
        <w:tc>
          <w:tcPr>
            <w:tcW w:w="73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191112D4" w14:textId="77777777" w:rsidR="00054C2A" w:rsidRPr="009B783C" w:rsidRDefault="00054C2A" w:rsidP="003E79FA">
            <w:pPr>
              <w:pStyle w:val="TableNText"/>
              <w:keepLines/>
              <w:rPr>
                <w:sz w:val="21"/>
                <w:szCs w:val="21"/>
              </w:rPr>
            </w:pPr>
            <w:r w:rsidRPr="009B783C">
              <w:rPr>
                <w:sz w:val="21"/>
                <w:szCs w:val="21"/>
              </w:rPr>
              <w:t>Sensitivity analysis</w:t>
            </w:r>
          </w:p>
        </w:tc>
        <w:tc>
          <w:tcPr>
            <w:tcW w:w="2094"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3F0C1021" w14:textId="68A3947C" w:rsidR="00054C2A" w:rsidRPr="009B783C" w:rsidRDefault="00054C2A" w:rsidP="003E79FA">
            <w:pPr>
              <w:pStyle w:val="TableNText"/>
              <w:keepLines/>
              <w:rPr>
                <w:sz w:val="21"/>
                <w:szCs w:val="21"/>
              </w:rPr>
            </w:pPr>
            <w:r w:rsidRPr="009B783C">
              <w:rPr>
                <w:sz w:val="21"/>
                <w:szCs w:val="21"/>
              </w:rPr>
              <w:t>Nil</w:t>
            </w:r>
            <w:r w:rsidR="000A5D6B" w:rsidRPr="009B783C">
              <w:rPr>
                <w:sz w:val="21"/>
                <w:szCs w:val="21"/>
              </w:rPr>
              <w:t>.</w:t>
            </w:r>
          </w:p>
        </w:tc>
        <w:tc>
          <w:tcPr>
            <w:tcW w:w="21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vAlign w:val="top"/>
          </w:tcPr>
          <w:p w14:paraId="4CD3A169" w14:textId="27A664EA" w:rsidR="00054C2A" w:rsidRPr="009B783C" w:rsidRDefault="00054C2A" w:rsidP="003E79FA">
            <w:pPr>
              <w:pStyle w:val="TableNBullet"/>
              <w:keepLines/>
              <w:rPr>
                <w:sz w:val="21"/>
                <w:szCs w:val="21"/>
              </w:rPr>
            </w:pPr>
            <w:r w:rsidRPr="009B783C">
              <w:rPr>
                <w:sz w:val="21"/>
                <w:szCs w:val="21"/>
              </w:rPr>
              <w:t>Assumptions underpinning cost estimates for Medicare UCCs</w:t>
            </w:r>
            <w:r w:rsidR="000A5D6B" w:rsidRPr="009B783C">
              <w:rPr>
                <w:sz w:val="21"/>
                <w:szCs w:val="21"/>
              </w:rPr>
              <w:t>.</w:t>
            </w:r>
          </w:p>
          <w:p w14:paraId="6DE40C03" w14:textId="4AB23DC4" w:rsidR="00054C2A" w:rsidRPr="009B783C" w:rsidRDefault="00054C2A" w:rsidP="003E79FA">
            <w:pPr>
              <w:pStyle w:val="TableNBullet"/>
              <w:keepLines/>
              <w:rPr>
                <w:sz w:val="21"/>
                <w:szCs w:val="21"/>
              </w:rPr>
            </w:pPr>
            <w:r w:rsidRPr="009B783C">
              <w:rPr>
                <w:sz w:val="21"/>
                <w:szCs w:val="21"/>
              </w:rPr>
              <w:t>Range of estimates of effectiveness in avoiding ED attendances</w:t>
            </w:r>
            <w:r w:rsidR="000A5D6B" w:rsidRPr="009B783C">
              <w:rPr>
                <w:sz w:val="21"/>
                <w:szCs w:val="21"/>
              </w:rPr>
              <w:t>.</w:t>
            </w:r>
          </w:p>
          <w:p w14:paraId="60ADCB3F" w14:textId="568A1097" w:rsidR="00054C2A" w:rsidRPr="009B783C" w:rsidRDefault="00054C2A" w:rsidP="003E79FA">
            <w:pPr>
              <w:pStyle w:val="TableNBullet"/>
              <w:keepLines/>
              <w:rPr>
                <w:sz w:val="21"/>
                <w:szCs w:val="21"/>
              </w:rPr>
            </w:pPr>
            <w:r w:rsidRPr="009B783C">
              <w:rPr>
                <w:sz w:val="21"/>
                <w:szCs w:val="21"/>
              </w:rPr>
              <w:t>Assumptions related to time savings for patients and travel costs</w:t>
            </w:r>
            <w:r w:rsidR="000A5D6B" w:rsidRPr="009B783C">
              <w:rPr>
                <w:sz w:val="21"/>
                <w:szCs w:val="21"/>
              </w:rPr>
              <w:t>.</w:t>
            </w:r>
          </w:p>
        </w:tc>
      </w:tr>
    </w:tbl>
    <w:p w14:paraId="25A75CE6" w14:textId="77777777" w:rsidR="00B33F36" w:rsidRPr="009B783C" w:rsidRDefault="00B33F36" w:rsidP="00950D18">
      <w:pPr>
        <w:pStyle w:val="xAppendixLevel3"/>
        <w:ind w:left="0" w:firstLine="0"/>
      </w:pPr>
      <w:r w:rsidRPr="009B783C">
        <w:t>Calculation of unit costs per presentation for Medicare UCCs</w:t>
      </w:r>
    </w:p>
    <w:p w14:paraId="338B8BBB" w14:textId="47A32FDE" w:rsidR="00054C2A" w:rsidRPr="009B783C" w:rsidRDefault="00054C2A" w:rsidP="00A143A3">
      <w:pPr>
        <w:spacing w:after="165"/>
        <w:rPr>
          <w:szCs w:val="21"/>
          <w:lang w:eastAsia="en-AU"/>
        </w:rPr>
      </w:pPr>
      <w:r w:rsidRPr="009B783C">
        <w:rPr>
          <w:szCs w:val="21"/>
          <w:lang w:eastAsia="en-AU"/>
        </w:rPr>
        <w:t xml:space="preserve">This report has </w:t>
      </w:r>
      <w:r w:rsidR="003A727D" w:rsidRPr="009B783C">
        <w:rPr>
          <w:szCs w:val="21"/>
          <w:lang w:eastAsia="en-AU"/>
        </w:rPr>
        <w:t>focused</w:t>
      </w:r>
      <w:r w:rsidRPr="009B783C">
        <w:rPr>
          <w:szCs w:val="21"/>
          <w:lang w:eastAsia="en-AU"/>
        </w:rPr>
        <w:t xml:space="preserve"> on Australian Government funding contribution for Medicare UCCs. These have been shown below as a funding contribution per Medicare UCC presentation. The focus has been on contribution to the Medicare UCC services through grants to the Medicare UCCs and through access to the MBS. The basis for these estimates is described in the following sections. Estimates were developed for three periods:</w:t>
      </w:r>
    </w:p>
    <w:p w14:paraId="0B7C5B08" w14:textId="5A702187" w:rsidR="00054C2A" w:rsidRPr="009B783C" w:rsidRDefault="00054C2A" w:rsidP="00A143A3">
      <w:pPr>
        <w:pStyle w:val="Listnumbered"/>
        <w:numPr>
          <w:ilvl w:val="0"/>
          <w:numId w:val="61"/>
        </w:numPr>
        <w:rPr>
          <w:szCs w:val="21"/>
          <w:lang w:eastAsia="en-AU"/>
        </w:rPr>
      </w:pPr>
      <w:r w:rsidRPr="009B783C">
        <w:rPr>
          <w:rFonts w:asciiTheme="majorHAnsi" w:hAnsiTheme="majorHAnsi" w:cstheme="majorHAnsi"/>
          <w:szCs w:val="21"/>
          <w:lang w:eastAsia="en-AU"/>
        </w:rPr>
        <w:t>January</w:t>
      </w:r>
      <w:r w:rsidR="000A5D6B" w:rsidRPr="009B783C">
        <w:rPr>
          <w:rFonts w:asciiTheme="majorHAnsi" w:hAnsiTheme="majorHAnsi" w:cstheme="majorHAnsi"/>
          <w:szCs w:val="21"/>
          <w:lang w:eastAsia="en-AU"/>
        </w:rPr>
        <w:t xml:space="preserve"> to </w:t>
      </w:r>
      <w:r w:rsidRPr="009B783C">
        <w:rPr>
          <w:rFonts w:asciiTheme="majorHAnsi" w:hAnsiTheme="majorHAnsi" w:cstheme="majorHAnsi"/>
          <w:szCs w:val="21"/>
          <w:lang w:eastAsia="en-AU"/>
        </w:rPr>
        <w:t>June 2024</w:t>
      </w:r>
      <w:r w:rsidRPr="009B783C">
        <w:rPr>
          <w:szCs w:val="21"/>
          <w:lang w:eastAsia="en-AU"/>
        </w:rPr>
        <w:t>:</w:t>
      </w:r>
      <w:r w:rsidRPr="009B783C">
        <w:rPr>
          <w:b/>
          <w:bCs/>
          <w:szCs w:val="21"/>
          <w:lang w:eastAsia="en-AU"/>
        </w:rPr>
        <w:t xml:space="preserve"> </w:t>
      </w:r>
      <w:r w:rsidRPr="009B783C">
        <w:rPr>
          <w:szCs w:val="21"/>
          <w:lang w:eastAsia="en-AU"/>
        </w:rPr>
        <w:t>Covering the first six months after 31 December 2023 and reflecting the 58 Medicare UCCs that had opened by this date.</w:t>
      </w:r>
    </w:p>
    <w:p w14:paraId="6E26BFA8" w14:textId="4921964F" w:rsidR="00B33F36" w:rsidRPr="009B783C" w:rsidRDefault="00B33F36" w:rsidP="00A143A3">
      <w:pPr>
        <w:pStyle w:val="Listnumbered"/>
        <w:rPr>
          <w:szCs w:val="21"/>
        </w:rPr>
      </w:pPr>
      <w:r w:rsidRPr="009B783C">
        <w:rPr>
          <w:rFonts w:asciiTheme="majorHAnsi" w:hAnsiTheme="majorHAnsi" w:cstheme="majorHAnsi"/>
          <w:szCs w:val="21"/>
        </w:rPr>
        <w:t>July</w:t>
      </w:r>
      <w:r w:rsidR="000A5D6B" w:rsidRPr="009B783C">
        <w:rPr>
          <w:rFonts w:asciiTheme="majorHAnsi" w:hAnsiTheme="majorHAnsi" w:cstheme="majorHAnsi"/>
          <w:szCs w:val="21"/>
        </w:rPr>
        <w:t xml:space="preserve"> to </w:t>
      </w:r>
      <w:r w:rsidRPr="009B783C">
        <w:rPr>
          <w:rFonts w:asciiTheme="majorHAnsi" w:hAnsiTheme="majorHAnsi" w:cstheme="majorHAnsi"/>
          <w:szCs w:val="21"/>
        </w:rPr>
        <w:t>September 2024</w:t>
      </w:r>
      <w:r w:rsidRPr="009B783C">
        <w:rPr>
          <w:szCs w:val="21"/>
        </w:rPr>
        <w:t>: Covering the first quarter of 2024</w:t>
      </w:r>
      <w:r w:rsidR="000A5D6B" w:rsidRPr="009B783C">
        <w:rPr>
          <w:szCs w:val="21"/>
        </w:rPr>
        <w:t>-</w:t>
      </w:r>
      <w:r w:rsidRPr="009B783C">
        <w:rPr>
          <w:szCs w:val="21"/>
        </w:rPr>
        <w:t>25 and reflecting the 75 Medicare UCCs that had opened by 30 September 2024.</w:t>
      </w:r>
    </w:p>
    <w:p w14:paraId="5F938238" w14:textId="1C9CB2EC" w:rsidR="00B33F36" w:rsidRPr="009B783C" w:rsidRDefault="00B33F36" w:rsidP="00A143A3">
      <w:pPr>
        <w:pStyle w:val="Listnumbered"/>
        <w:rPr>
          <w:szCs w:val="21"/>
          <w:lang w:val="en-US"/>
        </w:rPr>
      </w:pPr>
      <w:r w:rsidRPr="35C5891D">
        <w:rPr>
          <w:rFonts w:asciiTheme="majorHAnsi" w:hAnsiTheme="majorHAnsi" w:cstheme="majorBidi"/>
          <w:szCs w:val="21"/>
        </w:rPr>
        <w:t>Annualised estimates</w:t>
      </w:r>
      <w:r w:rsidRPr="009B783C">
        <w:rPr>
          <w:szCs w:val="21"/>
        </w:rPr>
        <w:t xml:space="preserve">: Representing estimated costs if Medicare UCCs were operating at their stabilised activity levels across a full financial year. The methodology for estimating stabilised activity is outlined in </w:t>
      </w:r>
      <w:r w:rsidR="00054C2A" w:rsidRPr="009B783C">
        <w:rPr>
          <w:szCs w:val="21"/>
        </w:rPr>
        <w:t>a</w:t>
      </w:r>
      <w:r w:rsidRPr="009B783C">
        <w:rPr>
          <w:szCs w:val="21"/>
        </w:rPr>
        <w:t xml:space="preserve"> following section of this </w:t>
      </w:r>
      <w:r w:rsidR="00054C2A" w:rsidRPr="009B783C">
        <w:rPr>
          <w:szCs w:val="21"/>
        </w:rPr>
        <w:t>Appendix</w:t>
      </w:r>
      <w:r w:rsidRPr="009B783C">
        <w:rPr>
          <w:szCs w:val="21"/>
        </w:rPr>
        <w:t>.</w:t>
      </w:r>
    </w:p>
    <w:p w14:paraId="38F797A7" w14:textId="28FACA12" w:rsidR="00B33F36" w:rsidRPr="009B783C" w:rsidRDefault="00B33F36" w:rsidP="00B33F36">
      <w:pPr>
        <w:pStyle w:val="Heading4"/>
        <w:ind w:left="864" w:hanging="864"/>
      </w:pPr>
      <w:r w:rsidRPr="009B783C">
        <w:t xml:space="preserve">Australian </w:t>
      </w:r>
      <w:r w:rsidR="00ED4D83" w:rsidRPr="009B783C">
        <w:t>G</w:t>
      </w:r>
      <w:r w:rsidR="00054C2A" w:rsidRPr="009B783C">
        <w:t>overnment</w:t>
      </w:r>
      <w:r w:rsidRPr="009B783C">
        <w:t xml:space="preserve"> grants to Medicare UCCs</w:t>
      </w:r>
    </w:p>
    <w:p w14:paraId="0D81BE6F" w14:textId="7DC245E0" w:rsidR="00B33F36" w:rsidRPr="009B783C" w:rsidRDefault="00B33F36" w:rsidP="00A143A3">
      <w:pPr>
        <w:spacing w:after="165"/>
        <w:rPr>
          <w:szCs w:val="21"/>
          <w:lang w:val="en-US" w:eastAsia="en-AU"/>
        </w:rPr>
      </w:pPr>
      <w:r w:rsidRPr="009B783C">
        <w:rPr>
          <w:szCs w:val="21"/>
          <w:lang w:eastAsia="en-AU"/>
        </w:rPr>
        <w:t>Grants to Medicare UCCs have been made or are planned between 2022</w:t>
      </w:r>
      <w:r w:rsidR="0055679C" w:rsidRPr="009B783C">
        <w:rPr>
          <w:szCs w:val="21"/>
          <w:lang w:eastAsia="en-AU"/>
        </w:rPr>
        <w:t>-</w:t>
      </w:r>
      <w:r w:rsidRPr="009B783C">
        <w:rPr>
          <w:szCs w:val="21"/>
          <w:lang w:eastAsia="en-AU"/>
        </w:rPr>
        <w:t>23 and 2025</w:t>
      </w:r>
      <w:r w:rsidR="0055679C" w:rsidRPr="009B783C">
        <w:rPr>
          <w:szCs w:val="21"/>
          <w:lang w:eastAsia="en-AU"/>
        </w:rPr>
        <w:t>-</w:t>
      </w:r>
      <w:r w:rsidRPr="009B783C">
        <w:rPr>
          <w:szCs w:val="21"/>
          <w:lang w:eastAsia="en-AU"/>
        </w:rPr>
        <w:t>26. Grants were made to cover operational expenses, equipment and capital costs.</w:t>
      </w:r>
      <w:r w:rsidR="008A611A" w:rsidRPr="009B783C">
        <w:rPr>
          <w:szCs w:val="21"/>
          <w:lang w:eastAsia="en-AU"/>
        </w:rPr>
        <w:t xml:space="preserve"> </w:t>
      </w:r>
      <w:r w:rsidRPr="009B783C">
        <w:rPr>
          <w:szCs w:val="21"/>
          <w:lang w:eastAsia="en-AU"/>
        </w:rPr>
        <w:t xml:space="preserve">Operational </w:t>
      </w:r>
      <w:r w:rsidRPr="009B783C">
        <w:rPr>
          <w:szCs w:val="21"/>
          <w:lang w:eastAsia="en-AU"/>
        </w:rPr>
        <w:lastRenderedPageBreak/>
        <w:t xml:space="preserve">grants for the 75 Medicare </w:t>
      </w:r>
      <w:r w:rsidR="00054C2A" w:rsidRPr="009B783C">
        <w:rPr>
          <w:szCs w:val="21"/>
          <w:lang w:eastAsia="en-AU"/>
        </w:rPr>
        <w:t>UCC</w:t>
      </w:r>
      <w:r w:rsidR="006036BC" w:rsidRPr="009B783C">
        <w:rPr>
          <w:szCs w:val="21"/>
          <w:lang w:eastAsia="en-AU"/>
        </w:rPr>
        <w:t>s</w:t>
      </w:r>
      <w:r w:rsidRPr="009B783C">
        <w:rPr>
          <w:szCs w:val="21"/>
          <w:lang w:eastAsia="en-AU"/>
        </w:rPr>
        <w:t xml:space="preserve"> that opened prior to 30 September 2024 totalled $</w:t>
      </w:r>
      <w:r w:rsidR="006036BC" w:rsidRPr="009B783C">
        <w:rPr>
          <w:szCs w:val="21"/>
          <w:lang w:eastAsia="en-AU"/>
        </w:rPr>
        <w:t>2.8</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in 2022</w:t>
      </w:r>
      <w:r w:rsidR="0055679C" w:rsidRPr="009B783C">
        <w:rPr>
          <w:szCs w:val="21"/>
          <w:lang w:eastAsia="en-AU"/>
        </w:rPr>
        <w:t>-</w:t>
      </w:r>
      <w:r w:rsidRPr="009B783C">
        <w:rPr>
          <w:szCs w:val="21"/>
          <w:lang w:eastAsia="en-AU"/>
        </w:rPr>
        <w:t>23 (eight Medicare UCCs received operational grants in late 2022</w:t>
      </w:r>
      <w:r w:rsidR="0055679C" w:rsidRPr="009B783C">
        <w:rPr>
          <w:szCs w:val="21"/>
          <w:lang w:eastAsia="en-AU"/>
        </w:rPr>
        <w:t>-</w:t>
      </w:r>
      <w:r w:rsidRPr="009B783C">
        <w:rPr>
          <w:szCs w:val="21"/>
          <w:lang w:eastAsia="en-AU"/>
        </w:rPr>
        <w:t>23), $</w:t>
      </w:r>
      <w:r w:rsidR="00EB4B61" w:rsidRPr="009B783C">
        <w:rPr>
          <w:szCs w:val="21"/>
          <w:lang w:eastAsia="en-AU"/>
        </w:rPr>
        <w:t>89.2</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in 2023</w:t>
      </w:r>
      <w:r w:rsidR="0055679C" w:rsidRPr="009B783C">
        <w:rPr>
          <w:szCs w:val="21"/>
          <w:lang w:eastAsia="en-AU"/>
        </w:rPr>
        <w:t>-</w:t>
      </w:r>
      <w:r w:rsidRPr="009B783C">
        <w:rPr>
          <w:szCs w:val="21"/>
          <w:lang w:eastAsia="en-AU"/>
        </w:rPr>
        <w:t>24 and $</w:t>
      </w:r>
      <w:r w:rsidR="00EB4B61" w:rsidRPr="009B783C">
        <w:rPr>
          <w:szCs w:val="21"/>
          <w:lang w:eastAsia="en-AU"/>
        </w:rPr>
        <w:t>124.2</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in 2024</w:t>
      </w:r>
      <w:r w:rsidR="0055679C" w:rsidRPr="009B783C">
        <w:rPr>
          <w:szCs w:val="21"/>
          <w:lang w:eastAsia="en-AU"/>
        </w:rPr>
        <w:t>-</w:t>
      </w:r>
      <w:r w:rsidRPr="009B783C">
        <w:rPr>
          <w:szCs w:val="21"/>
          <w:lang w:eastAsia="en-AU"/>
        </w:rPr>
        <w:t>25. From 2024</w:t>
      </w:r>
      <w:r w:rsidR="0055679C" w:rsidRPr="009B783C">
        <w:rPr>
          <w:szCs w:val="21"/>
          <w:lang w:eastAsia="en-AU"/>
        </w:rPr>
        <w:t>-</w:t>
      </w:r>
      <w:r w:rsidRPr="009B783C">
        <w:rPr>
          <w:szCs w:val="21"/>
          <w:lang w:eastAsia="en-AU"/>
        </w:rPr>
        <w:t xml:space="preserve">25, the additional costs of some Medicare UCCs operating in rural and remote regions has been recognised through </w:t>
      </w:r>
      <w:r w:rsidR="00054C2A" w:rsidRPr="009B783C">
        <w:rPr>
          <w:szCs w:val="21"/>
          <w:lang w:eastAsia="en-AU"/>
        </w:rPr>
        <w:t>a</w:t>
      </w:r>
      <w:r w:rsidR="003C423A" w:rsidRPr="009B783C">
        <w:rPr>
          <w:szCs w:val="21"/>
          <w:lang w:eastAsia="en-AU"/>
        </w:rPr>
        <w:t>n</w:t>
      </w:r>
      <w:r w:rsidR="00054C2A" w:rsidRPr="009B783C">
        <w:rPr>
          <w:szCs w:val="21"/>
          <w:lang w:eastAsia="en-AU"/>
        </w:rPr>
        <w:t xml:space="preserve"> </w:t>
      </w:r>
      <w:r w:rsidR="003C423A" w:rsidRPr="009B783C">
        <w:rPr>
          <w:szCs w:val="21"/>
          <w:lang w:eastAsia="en-AU"/>
        </w:rPr>
        <w:t>M</w:t>
      </w:r>
      <w:r w:rsidR="00054C2A" w:rsidRPr="009B783C">
        <w:rPr>
          <w:szCs w:val="21"/>
          <w:lang w:eastAsia="en-AU"/>
        </w:rPr>
        <w:t>MM</w:t>
      </w:r>
      <w:r w:rsidRPr="009B783C">
        <w:rPr>
          <w:szCs w:val="21"/>
          <w:lang w:eastAsia="en-AU"/>
        </w:rPr>
        <w:t xml:space="preserve"> adjustment grant</w:t>
      </w:r>
      <w:r w:rsidR="00690C11" w:rsidRPr="009B783C">
        <w:rPr>
          <w:szCs w:val="21"/>
          <w:lang w:eastAsia="en-AU"/>
        </w:rPr>
        <w:t>,</w:t>
      </w:r>
      <w:r w:rsidRPr="009B783C">
        <w:rPr>
          <w:szCs w:val="21"/>
          <w:lang w:eastAsia="en-AU"/>
        </w:rPr>
        <w:t xml:space="preserve"> which totalled $</w:t>
      </w:r>
      <w:r w:rsidR="00EB4B61" w:rsidRPr="009B783C">
        <w:rPr>
          <w:szCs w:val="21"/>
          <w:lang w:eastAsia="en-AU"/>
        </w:rPr>
        <w:t>8</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in 2024</w:t>
      </w:r>
      <w:r w:rsidR="0055679C" w:rsidRPr="009B783C">
        <w:rPr>
          <w:szCs w:val="21"/>
          <w:lang w:eastAsia="en-AU"/>
        </w:rPr>
        <w:t>-</w:t>
      </w:r>
      <w:r w:rsidRPr="009B783C">
        <w:rPr>
          <w:szCs w:val="21"/>
          <w:lang w:eastAsia="en-AU"/>
        </w:rPr>
        <w:t>25.</w:t>
      </w:r>
    </w:p>
    <w:p w14:paraId="61B4090F" w14:textId="54EE6E5D" w:rsidR="00054C2A" w:rsidRPr="009B783C" w:rsidRDefault="00054C2A" w:rsidP="00A143A3">
      <w:pPr>
        <w:spacing w:after="165"/>
        <w:rPr>
          <w:szCs w:val="21"/>
          <w:lang w:val="en-US" w:eastAsia="en-AU"/>
        </w:rPr>
      </w:pPr>
      <w:r w:rsidRPr="009B783C">
        <w:rPr>
          <w:szCs w:val="21"/>
          <w:lang w:eastAsia="en-AU"/>
        </w:rPr>
        <w:t>Capital and equipment grants were $23.5</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and $17.3</w:t>
      </w:r>
      <w:r w:rsidR="00BE0029" w:rsidRPr="009B783C">
        <w:rPr>
          <w:szCs w:val="21"/>
          <w:lang w:eastAsia="en-AU"/>
        </w:rPr>
        <w:t xml:space="preserve"> </w:t>
      </w:r>
      <w:r w:rsidRPr="009B783C">
        <w:rPr>
          <w:szCs w:val="21"/>
          <w:lang w:eastAsia="en-AU"/>
        </w:rPr>
        <w:t>m</w:t>
      </w:r>
      <w:r w:rsidR="00BE0029" w:rsidRPr="009B783C">
        <w:rPr>
          <w:szCs w:val="21"/>
          <w:lang w:eastAsia="en-AU"/>
        </w:rPr>
        <w:t>illion</w:t>
      </w:r>
      <w:r w:rsidRPr="009B783C">
        <w:rPr>
          <w:szCs w:val="21"/>
          <w:lang w:eastAsia="en-AU"/>
        </w:rPr>
        <w:t xml:space="preserve"> respectively and were not identified against a specific financial year. The equipment and capital grants were amortised across three years of the Program.</w:t>
      </w:r>
      <w:r w:rsidR="008A611A" w:rsidRPr="009B783C">
        <w:rPr>
          <w:szCs w:val="21"/>
          <w:lang w:eastAsia="en-AU"/>
        </w:rPr>
        <w:t xml:space="preserve"> </w:t>
      </w:r>
      <w:r w:rsidRPr="009B783C">
        <w:rPr>
          <w:szCs w:val="21"/>
          <w:lang w:eastAsia="en-AU"/>
        </w:rPr>
        <w:t xml:space="preserve">Including the amortised value of the capital and equipment grants adds around $17 to the estimate of the average </w:t>
      </w:r>
      <w:r w:rsidR="0055679C" w:rsidRPr="009B783C">
        <w:rPr>
          <w:szCs w:val="21"/>
          <w:lang w:eastAsia="en-AU"/>
        </w:rPr>
        <w:t xml:space="preserve">Australian </w:t>
      </w:r>
      <w:r w:rsidRPr="009B783C">
        <w:rPr>
          <w:szCs w:val="21"/>
          <w:lang w:eastAsia="en-AU"/>
        </w:rPr>
        <w:t xml:space="preserve">Government </w:t>
      </w:r>
      <w:r w:rsidR="00C113D5" w:rsidRPr="009B783C">
        <w:rPr>
          <w:szCs w:val="21"/>
          <w:lang w:eastAsia="en-AU"/>
        </w:rPr>
        <w:t>funding</w:t>
      </w:r>
      <w:r w:rsidRPr="009B783C">
        <w:rPr>
          <w:szCs w:val="21"/>
          <w:lang w:eastAsia="en-AU"/>
        </w:rPr>
        <w:t xml:space="preserve"> per presentation for the annualised estimates. The capital and equipment grants were largely allocated to newly established Medicare UCCs.</w:t>
      </w:r>
    </w:p>
    <w:p w14:paraId="52CC81BA" w14:textId="2ECAFC7B" w:rsidR="00054C2A" w:rsidRPr="009B783C" w:rsidRDefault="002C31BC" w:rsidP="00A143A3">
      <w:pPr>
        <w:spacing w:after="165"/>
        <w:rPr>
          <w:szCs w:val="21"/>
          <w:lang w:val="en-US" w:eastAsia="en-AU"/>
        </w:rPr>
      </w:pPr>
      <w:r w:rsidRPr="009B783C">
        <w:rPr>
          <w:szCs w:val="21"/>
          <w:lang w:eastAsia="en-AU"/>
        </w:rPr>
        <w:fldChar w:fldCharType="begin"/>
      </w:r>
      <w:r w:rsidRPr="009B783C">
        <w:rPr>
          <w:szCs w:val="21"/>
          <w:lang w:eastAsia="en-AU"/>
        </w:rPr>
        <w:instrText xml:space="preserve"> REF _Ref185347491 \h  \* MERGEFORMAT </w:instrText>
      </w:r>
      <w:r w:rsidRPr="009B783C">
        <w:rPr>
          <w:szCs w:val="21"/>
          <w:lang w:eastAsia="en-AU"/>
        </w:rPr>
      </w:r>
      <w:r w:rsidRPr="009B783C">
        <w:rPr>
          <w:szCs w:val="21"/>
          <w:lang w:eastAsia="en-AU"/>
        </w:rPr>
        <w:fldChar w:fldCharType="separate"/>
      </w:r>
      <w:r w:rsidR="00913FC9" w:rsidRPr="00913FC9">
        <w:rPr>
          <w:szCs w:val="21"/>
          <w:lang w:eastAsia="en-AU"/>
        </w:rPr>
        <w:t>Table 29</w:t>
      </w:r>
      <w:r w:rsidRPr="009B783C">
        <w:rPr>
          <w:szCs w:val="21"/>
          <w:lang w:eastAsia="en-AU"/>
        </w:rPr>
        <w:fldChar w:fldCharType="end"/>
      </w:r>
      <w:r w:rsidR="00054C2A" w:rsidRPr="009B783C">
        <w:rPr>
          <w:szCs w:val="21"/>
        </w:rPr>
        <w:t xml:space="preserve"> describes </w:t>
      </w:r>
      <w:r w:rsidR="00054C2A" w:rsidRPr="009B783C">
        <w:rPr>
          <w:szCs w:val="21"/>
          <w:lang w:eastAsia="en-AU"/>
        </w:rPr>
        <w:t>how grants were brought together with levels of activity to develop and estimate the average level of grants per Medicare UCC presentation. There is considerable variation in level of grants per presentation. This is driven by a range of factors which are described in the discussion of Measure of Success 9</w:t>
      </w:r>
      <w:r w:rsidR="0055679C" w:rsidRPr="009B783C">
        <w:rPr>
          <w:szCs w:val="21"/>
          <w:lang w:eastAsia="en-AU"/>
        </w:rPr>
        <w:t xml:space="preserve"> (section </w:t>
      </w:r>
      <w:r w:rsidR="0055679C" w:rsidRPr="009B783C">
        <w:rPr>
          <w:szCs w:val="21"/>
          <w:lang w:eastAsia="en-AU"/>
        </w:rPr>
        <w:fldChar w:fldCharType="begin"/>
      </w:r>
      <w:r w:rsidR="0055679C" w:rsidRPr="009B783C">
        <w:rPr>
          <w:szCs w:val="21"/>
          <w:lang w:eastAsia="en-AU"/>
        </w:rPr>
        <w:instrText xml:space="preserve"> REF _Ref185246478 \n \h </w:instrText>
      </w:r>
      <w:r w:rsidR="00A143A3" w:rsidRPr="009B783C">
        <w:rPr>
          <w:szCs w:val="21"/>
          <w:lang w:eastAsia="en-AU"/>
        </w:rPr>
        <w:instrText xml:space="preserve"> \* MERGEFORMAT </w:instrText>
      </w:r>
      <w:r w:rsidR="0055679C" w:rsidRPr="009B783C">
        <w:rPr>
          <w:szCs w:val="21"/>
          <w:lang w:eastAsia="en-AU"/>
        </w:rPr>
      </w:r>
      <w:r w:rsidR="0055679C" w:rsidRPr="009B783C">
        <w:rPr>
          <w:szCs w:val="21"/>
          <w:lang w:eastAsia="en-AU"/>
        </w:rPr>
        <w:fldChar w:fldCharType="separate"/>
      </w:r>
      <w:r w:rsidR="0031172E" w:rsidRPr="009B783C">
        <w:rPr>
          <w:szCs w:val="21"/>
          <w:lang w:eastAsia="en-AU"/>
        </w:rPr>
        <w:t>5.9</w:t>
      </w:r>
      <w:r w:rsidR="0055679C" w:rsidRPr="009B783C">
        <w:rPr>
          <w:szCs w:val="21"/>
          <w:lang w:eastAsia="en-AU"/>
        </w:rPr>
        <w:fldChar w:fldCharType="end"/>
      </w:r>
      <w:r w:rsidR="0055679C" w:rsidRPr="009B783C">
        <w:rPr>
          <w:szCs w:val="21"/>
          <w:lang w:eastAsia="en-AU"/>
        </w:rPr>
        <w:t>)</w:t>
      </w:r>
      <w:r w:rsidR="00054C2A" w:rsidRPr="009B783C">
        <w:rPr>
          <w:szCs w:val="21"/>
          <w:lang w:eastAsia="en-AU"/>
        </w:rPr>
        <w:t xml:space="preserve">. </w:t>
      </w:r>
    </w:p>
    <w:p w14:paraId="0A99B163" w14:textId="34A60A06" w:rsidR="00054C2A" w:rsidRPr="009B783C" w:rsidRDefault="00054C2A" w:rsidP="003E79FA">
      <w:pPr>
        <w:pStyle w:val="Caption"/>
        <w:rPr>
          <w:rFonts w:asciiTheme="majorHAnsi" w:hAnsiTheme="majorHAnsi" w:cstheme="majorHAnsi"/>
          <w:szCs w:val="21"/>
        </w:rPr>
      </w:pPr>
      <w:r w:rsidRPr="009B783C">
        <w:rPr>
          <w:lang w:eastAsia="en-AU"/>
        </w:rPr>
        <w:t xml:space="preserve"> </w:t>
      </w:r>
      <w:bookmarkStart w:id="769" w:name="_Ref185347491"/>
      <w:r w:rsidRPr="009B783C">
        <w:rPr>
          <w:rFonts w:asciiTheme="majorHAnsi" w:hAnsiTheme="majorHAnsi" w:cstheme="majorHAnsi"/>
          <w:szCs w:val="21"/>
        </w:rPr>
        <w:t xml:space="preserve">Table </w:t>
      </w:r>
      <w:r w:rsidRPr="009B783C">
        <w:rPr>
          <w:rFonts w:asciiTheme="majorHAnsi" w:hAnsiTheme="majorHAnsi" w:cstheme="majorHAnsi"/>
          <w:szCs w:val="21"/>
        </w:rPr>
        <w:fldChar w:fldCharType="begin"/>
      </w:r>
      <w:r w:rsidRPr="009B783C">
        <w:rPr>
          <w:rFonts w:asciiTheme="majorHAnsi" w:hAnsiTheme="majorHAnsi" w:cstheme="majorHAnsi"/>
          <w:szCs w:val="21"/>
        </w:rPr>
        <w:instrText xml:space="preserve"> SEQ Table \* ARABIC </w:instrText>
      </w:r>
      <w:r w:rsidRPr="009B783C">
        <w:rPr>
          <w:rFonts w:asciiTheme="majorHAnsi" w:hAnsiTheme="majorHAnsi" w:cstheme="majorHAnsi"/>
          <w:szCs w:val="21"/>
        </w:rPr>
        <w:fldChar w:fldCharType="separate"/>
      </w:r>
      <w:r w:rsidR="00493C3F" w:rsidRPr="009B783C">
        <w:rPr>
          <w:rFonts w:asciiTheme="majorHAnsi" w:hAnsiTheme="majorHAnsi" w:cstheme="majorHAnsi"/>
          <w:szCs w:val="21"/>
        </w:rPr>
        <w:t>29</w:t>
      </w:r>
      <w:r w:rsidRPr="009B783C">
        <w:rPr>
          <w:rFonts w:asciiTheme="majorHAnsi" w:hAnsiTheme="majorHAnsi" w:cstheme="majorHAnsi"/>
          <w:szCs w:val="21"/>
        </w:rPr>
        <w:fldChar w:fldCharType="end"/>
      </w:r>
      <w:bookmarkEnd w:id="768"/>
      <w:bookmarkEnd w:id="769"/>
      <w:r w:rsidRPr="009B783C">
        <w:rPr>
          <w:rFonts w:asciiTheme="majorHAnsi" w:hAnsiTheme="majorHAnsi" w:cstheme="majorHAnsi"/>
          <w:szCs w:val="21"/>
        </w:rPr>
        <w:t xml:space="preserve"> | Estimates of Australian Government grants per Medicare UCC presentation</w:t>
      </w:r>
    </w:p>
    <w:tbl>
      <w:tblPr>
        <w:tblW w:w="5000" w:type="pct"/>
        <w:jc w:val="center"/>
        <w:tblLook w:val="0420" w:firstRow="1" w:lastRow="0" w:firstColumn="0" w:lastColumn="0" w:noHBand="0" w:noVBand="1"/>
      </w:tblPr>
      <w:tblGrid>
        <w:gridCol w:w="1986"/>
        <w:gridCol w:w="2267"/>
        <w:gridCol w:w="2551"/>
        <w:gridCol w:w="2116"/>
      </w:tblGrid>
      <w:tr w:rsidR="00054C2A" w:rsidRPr="009B783C" w14:paraId="2C2D6688" w14:textId="77777777" w:rsidTr="00BC7584">
        <w:trPr>
          <w:trHeight w:val="453"/>
          <w:tblHeader/>
          <w:jc w:val="center"/>
        </w:trPr>
        <w:tc>
          <w:tcPr>
            <w:tcW w:w="1113" w:type="pct"/>
            <w:tcBorders>
              <w:top w:val="single" w:sz="2" w:space="0" w:color="00264D" w:themeColor="background2"/>
              <w:left w:val="none" w:sz="0" w:space="0" w:color="000000" w:themeColor="text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4536DD42" w14:textId="77777777" w:rsidR="00054C2A" w:rsidRPr="009B783C" w:rsidRDefault="00054C2A" w:rsidP="00786482">
            <w:pPr>
              <w:pStyle w:val="TableNheader"/>
              <w:rPr>
                <w:rFonts w:eastAsia="Segoe UI Semibold"/>
              </w:rPr>
            </w:pPr>
            <w:r w:rsidRPr="009B783C">
              <w:rPr>
                <w:rFonts w:eastAsia="Segoe UI Semibold"/>
              </w:rPr>
              <w:t>Period analysed</w:t>
            </w:r>
          </w:p>
        </w:tc>
        <w:tc>
          <w:tcPr>
            <w:tcW w:w="1271" w:type="pct"/>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64D312F4" w14:textId="77777777" w:rsidR="00054C2A" w:rsidRPr="009B783C" w:rsidRDefault="00054C2A" w:rsidP="00786482">
            <w:pPr>
              <w:pStyle w:val="TableNheader"/>
              <w:rPr>
                <w:rFonts w:eastAsia="Segoe UI Semibold"/>
              </w:rPr>
            </w:pPr>
            <w:r w:rsidRPr="009B783C">
              <w:rPr>
                <w:rFonts w:eastAsia="Segoe UI Semibold"/>
              </w:rPr>
              <w:t>Cost data</w:t>
            </w:r>
          </w:p>
        </w:tc>
        <w:tc>
          <w:tcPr>
            <w:tcW w:w="1430" w:type="pct"/>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Mar>
              <w:top w:w="80" w:type="dxa"/>
              <w:left w:w="140" w:type="dxa"/>
              <w:bottom w:w="80" w:type="dxa"/>
              <w:right w:w="140" w:type="dxa"/>
            </w:tcMar>
            <w:vAlign w:val="center"/>
          </w:tcPr>
          <w:p w14:paraId="108AFCA6" w14:textId="77777777" w:rsidR="00054C2A" w:rsidRPr="009B783C" w:rsidRDefault="00054C2A" w:rsidP="00786482">
            <w:pPr>
              <w:pStyle w:val="TableNheader"/>
              <w:rPr>
                <w:rFonts w:eastAsia="Segoe UI Semibold"/>
              </w:rPr>
            </w:pPr>
            <w:r w:rsidRPr="009B783C">
              <w:rPr>
                <w:rFonts w:eastAsia="Segoe UI Semibold"/>
              </w:rPr>
              <w:t>Activity data</w:t>
            </w:r>
          </w:p>
        </w:tc>
        <w:tc>
          <w:tcPr>
            <w:tcW w:w="1186" w:type="pct"/>
            <w:tcBorders>
              <w:top w:val="single" w:sz="2" w:space="0" w:color="00264D" w:themeColor="background2"/>
              <w:left w:val="single" w:sz="8" w:space="0" w:color="FFFFFF" w:themeColor="background1"/>
              <w:bottom w:val="single" w:sz="4" w:space="0" w:color="00264D" w:themeColor="background2"/>
              <w:right w:val="single" w:sz="8" w:space="0" w:color="FFFFFF" w:themeColor="background1"/>
            </w:tcBorders>
            <w:shd w:val="clear" w:color="auto" w:fill="00264D" w:themeFill="background2"/>
          </w:tcPr>
          <w:p w14:paraId="3F0B3642" w14:textId="77777777" w:rsidR="00054C2A" w:rsidRPr="009B783C" w:rsidRDefault="00054C2A" w:rsidP="00786482">
            <w:pPr>
              <w:pStyle w:val="TableNheader"/>
              <w:rPr>
                <w:rFonts w:eastAsia="Segoe UI Semibold"/>
              </w:rPr>
            </w:pPr>
            <w:r w:rsidRPr="009B783C">
              <w:rPr>
                <w:rFonts w:eastAsia="Segoe UI Semibold"/>
              </w:rPr>
              <w:t>Grants per Medicare UCC presentation</w:t>
            </w:r>
          </w:p>
        </w:tc>
      </w:tr>
      <w:tr w:rsidR="00054C2A" w:rsidRPr="009B783C" w14:paraId="7CF4D143" w14:textId="77777777" w:rsidTr="00D16816">
        <w:trPr>
          <w:jc w:val="center"/>
        </w:trPr>
        <w:tc>
          <w:tcPr>
            <w:tcW w:w="11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64C3401A" w14:textId="23223025" w:rsidR="00054C2A" w:rsidRPr="009B783C" w:rsidRDefault="00054C2A" w:rsidP="003E79FA">
            <w:pPr>
              <w:pStyle w:val="TableNText"/>
              <w:keepLines/>
              <w:rPr>
                <w:sz w:val="21"/>
                <w:szCs w:val="21"/>
              </w:rPr>
            </w:pPr>
            <w:r w:rsidRPr="009B783C">
              <w:rPr>
                <w:sz w:val="21"/>
                <w:szCs w:val="21"/>
              </w:rPr>
              <w:t>Jan</w:t>
            </w:r>
            <w:r w:rsidR="0055679C" w:rsidRPr="009B783C">
              <w:rPr>
                <w:sz w:val="21"/>
                <w:szCs w:val="21"/>
              </w:rPr>
              <w:t xml:space="preserve">uary to </w:t>
            </w:r>
            <w:r w:rsidRPr="009B783C">
              <w:rPr>
                <w:sz w:val="21"/>
                <w:szCs w:val="21"/>
              </w:rPr>
              <w:t>Jun</w:t>
            </w:r>
            <w:r w:rsidR="0055679C" w:rsidRPr="009B783C">
              <w:rPr>
                <w:sz w:val="21"/>
                <w:szCs w:val="21"/>
              </w:rPr>
              <w:t>e</w:t>
            </w:r>
            <w:r w:rsidRPr="009B783C">
              <w:rPr>
                <w:sz w:val="21"/>
                <w:szCs w:val="21"/>
              </w:rPr>
              <w:t xml:space="preserve"> 2024 (58 Medicare UCCs)</w:t>
            </w:r>
          </w:p>
        </w:tc>
        <w:tc>
          <w:tcPr>
            <w:tcW w:w="12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317F1756" w14:textId="4BA50403" w:rsidR="00054C2A" w:rsidRPr="009B783C" w:rsidRDefault="00054C2A" w:rsidP="003E79FA">
            <w:pPr>
              <w:pStyle w:val="TableNText"/>
              <w:keepLines/>
              <w:rPr>
                <w:sz w:val="21"/>
                <w:szCs w:val="21"/>
              </w:rPr>
            </w:pPr>
            <w:r w:rsidRPr="009B783C">
              <w:rPr>
                <w:sz w:val="21"/>
                <w:szCs w:val="21"/>
              </w:rPr>
              <w:t>Grant for 2023</w:t>
            </w:r>
            <w:r w:rsidR="0055679C" w:rsidRPr="009B783C">
              <w:rPr>
                <w:sz w:val="21"/>
                <w:szCs w:val="21"/>
              </w:rPr>
              <w:t>-</w:t>
            </w:r>
            <w:r w:rsidRPr="009B783C">
              <w:rPr>
                <w:sz w:val="21"/>
                <w:szCs w:val="21"/>
              </w:rPr>
              <w:t xml:space="preserve">24 divided by </w:t>
            </w:r>
            <w:r w:rsidR="0055679C" w:rsidRPr="009B783C">
              <w:rPr>
                <w:sz w:val="21"/>
                <w:szCs w:val="21"/>
              </w:rPr>
              <w:t>two</w:t>
            </w:r>
            <w:r w:rsidR="00DD0B2A" w:rsidRPr="009B783C">
              <w:rPr>
                <w:sz w:val="21"/>
                <w:szCs w:val="21"/>
              </w:rPr>
              <w:t xml:space="preserve"> (to estimate value for six months)</w:t>
            </w:r>
          </w:p>
        </w:tc>
        <w:tc>
          <w:tcPr>
            <w:tcW w:w="14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73AF1BAD" w14:textId="1497D59D" w:rsidR="00054C2A" w:rsidRPr="009B783C" w:rsidRDefault="00054C2A" w:rsidP="003E79FA">
            <w:pPr>
              <w:pStyle w:val="TableNText"/>
              <w:keepLines/>
              <w:rPr>
                <w:sz w:val="21"/>
                <w:szCs w:val="21"/>
              </w:rPr>
            </w:pPr>
            <w:r w:rsidRPr="009B783C">
              <w:rPr>
                <w:sz w:val="21"/>
                <w:szCs w:val="21"/>
              </w:rPr>
              <w:t>Aggregate counts of presentations Jan</w:t>
            </w:r>
            <w:r w:rsidR="0055679C" w:rsidRPr="009B783C">
              <w:rPr>
                <w:sz w:val="21"/>
                <w:szCs w:val="21"/>
              </w:rPr>
              <w:t xml:space="preserve">uary to </w:t>
            </w:r>
            <w:r w:rsidRPr="009B783C">
              <w:rPr>
                <w:sz w:val="21"/>
                <w:szCs w:val="21"/>
              </w:rPr>
              <w:t>Jun</w:t>
            </w:r>
            <w:r w:rsidR="0055679C" w:rsidRPr="009B783C">
              <w:rPr>
                <w:sz w:val="21"/>
                <w:szCs w:val="21"/>
              </w:rPr>
              <w:t>e</w:t>
            </w:r>
            <w:r w:rsidRPr="009B783C">
              <w:rPr>
                <w:sz w:val="21"/>
                <w:szCs w:val="21"/>
              </w:rPr>
              <w:t xml:space="preserve"> 2024</w:t>
            </w:r>
          </w:p>
        </w:tc>
        <w:tc>
          <w:tcPr>
            <w:tcW w:w="118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FC5A918" w14:textId="77777777" w:rsidR="00054C2A" w:rsidRPr="009B783C" w:rsidRDefault="00054C2A" w:rsidP="003E79FA">
            <w:pPr>
              <w:pStyle w:val="TableNText"/>
              <w:keepLines/>
              <w:rPr>
                <w:sz w:val="21"/>
                <w:szCs w:val="21"/>
              </w:rPr>
            </w:pPr>
            <w:r w:rsidRPr="009B783C">
              <w:rPr>
                <w:sz w:val="21"/>
                <w:szCs w:val="21"/>
              </w:rPr>
              <w:t>$249</w:t>
            </w:r>
          </w:p>
        </w:tc>
      </w:tr>
      <w:tr w:rsidR="00054C2A" w:rsidRPr="009B783C" w14:paraId="719134A7" w14:textId="77777777" w:rsidTr="00D16816">
        <w:trPr>
          <w:jc w:val="center"/>
        </w:trPr>
        <w:tc>
          <w:tcPr>
            <w:tcW w:w="11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570CE57C" w14:textId="1FEA9871" w:rsidR="00054C2A" w:rsidRPr="009B783C" w:rsidRDefault="00054C2A" w:rsidP="003E79FA">
            <w:pPr>
              <w:pStyle w:val="TableNText"/>
              <w:keepLines/>
              <w:rPr>
                <w:sz w:val="21"/>
                <w:szCs w:val="21"/>
              </w:rPr>
            </w:pPr>
            <w:r w:rsidRPr="009B783C">
              <w:rPr>
                <w:sz w:val="21"/>
                <w:szCs w:val="21"/>
              </w:rPr>
              <w:t>Jul</w:t>
            </w:r>
            <w:r w:rsidR="0055679C" w:rsidRPr="009B783C">
              <w:rPr>
                <w:sz w:val="21"/>
                <w:szCs w:val="21"/>
              </w:rPr>
              <w:t xml:space="preserve">y to </w:t>
            </w:r>
            <w:r w:rsidRPr="009B783C">
              <w:rPr>
                <w:sz w:val="21"/>
                <w:szCs w:val="21"/>
              </w:rPr>
              <w:t>Sep</w:t>
            </w:r>
            <w:r w:rsidR="0055679C" w:rsidRPr="009B783C">
              <w:rPr>
                <w:sz w:val="21"/>
                <w:szCs w:val="21"/>
              </w:rPr>
              <w:t>tember</w:t>
            </w:r>
            <w:r w:rsidRPr="009B783C">
              <w:rPr>
                <w:sz w:val="21"/>
                <w:szCs w:val="21"/>
              </w:rPr>
              <w:t xml:space="preserve"> 2024 (75 Medicare UCCs)</w:t>
            </w:r>
          </w:p>
        </w:tc>
        <w:tc>
          <w:tcPr>
            <w:tcW w:w="12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24CCA07D" w14:textId="7D8C7B84" w:rsidR="00054C2A" w:rsidRPr="009B783C" w:rsidRDefault="00054C2A" w:rsidP="003E79FA">
            <w:pPr>
              <w:pStyle w:val="TableNText"/>
              <w:keepLines/>
              <w:rPr>
                <w:sz w:val="21"/>
                <w:szCs w:val="21"/>
              </w:rPr>
            </w:pPr>
            <w:r w:rsidRPr="009B783C">
              <w:rPr>
                <w:sz w:val="21"/>
                <w:szCs w:val="21"/>
              </w:rPr>
              <w:t>Grant for 2024</w:t>
            </w:r>
            <w:r w:rsidR="0055679C" w:rsidRPr="009B783C">
              <w:rPr>
                <w:sz w:val="21"/>
                <w:szCs w:val="21"/>
              </w:rPr>
              <w:t>-</w:t>
            </w:r>
            <w:r w:rsidRPr="009B783C">
              <w:rPr>
                <w:sz w:val="21"/>
                <w:szCs w:val="21"/>
              </w:rPr>
              <w:t xml:space="preserve">25 were divided by </w:t>
            </w:r>
            <w:r w:rsidR="0055679C" w:rsidRPr="009B783C">
              <w:rPr>
                <w:sz w:val="21"/>
                <w:szCs w:val="21"/>
              </w:rPr>
              <w:t xml:space="preserve">four </w:t>
            </w:r>
            <w:r w:rsidR="00DD0B2A" w:rsidRPr="009B783C">
              <w:rPr>
                <w:sz w:val="21"/>
                <w:szCs w:val="21"/>
              </w:rPr>
              <w:t xml:space="preserve">(to estimate value for </w:t>
            </w:r>
            <w:r w:rsidR="0055679C" w:rsidRPr="009B783C">
              <w:rPr>
                <w:sz w:val="21"/>
                <w:szCs w:val="21"/>
              </w:rPr>
              <w:t>three</w:t>
            </w:r>
            <w:r w:rsidR="00DD0B2A" w:rsidRPr="009B783C">
              <w:rPr>
                <w:sz w:val="21"/>
                <w:szCs w:val="21"/>
              </w:rPr>
              <w:t xml:space="preserve"> months)</w:t>
            </w:r>
          </w:p>
        </w:tc>
        <w:tc>
          <w:tcPr>
            <w:tcW w:w="14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5935981A" w14:textId="116B6A1F" w:rsidR="00054C2A" w:rsidRPr="009B783C" w:rsidRDefault="00054C2A" w:rsidP="003E79FA">
            <w:pPr>
              <w:pStyle w:val="TableNText"/>
              <w:keepLines/>
              <w:rPr>
                <w:sz w:val="21"/>
                <w:szCs w:val="21"/>
              </w:rPr>
            </w:pPr>
            <w:r w:rsidRPr="009B783C">
              <w:rPr>
                <w:sz w:val="21"/>
                <w:szCs w:val="21"/>
              </w:rPr>
              <w:t>Aggregate counts of presentations Jul</w:t>
            </w:r>
            <w:r w:rsidR="0055679C" w:rsidRPr="009B783C">
              <w:rPr>
                <w:sz w:val="21"/>
                <w:szCs w:val="21"/>
              </w:rPr>
              <w:t xml:space="preserve">y to </w:t>
            </w:r>
            <w:r w:rsidRPr="009B783C">
              <w:rPr>
                <w:sz w:val="21"/>
                <w:szCs w:val="21"/>
              </w:rPr>
              <w:t>Sep</w:t>
            </w:r>
            <w:r w:rsidR="0055679C" w:rsidRPr="009B783C">
              <w:rPr>
                <w:sz w:val="21"/>
                <w:szCs w:val="21"/>
              </w:rPr>
              <w:t>tember</w:t>
            </w:r>
            <w:r w:rsidRPr="009B783C">
              <w:rPr>
                <w:sz w:val="21"/>
                <w:szCs w:val="21"/>
              </w:rPr>
              <w:t xml:space="preserve"> 2024</w:t>
            </w:r>
          </w:p>
        </w:tc>
        <w:tc>
          <w:tcPr>
            <w:tcW w:w="118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7818FC3A" w14:textId="77777777" w:rsidR="00054C2A" w:rsidRPr="009B783C" w:rsidRDefault="00054C2A" w:rsidP="003E79FA">
            <w:pPr>
              <w:pStyle w:val="TableNText"/>
              <w:keepLines/>
              <w:rPr>
                <w:sz w:val="21"/>
                <w:szCs w:val="21"/>
              </w:rPr>
            </w:pPr>
            <w:r w:rsidRPr="009B783C">
              <w:rPr>
                <w:sz w:val="21"/>
                <w:szCs w:val="21"/>
              </w:rPr>
              <w:t>$162</w:t>
            </w:r>
          </w:p>
        </w:tc>
      </w:tr>
      <w:tr w:rsidR="00054C2A" w:rsidRPr="009B783C" w14:paraId="12C158C6" w14:textId="77777777" w:rsidTr="00D16816">
        <w:trPr>
          <w:jc w:val="center"/>
        </w:trPr>
        <w:tc>
          <w:tcPr>
            <w:tcW w:w="1113"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6A9DE6F9" w14:textId="77777777" w:rsidR="00054C2A" w:rsidRPr="009B783C" w:rsidRDefault="00054C2A" w:rsidP="003E79FA">
            <w:pPr>
              <w:pStyle w:val="TableNText"/>
              <w:keepLines/>
              <w:rPr>
                <w:sz w:val="21"/>
                <w:szCs w:val="21"/>
              </w:rPr>
            </w:pPr>
            <w:r w:rsidRPr="009B783C">
              <w:rPr>
                <w:sz w:val="21"/>
                <w:szCs w:val="21"/>
              </w:rPr>
              <w:t>Annual estimate (75 Medicare UCCs)</w:t>
            </w:r>
          </w:p>
        </w:tc>
        <w:tc>
          <w:tcPr>
            <w:tcW w:w="127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46B2C57C" w14:textId="77777777" w:rsidR="00054C2A" w:rsidRPr="009B783C" w:rsidRDefault="00054C2A" w:rsidP="003E79FA">
            <w:pPr>
              <w:pStyle w:val="TableNText"/>
              <w:keepLines/>
              <w:rPr>
                <w:sz w:val="21"/>
                <w:szCs w:val="21"/>
              </w:rPr>
            </w:pPr>
            <w:r w:rsidRPr="009B783C">
              <w:rPr>
                <w:sz w:val="21"/>
                <w:szCs w:val="21"/>
              </w:rPr>
              <w:t>Grant for 2024-25</w:t>
            </w:r>
          </w:p>
        </w:tc>
        <w:tc>
          <w:tcPr>
            <w:tcW w:w="143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Mar>
              <w:top w:w="80" w:type="dxa"/>
              <w:left w:w="140" w:type="dxa"/>
              <w:bottom w:w="80" w:type="dxa"/>
              <w:right w:w="140" w:type="dxa"/>
            </w:tcMar>
          </w:tcPr>
          <w:p w14:paraId="534EF685" w14:textId="74762931" w:rsidR="00054C2A" w:rsidRPr="009B783C" w:rsidRDefault="00054C2A" w:rsidP="003E79FA">
            <w:pPr>
              <w:pStyle w:val="TableNText"/>
              <w:keepLines/>
              <w:rPr>
                <w:sz w:val="21"/>
                <w:szCs w:val="21"/>
              </w:rPr>
            </w:pPr>
            <w:r w:rsidRPr="009B783C">
              <w:rPr>
                <w:sz w:val="21"/>
                <w:szCs w:val="21"/>
              </w:rPr>
              <w:t>Estimate</w:t>
            </w:r>
            <w:r w:rsidR="00D71AE7" w:rsidRPr="009B783C">
              <w:rPr>
                <w:sz w:val="21"/>
                <w:szCs w:val="21"/>
              </w:rPr>
              <w:t>d</w:t>
            </w:r>
            <w:r w:rsidRPr="009B783C">
              <w:rPr>
                <w:sz w:val="21"/>
                <w:szCs w:val="21"/>
              </w:rPr>
              <w:t xml:space="preserve"> annual level of presentations (see </w:t>
            </w:r>
            <w:r w:rsidR="00A66BA6" w:rsidRPr="009B783C">
              <w:rPr>
                <w:sz w:val="21"/>
                <w:szCs w:val="21"/>
              </w:rPr>
              <w:t xml:space="preserve">description on page </w:t>
            </w:r>
            <w:r w:rsidR="00A66BA6" w:rsidRPr="009B783C">
              <w:rPr>
                <w:sz w:val="21"/>
                <w:szCs w:val="21"/>
                <w:highlight w:val="yellow"/>
              </w:rPr>
              <w:fldChar w:fldCharType="begin"/>
            </w:r>
            <w:r w:rsidR="00A66BA6" w:rsidRPr="009B783C">
              <w:rPr>
                <w:sz w:val="21"/>
                <w:szCs w:val="21"/>
              </w:rPr>
              <w:instrText xml:space="preserve"> PAGEREF _Ref185349867 \h </w:instrText>
            </w:r>
            <w:r w:rsidR="00A66BA6" w:rsidRPr="009B783C">
              <w:rPr>
                <w:sz w:val="21"/>
                <w:szCs w:val="21"/>
                <w:highlight w:val="yellow"/>
              </w:rPr>
            </w:r>
            <w:r w:rsidR="00A66BA6" w:rsidRPr="009B783C">
              <w:rPr>
                <w:sz w:val="21"/>
                <w:szCs w:val="21"/>
                <w:highlight w:val="yellow"/>
              </w:rPr>
              <w:fldChar w:fldCharType="separate"/>
            </w:r>
            <w:r w:rsidR="0031172E" w:rsidRPr="009B783C">
              <w:rPr>
                <w:sz w:val="21"/>
                <w:szCs w:val="21"/>
              </w:rPr>
              <w:t>109</w:t>
            </w:r>
            <w:r w:rsidR="00A66BA6" w:rsidRPr="009B783C">
              <w:rPr>
                <w:sz w:val="21"/>
                <w:szCs w:val="21"/>
                <w:highlight w:val="yellow"/>
              </w:rPr>
              <w:fldChar w:fldCharType="end"/>
            </w:r>
            <w:r w:rsidRPr="009B783C">
              <w:rPr>
                <w:sz w:val="21"/>
                <w:szCs w:val="21"/>
              </w:rPr>
              <w:t>)</w:t>
            </w:r>
          </w:p>
        </w:tc>
        <w:tc>
          <w:tcPr>
            <w:tcW w:w="118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hemeFill="background1"/>
          </w:tcPr>
          <w:p w14:paraId="1754294E" w14:textId="77777777" w:rsidR="00054C2A" w:rsidRPr="009B783C" w:rsidRDefault="00054C2A" w:rsidP="003E79FA">
            <w:pPr>
              <w:pStyle w:val="TableNText"/>
              <w:keepLines/>
              <w:rPr>
                <w:sz w:val="21"/>
                <w:szCs w:val="21"/>
              </w:rPr>
            </w:pPr>
            <w:r w:rsidRPr="009B783C">
              <w:rPr>
                <w:sz w:val="21"/>
                <w:szCs w:val="21"/>
              </w:rPr>
              <w:t>$144</w:t>
            </w:r>
          </w:p>
        </w:tc>
      </w:tr>
    </w:tbl>
    <w:p w14:paraId="5B175C2C" w14:textId="77777777" w:rsidR="00B33F36" w:rsidRPr="009B783C" w:rsidRDefault="00B33F36" w:rsidP="00B33F36">
      <w:pPr>
        <w:pStyle w:val="Heading4"/>
        <w:ind w:left="864" w:hanging="864"/>
      </w:pPr>
      <w:r w:rsidRPr="009B783C">
        <w:t>MBS payments associated with presentation to Medicare UCCs</w:t>
      </w:r>
    </w:p>
    <w:p w14:paraId="2A37FAD3" w14:textId="77777777" w:rsidR="00B33F36" w:rsidRPr="009B783C" w:rsidRDefault="00B33F36" w:rsidP="00A143A3">
      <w:pPr>
        <w:rPr>
          <w:szCs w:val="21"/>
        </w:rPr>
      </w:pPr>
      <w:r w:rsidRPr="009B783C">
        <w:rPr>
          <w:szCs w:val="21"/>
        </w:rPr>
        <w:t>MBS related payments for presentations to Medicare UCCs were derived from two sources:</w:t>
      </w:r>
    </w:p>
    <w:p w14:paraId="36C4E2DA" w14:textId="152C8A2E" w:rsidR="00054C2A" w:rsidRPr="009B783C" w:rsidRDefault="0055679C" w:rsidP="00A143A3">
      <w:pPr>
        <w:pStyle w:val="Listnumbered"/>
        <w:numPr>
          <w:ilvl w:val="0"/>
          <w:numId w:val="62"/>
        </w:numPr>
        <w:rPr>
          <w:szCs w:val="21"/>
        </w:rPr>
      </w:pPr>
      <w:r w:rsidRPr="009B783C">
        <w:rPr>
          <w:szCs w:val="21"/>
        </w:rPr>
        <w:t>T</w:t>
      </w:r>
      <w:r w:rsidR="00054C2A" w:rsidRPr="009B783C">
        <w:rPr>
          <w:szCs w:val="21"/>
        </w:rPr>
        <w:t>he Medicare UCC Module data</w:t>
      </w:r>
      <w:r w:rsidRPr="009B783C">
        <w:rPr>
          <w:szCs w:val="21"/>
        </w:rPr>
        <w:t>.</w:t>
      </w:r>
    </w:p>
    <w:p w14:paraId="3A3FA21B" w14:textId="68BDB5FD" w:rsidR="00054C2A" w:rsidRPr="009B783C" w:rsidRDefault="0055679C" w:rsidP="00A143A3">
      <w:pPr>
        <w:pStyle w:val="Listnumbered"/>
        <w:rPr>
          <w:szCs w:val="21"/>
        </w:rPr>
      </w:pPr>
      <w:r w:rsidRPr="009B783C">
        <w:rPr>
          <w:szCs w:val="21"/>
        </w:rPr>
        <w:t>T</w:t>
      </w:r>
      <w:r w:rsidR="00054C2A" w:rsidRPr="009B783C">
        <w:rPr>
          <w:szCs w:val="21"/>
        </w:rPr>
        <w:t>he MBS dataset extract held by the Department</w:t>
      </w:r>
      <w:r w:rsidRPr="009B783C">
        <w:rPr>
          <w:szCs w:val="21"/>
        </w:rPr>
        <w:t>.</w:t>
      </w:r>
    </w:p>
    <w:p w14:paraId="03D7A732" w14:textId="30FCC8A0" w:rsidR="00B33F36" w:rsidRPr="009B783C" w:rsidRDefault="00B33F36" w:rsidP="00A143A3">
      <w:pPr>
        <w:rPr>
          <w:szCs w:val="21"/>
          <w:lang w:val="en-US"/>
        </w:rPr>
      </w:pPr>
      <w:r w:rsidRPr="009B783C">
        <w:rPr>
          <w:szCs w:val="21"/>
        </w:rPr>
        <w:lastRenderedPageBreak/>
        <w:t xml:space="preserve">The Medicare UCC Module data was available for 61 Medicare UCCs. Items reported were mapped to the </w:t>
      </w:r>
      <w:r w:rsidR="009D2B2A" w:rsidRPr="009B783C">
        <w:rPr>
          <w:szCs w:val="21"/>
        </w:rPr>
        <w:t>benefit level defined in the</w:t>
      </w:r>
      <w:r w:rsidRPr="009B783C">
        <w:rPr>
          <w:szCs w:val="21"/>
        </w:rPr>
        <w:t xml:space="preserve"> </w:t>
      </w:r>
      <w:r w:rsidR="00054C2A" w:rsidRPr="009B783C">
        <w:rPr>
          <w:szCs w:val="21"/>
        </w:rPr>
        <w:t>MBS</w:t>
      </w:r>
      <w:r w:rsidRPr="009B783C">
        <w:rPr>
          <w:szCs w:val="21"/>
        </w:rPr>
        <w:t>. Using the Module data</w:t>
      </w:r>
      <w:r w:rsidR="00654ABB" w:rsidRPr="009B783C">
        <w:rPr>
          <w:szCs w:val="21"/>
        </w:rPr>
        <w:t>,</w:t>
      </w:r>
      <w:r w:rsidRPr="009B783C">
        <w:rPr>
          <w:szCs w:val="21"/>
        </w:rPr>
        <w:t xml:space="preserve"> </w:t>
      </w:r>
      <w:r w:rsidRPr="009B783C">
        <w:rPr>
          <w:rFonts w:asciiTheme="majorHAnsi" w:hAnsiTheme="majorHAnsi" w:cstheme="majorBidi"/>
          <w:szCs w:val="21"/>
        </w:rPr>
        <w:t>the average MBS payment was $71.80 per presentation</w:t>
      </w:r>
      <w:r w:rsidRPr="35C5891D">
        <w:rPr>
          <w:rFonts w:asciiTheme="majorHAnsi" w:hAnsiTheme="majorHAnsi" w:cstheme="majorBidi"/>
          <w:szCs w:val="21"/>
        </w:rPr>
        <w:t xml:space="preserve">, </w:t>
      </w:r>
      <w:r w:rsidRPr="35C5891D">
        <w:rPr>
          <w:rFonts w:asciiTheme="minorHAnsi" w:hAnsiTheme="minorHAnsi"/>
          <w:szCs w:val="21"/>
        </w:rPr>
        <w:t xml:space="preserve">based </w:t>
      </w:r>
      <w:r w:rsidRPr="009B783C">
        <w:rPr>
          <w:szCs w:val="21"/>
        </w:rPr>
        <w:t>on around 348,000 presentations (</w:t>
      </w:r>
      <w:r w:rsidR="00693FC5" w:rsidRPr="009B783C">
        <w:rPr>
          <w:szCs w:val="21"/>
        </w:rPr>
        <w:fldChar w:fldCharType="begin"/>
      </w:r>
      <w:r w:rsidR="00693FC5" w:rsidRPr="009B783C">
        <w:rPr>
          <w:szCs w:val="21"/>
        </w:rPr>
        <w:instrText xml:space="preserve"> REF _Ref185410089 \h </w:instrText>
      </w:r>
      <w:r w:rsidR="0055679C" w:rsidRPr="009B783C">
        <w:rPr>
          <w:szCs w:val="21"/>
        </w:rPr>
        <w:instrText xml:space="preserve"> \* MERGEFORMAT </w:instrText>
      </w:r>
      <w:r w:rsidR="00693FC5" w:rsidRPr="009B783C">
        <w:rPr>
          <w:szCs w:val="21"/>
        </w:rPr>
      </w:r>
      <w:r w:rsidR="00693FC5" w:rsidRPr="009B783C">
        <w:rPr>
          <w:szCs w:val="21"/>
        </w:rPr>
        <w:fldChar w:fldCharType="separate"/>
      </w:r>
      <w:r w:rsidR="00913FC9" w:rsidRPr="00913FC9">
        <w:rPr>
          <w:szCs w:val="21"/>
        </w:rPr>
        <w:t>Table 30</w:t>
      </w:r>
      <w:r w:rsidR="00693FC5" w:rsidRPr="009B783C">
        <w:rPr>
          <w:szCs w:val="21"/>
        </w:rPr>
        <w:fldChar w:fldCharType="end"/>
      </w:r>
      <w:r w:rsidR="0055679C" w:rsidRPr="009B783C">
        <w:rPr>
          <w:szCs w:val="21"/>
        </w:rPr>
        <w:t>)</w:t>
      </w:r>
      <w:r w:rsidR="00054C2A" w:rsidRPr="009B783C">
        <w:rPr>
          <w:szCs w:val="21"/>
        </w:rPr>
        <w:t>.</w:t>
      </w:r>
      <w:r w:rsidRPr="009B783C">
        <w:rPr>
          <w:szCs w:val="21"/>
        </w:rPr>
        <w:t xml:space="preserve"> </w:t>
      </w:r>
      <w:r w:rsidR="00654ABB" w:rsidRPr="009B783C">
        <w:rPr>
          <w:szCs w:val="21"/>
        </w:rPr>
        <w:t>T</w:t>
      </w:r>
      <w:r w:rsidR="00FE083E" w:rsidRPr="009B783C">
        <w:rPr>
          <w:szCs w:val="21"/>
        </w:rPr>
        <w:t xml:space="preserve">he </w:t>
      </w:r>
      <w:r w:rsidR="00FE083E" w:rsidRPr="009B783C" w:rsidDel="004E7366">
        <w:rPr>
          <w:szCs w:val="21"/>
        </w:rPr>
        <w:t>Module</w:t>
      </w:r>
      <w:r w:rsidR="00FE083E" w:rsidRPr="009B783C">
        <w:rPr>
          <w:szCs w:val="21"/>
        </w:rPr>
        <w:t xml:space="preserve"> </w:t>
      </w:r>
      <w:r w:rsidR="009D2B2A" w:rsidRPr="009B783C">
        <w:rPr>
          <w:szCs w:val="21"/>
        </w:rPr>
        <w:t>d</w:t>
      </w:r>
      <w:r w:rsidR="00FE083E" w:rsidRPr="009B783C">
        <w:rPr>
          <w:szCs w:val="21"/>
        </w:rPr>
        <w:t xml:space="preserve">ata indicates that </w:t>
      </w:r>
      <w:r w:rsidR="00500FCF" w:rsidRPr="009B783C">
        <w:rPr>
          <w:szCs w:val="21"/>
        </w:rPr>
        <w:t>o</w:t>
      </w:r>
      <w:r w:rsidRPr="009B783C">
        <w:rPr>
          <w:szCs w:val="21"/>
        </w:rPr>
        <w:t>n average</w:t>
      </w:r>
      <w:r w:rsidR="00CA37F4" w:rsidRPr="009B783C">
        <w:rPr>
          <w:szCs w:val="21"/>
        </w:rPr>
        <w:t xml:space="preserve">, </w:t>
      </w:r>
      <w:r w:rsidR="00C46874" w:rsidRPr="009B783C">
        <w:rPr>
          <w:szCs w:val="21"/>
        </w:rPr>
        <w:t xml:space="preserve">1.5 </w:t>
      </w:r>
      <w:r w:rsidRPr="009B783C">
        <w:rPr>
          <w:szCs w:val="21"/>
        </w:rPr>
        <w:t xml:space="preserve">items </w:t>
      </w:r>
      <w:r w:rsidR="009D2B2A" w:rsidRPr="009B783C">
        <w:rPr>
          <w:szCs w:val="21"/>
        </w:rPr>
        <w:t>were</w:t>
      </w:r>
      <w:r w:rsidR="00654ABB" w:rsidRPr="009B783C">
        <w:rPr>
          <w:szCs w:val="21"/>
        </w:rPr>
        <w:t xml:space="preserve"> </w:t>
      </w:r>
      <w:r w:rsidRPr="009B783C">
        <w:rPr>
          <w:szCs w:val="21"/>
        </w:rPr>
        <w:t xml:space="preserve">claimed per </w:t>
      </w:r>
      <w:r w:rsidR="00654ABB" w:rsidRPr="009B783C">
        <w:rPr>
          <w:szCs w:val="21"/>
        </w:rPr>
        <w:t xml:space="preserve">Medicare UCC </w:t>
      </w:r>
      <w:r w:rsidRPr="009B783C">
        <w:rPr>
          <w:szCs w:val="21"/>
        </w:rPr>
        <w:t xml:space="preserve">presentation. </w:t>
      </w:r>
    </w:p>
    <w:p w14:paraId="0335E0C4" w14:textId="579E74C2" w:rsidR="00B33F36" w:rsidRPr="009B783C" w:rsidRDefault="00B33F36" w:rsidP="00A143A3">
      <w:pPr>
        <w:rPr>
          <w:szCs w:val="21"/>
          <w:lang w:val="en-US"/>
        </w:rPr>
      </w:pPr>
      <w:r w:rsidRPr="009B783C">
        <w:rPr>
          <w:szCs w:val="21"/>
        </w:rPr>
        <w:t xml:space="preserve">Where more than one MBS item was claimed, a </w:t>
      </w:r>
      <w:r w:rsidRPr="009B783C">
        <w:rPr>
          <w:rFonts w:asciiTheme="majorHAnsi" w:hAnsiTheme="majorHAnsi" w:cstheme="majorBidi"/>
          <w:szCs w:val="21"/>
        </w:rPr>
        <w:t>primary MBS item</w:t>
      </w:r>
      <w:r w:rsidRPr="009B783C">
        <w:rPr>
          <w:szCs w:val="21"/>
        </w:rPr>
        <w:t xml:space="preserve"> was identified by selecting first a consultation item (Levels A</w:t>
      </w:r>
      <w:r w:rsidR="00054C2A" w:rsidRPr="009B783C">
        <w:rPr>
          <w:szCs w:val="21"/>
        </w:rPr>
        <w:t>-</w:t>
      </w:r>
      <w:r w:rsidRPr="009B783C">
        <w:rPr>
          <w:szCs w:val="21"/>
        </w:rPr>
        <w:t xml:space="preserve">E) (if reported), then an urgent after-hours item (if reported). </w:t>
      </w:r>
    </w:p>
    <w:p w14:paraId="354E3717" w14:textId="1EE18DAE" w:rsidR="00054C2A" w:rsidRPr="009B783C" w:rsidRDefault="00B33F36" w:rsidP="00A143A3">
      <w:pPr>
        <w:rPr>
          <w:szCs w:val="21"/>
          <w:lang w:val="en-US"/>
        </w:rPr>
      </w:pPr>
      <w:r w:rsidRPr="009B783C">
        <w:rPr>
          <w:szCs w:val="21"/>
        </w:rPr>
        <w:t>The most common combination of items was a consultation item plus a bulk billing incentive item.</w:t>
      </w:r>
      <w:r w:rsidR="005C30AB" w:rsidRPr="009B783C">
        <w:rPr>
          <w:szCs w:val="21"/>
        </w:rPr>
        <w:t xml:space="preserve"> </w:t>
      </w:r>
      <w:r w:rsidR="00693FC5" w:rsidRPr="009B783C">
        <w:rPr>
          <w:szCs w:val="21"/>
        </w:rPr>
        <w:fldChar w:fldCharType="begin"/>
      </w:r>
      <w:r w:rsidR="00693FC5" w:rsidRPr="009B783C">
        <w:rPr>
          <w:szCs w:val="21"/>
        </w:rPr>
        <w:instrText xml:space="preserve"> REF _Ref185410089 \h </w:instrText>
      </w:r>
      <w:r w:rsidR="005C30AB" w:rsidRPr="009B783C">
        <w:rPr>
          <w:szCs w:val="21"/>
        </w:rPr>
        <w:instrText xml:space="preserve"> \* MERGEFORMAT </w:instrText>
      </w:r>
      <w:r w:rsidR="00693FC5" w:rsidRPr="009B783C">
        <w:rPr>
          <w:szCs w:val="21"/>
        </w:rPr>
      </w:r>
      <w:r w:rsidR="00693FC5" w:rsidRPr="009B783C">
        <w:rPr>
          <w:szCs w:val="21"/>
        </w:rPr>
        <w:fldChar w:fldCharType="separate"/>
      </w:r>
      <w:r w:rsidR="00913FC9" w:rsidRPr="00913FC9">
        <w:rPr>
          <w:szCs w:val="21"/>
        </w:rPr>
        <w:t>Table 30</w:t>
      </w:r>
      <w:r w:rsidR="00693FC5" w:rsidRPr="009B783C">
        <w:rPr>
          <w:szCs w:val="21"/>
        </w:rPr>
        <w:fldChar w:fldCharType="end"/>
      </w:r>
      <w:r w:rsidR="00054C2A" w:rsidRPr="009B783C">
        <w:rPr>
          <w:szCs w:val="21"/>
        </w:rPr>
        <w:t xml:space="preserve"> summarises the MBS claims, using the primary MBS item claimed for a presentation. This is generally a consultation item, the most common of which are Level B Standard (</w:t>
      </w:r>
      <w:r w:rsidR="008D33C2" w:rsidRPr="009B783C">
        <w:rPr>
          <w:szCs w:val="21"/>
        </w:rPr>
        <w:t>74 per cent</w:t>
      </w:r>
      <w:r w:rsidR="00054C2A" w:rsidRPr="009B783C">
        <w:rPr>
          <w:szCs w:val="21"/>
        </w:rPr>
        <w:t>) and Level C Long (</w:t>
      </w:r>
      <w:r w:rsidR="00C46874" w:rsidRPr="009B783C">
        <w:rPr>
          <w:szCs w:val="21"/>
        </w:rPr>
        <w:t>19 per cent</w:t>
      </w:r>
      <w:r w:rsidR="00054C2A" w:rsidRPr="009B783C">
        <w:rPr>
          <w:szCs w:val="21"/>
        </w:rPr>
        <w:t>).</w:t>
      </w:r>
      <w:r w:rsidR="008A611A" w:rsidRPr="009B783C">
        <w:rPr>
          <w:szCs w:val="21"/>
        </w:rPr>
        <w:t xml:space="preserve"> </w:t>
      </w:r>
    </w:p>
    <w:p w14:paraId="22809DA1" w14:textId="4A67292A" w:rsidR="00B33F36" w:rsidRPr="009B783C" w:rsidRDefault="00054C2A" w:rsidP="00054C2A">
      <w:pPr>
        <w:spacing w:after="165"/>
        <w:rPr>
          <w:rFonts w:asciiTheme="majorHAnsi" w:hAnsiTheme="majorHAnsi" w:cstheme="majorHAnsi"/>
          <w:color w:val="00264D" w:themeColor="background2"/>
          <w:szCs w:val="21"/>
          <w:lang w:eastAsia="en-AU"/>
        </w:rPr>
      </w:pPr>
      <w:bookmarkStart w:id="770" w:name="_Ref185409812"/>
      <w:bookmarkStart w:id="771" w:name="_Ref185410089"/>
      <w:r w:rsidRPr="009B783C">
        <w:rPr>
          <w:rFonts w:asciiTheme="majorHAnsi" w:hAnsiTheme="majorHAnsi" w:cstheme="majorHAnsi"/>
          <w:color w:val="00264D" w:themeColor="background2"/>
          <w:szCs w:val="21"/>
          <w:lang w:eastAsia="en-AU"/>
        </w:rPr>
        <w:t xml:space="preserve">Table </w:t>
      </w:r>
      <w:bookmarkEnd w:id="770"/>
      <w:r w:rsidR="00B33F36" w:rsidRPr="009B783C">
        <w:rPr>
          <w:rFonts w:asciiTheme="majorHAnsi" w:hAnsiTheme="majorHAnsi" w:cstheme="majorHAnsi"/>
          <w:color w:val="00264D" w:themeColor="background2"/>
          <w:szCs w:val="21"/>
          <w:lang w:eastAsia="en-AU"/>
        </w:rPr>
        <w:fldChar w:fldCharType="begin"/>
      </w:r>
      <w:r w:rsidR="00B33F36" w:rsidRPr="009B783C">
        <w:rPr>
          <w:rFonts w:asciiTheme="majorHAnsi" w:hAnsiTheme="majorHAnsi" w:cstheme="majorHAnsi"/>
          <w:color w:val="00264D" w:themeColor="background2"/>
          <w:szCs w:val="21"/>
          <w:lang w:eastAsia="en-AU"/>
        </w:rPr>
        <w:instrText xml:space="preserve"> SEQ Table \* ARABIC </w:instrText>
      </w:r>
      <w:r w:rsidR="00B33F36" w:rsidRPr="009B783C">
        <w:rPr>
          <w:rFonts w:asciiTheme="majorHAnsi" w:hAnsiTheme="majorHAnsi" w:cstheme="majorHAnsi"/>
          <w:color w:val="00264D" w:themeColor="background2"/>
          <w:szCs w:val="21"/>
          <w:lang w:eastAsia="en-AU"/>
        </w:rPr>
        <w:fldChar w:fldCharType="separate"/>
      </w:r>
      <w:r w:rsidR="00493C3F" w:rsidRPr="009B783C">
        <w:rPr>
          <w:rFonts w:asciiTheme="majorHAnsi" w:hAnsiTheme="majorHAnsi" w:cstheme="majorHAnsi"/>
          <w:color w:val="00264D" w:themeColor="background2"/>
          <w:szCs w:val="21"/>
          <w:lang w:eastAsia="en-AU"/>
        </w:rPr>
        <w:t>30</w:t>
      </w:r>
      <w:r w:rsidR="00B33F36" w:rsidRPr="009B783C">
        <w:rPr>
          <w:rFonts w:asciiTheme="majorHAnsi" w:hAnsiTheme="majorHAnsi" w:cstheme="majorHAnsi"/>
          <w:color w:val="00264D" w:themeColor="background2"/>
          <w:szCs w:val="21"/>
          <w:lang w:eastAsia="en-AU"/>
        </w:rPr>
        <w:fldChar w:fldCharType="end"/>
      </w:r>
      <w:bookmarkEnd w:id="771"/>
      <w:r w:rsidR="00B33F36" w:rsidRPr="009B783C">
        <w:rPr>
          <w:rFonts w:asciiTheme="majorHAnsi" w:hAnsiTheme="majorHAnsi" w:cstheme="majorHAnsi"/>
          <w:color w:val="00264D" w:themeColor="background2"/>
          <w:szCs w:val="21"/>
          <w:lang w:eastAsia="en-AU"/>
        </w:rPr>
        <w:t xml:space="preserve"> | MBS benefit payments by the primary item claimed: Medicare UCC Module data </w:t>
      </w:r>
    </w:p>
    <w:tbl>
      <w:tblPr>
        <w:tblW w:w="5000" w:type="pct"/>
        <w:jc w:val="center"/>
        <w:tblLook w:val="0420" w:firstRow="1" w:lastRow="0" w:firstColumn="0" w:lastColumn="0" w:noHBand="0" w:noVBand="1"/>
      </w:tblPr>
      <w:tblGrid>
        <w:gridCol w:w="3666"/>
        <w:gridCol w:w="1699"/>
        <w:gridCol w:w="1600"/>
        <w:gridCol w:w="1955"/>
      </w:tblGrid>
      <w:tr w:rsidR="001A4B4D" w:rsidRPr="009B783C" w14:paraId="6EA98DA6" w14:textId="77777777" w:rsidTr="00D16816">
        <w:trPr>
          <w:tblHeader/>
          <w:jc w:val="center"/>
        </w:trPr>
        <w:tc>
          <w:tcPr>
            <w:tcW w:w="2055" w:type="pct"/>
            <w:tcBorders>
              <w:top w:val="single" w:sz="2" w:space="0" w:color="00264D" w:themeColor="background2"/>
              <w:left w:val="none" w:sz="0" w:space="0" w:color="000000"/>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1F1A23B8" w14:textId="77777777" w:rsidR="001A4B4D" w:rsidRPr="009B783C" w:rsidRDefault="001A4B4D" w:rsidP="003E79FA">
            <w:pPr>
              <w:pStyle w:val="TableNheader"/>
            </w:pPr>
            <w:r w:rsidRPr="009B783C">
              <w:rPr>
                <w:rFonts w:eastAsia="Segoe UI Semibold"/>
              </w:rPr>
              <w:t>Primary MBS item (grouped) (a)</w:t>
            </w:r>
          </w:p>
        </w:tc>
        <w:tc>
          <w:tcPr>
            <w:tcW w:w="952" w:type="pct"/>
            <w:tcBorders>
              <w:top w:val="single" w:sz="2" w:space="0" w:color="00264D" w:themeColor="background2"/>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48D90EDA" w14:textId="77777777" w:rsidR="001A4B4D" w:rsidRPr="009B783C" w:rsidRDefault="001A4B4D" w:rsidP="00786482">
            <w:pPr>
              <w:pStyle w:val="TableNheader"/>
            </w:pPr>
            <w:r w:rsidRPr="009B783C">
              <w:rPr>
                <w:rFonts w:eastAsia="Segoe UI Semibold"/>
              </w:rPr>
              <w:t>Number of presentations (b)</w:t>
            </w:r>
          </w:p>
        </w:tc>
        <w:tc>
          <w:tcPr>
            <w:tcW w:w="897" w:type="pct"/>
            <w:tcBorders>
              <w:top w:val="single" w:sz="2" w:space="0" w:color="00264D" w:themeColor="background2"/>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4A1BA633" w14:textId="77777777" w:rsidR="001A4B4D" w:rsidRPr="009B783C" w:rsidRDefault="001A4B4D" w:rsidP="00786482">
            <w:pPr>
              <w:pStyle w:val="TableNheader"/>
            </w:pPr>
            <w:r w:rsidRPr="009B783C">
              <w:rPr>
                <w:rFonts w:eastAsia="Segoe UI Semibold"/>
              </w:rPr>
              <w:t>Mean items per presentation</w:t>
            </w:r>
          </w:p>
        </w:tc>
        <w:tc>
          <w:tcPr>
            <w:tcW w:w="1096" w:type="pct"/>
            <w:tcBorders>
              <w:top w:val="single" w:sz="2" w:space="0" w:color="00264D" w:themeColor="background2"/>
              <w:left w:val="single" w:sz="8" w:space="0" w:color="FFFFFF"/>
              <w:bottom w:val="single" w:sz="4" w:space="0" w:color="00264D" w:themeColor="background2"/>
              <w:right w:val="single" w:sz="8" w:space="0" w:color="FFFFFF"/>
            </w:tcBorders>
            <w:shd w:val="clear" w:color="auto" w:fill="00264D" w:themeFill="background2"/>
            <w:tcMar>
              <w:top w:w="80" w:type="dxa"/>
              <w:left w:w="140" w:type="dxa"/>
              <w:bottom w:w="80" w:type="dxa"/>
              <w:right w:w="140" w:type="dxa"/>
            </w:tcMar>
            <w:vAlign w:val="center"/>
          </w:tcPr>
          <w:p w14:paraId="21C3C6AD" w14:textId="77777777" w:rsidR="001A4B4D" w:rsidRPr="009B783C" w:rsidRDefault="001A4B4D" w:rsidP="00786482">
            <w:pPr>
              <w:pStyle w:val="TableNheader"/>
            </w:pPr>
            <w:r w:rsidRPr="009B783C">
              <w:rPr>
                <w:rFonts w:eastAsia="Segoe UI Semibold"/>
              </w:rPr>
              <w:t>Mean benefit per presentation ($)</w:t>
            </w:r>
          </w:p>
        </w:tc>
      </w:tr>
      <w:tr w:rsidR="001A4B4D" w:rsidRPr="009B783C" w14:paraId="0A3E0BC9"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9ABF8FC" w14:textId="77777777" w:rsidR="001A4B4D" w:rsidRPr="009B783C" w:rsidRDefault="001A4B4D" w:rsidP="003E79FA">
            <w:pPr>
              <w:pStyle w:val="TableNText"/>
              <w:rPr>
                <w:sz w:val="21"/>
                <w:szCs w:val="21"/>
              </w:rPr>
            </w:pPr>
            <w:r w:rsidRPr="009B783C">
              <w:rPr>
                <w:sz w:val="21"/>
                <w:szCs w:val="21"/>
              </w:rPr>
              <w:t>Level A Brief</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57BDA1A" w14:textId="77777777" w:rsidR="001A4B4D" w:rsidRPr="009B783C" w:rsidRDefault="001A4B4D" w:rsidP="00AB7572">
            <w:pPr>
              <w:pStyle w:val="TableNText"/>
              <w:jc w:val="center"/>
              <w:rPr>
                <w:sz w:val="21"/>
                <w:szCs w:val="21"/>
              </w:rPr>
            </w:pPr>
            <w:r w:rsidRPr="009B783C">
              <w:rPr>
                <w:sz w:val="21"/>
                <w:szCs w:val="21"/>
              </w:rPr>
              <w:t>5,347</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B6AE958" w14:textId="77777777" w:rsidR="001A4B4D" w:rsidRPr="009B783C" w:rsidRDefault="001A4B4D" w:rsidP="00AB7572">
            <w:pPr>
              <w:pStyle w:val="TableNText"/>
              <w:jc w:val="center"/>
              <w:rPr>
                <w:sz w:val="21"/>
                <w:szCs w:val="21"/>
              </w:rPr>
            </w:pPr>
            <w:r w:rsidRPr="009B783C">
              <w:rPr>
                <w:sz w:val="21"/>
                <w:szCs w:val="21"/>
              </w:rPr>
              <w:t>1.5</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F869CE7" w14:textId="77777777" w:rsidR="001A4B4D" w:rsidRPr="009B783C" w:rsidRDefault="001A4B4D" w:rsidP="00AB7572">
            <w:pPr>
              <w:pStyle w:val="TableNText"/>
              <w:jc w:val="center"/>
              <w:rPr>
                <w:sz w:val="21"/>
                <w:szCs w:val="21"/>
              </w:rPr>
            </w:pPr>
            <w:r w:rsidRPr="009B783C">
              <w:rPr>
                <w:sz w:val="21"/>
                <w:szCs w:val="21"/>
              </w:rPr>
              <w:t>$33.2</w:t>
            </w:r>
          </w:p>
        </w:tc>
      </w:tr>
      <w:tr w:rsidR="001A4B4D" w:rsidRPr="009B783C" w14:paraId="0B2DE58C"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956C489" w14:textId="77777777" w:rsidR="001A4B4D" w:rsidRPr="009B783C" w:rsidRDefault="001A4B4D" w:rsidP="003E79FA">
            <w:pPr>
              <w:pStyle w:val="TableNText"/>
              <w:rPr>
                <w:sz w:val="21"/>
                <w:szCs w:val="21"/>
              </w:rPr>
            </w:pPr>
            <w:r w:rsidRPr="009B783C">
              <w:rPr>
                <w:sz w:val="21"/>
                <w:szCs w:val="21"/>
              </w:rPr>
              <w:t>Level B Standard (6-20 minutes)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0BE7D2E" w14:textId="77777777" w:rsidR="001A4B4D" w:rsidRPr="009B783C" w:rsidRDefault="001A4B4D" w:rsidP="00AB7572">
            <w:pPr>
              <w:pStyle w:val="TableNText"/>
              <w:jc w:val="center"/>
              <w:rPr>
                <w:sz w:val="21"/>
                <w:szCs w:val="21"/>
              </w:rPr>
            </w:pPr>
            <w:r w:rsidRPr="009B783C">
              <w:rPr>
                <w:sz w:val="21"/>
                <w:szCs w:val="21"/>
              </w:rPr>
              <w:t>257,661</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6D53D82" w14:textId="77777777" w:rsidR="001A4B4D" w:rsidRPr="009B783C" w:rsidRDefault="001A4B4D" w:rsidP="00AB7572">
            <w:pPr>
              <w:pStyle w:val="TableNText"/>
              <w:jc w:val="center"/>
              <w:rPr>
                <w:sz w:val="21"/>
                <w:szCs w:val="21"/>
              </w:rPr>
            </w:pPr>
            <w:r w:rsidRPr="009B783C">
              <w:rPr>
                <w:sz w:val="21"/>
                <w:szCs w:val="21"/>
              </w:rPr>
              <w:t>1.5</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DA55801" w14:textId="77777777" w:rsidR="001A4B4D" w:rsidRPr="009B783C" w:rsidRDefault="001A4B4D" w:rsidP="00AB7572">
            <w:pPr>
              <w:pStyle w:val="TableNText"/>
              <w:jc w:val="center"/>
              <w:rPr>
                <w:sz w:val="21"/>
                <w:szCs w:val="21"/>
              </w:rPr>
            </w:pPr>
            <w:r w:rsidRPr="009B783C">
              <w:rPr>
                <w:sz w:val="21"/>
                <w:szCs w:val="21"/>
              </w:rPr>
              <w:t>$61.2</w:t>
            </w:r>
          </w:p>
        </w:tc>
      </w:tr>
      <w:tr w:rsidR="001A4B4D" w:rsidRPr="009B783C" w14:paraId="7514B94F"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ACBF4C3" w14:textId="77777777" w:rsidR="001A4B4D" w:rsidRPr="009B783C" w:rsidRDefault="001A4B4D" w:rsidP="003E79FA">
            <w:pPr>
              <w:pStyle w:val="TableNText"/>
              <w:rPr>
                <w:sz w:val="21"/>
                <w:szCs w:val="21"/>
              </w:rPr>
            </w:pPr>
            <w:r w:rsidRPr="009B783C">
              <w:rPr>
                <w:sz w:val="21"/>
                <w:szCs w:val="21"/>
              </w:rPr>
              <w:t>Level C Long (20+ minutes)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D79D2EC" w14:textId="77777777" w:rsidR="001A4B4D" w:rsidRPr="009B783C" w:rsidRDefault="001A4B4D" w:rsidP="00AB7572">
            <w:pPr>
              <w:pStyle w:val="TableNText"/>
              <w:jc w:val="center"/>
              <w:rPr>
                <w:sz w:val="21"/>
                <w:szCs w:val="21"/>
              </w:rPr>
            </w:pPr>
            <w:r w:rsidRPr="009B783C">
              <w:rPr>
                <w:sz w:val="21"/>
                <w:szCs w:val="21"/>
              </w:rPr>
              <w:t>67,632</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59DB220" w14:textId="77777777" w:rsidR="001A4B4D" w:rsidRPr="009B783C" w:rsidRDefault="001A4B4D" w:rsidP="00AB7572">
            <w:pPr>
              <w:pStyle w:val="TableNText"/>
              <w:jc w:val="center"/>
              <w:rPr>
                <w:sz w:val="21"/>
                <w:szCs w:val="21"/>
              </w:rPr>
            </w:pPr>
            <w:r w:rsidRPr="009B783C">
              <w:rPr>
                <w:sz w:val="21"/>
                <w:szCs w:val="21"/>
              </w:rPr>
              <w:t>1.6</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DC76258" w14:textId="77777777" w:rsidR="001A4B4D" w:rsidRPr="009B783C" w:rsidRDefault="001A4B4D" w:rsidP="00AB7572">
            <w:pPr>
              <w:pStyle w:val="TableNText"/>
              <w:jc w:val="center"/>
              <w:rPr>
                <w:sz w:val="21"/>
                <w:szCs w:val="21"/>
              </w:rPr>
            </w:pPr>
            <w:r w:rsidRPr="009B783C">
              <w:rPr>
                <w:sz w:val="21"/>
                <w:szCs w:val="21"/>
              </w:rPr>
              <w:t>$102.0</w:t>
            </w:r>
          </w:p>
        </w:tc>
      </w:tr>
      <w:tr w:rsidR="001A4B4D" w:rsidRPr="009B783C" w14:paraId="7D66F1FD"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71608C1" w14:textId="77777777" w:rsidR="001A4B4D" w:rsidRPr="009B783C" w:rsidRDefault="001A4B4D" w:rsidP="003E79FA">
            <w:pPr>
              <w:pStyle w:val="TableNText"/>
              <w:rPr>
                <w:sz w:val="21"/>
                <w:szCs w:val="21"/>
              </w:rPr>
            </w:pPr>
            <w:r w:rsidRPr="009B783C">
              <w:rPr>
                <w:sz w:val="21"/>
                <w:szCs w:val="21"/>
              </w:rPr>
              <w:t>Level D Prolonged (40+ minutes)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5AB418" w14:textId="77777777" w:rsidR="001A4B4D" w:rsidRPr="009B783C" w:rsidRDefault="001A4B4D" w:rsidP="00AB7572">
            <w:pPr>
              <w:pStyle w:val="TableNText"/>
              <w:jc w:val="center"/>
              <w:rPr>
                <w:sz w:val="21"/>
                <w:szCs w:val="21"/>
              </w:rPr>
            </w:pPr>
            <w:r w:rsidRPr="009B783C">
              <w:rPr>
                <w:sz w:val="21"/>
                <w:szCs w:val="21"/>
              </w:rPr>
              <w:t>6,509</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9BBF0B6" w14:textId="77777777" w:rsidR="001A4B4D" w:rsidRPr="009B783C" w:rsidRDefault="001A4B4D" w:rsidP="00AB7572">
            <w:pPr>
              <w:pStyle w:val="TableNText"/>
              <w:jc w:val="center"/>
              <w:rPr>
                <w:sz w:val="21"/>
                <w:szCs w:val="21"/>
              </w:rPr>
            </w:pPr>
            <w:r w:rsidRPr="009B783C">
              <w:rPr>
                <w:sz w:val="21"/>
                <w:szCs w:val="21"/>
              </w:rPr>
              <w:t>1.7</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A0E307D" w14:textId="77777777" w:rsidR="001A4B4D" w:rsidRPr="009B783C" w:rsidRDefault="001A4B4D" w:rsidP="00AB7572">
            <w:pPr>
              <w:pStyle w:val="TableNText"/>
              <w:jc w:val="center"/>
              <w:rPr>
                <w:sz w:val="21"/>
                <w:szCs w:val="21"/>
              </w:rPr>
            </w:pPr>
            <w:r w:rsidRPr="009B783C">
              <w:rPr>
                <w:sz w:val="21"/>
                <w:szCs w:val="21"/>
              </w:rPr>
              <w:t>$147.5</w:t>
            </w:r>
          </w:p>
        </w:tc>
      </w:tr>
      <w:tr w:rsidR="001A4B4D" w:rsidRPr="009B783C" w14:paraId="32006065"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15E7B28" w14:textId="77777777" w:rsidR="001A4B4D" w:rsidRPr="009B783C" w:rsidRDefault="001A4B4D" w:rsidP="003E79FA">
            <w:pPr>
              <w:pStyle w:val="TableNText"/>
              <w:rPr>
                <w:sz w:val="21"/>
                <w:szCs w:val="21"/>
              </w:rPr>
            </w:pPr>
            <w:r w:rsidRPr="009B783C">
              <w:rPr>
                <w:sz w:val="21"/>
                <w:szCs w:val="21"/>
              </w:rPr>
              <w:t>Level E (60+ minutes)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0A79E4C" w14:textId="77777777" w:rsidR="001A4B4D" w:rsidRPr="009B783C" w:rsidRDefault="001A4B4D" w:rsidP="00AB7572">
            <w:pPr>
              <w:pStyle w:val="TableNText"/>
              <w:jc w:val="center"/>
              <w:rPr>
                <w:sz w:val="21"/>
                <w:szCs w:val="21"/>
              </w:rPr>
            </w:pPr>
            <w:r w:rsidRPr="009B783C">
              <w:rPr>
                <w:sz w:val="21"/>
                <w:szCs w:val="21"/>
              </w:rPr>
              <w:t>1,384</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970B1AF" w14:textId="77777777" w:rsidR="001A4B4D" w:rsidRPr="009B783C" w:rsidRDefault="001A4B4D" w:rsidP="00AB7572">
            <w:pPr>
              <w:pStyle w:val="TableNText"/>
              <w:jc w:val="center"/>
              <w:rPr>
                <w:sz w:val="21"/>
                <w:szCs w:val="21"/>
              </w:rPr>
            </w:pPr>
            <w:r w:rsidRPr="009B783C">
              <w:rPr>
                <w:sz w:val="21"/>
                <w:szCs w:val="21"/>
              </w:rPr>
              <w:t>1.6</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035D6BE2" w14:textId="77777777" w:rsidR="001A4B4D" w:rsidRPr="009B783C" w:rsidRDefault="001A4B4D" w:rsidP="00AB7572">
            <w:pPr>
              <w:pStyle w:val="TableNText"/>
              <w:jc w:val="center"/>
              <w:rPr>
                <w:sz w:val="21"/>
                <w:szCs w:val="21"/>
              </w:rPr>
            </w:pPr>
            <w:r w:rsidRPr="009B783C">
              <w:rPr>
                <w:sz w:val="21"/>
                <w:szCs w:val="21"/>
              </w:rPr>
              <w:t>$221.3</w:t>
            </w:r>
          </w:p>
        </w:tc>
      </w:tr>
      <w:tr w:rsidR="001A4B4D" w:rsidRPr="009B783C" w14:paraId="7CC06A3A"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37ECB5F" w14:textId="77777777" w:rsidR="001A4B4D" w:rsidRPr="009B783C" w:rsidRDefault="001A4B4D" w:rsidP="003E79FA">
            <w:pPr>
              <w:pStyle w:val="TableNText"/>
              <w:rPr>
                <w:sz w:val="21"/>
                <w:szCs w:val="21"/>
              </w:rPr>
            </w:pPr>
            <w:r w:rsidRPr="009B783C">
              <w:rPr>
                <w:sz w:val="21"/>
                <w:szCs w:val="21"/>
              </w:rPr>
              <w:t>Urgent after hours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24CDCB2" w14:textId="77777777" w:rsidR="001A4B4D" w:rsidRPr="009B783C" w:rsidRDefault="001A4B4D" w:rsidP="00AB7572">
            <w:pPr>
              <w:pStyle w:val="TableNText"/>
              <w:jc w:val="center"/>
              <w:rPr>
                <w:sz w:val="21"/>
                <w:szCs w:val="21"/>
              </w:rPr>
            </w:pPr>
            <w:r w:rsidRPr="009B783C">
              <w:rPr>
                <w:sz w:val="21"/>
                <w:szCs w:val="21"/>
              </w:rPr>
              <w:t>4,058</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9BB62B2" w14:textId="77777777" w:rsidR="001A4B4D" w:rsidRPr="009B783C" w:rsidRDefault="001A4B4D" w:rsidP="00AB7572">
            <w:pPr>
              <w:pStyle w:val="TableNText"/>
              <w:jc w:val="center"/>
              <w:rPr>
                <w:sz w:val="21"/>
                <w:szCs w:val="21"/>
              </w:rPr>
            </w:pPr>
            <w:r w:rsidRPr="009B783C">
              <w:rPr>
                <w:sz w:val="21"/>
                <w:szCs w:val="21"/>
              </w:rPr>
              <w:t>1.5</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4C60BD3" w14:textId="77777777" w:rsidR="001A4B4D" w:rsidRPr="009B783C" w:rsidRDefault="001A4B4D" w:rsidP="00AB7572">
            <w:pPr>
              <w:pStyle w:val="TableNText"/>
              <w:jc w:val="center"/>
              <w:rPr>
                <w:sz w:val="21"/>
                <w:szCs w:val="21"/>
              </w:rPr>
            </w:pPr>
            <w:r w:rsidRPr="009B783C">
              <w:rPr>
                <w:sz w:val="21"/>
                <w:szCs w:val="21"/>
              </w:rPr>
              <w:t>$150.9</w:t>
            </w:r>
          </w:p>
        </w:tc>
      </w:tr>
      <w:tr w:rsidR="001A4B4D" w:rsidRPr="009B783C" w14:paraId="4BCD944E"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CB82555" w14:textId="77777777" w:rsidR="001A4B4D" w:rsidRPr="009B783C" w:rsidRDefault="001A4B4D" w:rsidP="003E79FA">
            <w:pPr>
              <w:pStyle w:val="TableNText"/>
              <w:rPr>
                <w:sz w:val="21"/>
                <w:szCs w:val="21"/>
              </w:rPr>
            </w:pPr>
            <w:r w:rsidRPr="009B783C">
              <w:rPr>
                <w:sz w:val="21"/>
                <w:szCs w:val="21"/>
              </w:rPr>
              <w:t>Other non-referred (c)</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F7D2E3B" w14:textId="77777777" w:rsidR="001A4B4D" w:rsidRPr="009B783C" w:rsidRDefault="001A4B4D" w:rsidP="00AB7572">
            <w:pPr>
              <w:pStyle w:val="TableNText"/>
              <w:jc w:val="center"/>
              <w:rPr>
                <w:sz w:val="21"/>
                <w:szCs w:val="21"/>
              </w:rPr>
            </w:pPr>
            <w:r w:rsidRPr="009B783C">
              <w:rPr>
                <w:sz w:val="21"/>
                <w:szCs w:val="21"/>
              </w:rPr>
              <w:t>302</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0636D1E" w14:textId="77777777" w:rsidR="001A4B4D" w:rsidRPr="009B783C" w:rsidRDefault="001A4B4D" w:rsidP="00AB7572">
            <w:pPr>
              <w:pStyle w:val="TableNText"/>
              <w:jc w:val="center"/>
              <w:rPr>
                <w:sz w:val="21"/>
                <w:szCs w:val="21"/>
              </w:rPr>
            </w:pPr>
            <w:r w:rsidRPr="009B783C">
              <w:rPr>
                <w:sz w:val="21"/>
                <w:szCs w:val="21"/>
              </w:rPr>
              <w:t>1.7</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415DF004" w14:textId="77777777" w:rsidR="001A4B4D" w:rsidRPr="009B783C" w:rsidRDefault="001A4B4D" w:rsidP="00AB7572">
            <w:pPr>
              <w:pStyle w:val="TableNText"/>
              <w:jc w:val="center"/>
              <w:rPr>
                <w:sz w:val="21"/>
                <w:szCs w:val="21"/>
              </w:rPr>
            </w:pPr>
            <w:r w:rsidRPr="009B783C">
              <w:rPr>
                <w:sz w:val="21"/>
                <w:szCs w:val="21"/>
              </w:rPr>
              <w:t>$220.3</w:t>
            </w:r>
          </w:p>
        </w:tc>
      </w:tr>
      <w:tr w:rsidR="001A4B4D" w:rsidRPr="009B783C" w14:paraId="06BCF03B"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8BF5FC9" w14:textId="77777777" w:rsidR="001A4B4D" w:rsidRPr="009B783C" w:rsidRDefault="001A4B4D" w:rsidP="003E79FA">
            <w:pPr>
              <w:pStyle w:val="TableNText"/>
              <w:rPr>
                <w:sz w:val="21"/>
                <w:szCs w:val="21"/>
              </w:rPr>
            </w:pPr>
            <w:r w:rsidRPr="009B783C">
              <w:rPr>
                <w:sz w:val="21"/>
                <w:szCs w:val="21"/>
              </w:rPr>
              <w:t>Nurse Practitioners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50CA67A1" w14:textId="77777777" w:rsidR="001A4B4D" w:rsidRPr="009B783C" w:rsidRDefault="001A4B4D" w:rsidP="00AB7572">
            <w:pPr>
              <w:pStyle w:val="TableNText"/>
              <w:jc w:val="center"/>
              <w:rPr>
                <w:sz w:val="21"/>
                <w:szCs w:val="21"/>
              </w:rPr>
            </w:pPr>
            <w:r w:rsidRPr="009B783C">
              <w:rPr>
                <w:sz w:val="21"/>
                <w:szCs w:val="21"/>
              </w:rPr>
              <w:t>4,422</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FF65B82" w14:textId="77777777" w:rsidR="001A4B4D" w:rsidRPr="009B783C" w:rsidRDefault="001A4B4D" w:rsidP="00AB7572">
            <w:pPr>
              <w:pStyle w:val="TableNText"/>
              <w:jc w:val="center"/>
              <w:rPr>
                <w:sz w:val="21"/>
                <w:szCs w:val="21"/>
              </w:rPr>
            </w:pPr>
            <w:r w:rsidRPr="009B783C">
              <w:rPr>
                <w:sz w:val="21"/>
                <w:szCs w:val="21"/>
              </w:rPr>
              <w:t>1.0</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29218A22" w14:textId="77777777" w:rsidR="001A4B4D" w:rsidRPr="009B783C" w:rsidRDefault="001A4B4D" w:rsidP="00AB7572">
            <w:pPr>
              <w:pStyle w:val="TableNText"/>
              <w:jc w:val="center"/>
              <w:rPr>
                <w:sz w:val="21"/>
                <w:szCs w:val="21"/>
              </w:rPr>
            </w:pPr>
            <w:r w:rsidRPr="009B783C">
              <w:rPr>
                <w:sz w:val="21"/>
                <w:szCs w:val="21"/>
              </w:rPr>
              <w:t>$33.5</w:t>
            </w:r>
          </w:p>
        </w:tc>
      </w:tr>
      <w:tr w:rsidR="001A4B4D" w:rsidRPr="009B783C" w14:paraId="5FCC2F5A"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1958AB8D" w14:textId="77777777" w:rsidR="001A4B4D" w:rsidRPr="009B783C" w:rsidRDefault="001A4B4D" w:rsidP="003E79FA">
            <w:pPr>
              <w:pStyle w:val="TableNText"/>
              <w:rPr>
                <w:sz w:val="21"/>
                <w:szCs w:val="21"/>
              </w:rPr>
            </w:pPr>
            <w:r w:rsidRPr="009B783C">
              <w:rPr>
                <w:sz w:val="21"/>
                <w:szCs w:val="21"/>
              </w:rPr>
              <w:t>Other items (d)</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9BA08D3" w14:textId="77777777" w:rsidR="001A4B4D" w:rsidRPr="009B783C" w:rsidRDefault="001A4B4D" w:rsidP="00AB7572">
            <w:pPr>
              <w:pStyle w:val="TableNText"/>
              <w:jc w:val="center"/>
              <w:rPr>
                <w:sz w:val="21"/>
                <w:szCs w:val="21"/>
              </w:rPr>
            </w:pPr>
            <w:r w:rsidRPr="009B783C">
              <w:rPr>
                <w:sz w:val="21"/>
                <w:szCs w:val="21"/>
              </w:rPr>
              <w:t>712</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0F1873A" w14:textId="77777777" w:rsidR="001A4B4D" w:rsidRPr="009B783C" w:rsidRDefault="001A4B4D" w:rsidP="00AB7572">
            <w:pPr>
              <w:pStyle w:val="TableNText"/>
              <w:jc w:val="center"/>
              <w:rPr>
                <w:sz w:val="21"/>
                <w:szCs w:val="21"/>
              </w:rPr>
            </w:pPr>
            <w:r w:rsidRPr="009B783C">
              <w:rPr>
                <w:sz w:val="21"/>
                <w:szCs w:val="21"/>
              </w:rPr>
              <w:t>1.2</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CDDB095" w14:textId="77777777" w:rsidR="001A4B4D" w:rsidRPr="009B783C" w:rsidRDefault="001A4B4D" w:rsidP="00AB7572">
            <w:pPr>
              <w:pStyle w:val="TableNText"/>
              <w:jc w:val="center"/>
              <w:rPr>
                <w:sz w:val="21"/>
                <w:szCs w:val="21"/>
              </w:rPr>
            </w:pPr>
            <w:r w:rsidRPr="009B783C">
              <w:rPr>
                <w:sz w:val="21"/>
                <w:szCs w:val="21"/>
              </w:rPr>
              <w:t>$75.6</w:t>
            </w:r>
          </w:p>
        </w:tc>
      </w:tr>
      <w:tr w:rsidR="001A4B4D" w:rsidRPr="009B783C" w14:paraId="6D334D42" w14:textId="77777777" w:rsidTr="00D16816">
        <w:trPr>
          <w:jc w:val="center"/>
        </w:trPr>
        <w:tc>
          <w:tcPr>
            <w:tcW w:w="2055"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374166D6" w14:textId="77777777" w:rsidR="001A4B4D" w:rsidRPr="009B783C" w:rsidRDefault="001A4B4D" w:rsidP="003E79FA">
            <w:pPr>
              <w:pStyle w:val="TableNText"/>
              <w:rPr>
                <w:sz w:val="21"/>
                <w:szCs w:val="21"/>
              </w:rPr>
            </w:pPr>
            <w:r w:rsidRPr="009B783C">
              <w:rPr>
                <w:sz w:val="21"/>
                <w:szCs w:val="21"/>
              </w:rPr>
              <w:t>Total (62 clinics)</w:t>
            </w:r>
          </w:p>
        </w:tc>
        <w:tc>
          <w:tcPr>
            <w:tcW w:w="95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3130318" w14:textId="77777777" w:rsidR="001A4B4D" w:rsidRPr="009B783C" w:rsidRDefault="001A4B4D" w:rsidP="00AB7572">
            <w:pPr>
              <w:pStyle w:val="TableNText"/>
              <w:jc w:val="center"/>
              <w:rPr>
                <w:sz w:val="21"/>
                <w:szCs w:val="21"/>
              </w:rPr>
            </w:pPr>
            <w:r w:rsidRPr="009B783C">
              <w:rPr>
                <w:sz w:val="21"/>
                <w:szCs w:val="21"/>
              </w:rPr>
              <w:t>348,027</w:t>
            </w:r>
          </w:p>
        </w:tc>
        <w:tc>
          <w:tcPr>
            <w:tcW w:w="89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6B6AAA60" w14:textId="77777777" w:rsidR="001A4B4D" w:rsidRPr="009B783C" w:rsidRDefault="001A4B4D" w:rsidP="00AB7572">
            <w:pPr>
              <w:pStyle w:val="TableNText"/>
              <w:jc w:val="center"/>
              <w:rPr>
                <w:sz w:val="21"/>
                <w:szCs w:val="21"/>
              </w:rPr>
            </w:pPr>
            <w:r w:rsidRPr="009B783C">
              <w:rPr>
                <w:sz w:val="21"/>
                <w:szCs w:val="21"/>
              </w:rPr>
              <w:t>1.5</w:t>
            </w:r>
          </w:p>
        </w:tc>
        <w:tc>
          <w:tcPr>
            <w:tcW w:w="109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80" w:type="dxa"/>
              <w:left w:w="140" w:type="dxa"/>
              <w:bottom w:w="80" w:type="dxa"/>
              <w:right w:w="140" w:type="dxa"/>
            </w:tcMar>
            <w:vAlign w:val="center"/>
          </w:tcPr>
          <w:p w14:paraId="76170BF9" w14:textId="77777777" w:rsidR="001A4B4D" w:rsidRPr="009B783C" w:rsidRDefault="001A4B4D" w:rsidP="00AB7572">
            <w:pPr>
              <w:pStyle w:val="TableNText"/>
              <w:jc w:val="center"/>
              <w:rPr>
                <w:sz w:val="21"/>
                <w:szCs w:val="21"/>
              </w:rPr>
            </w:pPr>
            <w:r w:rsidRPr="009B783C">
              <w:rPr>
                <w:sz w:val="21"/>
                <w:szCs w:val="21"/>
              </w:rPr>
              <w:t>$71.8</w:t>
            </w:r>
          </w:p>
        </w:tc>
      </w:tr>
    </w:tbl>
    <w:p w14:paraId="5AFCBA99" w14:textId="2B29007F" w:rsidR="00A143A3" w:rsidRPr="009B783C" w:rsidRDefault="00A143A3" w:rsidP="00ED1544">
      <w:pPr>
        <w:rPr>
          <w:sz w:val="22"/>
        </w:rPr>
      </w:pPr>
      <w:r w:rsidRPr="35C5891D">
        <w:rPr>
          <w:rFonts w:eastAsia="Segoe UI" w:cs="Segoe UI"/>
          <w:color w:val="000000" w:themeColor="text1"/>
          <w:sz w:val="20"/>
          <w:szCs w:val="20"/>
        </w:rPr>
        <w:t xml:space="preserve">Note: Table </w:t>
      </w:r>
      <w:r w:rsidRPr="00ED1544">
        <w:t>reflects</w:t>
      </w:r>
      <w:r w:rsidRPr="35C5891D">
        <w:rPr>
          <w:rFonts w:eastAsia="Segoe UI" w:cs="Segoe UI"/>
          <w:color w:val="000000" w:themeColor="text1"/>
          <w:sz w:val="20"/>
          <w:szCs w:val="20"/>
        </w:rPr>
        <w:t xml:space="preserve"> data from 30 June 2023 to 30 September 2024 and extracted on 6 November 2024. Data was available from 62 clinics open at 30 September 2024. (a) Where more than one MBS item was claimed, the primary MBS items was identified by selecting first a consultation item (Levels A-E) (if reported), then an urgent after item (if reported) and then the item with the largest associated benefit. The most common pairing of items was a consultation item with a bulk billing incentive item. (b) Presentations where at least one MBS item was recorded. (c) "Other non-referred" includes 302 presentations made up of: A5 Prolonged attendances to which no other item applies (184 presentations), A20 GP mental health treatment (68 presentations), A21 Professional attendances at recognised EDs of private hospitals (19 presentations) and items from other MBS </w:t>
      </w:r>
      <w:r w:rsidRPr="35C5891D">
        <w:rPr>
          <w:rFonts w:eastAsia="Segoe UI" w:cs="Segoe UI"/>
          <w:color w:val="000000" w:themeColor="text1"/>
          <w:sz w:val="20"/>
          <w:szCs w:val="20"/>
        </w:rPr>
        <w:lastRenderedPageBreak/>
        <w:t>groups (31 presentations) (d) "Other" includes 712 claims made up of T8 Surgical operations (527 presentations), A3 Specialist attendances to which no other item applies (114 presentations), M3 Allied health services (18 presentations) and items from other MBS groups (53 presentations)</w:t>
      </w:r>
    </w:p>
    <w:p w14:paraId="6E35DCC0" w14:textId="28B83388" w:rsidR="00054C2A" w:rsidRPr="009B783C" w:rsidRDefault="00054C2A" w:rsidP="00A143A3">
      <w:pPr>
        <w:spacing w:before="120"/>
        <w:rPr>
          <w:szCs w:val="21"/>
          <w:lang w:val="en-US"/>
        </w:rPr>
      </w:pPr>
      <w:r w:rsidRPr="009B783C">
        <w:rPr>
          <w:szCs w:val="21"/>
        </w:rPr>
        <w:t xml:space="preserve">For the MBS dataset Medicare UCC presentations were identified through provider numbers that have been assigned specifically to Medicare UCC clinicians. There were 67 Medicare UCCs with 1,221 provider numbers specified. In analysing the data, there were 268 provider numbers for which no claims could be identified and one Medicare UCC with no claims. </w:t>
      </w:r>
    </w:p>
    <w:p w14:paraId="23629841" w14:textId="01BE004B" w:rsidR="00054C2A" w:rsidRPr="009B783C" w:rsidRDefault="00054C2A" w:rsidP="00A143A3">
      <w:pPr>
        <w:rPr>
          <w:szCs w:val="21"/>
          <w:lang w:val="en-US"/>
        </w:rPr>
      </w:pPr>
      <w:r w:rsidRPr="009B783C">
        <w:rPr>
          <w:szCs w:val="21"/>
        </w:rPr>
        <w:t>Using this source, it was estimated that the average MBS benefit paid was $71.00 per presentation, based on around 511,000 presentations.</w:t>
      </w:r>
    </w:p>
    <w:p w14:paraId="4D783286" w14:textId="0380C313" w:rsidR="00B33F36" w:rsidRPr="009B783C" w:rsidRDefault="00B33F36" w:rsidP="00A143A3">
      <w:pPr>
        <w:rPr>
          <w:szCs w:val="21"/>
          <w:lang w:val="en-US"/>
        </w:rPr>
      </w:pPr>
      <w:r w:rsidRPr="009B783C">
        <w:rPr>
          <w:szCs w:val="21"/>
        </w:rPr>
        <w:t>The two estimates are close. The small differences will arise due to fact the Medicare UCC data reflects a subset of presentations. Using the aggregate counts for each Medicare UCC, weights were developed and applied to observations within Module data so that analyses could be conducted that reflected the total of reported activity for each Medicare UCC. This provided an opportunity to undertake a broader range of analyses related to characteristics of the patient and presentations that were not feasible were the MBS data to be used. Therefore, the analysis presented below is based on the Module data, with the one exception related to estimating the value of diagnostic services ordered by Medicare UCC clinician but provided by non-Medicare UCC services.</w:t>
      </w:r>
    </w:p>
    <w:p w14:paraId="17371693" w14:textId="61818EE1" w:rsidR="00B33F36" w:rsidRPr="009B783C" w:rsidRDefault="00B33F36" w:rsidP="005B1394">
      <w:pPr>
        <w:pStyle w:val="Heading4"/>
      </w:pPr>
      <w:r w:rsidRPr="009B783C">
        <w:t>MBS payments associated diagnostic services ordered for Medicare UCC clinicians and delivered by non-Medicare UCC providers</w:t>
      </w:r>
    </w:p>
    <w:p w14:paraId="52FDDFD1" w14:textId="5970FC1E" w:rsidR="00054C2A" w:rsidRPr="009B783C" w:rsidRDefault="00054C2A" w:rsidP="00A143A3">
      <w:pPr>
        <w:rPr>
          <w:rFonts w:asciiTheme="majorHAnsi" w:hAnsiTheme="majorHAnsi" w:cstheme="majorBidi"/>
          <w:szCs w:val="21"/>
          <w:lang w:val="en-US"/>
        </w:rPr>
      </w:pPr>
      <w:r w:rsidRPr="009B783C">
        <w:rPr>
          <w:szCs w:val="21"/>
        </w:rPr>
        <w:t xml:space="preserve">Through the MBS data set, additional diagnostic services could be identified for services ordered or referred by the Medicare UCC </w:t>
      </w:r>
      <w:proofErr w:type="gramStart"/>
      <w:r w:rsidRPr="009B783C">
        <w:rPr>
          <w:szCs w:val="21"/>
        </w:rPr>
        <w:t>clinicians, but</w:t>
      </w:r>
      <w:proofErr w:type="gramEnd"/>
      <w:r w:rsidRPr="009B783C">
        <w:rPr>
          <w:szCs w:val="21"/>
        </w:rPr>
        <w:t xml:space="preserve"> not delivered by Medicare UCC clinicians. Around 99,000 presentations (19.4</w:t>
      </w:r>
      <w:r w:rsidR="001C27A6" w:rsidRPr="009B783C">
        <w:rPr>
          <w:szCs w:val="21"/>
        </w:rPr>
        <w:t xml:space="preserve"> per cent</w:t>
      </w:r>
      <w:r w:rsidRPr="009B783C">
        <w:rPr>
          <w:szCs w:val="21"/>
        </w:rPr>
        <w:t xml:space="preserve">) had an additional pathology or diagnostic imaging item claimed on the same day as the Medicare UCC presentations under a provider number that was not associated with a Medicare UCC. When averaged across all presentations, these additional claims account for </w:t>
      </w:r>
      <w:r w:rsidRPr="009B783C">
        <w:rPr>
          <w:rFonts w:asciiTheme="majorHAnsi" w:hAnsiTheme="majorHAnsi" w:cstheme="majorBidi"/>
          <w:szCs w:val="21"/>
        </w:rPr>
        <w:t>an additional $1</w:t>
      </w:r>
      <w:r w:rsidR="00724A11" w:rsidRPr="009B783C">
        <w:rPr>
          <w:rFonts w:asciiTheme="majorHAnsi" w:hAnsiTheme="majorHAnsi" w:cstheme="majorBidi"/>
          <w:szCs w:val="21"/>
        </w:rPr>
        <w:t>6</w:t>
      </w:r>
      <w:r w:rsidRPr="009B783C">
        <w:rPr>
          <w:rFonts w:asciiTheme="majorHAnsi" w:hAnsiTheme="majorHAnsi" w:cstheme="majorBidi"/>
          <w:szCs w:val="21"/>
        </w:rPr>
        <w:t>.7</w:t>
      </w:r>
      <w:r w:rsidR="00724A11" w:rsidRPr="009B783C">
        <w:rPr>
          <w:rFonts w:asciiTheme="majorHAnsi" w:hAnsiTheme="majorHAnsi" w:cstheme="majorBidi"/>
          <w:szCs w:val="21"/>
        </w:rPr>
        <w:t>6</w:t>
      </w:r>
      <w:r w:rsidRPr="009B783C">
        <w:rPr>
          <w:rFonts w:asciiTheme="majorHAnsi" w:hAnsiTheme="majorHAnsi" w:cstheme="majorBidi"/>
          <w:szCs w:val="21"/>
        </w:rPr>
        <w:t xml:space="preserve"> per presentation.</w:t>
      </w:r>
    </w:p>
    <w:p w14:paraId="71B7B570" w14:textId="77777777" w:rsidR="00B33F36" w:rsidRPr="009B783C" w:rsidRDefault="00B33F36" w:rsidP="00B33F36">
      <w:pPr>
        <w:pStyle w:val="Heading4"/>
        <w:ind w:left="864" w:hanging="864"/>
      </w:pPr>
      <w:r w:rsidRPr="009B783C">
        <w:t>Combined grants and MBS payments</w:t>
      </w:r>
    </w:p>
    <w:p w14:paraId="013E3EFE" w14:textId="1AA21DF6" w:rsidR="00054C2A" w:rsidRPr="009B783C" w:rsidRDefault="0081379F" w:rsidP="00A143A3">
      <w:pPr>
        <w:rPr>
          <w:szCs w:val="21"/>
          <w:lang w:val="en-US" w:eastAsia="en-AU"/>
        </w:rPr>
      </w:pPr>
      <w:r>
        <w:rPr>
          <w:szCs w:val="21"/>
          <w:lang w:eastAsia="en-AU"/>
        </w:rPr>
        <w:fldChar w:fldCharType="begin"/>
      </w:r>
      <w:r>
        <w:rPr>
          <w:szCs w:val="21"/>
          <w:lang w:eastAsia="en-AU"/>
        </w:rPr>
        <w:instrText xml:space="preserve"> REF _Ref189770648 \h </w:instrText>
      </w:r>
      <w:r>
        <w:rPr>
          <w:szCs w:val="21"/>
          <w:lang w:eastAsia="en-AU"/>
        </w:rPr>
      </w:r>
      <w:r>
        <w:rPr>
          <w:szCs w:val="21"/>
          <w:lang w:eastAsia="en-AU"/>
        </w:rPr>
        <w:fldChar w:fldCharType="separate"/>
      </w:r>
      <w:r w:rsidRPr="009B783C">
        <w:rPr>
          <w:szCs w:val="21"/>
        </w:rPr>
        <w:t xml:space="preserve">Table </w:t>
      </w:r>
      <w:r>
        <w:rPr>
          <w:noProof/>
          <w:szCs w:val="21"/>
        </w:rPr>
        <w:t>16</w:t>
      </w:r>
      <w:r>
        <w:rPr>
          <w:szCs w:val="21"/>
          <w:lang w:eastAsia="en-AU"/>
        </w:rPr>
        <w:fldChar w:fldCharType="end"/>
      </w:r>
      <w:r>
        <w:rPr>
          <w:szCs w:val="21"/>
          <w:lang w:eastAsia="en-AU"/>
        </w:rPr>
        <w:t xml:space="preserve"> </w:t>
      </w:r>
      <w:r w:rsidR="00054C2A" w:rsidRPr="009B783C">
        <w:rPr>
          <w:szCs w:val="21"/>
          <w:lang w:eastAsia="en-AU"/>
        </w:rPr>
        <w:t>summarises the estimates of Australian Government funding per presentation across the three periods.</w:t>
      </w:r>
      <w:r w:rsidR="008A611A" w:rsidRPr="009B783C">
        <w:rPr>
          <w:szCs w:val="21"/>
          <w:lang w:eastAsia="en-AU"/>
        </w:rPr>
        <w:t xml:space="preserve"> </w:t>
      </w:r>
      <w:r w:rsidR="00054C2A" w:rsidRPr="009B783C">
        <w:rPr>
          <w:szCs w:val="21"/>
          <w:lang w:eastAsia="en-AU"/>
        </w:rPr>
        <w:t xml:space="preserve">The results for the Medicare UCC have been broken </w:t>
      </w:r>
      <w:r w:rsidR="00927596" w:rsidRPr="009B783C">
        <w:rPr>
          <w:szCs w:val="21"/>
          <w:lang w:eastAsia="en-AU"/>
        </w:rPr>
        <w:t xml:space="preserve">down </w:t>
      </w:r>
      <w:r w:rsidR="00054C2A" w:rsidRPr="009B783C">
        <w:rPr>
          <w:szCs w:val="21"/>
          <w:lang w:eastAsia="en-AU"/>
        </w:rPr>
        <w:t>to show the ACT</w:t>
      </w:r>
      <w:r w:rsidR="00927596" w:rsidRPr="009B783C">
        <w:rPr>
          <w:szCs w:val="21"/>
          <w:lang w:eastAsia="en-AU"/>
        </w:rPr>
        <w:t xml:space="preserve"> Medicare UCCs</w:t>
      </w:r>
      <w:r w:rsidR="00054C2A" w:rsidRPr="009B783C">
        <w:rPr>
          <w:szCs w:val="21"/>
          <w:lang w:eastAsia="en-AU"/>
        </w:rPr>
        <w:t xml:space="preserve"> and remote NT Medicare UCCs separately. In addition, there were </w:t>
      </w:r>
      <w:r w:rsidR="005264AA" w:rsidRPr="009B783C">
        <w:rPr>
          <w:szCs w:val="21"/>
          <w:lang w:eastAsia="en-AU"/>
        </w:rPr>
        <w:t>four</w:t>
      </w:r>
      <w:r w:rsidR="00054C2A" w:rsidRPr="009B783C">
        <w:rPr>
          <w:szCs w:val="21"/>
          <w:lang w:eastAsia="en-AU"/>
        </w:rPr>
        <w:t xml:space="preserve"> </w:t>
      </w:r>
      <w:r w:rsidR="00927596" w:rsidRPr="009B783C">
        <w:rPr>
          <w:szCs w:val="21"/>
          <w:lang w:eastAsia="en-AU"/>
        </w:rPr>
        <w:t xml:space="preserve">other </w:t>
      </w:r>
      <w:r w:rsidR="00054C2A" w:rsidRPr="009B783C">
        <w:rPr>
          <w:szCs w:val="21"/>
          <w:lang w:eastAsia="en-AU"/>
        </w:rPr>
        <w:t>Medicare UCCs in which Module and MBS data was not reported, where estimations have been made for the MBS components of costs.</w:t>
      </w:r>
      <w:r w:rsidR="008A611A" w:rsidRPr="009B783C">
        <w:rPr>
          <w:szCs w:val="21"/>
          <w:lang w:eastAsia="en-AU"/>
        </w:rPr>
        <w:t xml:space="preserve"> </w:t>
      </w:r>
    </w:p>
    <w:p w14:paraId="527B2502" w14:textId="1380151F" w:rsidR="00B33F36" w:rsidRPr="009B783C" w:rsidRDefault="00B33F36" w:rsidP="00A143A3">
      <w:pPr>
        <w:rPr>
          <w:szCs w:val="21"/>
          <w:lang w:val="en-US" w:eastAsia="en-AU"/>
        </w:rPr>
      </w:pPr>
      <w:r w:rsidRPr="009B783C">
        <w:rPr>
          <w:szCs w:val="21"/>
          <w:lang w:eastAsia="en-AU"/>
        </w:rPr>
        <w:t>Across the periods observed, MBS payment rates increased slightly.</w:t>
      </w:r>
      <w:r w:rsidR="008A611A" w:rsidRPr="009B783C">
        <w:rPr>
          <w:szCs w:val="21"/>
          <w:lang w:eastAsia="en-AU"/>
        </w:rPr>
        <w:t xml:space="preserve"> </w:t>
      </w:r>
      <w:r w:rsidRPr="009B783C">
        <w:rPr>
          <w:szCs w:val="21"/>
          <w:lang w:eastAsia="en-AU"/>
        </w:rPr>
        <w:t xml:space="preserve">However, the mix of Medicare UCCs also </w:t>
      </w:r>
      <w:r w:rsidR="00054C2A" w:rsidRPr="009B783C">
        <w:rPr>
          <w:szCs w:val="21"/>
          <w:lang w:eastAsia="en-AU"/>
        </w:rPr>
        <w:t>change</w:t>
      </w:r>
      <w:r w:rsidR="00343F42" w:rsidRPr="009B783C">
        <w:rPr>
          <w:szCs w:val="21"/>
          <w:lang w:eastAsia="en-AU"/>
        </w:rPr>
        <w:t>d,</w:t>
      </w:r>
      <w:r w:rsidRPr="009B783C">
        <w:rPr>
          <w:szCs w:val="21"/>
          <w:lang w:eastAsia="en-AU"/>
        </w:rPr>
        <w:t xml:space="preserve"> which meant the average MBS payment </w:t>
      </w:r>
      <w:r w:rsidR="00054C2A" w:rsidRPr="009B783C">
        <w:rPr>
          <w:szCs w:val="21"/>
          <w:lang w:eastAsia="en-AU"/>
        </w:rPr>
        <w:t>i</w:t>
      </w:r>
      <w:r w:rsidR="00343F42" w:rsidRPr="009B783C">
        <w:rPr>
          <w:szCs w:val="21"/>
          <w:lang w:eastAsia="en-AU"/>
        </w:rPr>
        <w:t>n</w:t>
      </w:r>
      <w:r w:rsidRPr="009B783C">
        <w:rPr>
          <w:szCs w:val="21"/>
          <w:lang w:eastAsia="en-AU"/>
        </w:rPr>
        <w:t xml:space="preserve"> the annualised data is slightly lower than the value in 2023</w:t>
      </w:r>
      <w:r w:rsidR="005264AA" w:rsidRPr="009B783C">
        <w:rPr>
          <w:szCs w:val="21"/>
          <w:lang w:eastAsia="en-AU"/>
        </w:rPr>
        <w:t>-</w:t>
      </w:r>
      <w:r w:rsidRPr="009B783C">
        <w:rPr>
          <w:szCs w:val="21"/>
          <w:lang w:eastAsia="en-AU"/>
        </w:rPr>
        <w:t xml:space="preserve">24 </w:t>
      </w:r>
      <w:r w:rsidR="005264AA" w:rsidRPr="009B783C">
        <w:rPr>
          <w:szCs w:val="21"/>
          <w:lang w:eastAsia="en-AU"/>
        </w:rPr>
        <w:t>q</w:t>
      </w:r>
      <w:r w:rsidR="00054C2A" w:rsidRPr="009B783C">
        <w:rPr>
          <w:szCs w:val="21"/>
          <w:lang w:eastAsia="en-AU"/>
        </w:rPr>
        <w:t>uarter</w:t>
      </w:r>
      <w:r w:rsidR="005264AA" w:rsidRPr="009B783C">
        <w:rPr>
          <w:szCs w:val="21"/>
          <w:lang w:eastAsia="en-AU"/>
        </w:rPr>
        <w:t>s</w:t>
      </w:r>
      <w:r w:rsidRPr="009B783C">
        <w:rPr>
          <w:szCs w:val="21"/>
          <w:lang w:eastAsia="en-AU"/>
        </w:rPr>
        <w:t xml:space="preserve"> </w:t>
      </w:r>
      <w:r w:rsidR="005264AA" w:rsidRPr="009B783C">
        <w:rPr>
          <w:szCs w:val="21"/>
          <w:lang w:eastAsia="en-AU"/>
        </w:rPr>
        <w:t xml:space="preserve">three </w:t>
      </w:r>
      <w:r w:rsidRPr="009B783C">
        <w:rPr>
          <w:szCs w:val="21"/>
          <w:lang w:eastAsia="en-AU"/>
        </w:rPr>
        <w:t xml:space="preserve">and </w:t>
      </w:r>
      <w:r w:rsidR="005264AA" w:rsidRPr="009B783C">
        <w:rPr>
          <w:szCs w:val="21"/>
          <w:lang w:eastAsia="en-AU"/>
        </w:rPr>
        <w:t>four</w:t>
      </w:r>
      <w:r w:rsidRPr="009B783C">
        <w:rPr>
          <w:szCs w:val="21"/>
          <w:lang w:eastAsia="en-AU"/>
        </w:rPr>
        <w:t xml:space="preserve">. </w:t>
      </w:r>
    </w:p>
    <w:p w14:paraId="5947AEB8" w14:textId="77777777" w:rsidR="00B33F36" w:rsidRPr="009B783C" w:rsidRDefault="00B33F36" w:rsidP="00950D18">
      <w:pPr>
        <w:pStyle w:val="xAppendixLevel3"/>
        <w:ind w:left="0" w:firstLine="0"/>
      </w:pPr>
      <w:bookmarkStart w:id="772" w:name="_Ref185349867"/>
      <w:r w:rsidRPr="009B783C">
        <w:t>Estimating the annual level of activity for Medicare UCCs</w:t>
      </w:r>
      <w:bookmarkEnd w:id="772"/>
    </w:p>
    <w:p w14:paraId="2E069F63" w14:textId="70AE2F3F" w:rsidR="00B33F36" w:rsidRPr="009B783C" w:rsidRDefault="00B33F36" w:rsidP="00A143A3">
      <w:pPr>
        <w:rPr>
          <w:szCs w:val="21"/>
          <w:lang w:val="en-US"/>
        </w:rPr>
      </w:pPr>
      <w:r w:rsidRPr="009B783C">
        <w:rPr>
          <w:szCs w:val="21"/>
        </w:rPr>
        <w:t xml:space="preserve">Not all Medicare UCCs have been operating for a full year. Most newly established Medicare UCCs showed a relatively rapid increase in activity once they opened. Medicare UCCs that </w:t>
      </w:r>
      <w:r w:rsidRPr="009B783C">
        <w:rPr>
          <w:szCs w:val="21"/>
        </w:rPr>
        <w:lastRenderedPageBreak/>
        <w:t xml:space="preserve">transitioned from other urgent care services also showed an increase in activity from when they opened as a Medicare UCC. Most Medicare UCCs reached a reasonably stable level of activity within </w:t>
      </w:r>
      <w:r w:rsidR="00575791" w:rsidRPr="009B783C">
        <w:rPr>
          <w:szCs w:val="21"/>
        </w:rPr>
        <w:t>three to four</w:t>
      </w:r>
      <w:r w:rsidRPr="009B783C">
        <w:rPr>
          <w:szCs w:val="21"/>
        </w:rPr>
        <w:t xml:space="preserve"> months, but when this stable level of activity was achieved varied widely. </w:t>
      </w:r>
    </w:p>
    <w:p w14:paraId="78F93E2A" w14:textId="79E430C3" w:rsidR="00B33F36" w:rsidRPr="009B783C" w:rsidRDefault="00B33F36" w:rsidP="00A143A3">
      <w:pPr>
        <w:rPr>
          <w:szCs w:val="21"/>
        </w:rPr>
      </w:pPr>
      <w:r w:rsidRPr="009B783C">
        <w:rPr>
          <w:szCs w:val="21"/>
        </w:rPr>
        <w:t xml:space="preserve">To derive estimates of the annual </w:t>
      </w:r>
      <w:r w:rsidR="00054C2A" w:rsidRPr="009B783C">
        <w:rPr>
          <w:szCs w:val="21"/>
        </w:rPr>
        <w:t>‘stable’</w:t>
      </w:r>
      <w:r w:rsidRPr="009B783C">
        <w:rPr>
          <w:szCs w:val="21"/>
        </w:rPr>
        <w:t xml:space="preserve"> level of activity, the trends in activity from the time of opening was reviewed for each individual Medicare UCC and a point in time identified at which the level of activity appeared to have become reasonably stable and close to the average weekly presentations for the remaining weeks for which data was available. Using this point in time, the mean weekly presentations were calculated across the remaining weeks.</w:t>
      </w:r>
      <w:r w:rsidR="008A611A" w:rsidRPr="009B783C">
        <w:rPr>
          <w:szCs w:val="21"/>
        </w:rPr>
        <w:t xml:space="preserve"> </w:t>
      </w:r>
      <w:r w:rsidRPr="009B783C">
        <w:rPr>
          <w:szCs w:val="21"/>
        </w:rPr>
        <w:t xml:space="preserve">This was then multiplied by 52.25 to yield an annual estimate. </w:t>
      </w:r>
    </w:p>
    <w:p w14:paraId="0CD2C374" w14:textId="1929E632" w:rsidR="00B33F36" w:rsidRPr="009B783C" w:rsidRDefault="00B33F36" w:rsidP="00A143A3">
      <w:pPr>
        <w:rPr>
          <w:szCs w:val="21"/>
          <w:lang w:val="en-US"/>
        </w:rPr>
      </w:pPr>
      <w:r w:rsidRPr="009B783C">
        <w:rPr>
          <w:szCs w:val="21"/>
        </w:rPr>
        <w:t xml:space="preserve">This estimate will be reviewed in future evaluation reports, which will benefit from </w:t>
      </w:r>
      <w:r w:rsidR="00054C2A" w:rsidRPr="009B783C">
        <w:rPr>
          <w:szCs w:val="21"/>
        </w:rPr>
        <w:t>having</w:t>
      </w:r>
      <w:r w:rsidRPr="009B783C">
        <w:rPr>
          <w:szCs w:val="21"/>
        </w:rPr>
        <w:t xml:space="preserve"> data on the activity of Medicare UCCs over a longer </w:t>
      </w:r>
      <w:proofErr w:type="gramStart"/>
      <w:r w:rsidRPr="009B783C">
        <w:rPr>
          <w:szCs w:val="21"/>
        </w:rPr>
        <w:t>period of time</w:t>
      </w:r>
      <w:proofErr w:type="gramEnd"/>
      <w:r w:rsidRPr="009B783C">
        <w:rPr>
          <w:szCs w:val="21"/>
        </w:rPr>
        <w:t>.</w:t>
      </w:r>
    </w:p>
    <w:p w14:paraId="0CA0E5BA" w14:textId="3C5F239C" w:rsidR="00054C2A" w:rsidRPr="009B783C" w:rsidRDefault="00054C2A" w:rsidP="00950D18">
      <w:pPr>
        <w:pStyle w:val="xAppendixLevel3"/>
        <w:ind w:left="0" w:firstLine="0"/>
      </w:pPr>
      <w:bookmarkStart w:id="773" w:name="_Ref185413748"/>
      <w:r w:rsidRPr="009B783C">
        <w:t>Assigning Medicare UCC presentations to AECC classes and pricing</w:t>
      </w:r>
      <w:bookmarkEnd w:id="773"/>
    </w:p>
    <w:p w14:paraId="50EE8455" w14:textId="77777777" w:rsidR="00B33F36" w:rsidRPr="009B783C" w:rsidRDefault="00B33F36" w:rsidP="00A143A3">
      <w:pPr>
        <w:rPr>
          <w:szCs w:val="21"/>
          <w:lang w:eastAsia="en-AU"/>
        </w:rPr>
      </w:pPr>
      <w:r w:rsidRPr="009B783C">
        <w:rPr>
          <w:szCs w:val="21"/>
          <w:lang w:eastAsia="en-AU"/>
        </w:rPr>
        <w:t>This section describes how Medicare UCC presentations were priced to calculate the costs of avoided ED presentations to government.</w:t>
      </w:r>
    </w:p>
    <w:p w14:paraId="0D72ECFE" w14:textId="44EF554A" w:rsidR="00054C2A" w:rsidRPr="009B783C" w:rsidRDefault="00054C2A" w:rsidP="006F7986">
      <w:pPr>
        <w:pStyle w:val="Heading4"/>
        <w:ind w:left="864" w:hanging="864"/>
      </w:pPr>
      <w:r w:rsidRPr="009B783C">
        <w:t xml:space="preserve">Step 1: Coding </w:t>
      </w:r>
      <w:r w:rsidR="00244357" w:rsidRPr="009B783C">
        <w:t>reason for visit</w:t>
      </w:r>
    </w:p>
    <w:p w14:paraId="0CFA7809" w14:textId="220BED98" w:rsidR="00054C2A" w:rsidRPr="009B783C" w:rsidRDefault="00054C2A" w:rsidP="00A143A3">
      <w:pPr>
        <w:rPr>
          <w:szCs w:val="21"/>
        </w:rPr>
      </w:pPr>
      <w:r w:rsidRPr="009B783C">
        <w:rPr>
          <w:szCs w:val="21"/>
        </w:rPr>
        <w:t xml:space="preserve">Medicare UCCs recorded a </w:t>
      </w:r>
      <w:r w:rsidR="00FA71B0" w:rsidRPr="009B783C">
        <w:rPr>
          <w:szCs w:val="21"/>
        </w:rPr>
        <w:t xml:space="preserve">reason for visit for </w:t>
      </w:r>
      <w:r w:rsidRPr="009B783C">
        <w:rPr>
          <w:szCs w:val="21"/>
        </w:rPr>
        <w:t>each patient presentation. While multiple reasons could be recorded per presentation, 83,197 presentations (20</w:t>
      </w:r>
      <w:r w:rsidR="002843A1" w:rsidRPr="009B783C">
        <w:rPr>
          <w:szCs w:val="21"/>
        </w:rPr>
        <w:t xml:space="preserve"> per cent </w:t>
      </w:r>
      <w:r w:rsidRPr="009B783C">
        <w:rPr>
          <w:szCs w:val="21"/>
        </w:rPr>
        <w:t xml:space="preserve">of all those with Medicare UCC </w:t>
      </w:r>
      <w:r w:rsidR="004E7366" w:rsidRPr="009B783C">
        <w:rPr>
          <w:szCs w:val="21"/>
        </w:rPr>
        <w:t>Module</w:t>
      </w:r>
      <w:r w:rsidRPr="009B783C">
        <w:rPr>
          <w:szCs w:val="21"/>
        </w:rPr>
        <w:t xml:space="preserve"> unit records) had no reason recorded.</w:t>
      </w:r>
    </w:p>
    <w:p w14:paraId="7FDBA7BD" w14:textId="5B5310C8" w:rsidR="00054C2A" w:rsidRPr="009B783C" w:rsidRDefault="00054C2A" w:rsidP="00A143A3">
      <w:pPr>
        <w:rPr>
          <w:szCs w:val="21"/>
          <w:lang w:val="en-US"/>
        </w:rPr>
      </w:pPr>
      <w:r w:rsidRPr="009B783C">
        <w:rPr>
          <w:szCs w:val="21"/>
        </w:rPr>
        <w:t>The reasons were recorded as text, resulting in 12,184 unique entries across 426,500 presentations. Many reasons represented the same diagnosis in various formats, such as: "</w:t>
      </w:r>
      <w:proofErr w:type="spellStart"/>
      <w:r w:rsidRPr="009B783C">
        <w:rPr>
          <w:szCs w:val="21"/>
        </w:rPr>
        <w:t>abdo</w:t>
      </w:r>
      <w:proofErr w:type="spellEnd"/>
      <w:r w:rsidRPr="009B783C">
        <w:rPr>
          <w:szCs w:val="21"/>
        </w:rPr>
        <w:t xml:space="preserve"> pain"</w:t>
      </w:r>
      <w:r w:rsidR="002843A1" w:rsidRPr="009B783C">
        <w:rPr>
          <w:szCs w:val="21"/>
        </w:rPr>
        <w:t>,</w:t>
      </w:r>
      <w:r w:rsidRPr="009B783C">
        <w:rPr>
          <w:szCs w:val="21"/>
        </w:rPr>
        <w:t xml:space="preserve"> "abdominal pain"</w:t>
      </w:r>
      <w:r w:rsidRPr="009B783C" w:rsidDel="002843A1">
        <w:rPr>
          <w:szCs w:val="21"/>
        </w:rPr>
        <w:t xml:space="preserve"> </w:t>
      </w:r>
      <w:r w:rsidRPr="009B783C">
        <w:rPr>
          <w:szCs w:val="21"/>
        </w:rPr>
        <w:t>and "acute abdominal pain for investigation."</w:t>
      </w:r>
    </w:p>
    <w:p w14:paraId="28BEFFE3" w14:textId="093C52EF" w:rsidR="00054C2A" w:rsidRPr="009B783C" w:rsidRDefault="00054C2A" w:rsidP="00A143A3">
      <w:pPr>
        <w:rPr>
          <w:szCs w:val="21"/>
        </w:rPr>
      </w:pPr>
      <w:r w:rsidRPr="009B783C">
        <w:rPr>
          <w:szCs w:val="21"/>
        </w:rPr>
        <w:t xml:space="preserve">The International Classification of Diseases, 10th Revision, Australian Modification (ICD-10-AM), Twelfth Edition, was used to code the </w:t>
      </w:r>
      <w:r w:rsidR="00FA71B0" w:rsidRPr="009B783C">
        <w:rPr>
          <w:szCs w:val="21"/>
        </w:rPr>
        <w:t>reasons for visit</w:t>
      </w:r>
      <w:r w:rsidRPr="009B783C">
        <w:rPr>
          <w:szCs w:val="21"/>
          <w:lang w:eastAsia="en-AU"/>
        </w:rPr>
        <w:t>.</w:t>
      </w:r>
      <w:r w:rsidRPr="009B783C">
        <w:rPr>
          <w:szCs w:val="21"/>
        </w:rPr>
        <w:t xml:space="preserve"> </w:t>
      </w:r>
      <w:r w:rsidR="001451F8" w:rsidRPr="009B783C">
        <w:rPr>
          <w:szCs w:val="21"/>
        </w:rPr>
        <w:t>The coding was undertaken by clinical coders credentialled in ICD-10-AM coding</w:t>
      </w:r>
      <w:r w:rsidR="00F1027D" w:rsidRPr="009B783C">
        <w:rPr>
          <w:szCs w:val="21"/>
        </w:rPr>
        <w:t xml:space="preserve">. It involved </w:t>
      </w:r>
      <w:r w:rsidR="00C7106D" w:rsidRPr="009B783C">
        <w:rPr>
          <w:szCs w:val="21"/>
        </w:rPr>
        <w:t xml:space="preserve">manual </w:t>
      </w:r>
      <w:r w:rsidR="00F1027D" w:rsidRPr="009B783C">
        <w:rPr>
          <w:szCs w:val="21"/>
        </w:rPr>
        <w:t>coding</w:t>
      </w:r>
      <w:r w:rsidR="00C7106D" w:rsidRPr="009B783C">
        <w:rPr>
          <w:szCs w:val="21"/>
        </w:rPr>
        <w:t xml:space="preserve"> of</w:t>
      </w:r>
      <w:r w:rsidR="00F1027D" w:rsidRPr="009B783C">
        <w:rPr>
          <w:szCs w:val="21"/>
        </w:rPr>
        <w:t xml:space="preserve"> </w:t>
      </w:r>
      <w:r w:rsidR="00C7106D" w:rsidRPr="009B783C">
        <w:rPr>
          <w:szCs w:val="21"/>
        </w:rPr>
        <w:t>each reason for visit recorded for each presentation</w:t>
      </w:r>
      <w:r w:rsidR="001451F8" w:rsidRPr="009B783C">
        <w:rPr>
          <w:szCs w:val="21"/>
        </w:rPr>
        <w:t xml:space="preserve">. </w:t>
      </w:r>
      <w:r w:rsidRPr="009B783C">
        <w:rPr>
          <w:szCs w:val="21"/>
        </w:rPr>
        <w:t>Of the approximately 18,000 ICD-10-AM codes available, the</w:t>
      </w:r>
      <w:r w:rsidR="00FA71B0" w:rsidRPr="009B783C">
        <w:rPr>
          <w:szCs w:val="21"/>
        </w:rPr>
        <w:t xml:space="preserve"> reasons for visit u</w:t>
      </w:r>
      <w:r w:rsidRPr="009B783C">
        <w:rPr>
          <w:szCs w:val="21"/>
        </w:rPr>
        <w:t>sed about 2,000 unique codes.</w:t>
      </w:r>
    </w:p>
    <w:p w14:paraId="426B759D" w14:textId="7AAD9AC9" w:rsidR="00054C2A" w:rsidRPr="009B783C" w:rsidRDefault="001451F8" w:rsidP="00A143A3">
      <w:pPr>
        <w:rPr>
          <w:szCs w:val="21"/>
        </w:rPr>
      </w:pPr>
      <w:r w:rsidRPr="009B783C">
        <w:rPr>
          <w:szCs w:val="21"/>
        </w:rPr>
        <w:t xml:space="preserve">A qualified Health Information Manager </w:t>
      </w:r>
      <w:r w:rsidR="00236542" w:rsidRPr="009B783C">
        <w:rPr>
          <w:szCs w:val="21"/>
        </w:rPr>
        <w:t xml:space="preserve">working as part of the evaluation team mapped the </w:t>
      </w:r>
      <w:r w:rsidR="00054C2A" w:rsidRPr="009B783C">
        <w:rPr>
          <w:szCs w:val="21"/>
        </w:rPr>
        <w:t xml:space="preserve">ICD-10-AM codes to the ED ICD-10-AM Principal Diagnosis Short List, which has approximately 1,300 codes. Medicare UCC Reasons for Visit were mapped to </w:t>
      </w:r>
      <w:r w:rsidR="00676714" w:rsidRPr="009B783C">
        <w:rPr>
          <w:szCs w:val="21"/>
        </w:rPr>
        <w:t>853</w:t>
      </w:r>
      <w:r w:rsidR="00054C2A" w:rsidRPr="009B783C">
        <w:rPr>
          <w:szCs w:val="21"/>
        </w:rPr>
        <w:t xml:space="preserve"> of these codes.</w:t>
      </w:r>
    </w:p>
    <w:p w14:paraId="7DDCD557" w14:textId="647BAEAE" w:rsidR="00B33F36" w:rsidRPr="009B783C" w:rsidRDefault="00B33F36" w:rsidP="00A143A3">
      <w:pPr>
        <w:rPr>
          <w:szCs w:val="21"/>
        </w:rPr>
      </w:pPr>
      <w:r w:rsidRPr="009B783C">
        <w:rPr>
          <w:szCs w:val="21"/>
        </w:rPr>
        <w:t xml:space="preserve">Challenges in coding </w:t>
      </w:r>
      <w:r w:rsidR="00FA71B0" w:rsidRPr="009B783C">
        <w:rPr>
          <w:szCs w:val="21"/>
        </w:rPr>
        <w:t>the reasons for visit i</w:t>
      </w:r>
      <w:r w:rsidRPr="009B783C">
        <w:rPr>
          <w:szCs w:val="21"/>
        </w:rPr>
        <w:t>ncluded:</w:t>
      </w:r>
    </w:p>
    <w:p w14:paraId="478D080B" w14:textId="5606B2BF" w:rsidR="00B33F36" w:rsidRPr="009B783C" w:rsidRDefault="00B33F36" w:rsidP="00A143A3">
      <w:pPr>
        <w:pStyle w:val="Bullet"/>
        <w:rPr>
          <w:szCs w:val="21"/>
        </w:rPr>
      </w:pPr>
      <w:r w:rsidRPr="009B783C">
        <w:rPr>
          <w:rFonts w:asciiTheme="majorHAnsi" w:hAnsiTheme="majorHAnsi" w:cstheme="majorHAnsi"/>
          <w:szCs w:val="21"/>
        </w:rPr>
        <w:t>Ineligible ICD-10-AM codes</w:t>
      </w:r>
      <w:r w:rsidR="00F95591" w:rsidRPr="009B783C">
        <w:rPr>
          <w:rFonts w:asciiTheme="majorHAnsi" w:hAnsiTheme="majorHAnsi" w:cstheme="majorHAnsi"/>
          <w:szCs w:val="21"/>
        </w:rPr>
        <w:t>.</w:t>
      </w:r>
      <w:r w:rsidR="00185A36" w:rsidRPr="009B783C">
        <w:rPr>
          <w:rFonts w:asciiTheme="majorHAnsi" w:hAnsiTheme="majorHAnsi" w:cstheme="majorHAnsi"/>
          <w:szCs w:val="21"/>
        </w:rPr>
        <w:t xml:space="preserve"> </w:t>
      </w:r>
      <w:r w:rsidRPr="009B783C">
        <w:rPr>
          <w:rFonts w:asciiTheme="minorHAnsi" w:hAnsiTheme="minorHAnsi" w:cstheme="minorHAnsi"/>
          <w:szCs w:val="21"/>
        </w:rPr>
        <w:t>About 5,000 ICD-10-AM codes are not eligible as ED principal diagnoses. Examples include external causes of injury (</w:t>
      </w:r>
      <w:r w:rsidR="002843A1" w:rsidRPr="009B783C">
        <w:rPr>
          <w:rFonts w:asciiTheme="minorHAnsi" w:hAnsiTheme="minorHAnsi" w:cstheme="minorHAnsi"/>
          <w:szCs w:val="21"/>
        </w:rPr>
        <w:t xml:space="preserve">for example, </w:t>
      </w:r>
      <w:r w:rsidRPr="009B783C">
        <w:rPr>
          <w:rFonts w:asciiTheme="minorHAnsi" w:hAnsiTheme="minorHAnsi" w:cstheme="minorHAnsi"/>
          <w:szCs w:val="21"/>
        </w:rPr>
        <w:t>motor vehicle accident), personal factors affecting health status (such as a history of cancer or current smoker), presentations for medical care without the reasons for the visit being specified (</w:t>
      </w:r>
      <w:r w:rsidR="002843A1" w:rsidRPr="009B783C">
        <w:rPr>
          <w:rFonts w:asciiTheme="minorHAnsi" w:hAnsiTheme="minorHAnsi" w:cstheme="minorHAnsi"/>
          <w:szCs w:val="21"/>
        </w:rPr>
        <w:t xml:space="preserve">for example, </w:t>
      </w:r>
      <w:proofErr w:type="spellStart"/>
      <w:r w:rsidRPr="009B783C">
        <w:rPr>
          <w:rFonts w:asciiTheme="minorHAnsi" w:hAnsiTheme="minorHAnsi" w:cstheme="minorHAnsi"/>
          <w:szCs w:val="21"/>
        </w:rPr>
        <w:t>check up</w:t>
      </w:r>
      <w:proofErr w:type="spellEnd"/>
      <w:r w:rsidRPr="009B783C">
        <w:rPr>
          <w:rFonts w:asciiTheme="minorHAnsi" w:hAnsiTheme="minorHAnsi" w:cstheme="minorHAnsi"/>
          <w:szCs w:val="21"/>
        </w:rPr>
        <w:t xml:space="preserve"> </w:t>
      </w:r>
      <w:r w:rsidR="002843A1" w:rsidRPr="009B783C">
        <w:rPr>
          <w:rFonts w:asciiTheme="minorHAnsi" w:hAnsiTheme="minorHAnsi" w:cstheme="minorHAnsi"/>
          <w:szCs w:val="21"/>
        </w:rPr>
        <w:t>–</w:t>
      </w:r>
      <w:r w:rsidRPr="009B783C">
        <w:rPr>
          <w:rFonts w:asciiTheme="minorHAnsi" w:hAnsiTheme="minorHAnsi" w:cstheme="minorHAnsi"/>
          <w:szCs w:val="21"/>
        </w:rPr>
        <w:t xml:space="preserve"> well adult</w:t>
      </w:r>
      <w:r w:rsidR="00054C2A" w:rsidRPr="009B783C">
        <w:rPr>
          <w:rFonts w:asciiTheme="minorHAnsi" w:hAnsiTheme="minorHAnsi" w:cstheme="minorHAnsi"/>
          <w:szCs w:val="21"/>
        </w:rPr>
        <w:t>)</w:t>
      </w:r>
      <w:r w:rsidRPr="009B783C">
        <w:rPr>
          <w:rFonts w:asciiTheme="minorHAnsi" w:hAnsiTheme="minorHAnsi" w:cstheme="minorHAnsi"/>
          <w:szCs w:val="21"/>
        </w:rPr>
        <w:t xml:space="preserve"> and presentations for preparation of a certificate/report (</w:t>
      </w:r>
      <w:r w:rsidR="002843A1" w:rsidRPr="009B783C">
        <w:rPr>
          <w:rFonts w:asciiTheme="minorHAnsi" w:hAnsiTheme="minorHAnsi" w:cstheme="minorHAnsi"/>
          <w:szCs w:val="21"/>
        </w:rPr>
        <w:t>for example,</w:t>
      </w:r>
      <w:r w:rsidRPr="009B783C">
        <w:rPr>
          <w:rFonts w:asciiTheme="minorHAnsi" w:hAnsiTheme="minorHAnsi" w:cstheme="minorHAnsi"/>
          <w:szCs w:val="21"/>
        </w:rPr>
        <w:t xml:space="preserve"> for insurance, for disabled parking, pre-employment</w:t>
      </w:r>
      <w:r w:rsidR="00054C2A" w:rsidRPr="009B783C">
        <w:rPr>
          <w:rFonts w:asciiTheme="minorHAnsi" w:hAnsiTheme="minorHAnsi" w:cstheme="minorHAnsi"/>
          <w:szCs w:val="21"/>
        </w:rPr>
        <w:t>),</w:t>
      </w:r>
      <w:r w:rsidRPr="009B783C">
        <w:rPr>
          <w:rFonts w:asciiTheme="minorHAnsi" w:hAnsiTheme="minorHAnsi" w:cstheme="minorHAnsi"/>
          <w:szCs w:val="21"/>
        </w:rPr>
        <w:t xml:space="preserve"> and preparation of care plans (GP management plan, Team Care Arrangement review, GP Mental Health Plan).</w:t>
      </w:r>
      <w:r w:rsidR="002843A1" w:rsidRPr="009B783C">
        <w:rPr>
          <w:rFonts w:asciiTheme="minorHAnsi" w:hAnsiTheme="minorHAnsi" w:cstheme="minorHAnsi"/>
          <w:szCs w:val="21"/>
        </w:rPr>
        <w:t xml:space="preserve"> </w:t>
      </w:r>
      <w:r w:rsidR="00185A36" w:rsidRPr="009B783C">
        <w:rPr>
          <w:szCs w:val="21"/>
        </w:rPr>
        <w:br/>
      </w:r>
      <w:r w:rsidRPr="009B783C">
        <w:rPr>
          <w:szCs w:val="21"/>
        </w:rPr>
        <w:t xml:space="preserve">Where possible, a diagnosis was inferred. For example, external causes such as motor vehicle </w:t>
      </w:r>
      <w:r w:rsidRPr="009B783C">
        <w:rPr>
          <w:szCs w:val="21"/>
        </w:rPr>
        <w:lastRenderedPageBreak/>
        <w:t>accident were inferred as injuries (</w:t>
      </w:r>
      <w:r w:rsidR="002843A1" w:rsidRPr="009B783C">
        <w:rPr>
          <w:szCs w:val="21"/>
        </w:rPr>
        <w:t>for example,</w:t>
      </w:r>
      <w:r w:rsidRPr="009B783C">
        <w:rPr>
          <w:szCs w:val="21"/>
        </w:rPr>
        <w:t xml:space="preserve"> coded as </w:t>
      </w:r>
      <w:r w:rsidRPr="009B783C">
        <w:rPr>
          <w:i/>
          <w:szCs w:val="21"/>
        </w:rPr>
        <w:t>T14.9 Injury, unspecified</w:t>
      </w:r>
      <w:r w:rsidR="00054C2A" w:rsidRPr="009B783C">
        <w:rPr>
          <w:szCs w:val="21"/>
        </w:rPr>
        <w:t>).</w:t>
      </w:r>
      <w:r w:rsidRPr="009B783C">
        <w:rPr>
          <w:szCs w:val="21"/>
        </w:rPr>
        <w:t xml:space="preserve"> Overall, 74,240 presentations (17</w:t>
      </w:r>
      <w:r w:rsidR="002843A1" w:rsidRPr="009B783C">
        <w:rPr>
          <w:szCs w:val="21"/>
        </w:rPr>
        <w:t xml:space="preserve"> per cent</w:t>
      </w:r>
      <w:r w:rsidR="00054C2A" w:rsidRPr="009B783C">
        <w:rPr>
          <w:szCs w:val="21"/>
        </w:rPr>
        <w:t>)</w:t>
      </w:r>
      <w:r w:rsidRPr="009B783C">
        <w:rPr>
          <w:szCs w:val="21"/>
        </w:rPr>
        <w:t xml:space="preserve"> remained could not be assigned an eligible ED Short List code.</w:t>
      </w:r>
    </w:p>
    <w:p w14:paraId="58592C28" w14:textId="5B804375" w:rsidR="00B33F36" w:rsidRPr="009B783C" w:rsidRDefault="00B33F36" w:rsidP="00A143A3">
      <w:pPr>
        <w:pStyle w:val="Bullet"/>
        <w:rPr>
          <w:szCs w:val="21"/>
        </w:rPr>
      </w:pPr>
      <w:r w:rsidRPr="009B783C">
        <w:rPr>
          <w:rFonts w:asciiTheme="majorHAnsi" w:hAnsiTheme="majorHAnsi" w:cstheme="majorHAnsi"/>
          <w:szCs w:val="21"/>
        </w:rPr>
        <w:t>Procedures instead of diagnoses</w:t>
      </w:r>
      <w:r w:rsidR="00F95591" w:rsidRPr="009B783C">
        <w:rPr>
          <w:rFonts w:asciiTheme="majorHAnsi" w:hAnsiTheme="majorHAnsi" w:cstheme="majorHAnsi"/>
          <w:szCs w:val="21"/>
        </w:rPr>
        <w:t>.</w:t>
      </w:r>
      <w:r w:rsidR="00185A36" w:rsidRPr="009B783C">
        <w:rPr>
          <w:rFonts w:asciiTheme="majorHAnsi" w:hAnsiTheme="majorHAnsi" w:cstheme="majorHAnsi"/>
          <w:szCs w:val="21"/>
        </w:rPr>
        <w:t xml:space="preserve"> </w:t>
      </w:r>
      <w:r w:rsidRPr="009B783C">
        <w:rPr>
          <w:szCs w:val="21"/>
        </w:rPr>
        <w:t xml:space="preserve">Many </w:t>
      </w:r>
      <w:r w:rsidR="00BC6253" w:rsidRPr="009B783C">
        <w:rPr>
          <w:szCs w:val="21"/>
        </w:rPr>
        <w:t>reasons for visit w</w:t>
      </w:r>
      <w:r w:rsidRPr="009B783C">
        <w:rPr>
          <w:szCs w:val="21"/>
        </w:rPr>
        <w:t xml:space="preserve">ere procedures that were unlikely to have been undertaken at the Medicare UCC. For example, appendicectomy, angioplasty and total abdominal hysterectomy. These were coded to </w:t>
      </w:r>
      <w:r w:rsidRPr="009B783C">
        <w:rPr>
          <w:i/>
          <w:szCs w:val="21"/>
        </w:rPr>
        <w:t>Z09.9 Follow-up examination after unspecified treatment for other conditions</w:t>
      </w:r>
      <w:r w:rsidR="00054C2A" w:rsidRPr="009B783C">
        <w:rPr>
          <w:szCs w:val="21"/>
        </w:rPr>
        <w:t>.</w:t>
      </w:r>
      <w:r w:rsidRPr="009B783C">
        <w:rPr>
          <w:szCs w:val="21"/>
        </w:rPr>
        <w:t xml:space="preserve"> For other procedures that were likely to have been undertaken at the Medicare UCC, a diagnosis was inferred. For example, </w:t>
      </w:r>
      <w:r w:rsidRPr="009B783C">
        <w:rPr>
          <w:i/>
          <w:szCs w:val="21"/>
        </w:rPr>
        <w:t>syringe ear</w:t>
      </w:r>
      <w:r w:rsidRPr="009B783C">
        <w:rPr>
          <w:szCs w:val="21"/>
        </w:rPr>
        <w:t xml:space="preserve"> and variations were coded as </w:t>
      </w:r>
      <w:r w:rsidRPr="009B783C">
        <w:rPr>
          <w:i/>
          <w:szCs w:val="21"/>
        </w:rPr>
        <w:t>H61.2 Impacted cerumen</w:t>
      </w:r>
      <w:r w:rsidR="00054C2A" w:rsidRPr="009B783C">
        <w:rPr>
          <w:szCs w:val="21"/>
        </w:rPr>
        <w:t>.</w:t>
      </w:r>
      <w:r w:rsidRPr="009B783C">
        <w:rPr>
          <w:szCs w:val="21"/>
        </w:rPr>
        <w:t xml:space="preserve"> </w:t>
      </w:r>
    </w:p>
    <w:p w14:paraId="48826425" w14:textId="310E9BAF" w:rsidR="00B33F36" w:rsidRPr="009B783C" w:rsidRDefault="00B33F36" w:rsidP="00A143A3">
      <w:pPr>
        <w:pStyle w:val="Bullet"/>
        <w:rPr>
          <w:szCs w:val="21"/>
        </w:rPr>
      </w:pPr>
      <w:r w:rsidRPr="009B783C">
        <w:rPr>
          <w:rFonts w:asciiTheme="majorHAnsi" w:hAnsiTheme="majorHAnsi" w:cstheme="majorHAnsi"/>
          <w:szCs w:val="21"/>
        </w:rPr>
        <w:t>Multiple diagnoses within a single field</w:t>
      </w:r>
      <w:r w:rsidR="00F95591" w:rsidRPr="009B783C">
        <w:rPr>
          <w:rFonts w:asciiTheme="majorHAnsi" w:hAnsiTheme="majorHAnsi" w:cstheme="majorHAnsi"/>
          <w:szCs w:val="21"/>
        </w:rPr>
        <w:t>.</w:t>
      </w:r>
      <w:r w:rsidR="00185A36" w:rsidRPr="009B783C">
        <w:rPr>
          <w:rFonts w:asciiTheme="majorHAnsi" w:hAnsiTheme="majorHAnsi" w:cstheme="majorHAnsi"/>
          <w:szCs w:val="21"/>
        </w:rPr>
        <w:t xml:space="preserve"> </w:t>
      </w:r>
      <w:r w:rsidRPr="009B783C">
        <w:rPr>
          <w:szCs w:val="21"/>
        </w:rPr>
        <w:t>When multiple diagnoses were recorded within a single field (</w:t>
      </w:r>
      <w:r w:rsidR="002843A1" w:rsidRPr="009B783C">
        <w:rPr>
          <w:szCs w:val="21"/>
        </w:rPr>
        <w:t>for example,</w:t>
      </w:r>
      <w:r w:rsidRPr="009B783C">
        <w:rPr>
          <w:szCs w:val="21"/>
        </w:rPr>
        <w:t xml:space="preserve"> </w:t>
      </w:r>
      <w:r w:rsidRPr="001A660D">
        <w:rPr>
          <w:szCs w:val="21"/>
        </w:rPr>
        <w:t xml:space="preserve">"UTI, </w:t>
      </w:r>
      <w:proofErr w:type="spellStart"/>
      <w:r w:rsidRPr="001A660D">
        <w:rPr>
          <w:szCs w:val="21"/>
        </w:rPr>
        <w:t>abdo</w:t>
      </w:r>
      <w:proofErr w:type="spellEnd"/>
      <w:r w:rsidRPr="001A660D">
        <w:rPr>
          <w:szCs w:val="21"/>
        </w:rPr>
        <w:t xml:space="preserve"> pain"),</w:t>
      </w:r>
      <w:r w:rsidRPr="009B783C">
        <w:rPr>
          <w:szCs w:val="21"/>
        </w:rPr>
        <w:t xml:space="preserve"> the most definitive diagnosis was coded.</w:t>
      </w:r>
    </w:p>
    <w:p w14:paraId="7888E161" w14:textId="39EF579C" w:rsidR="00B33F36" w:rsidRPr="009B783C" w:rsidRDefault="00B33F36" w:rsidP="00A143A3">
      <w:pPr>
        <w:pStyle w:val="Bullet"/>
        <w:rPr>
          <w:szCs w:val="21"/>
        </w:rPr>
      </w:pPr>
      <w:r w:rsidRPr="009B783C">
        <w:rPr>
          <w:rFonts w:asciiTheme="majorHAnsi" w:hAnsiTheme="majorHAnsi" w:cstheme="majorHAnsi"/>
          <w:szCs w:val="21"/>
        </w:rPr>
        <w:t>Diagnoses that may have been part of a patient’s history</w:t>
      </w:r>
      <w:r w:rsidR="00F95591" w:rsidRPr="009B783C">
        <w:rPr>
          <w:rFonts w:asciiTheme="majorHAnsi" w:hAnsiTheme="majorHAnsi" w:cstheme="majorHAnsi"/>
          <w:szCs w:val="21"/>
        </w:rPr>
        <w:t>.</w:t>
      </w:r>
      <w:r w:rsidR="00185A36" w:rsidRPr="009B783C">
        <w:rPr>
          <w:rFonts w:asciiTheme="majorHAnsi" w:hAnsiTheme="majorHAnsi" w:cstheme="majorHAnsi"/>
          <w:szCs w:val="21"/>
        </w:rPr>
        <w:t xml:space="preserve"> </w:t>
      </w:r>
      <w:r w:rsidRPr="009B783C">
        <w:rPr>
          <w:szCs w:val="21"/>
        </w:rPr>
        <w:t xml:space="preserve">Many presentations also had </w:t>
      </w:r>
      <w:r w:rsidR="00BC6253" w:rsidRPr="009B783C">
        <w:rPr>
          <w:szCs w:val="21"/>
        </w:rPr>
        <w:t xml:space="preserve">reasons for visit </w:t>
      </w:r>
      <w:r w:rsidRPr="009B783C">
        <w:rPr>
          <w:szCs w:val="21"/>
        </w:rPr>
        <w:t>where it was not possible to tell whether the diagnosis was current, or part of the patient’s history. This included diagnoses such as acute myocardial infarction (AMI), stroke, various forms of cancer, chronic kidney failure/disease and dementia. Where there was a string of these for a single presentation (</w:t>
      </w:r>
      <w:r w:rsidR="002843A1" w:rsidRPr="009B783C">
        <w:rPr>
          <w:szCs w:val="21"/>
        </w:rPr>
        <w:t xml:space="preserve">for example, </w:t>
      </w:r>
      <w:r w:rsidRPr="009B783C">
        <w:rPr>
          <w:szCs w:val="21"/>
        </w:rPr>
        <w:t>stroke, diabetes, cancer), it is likely that it was the patient’s history that was being recorded using this field rather than th</w:t>
      </w:r>
      <w:r w:rsidR="0061156D" w:rsidRPr="009B783C">
        <w:rPr>
          <w:szCs w:val="21"/>
        </w:rPr>
        <w:t>e reason for visi</w:t>
      </w:r>
      <w:r w:rsidRPr="009B783C">
        <w:rPr>
          <w:szCs w:val="21"/>
        </w:rPr>
        <w:t xml:space="preserve">t. However, where only one diagnosis was recorded for a presentation, it was not possible to tell whether it was a current diagnosis or part of the patient’s history. On examining the </w:t>
      </w:r>
      <w:r w:rsidR="00054C2A" w:rsidRPr="009B783C">
        <w:rPr>
          <w:szCs w:val="21"/>
        </w:rPr>
        <w:t>Episode End Status</w:t>
      </w:r>
      <w:r w:rsidRPr="009B783C">
        <w:rPr>
          <w:szCs w:val="21"/>
        </w:rPr>
        <w:t>, patients with these acute diagnoses were only sometimes referred to a hospital ED or ward, indicating that they were unlikely to be presenting for a current stroke or AMI to the Medicare UCC. Nevertheless, they were coded as represented. These have implications for pricing the Medicare UCC presentations, described below.</w:t>
      </w:r>
    </w:p>
    <w:p w14:paraId="363B3C67" w14:textId="77777777" w:rsidR="00B33F36" w:rsidRPr="009B783C" w:rsidRDefault="00B33F36" w:rsidP="00B33F36">
      <w:pPr>
        <w:pStyle w:val="Heading4"/>
        <w:ind w:left="864" w:hanging="864"/>
      </w:pPr>
      <w:r w:rsidRPr="009B783C">
        <w:t>Step 2: Grouping presentations to AECC classes</w:t>
      </w:r>
    </w:p>
    <w:p w14:paraId="19890021" w14:textId="3523F937" w:rsidR="00B33F36" w:rsidRPr="009B783C" w:rsidRDefault="00C7106D" w:rsidP="00F82EF6">
      <w:pPr>
        <w:rPr>
          <w:szCs w:val="21"/>
          <w:lang w:val="en-US"/>
        </w:rPr>
      </w:pPr>
      <w:r w:rsidRPr="009B783C">
        <w:rPr>
          <w:szCs w:val="21"/>
        </w:rPr>
        <w:t xml:space="preserve">Members of the evaluation team with extensive experience in </w:t>
      </w:r>
      <w:r w:rsidR="00E833D2" w:rsidRPr="009B783C">
        <w:rPr>
          <w:szCs w:val="21"/>
        </w:rPr>
        <w:t>activity</w:t>
      </w:r>
      <w:r w:rsidR="002843A1" w:rsidRPr="009B783C">
        <w:rPr>
          <w:szCs w:val="21"/>
        </w:rPr>
        <w:t>-based</w:t>
      </w:r>
      <w:r w:rsidR="00E833D2" w:rsidRPr="009B783C">
        <w:rPr>
          <w:szCs w:val="21"/>
        </w:rPr>
        <w:t xml:space="preserve"> funding and classification systems</w:t>
      </w:r>
      <w:r w:rsidRPr="009B783C">
        <w:rPr>
          <w:szCs w:val="21"/>
        </w:rPr>
        <w:t xml:space="preserve"> grouped the presentations </w:t>
      </w:r>
      <w:r w:rsidR="00E833D2" w:rsidRPr="009B783C">
        <w:rPr>
          <w:szCs w:val="21"/>
        </w:rPr>
        <w:t xml:space="preserve">into AECC classes. </w:t>
      </w:r>
      <w:r w:rsidR="00B33F36" w:rsidRPr="009B783C">
        <w:rPr>
          <w:szCs w:val="21"/>
        </w:rPr>
        <w:t>The following variables are required to group presentations to AECC classes:</w:t>
      </w:r>
    </w:p>
    <w:p w14:paraId="37D6BB1E" w14:textId="77777777" w:rsidR="00B33F36" w:rsidRPr="009B783C" w:rsidRDefault="00B33F36" w:rsidP="00F82EF6">
      <w:pPr>
        <w:pStyle w:val="Bullet"/>
        <w:rPr>
          <w:szCs w:val="21"/>
        </w:rPr>
      </w:pPr>
      <w:r w:rsidRPr="009B783C">
        <w:rPr>
          <w:szCs w:val="21"/>
        </w:rPr>
        <w:t>ED Short List code</w:t>
      </w:r>
    </w:p>
    <w:p w14:paraId="43D55287" w14:textId="7B2EEBAB" w:rsidR="00B33F36" w:rsidRPr="009B783C" w:rsidRDefault="002843A1" w:rsidP="00F82EF6">
      <w:pPr>
        <w:pStyle w:val="Bullet"/>
        <w:rPr>
          <w:szCs w:val="21"/>
        </w:rPr>
      </w:pPr>
      <w:r w:rsidRPr="009B783C">
        <w:rPr>
          <w:szCs w:val="21"/>
        </w:rPr>
        <w:t>a</w:t>
      </w:r>
      <w:r w:rsidR="00B33F36" w:rsidRPr="009B783C">
        <w:rPr>
          <w:szCs w:val="21"/>
        </w:rPr>
        <w:t>rrival by ambulance</w:t>
      </w:r>
    </w:p>
    <w:p w14:paraId="69CBDCB5" w14:textId="5214082A" w:rsidR="00B33F36" w:rsidRPr="009B783C" w:rsidRDefault="002843A1" w:rsidP="00F82EF6">
      <w:pPr>
        <w:pStyle w:val="Bullet"/>
        <w:rPr>
          <w:szCs w:val="21"/>
        </w:rPr>
      </w:pPr>
      <w:r w:rsidRPr="009B783C">
        <w:rPr>
          <w:szCs w:val="21"/>
        </w:rPr>
        <w:t>a</w:t>
      </w:r>
      <w:r w:rsidR="00B33F36" w:rsidRPr="009B783C">
        <w:rPr>
          <w:szCs w:val="21"/>
        </w:rPr>
        <w:t>ge group</w:t>
      </w:r>
    </w:p>
    <w:p w14:paraId="4CDEF986" w14:textId="658A15A3" w:rsidR="00B33F36" w:rsidRPr="009B783C" w:rsidRDefault="002843A1" w:rsidP="00F82EF6">
      <w:pPr>
        <w:pStyle w:val="Bullet"/>
        <w:rPr>
          <w:szCs w:val="21"/>
        </w:rPr>
      </w:pPr>
      <w:r w:rsidRPr="009B783C">
        <w:rPr>
          <w:szCs w:val="21"/>
        </w:rPr>
        <w:t>t</w:t>
      </w:r>
      <w:r w:rsidR="00B33F36" w:rsidRPr="009B783C">
        <w:rPr>
          <w:szCs w:val="21"/>
        </w:rPr>
        <w:t>riage category</w:t>
      </w:r>
    </w:p>
    <w:p w14:paraId="2117677E" w14:textId="7D6CFB02" w:rsidR="00B33F36" w:rsidRPr="009B783C" w:rsidRDefault="002843A1" w:rsidP="00F82EF6">
      <w:pPr>
        <w:pStyle w:val="Bullet"/>
        <w:rPr>
          <w:szCs w:val="21"/>
        </w:rPr>
      </w:pPr>
      <w:r w:rsidRPr="009B783C">
        <w:rPr>
          <w:szCs w:val="21"/>
        </w:rPr>
        <w:t>d</w:t>
      </w:r>
      <w:r w:rsidR="00B33F36" w:rsidRPr="009B783C">
        <w:rPr>
          <w:szCs w:val="21"/>
        </w:rPr>
        <w:t>eparture status</w:t>
      </w:r>
      <w:r w:rsidRPr="009B783C">
        <w:rPr>
          <w:szCs w:val="21"/>
        </w:rPr>
        <w:t>.</w:t>
      </w:r>
    </w:p>
    <w:p w14:paraId="19EA1023" w14:textId="394FF930" w:rsidR="00B33F36" w:rsidRPr="009B783C" w:rsidRDefault="00B33F36" w:rsidP="00F82EF6">
      <w:pPr>
        <w:rPr>
          <w:szCs w:val="21"/>
          <w:lang w:val="en-US" w:eastAsia="en-AU"/>
        </w:rPr>
      </w:pPr>
      <w:r w:rsidRPr="009B783C">
        <w:rPr>
          <w:szCs w:val="21"/>
          <w:lang w:eastAsia="en-AU"/>
        </w:rPr>
        <w:t xml:space="preserve">Triage category was not available from the Medicare UCC Module. However, the AECC does not differentiate between </w:t>
      </w:r>
      <w:r w:rsidR="00676714" w:rsidRPr="009B783C">
        <w:rPr>
          <w:szCs w:val="21"/>
          <w:lang w:eastAsia="en-AU"/>
        </w:rPr>
        <w:t>t</w:t>
      </w:r>
      <w:r w:rsidR="00054C2A" w:rsidRPr="009B783C">
        <w:rPr>
          <w:szCs w:val="21"/>
          <w:lang w:eastAsia="en-AU"/>
        </w:rPr>
        <w:t>riage</w:t>
      </w:r>
      <w:r w:rsidRPr="009B783C">
        <w:rPr>
          <w:szCs w:val="21"/>
          <w:lang w:eastAsia="en-AU"/>
        </w:rPr>
        <w:t xml:space="preserve"> categories </w:t>
      </w:r>
      <w:r w:rsidR="00E515ED" w:rsidRPr="009B783C">
        <w:rPr>
          <w:szCs w:val="21"/>
          <w:lang w:eastAsia="en-AU"/>
        </w:rPr>
        <w:t>four and five</w:t>
      </w:r>
      <w:r w:rsidRPr="009B783C">
        <w:rPr>
          <w:szCs w:val="21"/>
          <w:lang w:eastAsia="en-AU"/>
        </w:rPr>
        <w:t xml:space="preserve">, therefore, all presentations were set to </w:t>
      </w:r>
      <w:r w:rsidR="00676714" w:rsidRPr="009B783C">
        <w:rPr>
          <w:szCs w:val="21"/>
          <w:lang w:eastAsia="en-AU"/>
        </w:rPr>
        <w:t>t</w:t>
      </w:r>
      <w:r w:rsidR="00054C2A" w:rsidRPr="009B783C">
        <w:rPr>
          <w:szCs w:val="21"/>
          <w:lang w:eastAsia="en-AU"/>
        </w:rPr>
        <w:t xml:space="preserve">riage </w:t>
      </w:r>
      <w:r w:rsidR="00E515ED" w:rsidRPr="009B783C">
        <w:rPr>
          <w:szCs w:val="21"/>
          <w:lang w:eastAsia="en-AU"/>
        </w:rPr>
        <w:t>c</w:t>
      </w:r>
      <w:r w:rsidR="00054C2A" w:rsidRPr="009B783C">
        <w:rPr>
          <w:szCs w:val="21"/>
          <w:lang w:eastAsia="en-AU"/>
        </w:rPr>
        <w:t xml:space="preserve">ategory </w:t>
      </w:r>
      <w:r w:rsidR="00E515ED" w:rsidRPr="009B783C">
        <w:rPr>
          <w:szCs w:val="21"/>
          <w:lang w:eastAsia="en-AU"/>
        </w:rPr>
        <w:t>five</w:t>
      </w:r>
      <w:r w:rsidR="00054C2A" w:rsidRPr="009B783C">
        <w:rPr>
          <w:szCs w:val="21"/>
          <w:lang w:eastAsia="en-AU"/>
        </w:rPr>
        <w:t>.</w:t>
      </w:r>
      <w:r w:rsidRPr="009B783C">
        <w:rPr>
          <w:szCs w:val="21"/>
          <w:lang w:eastAsia="en-AU"/>
        </w:rPr>
        <w:t xml:space="preserve"> Departure status was set to “Discharged home” for all Medicare UCC patients. </w:t>
      </w:r>
    </w:p>
    <w:p w14:paraId="4379CD81" w14:textId="39C989EC" w:rsidR="00B33F36" w:rsidRPr="009B783C" w:rsidRDefault="00B33F36" w:rsidP="00F82EF6">
      <w:pPr>
        <w:rPr>
          <w:szCs w:val="21"/>
          <w:lang w:val="en-US"/>
        </w:rPr>
      </w:pPr>
      <w:r w:rsidRPr="009B783C">
        <w:rPr>
          <w:szCs w:val="21"/>
        </w:rPr>
        <w:t xml:space="preserve">Where multiple reasons for visit were recorded, the code leading to the lowest NWAU AECC class was selected (see next step). This was because in most of these instances, the string of diagnoses appeared to be part of the patient’s history rather than the </w:t>
      </w:r>
      <w:r w:rsidR="0061156D" w:rsidRPr="009B783C">
        <w:rPr>
          <w:szCs w:val="21"/>
        </w:rPr>
        <w:t>reason for visit t</w:t>
      </w:r>
      <w:r w:rsidRPr="009B783C">
        <w:rPr>
          <w:szCs w:val="21"/>
        </w:rPr>
        <w:t xml:space="preserve">o the </w:t>
      </w:r>
      <w:r w:rsidRPr="009B783C">
        <w:rPr>
          <w:szCs w:val="21"/>
        </w:rPr>
        <w:lastRenderedPageBreak/>
        <w:t>Medicare UCC (</w:t>
      </w:r>
      <w:r w:rsidR="00E515ED" w:rsidRPr="009B783C">
        <w:rPr>
          <w:szCs w:val="21"/>
        </w:rPr>
        <w:t xml:space="preserve">for example, </w:t>
      </w:r>
      <w:r w:rsidRPr="009B783C">
        <w:rPr>
          <w:szCs w:val="21"/>
          <w:lang w:eastAsia="en-AU"/>
        </w:rPr>
        <w:t>stroke plus diabetes plus cancer reported together and alongside other diagnoses).</w:t>
      </w:r>
    </w:p>
    <w:p w14:paraId="355D4398" w14:textId="2DC75B03" w:rsidR="00054C2A" w:rsidRPr="009B783C" w:rsidRDefault="00054C2A" w:rsidP="006F7986">
      <w:pPr>
        <w:pStyle w:val="Heading4"/>
        <w:ind w:left="864" w:hanging="864"/>
      </w:pPr>
      <w:r w:rsidRPr="009B783C">
        <w:t>Step 3: Assigning NWAUs and pricing</w:t>
      </w:r>
    </w:p>
    <w:p w14:paraId="55F6F7D5" w14:textId="2B6AE747" w:rsidR="00054C2A" w:rsidRPr="009B783C" w:rsidRDefault="00054C2A" w:rsidP="00F82EF6">
      <w:pPr>
        <w:rPr>
          <w:szCs w:val="21"/>
          <w:lang w:val="en-US"/>
        </w:rPr>
      </w:pPr>
      <w:r w:rsidRPr="009B783C">
        <w:rPr>
          <w:szCs w:val="21"/>
        </w:rPr>
        <w:t xml:space="preserve">NWAUs were assigned for each AECC class using IHACPA’s </w:t>
      </w:r>
      <w:r w:rsidRPr="009B783C">
        <w:rPr>
          <w:i/>
          <w:iCs/>
          <w:szCs w:val="21"/>
        </w:rPr>
        <w:t>National Efficient Price Determination</w:t>
      </w:r>
      <w:r w:rsidRPr="009B783C">
        <w:rPr>
          <w:szCs w:val="21"/>
        </w:rPr>
        <w:t>.</w:t>
      </w:r>
      <w:r w:rsidRPr="35C5891D">
        <w:rPr>
          <w:rStyle w:val="FootnoteReference"/>
          <w:szCs w:val="21"/>
          <w:lang w:val="en-US" w:eastAsia="en-AU"/>
        </w:rPr>
        <w:footnoteReference w:id="104"/>
      </w:r>
      <w:r w:rsidRPr="009B783C">
        <w:rPr>
          <w:szCs w:val="21"/>
          <w:vertAlign w:val="superscript"/>
        </w:rPr>
        <w:t>,</w:t>
      </w:r>
      <w:r w:rsidRPr="35C5891D">
        <w:rPr>
          <w:rStyle w:val="FootnoteReference"/>
          <w:szCs w:val="21"/>
          <w:lang w:val="en-US"/>
        </w:rPr>
        <w:footnoteReference w:id="105"/>
      </w:r>
      <w:r w:rsidR="008A611A" w:rsidRPr="009B783C">
        <w:rPr>
          <w:szCs w:val="21"/>
        </w:rPr>
        <w:t xml:space="preserve"> </w:t>
      </w:r>
      <w:r w:rsidRPr="009B783C">
        <w:rPr>
          <w:szCs w:val="21"/>
        </w:rPr>
        <w:t>As per the NEP policy, the NWAU for by AECC class was adjusted for the following factors:</w:t>
      </w:r>
    </w:p>
    <w:p w14:paraId="7E8E8981" w14:textId="6922D7BF" w:rsidR="00054C2A" w:rsidRPr="009B783C" w:rsidRDefault="00054C2A" w:rsidP="00F82EF6">
      <w:pPr>
        <w:pStyle w:val="Bullet"/>
        <w:rPr>
          <w:szCs w:val="21"/>
        </w:rPr>
      </w:pPr>
      <w:r w:rsidRPr="009B783C">
        <w:rPr>
          <w:szCs w:val="21"/>
        </w:rPr>
        <w:t>4</w:t>
      </w:r>
      <w:r w:rsidR="00E515ED" w:rsidRPr="009B783C">
        <w:rPr>
          <w:szCs w:val="21"/>
        </w:rPr>
        <w:t xml:space="preserve"> per cent</w:t>
      </w:r>
      <w:r w:rsidRPr="009B783C">
        <w:rPr>
          <w:szCs w:val="21"/>
        </w:rPr>
        <w:t xml:space="preserve"> uplift for Aboriginal and/or Torres Strait Islander patients.</w:t>
      </w:r>
    </w:p>
    <w:p w14:paraId="135C986C" w14:textId="5539E14B" w:rsidR="00B33F36" w:rsidRPr="009B783C" w:rsidRDefault="00B33F36" w:rsidP="00F82EF6">
      <w:pPr>
        <w:pStyle w:val="Bullet"/>
        <w:rPr>
          <w:szCs w:val="21"/>
        </w:rPr>
      </w:pPr>
      <w:r w:rsidRPr="009B783C">
        <w:rPr>
          <w:szCs w:val="21"/>
        </w:rPr>
        <w:t>30</w:t>
      </w:r>
      <w:r w:rsidR="00E515ED" w:rsidRPr="009B783C">
        <w:rPr>
          <w:szCs w:val="21"/>
        </w:rPr>
        <w:t xml:space="preserve"> per cent </w:t>
      </w:r>
      <w:r w:rsidRPr="009B783C">
        <w:rPr>
          <w:szCs w:val="21"/>
        </w:rPr>
        <w:t>uplift for patients from remote areas.</w:t>
      </w:r>
    </w:p>
    <w:p w14:paraId="62502F3D" w14:textId="77777777" w:rsidR="00B33F36" w:rsidRPr="009B783C" w:rsidRDefault="00B33F36" w:rsidP="00F82EF6">
      <w:pPr>
        <w:rPr>
          <w:szCs w:val="21"/>
        </w:rPr>
      </w:pPr>
      <w:r w:rsidRPr="009B783C">
        <w:rPr>
          <w:szCs w:val="21"/>
        </w:rPr>
        <w:t>Records missing valid AECC groupings were assigned the NWAU for "Other factors influencing health status Complexity level B" (0.0805 NWAU).</w:t>
      </w:r>
    </w:p>
    <w:p w14:paraId="3931265B" w14:textId="77777777" w:rsidR="00B33F36" w:rsidRPr="009B783C" w:rsidRDefault="00B33F36" w:rsidP="00F82EF6">
      <w:pPr>
        <w:rPr>
          <w:szCs w:val="21"/>
        </w:rPr>
      </w:pPr>
      <w:r w:rsidRPr="009B783C">
        <w:rPr>
          <w:szCs w:val="21"/>
        </w:rPr>
        <w:t>NWAUs were multiplied by the NEP to derive the price per presentations.</w:t>
      </w:r>
    </w:p>
    <w:p w14:paraId="2D9939D1" w14:textId="77777777" w:rsidR="00B33F36" w:rsidRPr="009B783C" w:rsidRDefault="00B33F36" w:rsidP="00B33F36">
      <w:pPr>
        <w:pStyle w:val="Heading4"/>
        <w:ind w:left="864" w:hanging="864"/>
      </w:pPr>
      <w:r w:rsidRPr="009B783C">
        <w:t>Limitations</w:t>
      </w:r>
    </w:p>
    <w:p w14:paraId="6A4BC8B6" w14:textId="77777777" w:rsidR="00B33F36" w:rsidRPr="009B783C" w:rsidRDefault="00B33F36" w:rsidP="00F82EF6">
      <w:pPr>
        <w:rPr>
          <w:szCs w:val="21"/>
          <w:lang w:eastAsia="en-AU"/>
        </w:rPr>
      </w:pPr>
      <w:r w:rsidRPr="009B783C">
        <w:rPr>
          <w:szCs w:val="21"/>
        </w:rPr>
        <w:t xml:space="preserve">The price implied by the AECC NWAU may be higher or lower than calculated due to the following reasons: </w:t>
      </w:r>
    </w:p>
    <w:p w14:paraId="785FDA63" w14:textId="30786107" w:rsidR="00B33F36" w:rsidRPr="009B783C" w:rsidRDefault="00B33F36" w:rsidP="00F82EF6">
      <w:pPr>
        <w:pStyle w:val="Bullet"/>
        <w:rPr>
          <w:szCs w:val="21"/>
        </w:rPr>
      </w:pPr>
      <w:r w:rsidRPr="009B783C">
        <w:rPr>
          <w:szCs w:val="21"/>
        </w:rPr>
        <w:t xml:space="preserve">Despite the steps taken to reduce the influence of diagnoses that may have been part of a patient’s history rather than the </w:t>
      </w:r>
      <w:r w:rsidR="00244357" w:rsidRPr="009B783C">
        <w:rPr>
          <w:szCs w:val="21"/>
        </w:rPr>
        <w:t xml:space="preserve">reason for visit </w:t>
      </w:r>
      <w:r w:rsidRPr="009B783C">
        <w:rPr>
          <w:szCs w:val="21"/>
        </w:rPr>
        <w:t xml:space="preserve">to the Medicare UCC, in many instances it was not possible to differentiate between a historical and current diagnosis. </w:t>
      </w:r>
      <w:proofErr w:type="gramStart"/>
      <w:r w:rsidRPr="009B783C">
        <w:rPr>
          <w:szCs w:val="21"/>
        </w:rPr>
        <w:t>There</w:t>
      </w:r>
      <w:proofErr w:type="gramEnd"/>
      <w:r w:rsidRPr="009B783C">
        <w:rPr>
          <w:szCs w:val="21"/>
        </w:rPr>
        <w:t xml:space="preserve"> remained records in the dataset where patients with a </w:t>
      </w:r>
      <w:r w:rsidR="00244357" w:rsidRPr="009B783C">
        <w:rPr>
          <w:szCs w:val="21"/>
        </w:rPr>
        <w:t xml:space="preserve">reason for visit </w:t>
      </w:r>
      <w:r w:rsidRPr="009B783C">
        <w:rPr>
          <w:szCs w:val="21"/>
        </w:rPr>
        <w:t>of stroke or AMI were discharged home and not referred to an ED, which are unlikely. In these cases, the NWAU may have been higher than what would have been estimated for the actual</w:t>
      </w:r>
      <w:r w:rsidR="00244357" w:rsidRPr="009B783C">
        <w:rPr>
          <w:szCs w:val="21"/>
        </w:rPr>
        <w:t xml:space="preserve"> reason for visit</w:t>
      </w:r>
      <w:r w:rsidRPr="009B783C">
        <w:rPr>
          <w:szCs w:val="21"/>
        </w:rPr>
        <w:t>.</w:t>
      </w:r>
    </w:p>
    <w:p w14:paraId="1049F3DD" w14:textId="26BC5015" w:rsidR="00B33F36" w:rsidRPr="009B783C" w:rsidRDefault="00B33F36" w:rsidP="00F82EF6">
      <w:pPr>
        <w:pStyle w:val="Bullet"/>
        <w:rPr>
          <w:szCs w:val="21"/>
        </w:rPr>
      </w:pPr>
      <w:r w:rsidRPr="009B783C">
        <w:rPr>
          <w:szCs w:val="21"/>
        </w:rPr>
        <w:t>Presentations with Ineligible ED Short List codes (such as "preparation of care plans" or "certificate preparation") were assigned to an AECC class with a relatively high NWAU (0.0805), also possibly inflating the price.</w:t>
      </w:r>
    </w:p>
    <w:p w14:paraId="6E6A1B59" w14:textId="31607C00" w:rsidR="00054C2A" w:rsidRPr="009B783C" w:rsidRDefault="00B33F36" w:rsidP="00E40022">
      <w:pPr>
        <w:pStyle w:val="Bullet"/>
        <w:rPr>
          <w:szCs w:val="21"/>
        </w:rPr>
      </w:pPr>
      <w:r w:rsidRPr="009B783C">
        <w:rPr>
          <w:szCs w:val="21"/>
        </w:rPr>
        <w:t>Where diagnoses were inferred (</w:t>
      </w:r>
      <w:r w:rsidR="00E515ED" w:rsidRPr="009B783C">
        <w:rPr>
          <w:szCs w:val="21"/>
        </w:rPr>
        <w:t>for example</w:t>
      </w:r>
      <w:r w:rsidRPr="009B783C">
        <w:rPr>
          <w:szCs w:val="21"/>
        </w:rPr>
        <w:t>, external causes coded as injuries or a diagnosis inferred from a procedure), they may have overestimated or underestimated the NWAUs.</w:t>
      </w:r>
    </w:p>
    <w:p w14:paraId="1B299F81" w14:textId="77777777" w:rsidR="00663435" w:rsidRPr="009B783C" w:rsidRDefault="00663435" w:rsidP="006F0A12">
      <w:pPr>
        <w:pStyle w:val="Heading1"/>
        <w:numPr>
          <w:ilvl w:val="0"/>
          <w:numId w:val="0"/>
        </w:numPr>
        <w:sectPr w:rsidR="00663435" w:rsidRPr="009B783C" w:rsidSect="00663435">
          <w:type w:val="continuous"/>
          <w:pgSz w:w="11907" w:h="16839" w:code="9"/>
          <w:pgMar w:top="1247" w:right="1418" w:bottom="1418" w:left="1559" w:header="720" w:footer="720" w:gutter="0"/>
          <w:cols w:space="720"/>
          <w:docGrid w:linePitch="360"/>
        </w:sectPr>
      </w:pPr>
    </w:p>
    <w:p w14:paraId="6D589C80" w14:textId="3E338E97" w:rsidR="00C56958" w:rsidRPr="009B783C" w:rsidRDefault="0092798F" w:rsidP="0031172E">
      <w:pPr>
        <w:pStyle w:val="xAppendixLevel1"/>
        <w:ind w:left="2268"/>
        <w:jc w:val="left"/>
      </w:pPr>
      <w:bookmarkStart w:id="774" w:name="_Ref185402337"/>
      <w:bookmarkStart w:id="775" w:name="_Toc189639243"/>
      <w:bookmarkStart w:id="776" w:name="_Toc189772044"/>
      <w:r>
        <w:lastRenderedPageBreak/>
        <w:t>E</w:t>
      </w:r>
      <w:r w:rsidR="008718A9" w:rsidRPr="009B783C">
        <w:t>D</w:t>
      </w:r>
      <w:r w:rsidR="008C18CC" w:rsidRPr="009B783C">
        <w:t xml:space="preserve"> measures</w:t>
      </w:r>
      <w:r w:rsidR="00311DBC" w:rsidRPr="009B783C">
        <w:t xml:space="preserve"> </w:t>
      </w:r>
      <w:r w:rsidR="00283818" w:rsidRPr="009B783C">
        <w:t>for par</w:t>
      </w:r>
      <w:r w:rsidR="007A6ED3" w:rsidRPr="009B783C">
        <w:t xml:space="preserve">tner and other </w:t>
      </w:r>
      <w:r w:rsidR="00974559" w:rsidRPr="009B783C">
        <w:t>public hospitals</w:t>
      </w:r>
      <w:r w:rsidR="00595003" w:rsidRPr="009B783C">
        <w:t xml:space="preserve"> 2020</w:t>
      </w:r>
      <w:r w:rsidR="008718A9" w:rsidRPr="009B783C" w:rsidDel="00B03233">
        <w:t>-</w:t>
      </w:r>
      <w:r w:rsidR="00595003" w:rsidRPr="009B783C">
        <w:t>21 to 2023</w:t>
      </w:r>
      <w:r w:rsidR="00E515ED" w:rsidRPr="009B783C">
        <w:t>-</w:t>
      </w:r>
      <w:r w:rsidR="00595003" w:rsidRPr="009B783C">
        <w:t>24</w:t>
      </w:r>
      <w:bookmarkEnd w:id="774"/>
      <w:bookmarkEnd w:id="775"/>
      <w:bookmarkEnd w:id="776"/>
    </w:p>
    <w:p w14:paraId="16C3EA65" w14:textId="6AE6E015" w:rsidR="00D5745C" w:rsidRPr="009B783C" w:rsidRDefault="00E11D62" w:rsidP="00F82EF6">
      <w:pPr>
        <w:rPr>
          <w:szCs w:val="21"/>
        </w:rPr>
      </w:pPr>
      <w:bookmarkStart w:id="777" w:name="_Ref185344685"/>
      <w:r w:rsidRPr="009B783C">
        <w:rPr>
          <w:szCs w:val="21"/>
        </w:rPr>
        <w:t>P</w:t>
      </w:r>
      <w:r w:rsidR="00D5745C" w:rsidRPr="009B783C">
        <w:rPr>
          <w:szCs w:val="21"/>
        </w:rPr>
        <w:t>ublicly available data</w:t>
      </w:r>
      <w:r w:rsidR="00631AB2" w:rsidRPr="009B783C">
        <w:rPr>
          <w:szCs w:val="21"/>
        </w:rPr>
        <w:t xml:space="preserve"> </w:t>
      </w:r>
      <w:r w:rsidRPr="009B783C">
        <w:rPr>
          <w:szCs w:val="21"/>
        </w:rPr>
        <w:t>was sourced</w:t>
      </w:r>
      <w:r w:rsidR="00631AB2" w:rsidRPr="009B783C">
        <w:rPr>
          <w:szCs w:val="21"/>
        </w:rPr>
        <w:t xml:space="preserve"> from the AIHW</w:t>
      </w:r>
      <w:r w:rsidR="00631AB2" w:rsidRPr="009B783C">
        <w:rPr>
          <w:rStyle w:val="FootnoteReference"/>
          <w:szCs w:val="21"/>
        </w:rPr>
        <w:footnoteReference w:id="106"/>
      </w:r>
      <w:r w:rsidR="00631AB2" w:rsidRPr="009B783C">
        <w:rPr>
          <w:szCs w:val="21"/>
        </w:rPr>
        <w:t xml:space="preserve"> </w:t>
      </w:r>
      <w:r w:rsidR="00D5745C" w:rsidRPr="009B783C">
        <w:rPr>
          <w:szCs w:val="21"/>
        </w:rPr>
        <w:t xml:space="preserve">on ED presentations and </w:t>
      </w:r>
      <w:r w:rsidR="00631AB2" w:rsidRPr="009B783C">
        <w:rPr>
          <w:szCs w:val="21"/>
        </w:rPr>
        <w:t xml:space="preserve">the </w:t>
      </w:r>
      <w:r w:rsidR="00D5745C" w:rsidRPr="009B783C">
        <w:rPr>
          <w:szCs w:val="21"/>
        </w:rPr>
        <w:t>percentage of patients seen on time</w:t>
      </w:r>
      <w:r w:rsidR="007E0260" w:rsidRPr="009B783C">
        <w:rPr>
          <w:rStyle w:val="FootnoteReference"/>
          <w:szCs w:val="21"/>
        </w:rPr>
        <w:footnoteReference w:id="107"/>
      </w:r>
      <w:r w:rsidR="00D5745C" w:rsidRPr="009B783C">
        <w:rPr>
          <w:szCs w:val="21"/>
        </w:rPr>
        <w:t xml:space="preserve"> by hospital for 2020</w:t>
      </w:r>
      <w:r w:rsidR="00E515ED" w:rsidRPr="009B783C">
        <w:rPr>
          <w:szCs w:val="21"/>
        </w:rPr>
        <w:t>-</w:t>
      </w:r>
      <w:r w:rsidR="00D5745C" w:rsidRPr="009B783C">
        <w:rPr>
          <w:szCs w:val="21"/>
        </w:rPr>
        <w:t>21 to 2023</w:t>
      </w:r>
      <w:r w:rsidR="00E515ED" w:rsidRPr="009B783C">
        <w:rPr>
          <w:szCs w:val="21"/>
        </w:rPr>
        <w:t>-</w:t>
      </w:r>
      <w:r w:rsidR="00D5745C" w:rsidRPr="009B783C">
        <w:rPr>
          <w:szCs w:val="21"/>
        </w:rPr>
        <w:t>24. Hospitals were categorised into whether they were a partner hospital for a Medicare UCC, and if so, whether the Medicare UCC was newly established or transitioned from another program</w:t>
      </w:r>
      <w:r w:rsidR="00127A1D" w:rsidRPr="009B783C">
        <w:rPr>
          <w:szCs w:val="21"/>
        </w:rPr>
        <w:t>, as well as</w:t>
      </w:r>
      <w:r w:rsidR="00CD4ABF" w:rsidRPr="009B783C" w:rsidDel="00127A1D">
        <w:rPr>
          <w:szCs w:val="21"/>
        </w:rPr>
        <w:t xml:space="preserve"> </w:t>
      </w:r>
      <w:r w:rsidR="00802430" w:rsidRPr="009B783C">
        <w:rPr>
          <w:szCs w:val="21"/>
        </w:rPr>
        <w:t xml:space="preserve">whether the Medicare UCC was established prior to 31 December 2023 or </w:t>
      </w:r>
      <w:r w:rsidR="00476096" w:rsidRPr="009B783C">
        <w:rPr>
          <w:szCs w:val="21"/>
        </w:rPr>
        <w:t>between July and September 2024</w:t>
      </w:r>
      <w:r w:rsidR="00642E7D" w:rsidRPr="009B783C">
        <w:rPr>
          <w:szCs w:val="21"/>
        </w:rPr>
        <w:t>.</w:t>
      </w:r>
      <w:r w:rsidR="00476096" w:rsidRPr="009B783C">
        <w:rPr>
          <w:szCs w:val="21"/>
        </w:rPr>
        <w:t xml:space="preserve"> </w:t>
      </w:r>
      <w:r w:rsidR="008555B3" w:rsidRPr="009B783C">
        <w:rPr>
          <w:szCs w:val="21"/>
        </w:rPr>
        <w:t>This allowed comparisons to be made between subgroups of hospitals, as shown in the following tables.</w:t>
      </w:r>
    </w:p>
    <w:p w14:paraId="7D1E0085" w14:textId="3A9AD308" w:rsidR="00C10AFA" w:rsidRPr="009B783C" w:rsidRDefault="00C10AFA" w:rsidP="006F7986">
      <w:pPr>
        <w:pStyle w:val="Caption"/>
        <w:rPr>
          <w:szCs w:val="21"/>
        </w:rPr>
      </w:pPr>
      <w:bookmarkStart w:id="778" w:name="_Ref185493581"/>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31</w:t>
      </w:r>
      <w:r w:rsidRPr="009B783C">
        <w:rPr>
          <w:szCs w:val="21"/>
        </w:rPr>
        <w:fldChar w:fldCharType="end"/>
      </w:r>
      <w:bookmarkEnd w:id="777"/>
      <w:bookmarkEnd w:id="778"/>
      <w:r w:rsidRPr="009B783C">
        <w:rPr>
          <w:szCs w:val="21"/>
        </w:rPr>
        <w:t xml:space="preserve"> | Mean number of presentations per ED by triage category: </w:t>
      </w:r>
      <w:r w:rsidR="00D52F32" w:rsidRPr="009B783C">
        <w:rPr>
          <w:rFonts w:asciiTheme="majorHAnsi" w:hAnsiTheme="majorHAnsi" w:cstheme="majorHAnsi"/>
          <w:szCs w:val="21"/>
        </w:rPr>
        <w:t>Partner hospitals for newly established Medicare UCCs</w:t>
      </w:r>
      <w:r w:rsidR="00D10298" w:rsidRPr="009B783C">
        <w:rPr>
          <w:rFonts w:asciiTheme="majorHAnsi" w:hAnsiTheme="majorHAnsi" w:cstheme="majorHAnsi"/>
          <w:szCs w:val="21"/>
        </w:rPr>
        <w:t xml:space="preserve"> </w:t>
      </w:r>
      <w:r w:rsidR="00D52F32" w:rsidRPr="009B783C">
        <w:rPr>
          <w:rFonts w:asciiTheme="majorHAnsi" w:hAnsiTheme="majorHAnsi" w:cstheme="majorHAnsi"/>
          <w:szCs w:val="21"/>
        </w:rPr>
        <w:t>commenced prior to 31 December 2023</w:t>
      </w:r>
      <w:r w:rsidR="00D10298" w:rsidRPr="009B783C">
        <w:rPr>
          <w:rFonts w:asciiTheme="majorHAnsi" w:hAnsiTheme="majorHAnsi" w:cstheme="majorHAnsi"/>
          <w:szCs w:val="21"/>
        </w:rPr>
        <w:t>.</w:t>
      </w:r>
      <w:r w:rsidRPr="009B783C">
        <w:rPr>
          <w:szCs w:val="21"/>
        </w:rPr>
        <w:t xml:space="preserve"> 2020</w:t>
      </w:r>
      <w:r w:rsidR="00E515ED" w:rsidRPr="009B783C">
        <w:rPr>
          <w:szCs w:val="21"/>
        </w:rPr>
        <w:t>-</w:t>
      </w:r>
      <w:r w:rsidRPr="009B783C">
        <w:rPr>
          <w:szCs w:val="21"/>
        </w:rPr>
        <w:t>21 to 2023</w:t>
      </w:r>
      <w:r w:rsidR="00E515ED" w:rsidRPr="009B783C">
        <w:rPr>
          <w:szCs w:val="21"/>
        </w:rPr>
        <w:t>-</w:t>
      </w:r>
      <w:r w:rsidRPr="009B783C">
        <w:rPr>
          <w:szCs w:val="21"/>
        </w:rPr>
        <w:t>24</w:t>
      </w:r>
      <w:r w:rsidR="00D10298" w:rsidRPr="009B783C">
        <w:rPr>
          <w:szCs w:val="21"/>
        </w:rPr>
        <w:t>, y</w:t>
      </w:r>
      <w:r w:rsidR="00A23D3F" w:rsidRPr="009B783C">
        <w:rPr>
          <w:szCs w:val="21"/>
        </w:rPr>
        <w:t xml:space="preserve">ear ended </w:t>
      </w:r>
      <w:r w:rsidR="00D909AD" w:rsidRPr="009B783C">
        <w:rPr>
          <w:szCs w:val="21"/>
        </w:rPr>
        <w:t>30 June for all years</w:t>
      </w:r>
    </w:p>
    <w:tbl>
      <w:tblPr>
        <w:tblW w:w="5000" w:type="pct"/>
        <w:jc w:val="center"/>
        <w:tblLook w:val="0420" w:firstRow="1" w:lastRow="0" w:firstColumn="0" w:lastColumn="0" w:noHBand="0" w:noVBand="1"/>
      </w:tblPr>
      <w:tblGrid>
        <w:gridCol w:w="1134"/>
        <w:gridCol w:w="1277"/>
        <w:gridCol w:w="1666"/>
        <w:gridCol w:w="1666"/>
        <w:gridCol w:w="1666"/>
        <w:gridCol w:w="1666"/>
        <w:gridCol w:w="1602"/>
        <w:gridCol w:w="1602"/>
        <w:gridCol w:w="1602"/>
      </w:tblGrid>
      <w:tr w:rsidR="000B5DCB" w:rsidRPr="009B783C" w14:paraId="05AFC7EF" w14:textId="77777777" w:rsidTr="00594D72">
        <w:trPr>
          <w:tblHeader/>
          <w:jc w:val="center"/>
        </w:trPr>
        <w:tc>
          <w:tcPr>
            <w:tcW w:w="408" w:type="pct"/>
            <w:tcBorders>
              <w:top w:val="single" w:sz="8" w:space="0" w:color="FFFFFF"/>
              <w:left w:val="none" w:sz="0" w:space="0" w:color="000000"/>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4674D03" w14:textId="327D726F" w:rsidR="00BB234D" w:rsidRPr="009B783C" w:rsidRDefault="00BB234D" w:rsidP="00BB234D">
            <w:pPr>
              <w:pStyle w:val="TableNheader"/>
            </w:pPr>
            <w:r w:rsidRPr="009B783C">
              <w:rPr>
                <w:rFonts w:eastAsia="Segoe UI Semibold"/>
              </w:rPr>
              <w:t>Triage category</w:t>
            </w:r>
          </w:p>
        </w:tc>
        <w:tc>
          <w:tcPr>
            <w:tcW w:w="46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A02111C" w14:textId="119BDF6C" w:rsidR="00BB234D" w:rsidRPr="009B783C" w:rsidRDefault="00BB234D" w:rsidP="00786482">
            <w:pPr>
              <w:pStyle w:val="TableNheader"/>
            </w:pPr>
            <w:r w:rsidRPr="009B783C">
              <w:rPr>
                <w:rFonts w:eastAsia="Segoe UI Semibold"/>
              </w:rPr>
              <w:t>Hospitals (n)</w:t>
            </w:r>
          </w:p>
        </w:tc>
        <w:tc>
          <w:tcPr>
            <w:tcW w:w="60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C570850" w14:textId="68CEC40E" w:rsidR="00BB234D" w:rsidRPr="009B783C" w:rsidRDefault="00BB234D" w:rsidP="00786482">
            <w:pPr>
              <w:pStyle w:val="TableNheader"/>
            </w:pPr>
            <w:r w:rsidRPr="009B783C">
              <w:rPr>
                <w:rFonts w:eastAsia="Segoe UI Semibold"/>
              </w:rPr>
              <w:t>Presentations (n) 2021</w:t>
            </w:r>
          </w:p>
        </w:tc>
        <w:tc>
          <w:tcPr>
            <w:tcW w:w="60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1E68DD4" w14:textId="093F9F4B" w:rsidR="00BB234D" w:rsidRPr="009B783C" w:rsidRDefault="00BB234D" w:rsidP="00786482">
            <w:pPr>
              <w:pStyle w:val="TableNheader"/>
            </w:pPr>
            <w:r w:rsidRPr="009B783C">
              <w:rPr>
                <w:rFonts w:eastAsia="Segoe UI Semibold"/>
              </w:rPr>
              <w:t>Presentations (n) 2022</w:t>
            </w:r>
          </w:p>
        </w:tc>
        <w:tc>
          <w:tcPr>
            <w:tcW w:w="60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4DBAA4D" w14:textId="08B0FF52" w:rsidR="00BB234D" w:rsidRPr="009B783C" w:rsidRDefault="00BB234D" w:rsidP="00786482">
            <w:pPr>
              <w:pStyle w:val="TableNheader"/>
            </w:pPr>
            <w:r w:rsidRPr="009B783C">
              <w:rPr>
                <w:rFonts w:eastAsia="Segoe UI Semibold"/>
              </w:rPr>
              <w:t>Presentations (n) 2023</w:t>
            </w:r>
          </w:p>
        </w:tc>
        <w:tc>
          <w:tcPr>
            <w:tcW w:w="600"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7A210CDC" w14:textId="251A9ACA" w:rsidR="00BB234D" w:rsidRPr="009B783C" w:rsidRDefault="00BB234D" w:rsidP="00786482">
            <w:pPr>
              <w:pStyle w:val="TableNheader"/>
            </w:pPr>
            <w:r w:rsidRPr="009B783C">
              <w:rPr>
                <w:rFonts w:eastAsia="Segoe UI Semibold"/>
              </w:rPr>
              <w:t>Presentations (n) 2024</w:t>
            </w:r>
          </w:p>
        </w:tc>
        <w:tc>
          <w:tcPr>
            <w:tcW w:w="577"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60F7504B" w14:textId="5C09E0CE" w:rsidR="00BB234D" w:rsidRPr="009B783C" w:rsidRDefault="00BB234D" w:rsidP="00786482">
            <w:pPr>
              <w:pStyle w:val="TableNheader"/>
            </w:pPr>
            <w:r w:rsidRPr="009B783C">
              <w:rPr>
                <w:rFonts w:eastAsia="Segoe UI Semibold"/>
              </w:rPr>
              <w:t>Annual change 2022</w:t>
            </w:r>
          </w:p>
        </w:tc>
        <w:tc>
          <w:tcPr>
            <w:tcW w:w="577"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AD02C09" w14:textId="45B56C55" w:rsidR="00BB234D" w:rsidRPr="009B783C" w:rsidRDefault="00BB234D" w:rsidP="00786482">
            <w:pPr>
              <w:pStyle w:val="TableNheader"/>
            </w:pPr>
            <w:r w:rsidRPr="009B783C">
              <w:rPr>
                <w:rFonts w:eastAsia="Segoe UI Semibold"/>
              </w:rPr>
              <w:t>Annual change 2023</w:t>
            </w:r>
          </w:p>
        </w:tc>
        <w:tc>
          <w:tcPr>
            <w:tcW w:w="577"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6F360020" w14:textId="79DD9BF8" w:rsidR="00BB234D" w:rsidRPr="009B783C" w:rsidRDefault="00BB234D" w:rsidP="00786482">
            <w:pPr>
              <w:pStyle w:val="TableNheader"/>
            </w:pPr>
            <w:r w:rsidRPr="009B783C">
              <w:rPr>
                <w:rFonts w:eastAsia="Segoe UI Semibold"/>
              </w:rPr>
              <w:t>Annual change 2024</w:t>
            </w:r>
          </w:p>
        </w:tc>
      </w:tr>
      <w:tr w:rsidR="000B5DCB" w:rsidRPr="009B783C" w14:paraId="2A853858" w14:textId="77777777" w:rsidTr="00594D72">
        <w:trPr>
          <w:jc w:val="center"/>
        </w:trPr>
        <w:tc>
          <w:tcPr>
            <w:tcW w:w="40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C5BF616" w14:textId="77777777" w:rsidR="001B1A55" w:rsidRPr="009B783C" w:rsidRDefault="001B1A55" w:rsidP="003E79FA">
            <w:pPr>
              <w:pStyle w:val="TableNText"/>
              <w:rPr>
                <w:sz w:val="21"/>
                <w:szCs w:val="21"/>
              </w:rPr>
            </w:pPr>
            <w:r w:rsidRPr="009B783C">
              <w:rPr>
                <w:sz w:val="21"/>
                <w:szCs w:val="21"/>
              </w:rPr>
              <w:t>Triage 4</w:t>
            </w:r>
          </w:p>
        </w:tc>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EFC93CA" w14:textId="77777777" w:rsidR="001B1A55" w:rsidRPr="009B783C" w:rsidRDefault="001B1A55" w:rsidP="00AB7572">
            <w:pPr>
              <w:pStyle w:val="TableNText"/>
              <w:jc w:val="center"/>
              <w:rPr>
                <w:sz w:val="21"/>
                <w:szCs w:val="21"/>
              </w:rPr>
            </w:pPr>
            <w:r w:rsidRPr="009B783C">
              <w:rPr>
                <w:sz w:val="21"/>
                <w:szCs w:val="21"/>
              </w:rPr>
              <w:t>43</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ABE9881" w14:textId="77777777" w:rsidR="001B1A55" w:rsidRPr="009B783C" w:rsidRDefault="001B1A55" w:rsidP="00AB7572">
            <w:pPr>
              <w:pStyle w:val="TableNText"/>
              <w:jc w:val="center"/>
              <w:rPr>
                <w:sz w:val="21"/>
                <w:szCs w:val="21"/>
              </w:rPr>
            </w:pPr>
            <w:r w:rsidRPr="009B783C">
              <w:rPr>
                <w:sz w:val="21"/>
                <w:szCs w:val="21"/>
              </w:rPr>
              <w:t>23,064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CED6AE6" w14:textId="77777777" w:rsidR="001B1A55" w:rsidRPr="009B783C" w:rsidRDefault="001B1A55" w:rsidP="00AB7572">
            <w:pPr>
              <w:pStyle w:val="TableNText"/>
              <w:jc w:val="center"/>
              <w:rPr>
                <w:sz w:val="21"/>
                <w:szCs w:val="21"/>
              </w:rPr>
            </w:pPr>
            <w:r w:rsidRPr="009B783C">
              <w:rPr>
                <w:sz w:val="21"/>
                <w:szCs w:val="21"/>
              </w:rPr>
              <w:t>21,692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B2AD1D2" w14:textId="77777777" w:rsidR="001B1A55" w:rsidRPr="009B783C" w:rsidRDefault="001B1A55" w:rsidP="00AB7572">
            <w:pPr>
              <w:pStyle w:val="TableNText"/>
              <w:jc w:val="center"/>
              <w:rPr>
                <w:sz w:val="21"/>
                <w:szCs w:val="21"/>
              </w:rPr>
            </w:pPr>
            <w:r w:rsidRPr="009B783C">
              <w:rPr>
                <w:sz w:val="21"/>
                <w:szCs w:val="21"/>
              </w:rPr>
              <w:t>20,391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4C03E15" w14:textId="77777777" w:rsidR="001B1A55" w:rsidRPr="009B783C" w:rsidRDefault="001B1A55" w:rsidP="00AB7572">
            <w:pPr>
              <w:pStyle w:val="TableNText"/>
              <w:jc w:val="center"/>
              <w:rPr>
                <w:sz w:val="21"/>
                <w:szCs w:val="21"/>
              </w:rPr>
            </w:pPr>
            <w:r w:rsidRPr="009B783C">
              <w:rPr>
                <w:sz w:val="21"/>
                <w:szCs w:val="21"/>
              </w:rPr>
              <w:t>19,920</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E1A6878" w14:textId="77777777" w:rsidR="001B1A55" w:rsidRPr="009B783C" w:rsidRDefault="001B1A55" w:rsidP="00AB7572">
            <w:pPr>
              <w:pStyle w:val="TableNText"/>
              <w:jc w:val="center"/>
              <w:rPr>
                <w:sz w:val="21"/>
                <w:szCs w:val="21"/>
              </w:rPr>
            </w:pPr>
            <w:r w:rsidRPr="009B783C">
              <w:rPr>
                <w:sz w:val="21"/>
                <w:szCs w:val="21"/>
              </w:rPr>
              <w:t>-5.9%</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626B050" w14:textId="77777777" w:rsidR="001B1A55" w:rsidRPr="009B783C" w:rsidRDefault="001B1A55" w:rsidP="00AB7572">
            <w:pPr>
              <w:pStyle w:val="TableNText"/>
              <w:jc w:val="center"/>
              <w:rPr>
                <w:sz w:val="21"/>
                <w:szCs w:val="21"/>
              </w:rPr>
            </w:pPr>
            <w:r w:rsidRPr="009B783C">
              <w:rPr>
                <w:sz w:val="21"/>
                <w:szCs w:val="21"/>
              </w:rPr>
              <w:t>-6.0%</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546DC7C" w14:textId="77777777" w:rsidR="001B1A55" w:rsidRPr="009B783C" w:rsidRDefault="001B1A55" w:rsidP="00AB7572">
            <w:pPr>
              <w:pStyle w:val="TableNText"/>
              <w:jc w:val="center"/>
              <w:rPr>
                <w:sz w:val="21"/>
                <w:szCs w:val="21"/>
              </w:rPr>
            </w:pPr>
            <w:r w:rsidRPr="009B783C">
              <w:rPr>
                <w:sz w:val="21"/>
                <w:szCs w:val="21"/>
              </w:rPr>
              <w:t>-2.3%</w:t>
            </w:r>
          </w:p>
        </w:tc>
      </w:tr>
      <w:tr w:rsidR="000B5DCB" w:rsidRPr="009B783C" w14:paraId="17B84900" w14:textId="77777777" w:rsidTr="00594D72">
        <w:trPr>
          <w:jc w:val="center"/>
        </w:trPr>
        <w:tc>
          <w:tcPr>
            <w:tcW w:w="40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3CF63C1" w14:textId="77777777" w:rsidR="001B1A55" w:rsidRPr="009B783C" w:rsidRDefault="001B1A55" w:rsidP="003E79FA">
            <w:pPr>
              <w:pStyle w:val="TableNText"/>
              <w:rPr>
                <w:sz w:val="21"/>
                <w:szCs w:val="21"/>
              </w:rPr>
            </w:pPr>
            <w:r w:rsidRPr="009B783C">
              <w:rPr>
                <w:sz w:val="21"/>
                <w:szCs w:val="21"/>
              </w:rPr>
              <w:t>Triage 5</w:t>
            </w:r>
          </w:p>
        </w:tc>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632D082" w14:textId="77777777" w:rsidR="001B1A55" w:rsidRPr="009B783C" w:rsidRDefault="001B1A55" w:rsidP="00AB7572">
            <w:pPr>
              <w:pStyle w:val="TableNText"/>
              <w:jc w:val="center"/>
              <w:rPr>
                <w:sz w:val="21"/>
                <w:szCs w:val="21"/>
              </w:rPr>
            </w:pPr>
            <w:r w:rsidRPr="009B783C">
              <w:rPr>
                <w:sz w:val="21"/>
                <w:szCs w:val="21"/>
              </w:rPr>
              <w:t>43</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675EC8E" w14:textId="77777777" w:rsidR="001B1A55" w:rsidRPr="009B783C" w:rsidRDefault="001B1A55" w:rsidP="00AB7572">
            <w:pPr>
              <w:pStyle w:val="TableNText"/>
              <w:jc w:val="center"/>
              <w:rPr>
                <w:sz w:val="21"/>
                <w:szCs w:val="21"/>
              </w:rPr>
            </w:pPr>
            <w:r w:rsidRPr="009B783C">
              <w:rPr>
                <w:sz w:val="21"/>
                <w:szCs w:val="21"/>
              </w:rPr>
              <w:t>4,928</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50101EB" w14:textId="77777777" w:rsidR="001B1A55" w:rsidRPr="009B783C" w:rsidRDefault="001B1A55" w:rsidP="00AB7572">
            <w:pPr>
              <w:pStyle w:val="TableNText"/>
              <w:jc w:val="center"/>
              <w:rPr>
                <w:sz w:val="21"/>
                <w:szCs w:val="21"/>
              </w:rPr>
            </w:pPr>
            <w:r w:rsidRPr="009B783C">
              <w:rPr>
                <w:sz w:val="21"/>
                <w:szCs w:val="21"/>
              </w:rPr>
              <w:t>4,207</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2B35170" w14:textId="77777777" w:rsidR="001B1A55" w:rsidRPr="009B783C" w:rsidRDefault="001B1A55" w:rsidP="00AB7572">
            <w:pPr>
              <w:pStyle w:val="TableNText"/>
              <w:jc w:val="center"/>
              <w:rPr>
                <w:sz w:val="21"/>
                <w:szCs w:val="21"/>
              </w:rPr>
            </w:pPr>
            <w:r w:rsidRPr="009B783C">
              <w:rPr>
                <w:sz w:val="21"/>
                <w:szCs w:val="21"/>
              </w:rPr>
              <w:t>3,102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44810F4" w14:textId="77777777" w:rsidR="001B1A55" w:rsidRPr="009B783C" w:rsidRDefault="001B1A55" w:rsidP="00AB7572">
            <w:pPr>
              <w:pStyle w:val="TableNText"/>
              <w:jc w:val="center"/>
              <w:rPr>
                <w:sz w:val="21"/>
                <w:szCs w:val="21"/>
              </w:rPr>
            </w:pPr>
            <w:r w:rsidRPr="009B783C">
              <w:rPr>
                <w:sz w:val="21"/>
                <w:szCs w:val="21"/>
              </w:rPr>
              <w:t>2,999</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BBF1D41" w14:textId="77777777" w:rsidR="001B1A55" w:rsidRPr="009B783C" w:rsidRDefault="001B1A55" w:rsidP="00AB7572">
            <w:pPr>
              <w:pStyle w:val="TableNText"/>
              <w:jc w:val="center"/>
              <w:rPr>
                <w:sz w:val="21"/>
                <w:szCs w:val="21"/>
              </w:rPr>
            </w:pPr>
            <w:r w:rsidRPr="009B783C">
              <w:rPr>
                <w:sz w:val="21"/>
                <w:szCs w:val="21"/>
              </w:rPr>
              <w:t>-14.6%</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DD244CA" w14:textId="77777777" w:rsidR="001B1A55" w:rsidRPr="009B783C" w:rsidRDefault="001B1A55" w:rsidP="00AB7572">
            <w:pPr>
              <w:pStyle w:val="TableNText"/>
              <w:jc w:val="center"/>
              <w:rPr>
                <w:sz w:val="21"/>
                <w:szCs w:val="21"/>
              </w:rPr>
            </w:pPr>
            <w:r w:rsidRPr="009B783C">
              <w:rPr>
                <w:sz w:val="21"/>
                <w:szCs w:val="21"/>
              </w:rPr>
              <w:t>-26.3%</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6A5F517" w14:textId="77777777" w:rsidR="001B1A55" w:rsidRPr="009B783C" w:rsidRDefault="001B1A55" w:rsidP="00AB7572">
            <w:pPr>
              <w:pStyle w:val="TableNText"/>
              <w:jc w:val="center"/>
              <w:rPr>
                <w:sz w:val="21"/>
                <w:szCs w:val="21"/>
              </w:rPr>
            </w:pPr>
            <w:r w:rsidRPr="009B783C">
              <w:rPr>
                <w:sz w:val="21"/>
                <w:szCs w:val="21"/>
              </w:rPr>
              <w:t>-3.3%</w:t>
            </w:r>
          </w:p>
        </w:tc>
      </w:tr>
    </w:tbl>
    <w:p w14:paraId="0C725E0D" w14:textId="47D2E6DD" w:rsidR="00C57FDE" w:rsidRPr="009B783C" w:rsidRDefault="00C57FDE" w:rsidP="00C57FDE">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32</w:t>
      </w:r>
      <w:r w:rsidRPr="009B783C">
        <w:rPr>
          <w:szCs w:val="21"/>
        </w:rPr>
        <w:fldChar w:fldCharType="end"/>
      </w:r>
      <w:r w:rsidRPr="009B783C">
        <w:rPr>
          <w:szCs w:val="21"/>
        </w:rPr>
        <w:t xml:space="preserve"> | Mean number of presentations per ED by triage category: Partner hospitals for Medicare UCC transitioned from prior arrangements, commenced prior to 31 December 2023. 2020-21 to 2023-24, year ended 30 June for all years</w:t>
      </w:r>
    </w:p>
    <w:tbl>
      <w:tblPr>
        <w:tblW w:w="4996" w:type="pct"/>
        <w:jc w:val="center"/>
        <w:tblLook w:val="0420" w:firstRow="1" w:lastRow="0" w:firstColumn="0" w:lastColumn="0" w:noHBand="0" w:noVBand="1"/>
      </w:tblPr>
      <w:tblGrid>
        <w:gridCol w:w="1134"/>
        <w:gridCol w:w="1275"/>
        <w:gridCol w:w="1662"/>
        <w:gridCol w:w="1662"/>
        <w:gridCol w:w="1662"/>
        <w:gridCol w:w="1662"/>
        <w:gridCol w:w="1606"/>
        <w:gridCol w:w="1606"/>
        <w:gridCol w:w="1601"/>
      </w:tblGrid>
      <w:tr w:rsidR="00EB5C16" w:rsidRPr="009B783C" w14:paraId="084DBCAC" w14:textId="77777777" w:rsidTr="00BC7584">
        <w:trPr>
          <w:tblHeader/>
          <w:jc w:val="center"/>
        </w:trPr>
        <w:tc>
          <w:tcPr>
            <w:tcW w:w="40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209F1ADA" w14:textId="52C41326" w:rsidR="00D10298" w:rsidRPr="009B783C" w:rsidRDefault="00D10298" w:rsidP="00107854">
            <w:pPr>
              <w:pStyle w:val="TableNheader"/>
              <w:rPr>
                <w:sz w:val="21"/>
                <w:szCs w:val="21"/>
              </w:rPr>
            </w:pPr>
            <w:r w:rsidRPr="009B783C">
              <w:rPr>
                <w:rFonts w:eastAsia="Segoe UI Semibold"/>
              </w:rPr>
              <w:t>Triage category</w:t>
            </w:r>
          </w:p>
        </w:tc>
        <w:tc>
          <w:tcPr>
            <w:tcW w:w="46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12D5E9DA" w14:textId="471F77E3" w:rsidR="00D10298" w:rsidRPr="009B783C" w:rsidRDefault="00D10298" w:rsidP="00107854">
            <w:pPr>
              <w:pStyle w:val="TableNheader"/>
              <w:rPr>
                <w:sz w:val="21"/>
                <w:szCs w:val="21"/>
              </w:rPr>
            </w:pPr>
            <w:r w:rsidRPr="009B783C">
              <w:rPr>
                <w:rFonts w:eastAsia="Segoe UI Semibold"/>
              </w:rPr>
              <w:t>Hospitals (n)</w:t>
            </w:r>
          </w:p>
        </w:tc>
        <w:tc>
          <w:tcPr>
            <w:tcW w:w="59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378FCB4" w14:textId="1D472C90" w:rsidR="00D10298" w:rsidRPr="009B783C" w:rsidRDefault="00D10298" w:rsidP="00107854">
            <w:pPr>
              <w:pStyle w:val="TableNheader"/>
              <w:rPr>
                <w:sz w:val="21"/>
                <w:szCs w:val="21"/>
              </w:rPr>
            </w:pPr>
            <w:r w:rsidRPr="009B783C">
              <w:rPr>
                <w:rFonts w:eastAsia="Segoe UI Semibold"/>
              </w:rPr>
              <w:t>Presentations (n) 2021</w:t>
            </w:r>
          </w:p>
        </w:tc>
        <w:tc>
          <w:tcPr>
            <w:tcW w:w="59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3835B2F" w14:textId="4E8555C5" w:rsidR="00D10298" w:rsidRPr="009B783C" w:rsidRDefault="00D10298" w:rsidP="00107854">
            <w:pPr>
              <w:pStyle w:val="TableNheader"/>
              <w:rPr>
                <w:sz w:val="21"/>
                <w:szCs w:val="21"/>
              </w:rPr>
            </w:pPr>
            <w:r w:rsidRPr="009B783C">
              <w:rPr>
                <w:rFonts w:eastAsia="Segoe UI Semibold"/>
              </w:rPr>
              <w:t>Presentations (n) 2022</w:t>
            </w:r>
          </w:p>
        </w:tc>
        <w:tc>
          <w:tcPr>
            <w:tcW w:w="59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214DF317" w14:textId="6C384F04" w:rsidR="00D10298" w:rsidRPr="009B783C" w:rsidRDefault="00D10298" w:rsidP="00107854">
            <w:pPr>
              <w:pStyle w:val="TableNheader"/>
              <w:rPr>
                <w:sz w:val="21"/>
                <w:szCs w:val="21"/>
              </w:rPr>
            </w:pPr>
            <w:r w:rsidRPr="009B783C">
              <w:rPr>
                <w:rFonts w:eastAsia="Segoe UI Semibold"/>
              </w:rPr>
              <w:t>Presentations (n) 2023</w:t>
            </w:r>
          </w:p>
        </w:tc>
        <w:tc>
          <w:tcPr>
            <w:tcW w:w="59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6738B1A" w14:textId="473C2E3C" w:rsidR="00D10298" w:rsidRPr="009B783C" w:rsidRDefault="00D10298" w:rsidP="00107854">
            <w:pPr>
              <w:pStyle w:val="TableNheader"/>
              <w:rPr>
                <w:sz w:val="21"/>
                <w:szCs w:val="21"/>
              </w:rPr>
            </w:pPr>
            <w:r w:rsidRPr="009B783C">
              <w:rPr>
                <w:rFonts w:eastAsia="Segoe UI Semibold"/>
              </w:rPr>
              <w:t>Presentations (n) 2024</w:t>
            </w:r>
          </w:p>
        </w:tc>
        <w:tc>
          <w:tcPr>
            <w:tcW w:w="57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59AC44CD" w14:textId="6AC68F48" w:rsidR="00D10298" w:rsidRPr="009B783C" w:rsidRDefault="00D10298" w:rsidP="00107854">
            <w:pPr>
              <w:pStyle w:val="TableNheader"/>
              <w:rPr>
                <w:sz w:val="21"/>
                <w:szCs w:val="21"/>
              </w:rPr>
            </w:pPr>
            <w:r w:rsidRPr="009B783C">
              <w:rPr>
                <w:rFonts w:eastAsia="Segoe UI Semibold"/>
              </w:rPr>
              <w:t>Annual change 2022</w:t>
            </w:r>
          </w:p>
        </w:tc>
        <w:tc>
          <w:tcPr>
            <w:tcW w:w="57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0D85CF1" w14:textId="5E73B50A" w:rsidR="00D10298" w:rsidRPr="009B783C" w:rsidRDefault="00D10298" w:rsidP="00107854">
            <w:pPr>
              <w:pStyle w:val="TableNheader"/>
              <w:rPr>
                <w:sz w:val="21"/>
                <w:szCs w:val="21"/>
              </w:rPr>
            </w:pPr>
            <w:r w:rsidRPr="009B783C">
              <w:rPr>
                <w:rFonts w:eastAsia="Segoe UI Semibold"/>
              </w:rPr>
              <w:t>Annual change 2023</w:t>
            </w:r>
          </w:p>
        </w:tc>
        <w:tc>
          <w:tcPr>
            <w:tcW w:w="57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77255AE" w14:textId="17F53274" w:rsidR="00D10298" w:rsidRPr="009B783C" w:rsidRDefault="00D10298" w:rsidP="00107854">
            <w:pPr>
              <w:pStyle w:val="TableNheader"/>
              <w:rPr>
                <w:sz w:val="21"/>
                <w:szCs w:val="21"/>
              </w:rPr>
            </w:pPr>
            <w:r w:rsidRPr="009B783C">
              <w:rPr>
                <w:rFonts w:eastAsia="Segoe UI Semibold"/>
              </w:rPr>
              <w:t>Annual change 2024</w:t>
            </w:r>
          </w:p>
        </w:tc>
      </w:tr>
      <w:tr w:rsidR="00EB5C16" w:rsidRPr="009B783C" w14:paraId="4AD17CD4" w14:textId="77777777" w:rsidTr="00EB5C16">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89A423A" w14:textId="77777777" w:rsidR="001B1A55" w:rsidRPr="009B783C" w:rsidRDefault="001B1A55" w:rsidP="003E79FA">
            <w:pPr>
              <w:pStyle w:val="TableNText"/>
              <w:rPr>
                <w:sz w:val="21"/>
                <w:szCs w:val="21"/>
              </w:rPr>
            </w:pPr>
            <w:r w:rsidRPr="009B783C">
              <w:rPr>
                <w:sz w:val="21"/>
                <w:szCs w:val="21"/>
              </w:rPr>
              <w:t>Triage 4</w:t>
            </w:r>
          </w:p>
        </w:tc>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0EB55DB" w14:textId="77777777" w:rsidR="001B1A55" w:rsidRPr="009B783C" w:rsidRDefault="001B1A55" w:rsidP="00AB7572">
            <w:pPr>
              <w:pStyle w:val="TableNText"/>
              <w:jc w:val="center"/>
              <w:rPr>
                <w:sz w:val="21"/>
                <w:szCs w:val="21"/>
              </w:rPr>
            </w:pPr>
            <w:r w:rsidRPr="009B783C">
              <w:rPr>
                <w:sz w:val="21"/>
                <w:szCs w:val="21"/>
              </w:rPr>
              <w:t>12</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F498188" w14:textId="77777777" w:rsidR="001B1A55" w:rsidRPr="009B783C" w:rsidRDefault="001B1A55" w:rsidP="00AB7572">
            <w:pPr>
              <w:pStyle w:val="TableNText"/>
              <w:jc w:val="center"/>
              <w:rPr>
                <w:sz w:val="21"/>
                <w:szCs w:val="21"/>
              </w:rPr>
            </w:pPr>
            <w:r w:rsidRPr="009B783C">
              <w:rPr>
                <w:sz w:val="21"/>
                <w:szCs w:val="21"/>
              </w:rPr>
              <w:t>22,596</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1FB297B" w14:textId="77777777" w:rsidR="001B1A55" w:rsidRPr="009B783C" w:rsidRDefault="001B1A55" w:rsidP="00AB7572">
            <w:pPr>
              <w:pStyle w:val="TableNText"/>
              <w:jc w:val="center"/>
              <w:rPr>
                <w:sz w:val="21"/>
                <w:szCs w:val="21"/>
              </w:rPr>
            </w:pPr>
            <w:r w:rsidRPr="009B783C">
              <w:rPr>
                <w:sz w:val="21"/>
                <w:szCs w:val="21"/>
              </w:rPr>
              <w:t>21,824</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B731CE3" w14:textId="77777777" w:rsidR="001B1A55" w:rsidRPr="009B783C" w:rsidRDefault="001B1A55" w:rsidP="00AB7572">
            <w:pPr>
              <w:pStyle w:val="TableNText"/>
              <w:jc w:val="center"/>
              <w:rPr>
                <w:sz w:val="21"/>
                <w:szCs w:val="21"/>
              </w:rPr>
            </w:pPr>
            <w:r w:rsidRPr="009B783C">
              <w:rPr>
                <w:sz w:val="21"/>
                <w:szCs w:val="21"/>
              </w:rPr>
              <w:t>20,891</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A281C0F" w14:textId="77777777" w:rsidR="001B1A55" w:rsidRPr="009B783C" w:rsidRDefault="001B1A55" w:rsidP="00AB7572">
            <w:pPr>
              <w:pStyle w:val="TableNText"/>
              <w:jc w:val="center"/>
              <w:rPr>
                <w:sz w:val="21"/>
                <w:szCs w:val="21"/>
              </w:rPr>
            </w:pPr>
            <w:r w:rsidRPr="009B783C">
              <w:rPr>
                <w:sz w:val="21"/>
                <w:szCs w:val="21"/>
              </w:rPr>
              <w:t>21,042</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FC9655C" w14:textId="77777777" w:rsidR="001B1A55" w:rsidRPr="009B783C" w:rsidRDefault="001B1A55" w:rsidP="00AB7572">
            <w:pPr>
              <w:pStyle w:val="TableNText"/>
              <w:jc w:val="center"/>
              <w:rPr>
                <w:sz w:val="21"/>
                <w:szCs w:val="21"/>
              </w:rPr>
            </w:pPr>
            <w:r w:rsidRPr="009B783C">
              <w:rPr>
                <w:sz w:val="21"/>
                <w:szCs w:val="21"/>
              </w:rPr>
              <w:t>-3.4%</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C424235" w14:textId="77777777" w:rsidR="001B1A55" w:rsidRPr="009B783C" w:rsidRDefault="001B1A55" w:rsidP="00AB7572">
            <w:pPr>
              <w:pStyle w:val="TableNText"/>
              <w:jc w:val="center"/>
              <w:rPr>
                <w:sz w:val="21"/>
                <w:szCs w:val="21"/>
              </w:rPr>
            </w:pPr>
            <w:r w:rsidRPr="009B783C">
              <w:rPr>
                <w:sz w:val="21"/>
                <w:szCs w:val="21"/>
              </w:rPr>
              <w:t>-4.3%</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4F29F2D" w14:textId="77777777" w:rsidR="001B1A55" w:rsidRPr="009B783C" w:rsidRDefault="001B1A55" w:rsidP="00AB7572">
            <w:pPr>
              <w:pStyle w:val="TableNText"/>
              <w:jc w:val="center"/>
              <w:rPr>
                <w:sz w:val="21"/>
                <w:szCs w:val="21"/>
              </w:rPr>
            </w:pPr>
            <w:r w:rsidRPr="009B783C">
              <w:rPr>
                <w:sz w:val="21"/>
                <w:szCs w:val="21"/>
              </w:rPr>
              <w:t>0.7%</w:t>
            </w:r>
          </w:p>
        </w:tc>
      </w:tr>
      <w:tr w:rsidR="00EB5C16" w:rsidRPr="009B783C" w14:paraId="7B9F5D47" w14:textId="77777777" w:rsidTr="00EB5C16">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1AEB80A" w14:textId="77777777" w:rsidR="001B1A55" w:rsidRPr="009B783C" w:rsidRDefault="001B1A55" w:rsidP="003E79FA">
            <w:pPr>
              <w:pStyle w:val="TableNText"/>
              <w:rPr>
                <w:sz w:val="21"/>
                <w:szCs w:val="21"/>
              </w:rPr>
            </w:pPr>
            <w:r w:rsidRPr="009B783C">
              <w:rPr>
                <w:sz w:val="21"/>
                <w:szCs w:val="21"/>
              </w:rPr>
              <w:lastRenderedPageBreak/>
              <w:t>Triage 5</w:t>
            </w:r>
          </w:p>
        </w:tc>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6D74E79" w14:textId="77777777" w:rsidR="001B1A55" w:rsidRPr="009B783C" w:rsidRDefault="001B1A55" w:rsidP="00AB7572">
            <w:pPr>
              <w:pStyle w:val="TableNText"/>
              <w:jc w:val="center"/>
              <w:rPr>
                <w:sz w:val="21"/>
                <w:szCs w:val="21"/>
              </w:rPr>
            </w:pPr>
            <w:r w:rsidRPr="009B783C">
              <w:rPr>
                <w:sz w:val="21"/>
                <w:szCs w:val="21"/>
              </w:rPr>
              <w:t>12</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CEA2E95" w14:textId="77777777" w:rsidR="001B1A55" w:rsidRPr="009B783C" w:rsidRDefault="001B1A55" w:rsidP="00AB7572">
            <w:pPr>
              <w:pStyle w:val="TableNText"/>
              <w:jc w:val="center"/>
              <w:rPr>
                <w:sz w:val="21"/>
                <w:szCs w:val="21"/>
              </w:rPr>
            </w:pPr>
            <w:r w:rsidRPr="009B783C">
              <w:rPr>
                <w:sz w:val="21"/>
                <w:szCs w:val="21"/>
              </w:rPr>
              <w:t>4,422</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F09CD91" w14:textId="77777777" w:rsidR="001B1A55" w:rsidRPr="009B783C" w:rsidRDefault="001B1A55" w:rsidP="00AB7572">
            <w:pPr>
              <w:pStyle w:val="TableNText"/>
              <w:jc w:val="center"/>
              <w:rPr>
                <w:sz w:val="21"/>
                <w:szCs w:val="21"/>
              </w:rPr>
            </w:pPr>
            <w:r w:rsidRPr="009B783C">
              <w:rPr>
                <w:sz w:val="21"/>
                <w:szCs w:val="21"/>
              </w:rPr>
              <w:t>4,152</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61FF970" w14:textId="77777777" w:rsidR="001B1A55" w:rsidRPr="009B783C" w:rsidRDefault="001B1A55" w:rsidP="00AB7572">
            <w:pPr>
              <w:pStyle w:val="TableNText"/>
              <w:jc w:val="center"/>
              <w:rPr>
                <w:sz w:val="21"/>
                <w:szCs w:val="21"/>
              </w:rPr>
            </w:pPr>
            <w:r w:rsidRPr="009B783C">
              <w:rPr>
                <w:sz w:val="21"/>
                <w:szCs w:val="21"/>
              </w:rPr>
              <w:t>3,763</w:t>
            </w:r>
          </w:p>
        </w:tc>
        <w:tc>
          <w:tcPr>
            <w:tcW w:w="59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3B0F54A" w14:textId="77777777" w:rsidR="001B1A55" w:rsidRPr="009B783C" w:rsidRDefault="001B1A55" w:rsidP="00AB7572">
            <w:pPr>
              <w:pStyle w:val="TableNText"/>
              <w:jc w:val="center"/>
              <w:rPr>
                <w:sz w:val="21"/>
                <w:szCs w:val="21"/>
              </w:rPr>
            </w:pPr>
            <w:r w:rsidRPr="009B783C">
              <w:rPr>
                <w:sz w:val="21"/>
                <w:szCs w:val="21"/>
              </w:rPr>
              <w:t>3,452</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6BEC2D2" w14:textId="77777777" w:rsidR="001B1A55" w:rsidRPr="009B783C" w:rsidRDefault="001B1A55" w:rsidP="00AB7572">
            <w:pPr>
              <w:pStyle w:val="TableNText"/>
              <w:jc w:val="center"/>
              <w:rPr>
                <w:sz w:val="21"/>
                <w:szCs w:val="21"/>
              </w:rPr>
            </w:pPr>
            <w:r w:rsidRPr="009B783C">
              <w:rPr>
                <w:sz w:val="21"/>
                <w:szCs w:val="21"/>
              </w:rPr>
              <w:t>-6.1%</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F44A8D6" w14:textId="77777777" w:rsidR="001B1A55" w:rsidRPr="009B783C" w:rsidRDefault="001B1A55" w:rsidP="00AB7572">
            <w:pPr>
              <w:pStyle w:val="TableNText"/>
              <w:jc w:val="center"/>
              <w:rPr>
                <w:sz w:val="21"/>
                <w:szCs w:val="21"/>
              </w:rPr>
            </w:pPr>
            <w:r w:rsidRPr="009B783C">
              <w:rPr>
                <w:sz w:val="21"/>
                <w:szCs w:val="21"/>
              </w:rPr>
              <w:t>-9.4%</w:t>
            </w:r>
          </w:p>
        </w:tc>
        <w:tc>
          <w:tcPr>
            <w:tcW w:w="57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80DFC92" w14:textId="77777777" w:rsidR="001B1A55" w:rsidRPr="009B783C" w:rsidRDefault="001B1A55" w:rsidP="00AB7572">
            <w:pPr>
              <w:pStyle w:val="TableNText"/>
              <w:jc w:val="center"/>
              <w:rPr>
                <w:sz w:val="21"/>
                <w:szCs w:val="21"/>
              </w:rPr>
            </w:pPr>
            <w:r w:rsidRPr="009B783C">
              <w:rPr>
                <w:sz w:val="21"/>
                <w:szCs w:val="21"/>
              </w:rPr>
              <w:t>-8.3%</w:t>
            </w:r>
          </w:p>
        </w:tc>
      </w:tr>
    </w:tbl>
    <w:p w14:paraId="4BB0182F" w14:textId="70C27BA4" w:rsidR="00C57FDE" w:rsidRPr="009B783C" w:rsidRDefault="00C57FDE" w:rsidP="00C57FDE">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33</w:t>
      </w:r>
      <w:r w:rsidRPr="009B783C">
        <w:rPr>
          <w:szCs w:val="21"/>
        </w:rPr>
        <w:fldChar w:fldCharType="end"/>
      </w:r>
      <w:r w:rsidRPr="009B783C">
        <w:rPr>
          <w:szCs w:val="21"/>
        </w:rPr>
        <w:t xml:space="preserve"> | Mean number of presentations per ED by triage category: Partner hospitals for newly established Medicare UCCs, commenced July to September 2024. 2020-21 to 2023-24, year ended 30 June for all years</w:t>
      </w:r>
    </w:p>
    <w:tbl>
      <w:tblPr>
        <w:tblW w:w="5003" w:type="pct"/>
        <w:jc w:val="center"/>
        <w:tblLook w:val="0420" w:firstRow="1" w:lastRow="0" w:firstColumn="0" w:lastColumn="0" w:noHBand="0" w:noVBand="1"/>
      </w:tblPr>
      <w:tblGrid>
        <w:gridCol w:w="1134"/>
        <w:gridCol w:w="1276"/>
        <w:gridCol w:w="1668"/>
        <w:gridCol w:w="1668"/>
        <w:gridCol w:w="1667"/>
        <w:gridCol w:w="1667"/>
        <w:gridCol w:w="1603"/>
        <w:gridCol w:w="1603"/>
        <w:gridCol w:w="1603"/>
      </w:tblGrid>
      <w:tr w:rsidR="007818D3" w:rsidRPr="009B783C" w14:paraId="6EC62D36" w14:textId="77777777" w:rsidTr="00BC7584">
        <w:trPr>
          <w:tblHeader/>
          <w:jc w:val="center"/>
        </w:trPr>
        <w:tc>
          <w:tcPr>
            <w:tcW w:w="40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024AAC0" w14:textId="1F495BFD" w:rsidR="00D10298" w:rsidRPr="009B783C" w:rsidRDefault="00D10298" w:rsidP="00107854">
            <w:pPr>
              <w:pStyle w:val="TableNheader"/>
              <w:rPr>
                <w:sz w:val="21"/>
                <w:szCs w:val="21"/>
              </w:rPr>
            </w:pPr>
            <w:r w:rsidRPr="009B783C">
              <w:rPr>
                <w:rFonts w:eastAsia="Segoe UI Semibold"/>
              </w:rPr>
              <w:t>Triage category</w:t>
            </w:r>
          </w:p>
        </w:tc>
        <w:tc>
          <w:tcPr>
            <w:tcW w:w="45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59B76675" w14:textId="5C5AC616" w:rsidR="00D10298" w:rsidRPr="009B783C" w:rsidRDefault="00D10298" w:rsidP="00107854">
            <w:pPr>
              <w:pStyle w:val="TableNheader"/>
              <w:rPr>
                <w:sz w:val="21"/>
                <w:szCs w:val="21"/>
              </w:rPr>
            </w:pPr>
            <w:r w:rsidRPr="009B783C">
              <w:rPr>
                <w:rFonts w:eastAsia="Segoe UI Semibold"/>
              </w:rPr>
              <w:t>Hospitals (n)</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BE2871E" w14:textId="216E1748" w:rsidR="00D10298" w:rsidRPr="009B783C" w:rsidRDefault="00D10298" w:rsidP="00107854">
            <w:pPr>
              <w:pStyle w:val="TableNheader"/>
              <w:rPr>
                <w:sz w:val="21"/>
                <w:szCs w:val="21"/>
              </w:rPr>
            </w:pPr>
            <w:r w:rsidRPr="009B783C">
              <w:rPr>
                <w:rFonts w:eastAsia="Segoe UI Semibold"/>
              </w:rPr>
              <w:t>Presentations (n) 2021</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C668A53" w14:textId="177FDE1B" w:rsidR="00D10298" w:rsidRPr="009B783C" w:rsidRDefault="00D10298" w:rsidP="00107854">
            <w:pPr>
              <w:pStyle w:val="TableNheader"/>
              <w:rPr>
                <w:sz w:val="21"/>
                <w:szCs w:val="21"/>
              </w:rPr>
            </w:pPr>
            <w:r w:rsidRPr="009B783C">
              <w:rPr>
                <w:rFonts w:eastAsia="Segoe UI Semibold"/>
              </w:rPr>
              <w:t>Presentations (n) 2022</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4D578E1" w14:textId="1F786716" w:rsidR="00D10298" w:rsidRPr="009B783C" w:rsidRDefault="00D10298" w:rsidP="00107854">
            <w:pPr>
              <w:pStyle w:val="TableNheader"/>
              <w:rPr>
                <w:sz w:val="21"/>
                <w:szCs w:val="21"/>
              </w:rPr>
            </w:pPr>
            <w:r w:rsidRPr="009B783C">
              <w:rPr>
                <w:rFonts w:eastAsia="Segoe UI Semibold"/>
              </w:rPr>
              <w:t>Presentations (n) 2023</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7C8B2AC6" w14:textId="69177016" w:rsidR="00D10298" w:rsidRPr="009B783C" w:rsidRDefault="00D10298" w:rsidP="00107854">
            <w:pPr>
              <w:pStyle w:val="TableNheader"/>
              <w:rPr>
                <w:sz w:val="21"/>
                <w:szCs w:val="21"/>
              </w:rPr>
            </w:pPr>
            <w:r w:rsidRPr="009B783C">
              <w:rPr>
                <w:rFonts w:eastAsia="Segoe UI Semibold"/>
              </w:rPr>
              <w:t>Presentations (n) 2024</w:t>
            </w:r>
          </w:p>
        </w:tc>
        <w:tc>
          <w:tcPr>
            <w:tcW w:w="577"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01F4E25F" w14:textId="4333E591" w:rsidR="00D10298" w:rsidRPr="009B783C" w:rsidRDefault="00D10298" w:rsidP="00107854">
            <w:pPr>
              <w:pStyle w:val="TableNheader"/>
              <w:rPr>
                <w:sz w:val="21"/>
                <w:szCs w:val="21"/>
              </w:rPr>
            </w:pPr>
            <w:r w:rsidRPr="009B783C">
              <w:rPr>
                <w:rFonts w:eastAsia="Segoe UI Semibold"/>
              </w:rPr>
              <w:t>Annual change 2022</w:t>
            </w:r>
          </w:p>
        </w:tc>
        <w:tc>
          <w:tcPr>
            <w:tcW w:w="577"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2A9D147B" w14:textId="38FAC2E5" w:rsidR="00D10298" w:rsidRPr="009B783C" w:rsidRDefault="00D10298" w:rsidP="00107854">
            <w:pPr>
              <w:pStyle w:val="TableNheader"/>
              <w:rPr>
                <w:sz w:val="21"/>
                <w:szCs w:val="21"/>
              </w:rPr>
            </w:pPr>
            <w:r w:rsidRPr="009B783C">
              <w:rPr>
                <w:rFonts w:eastAsia="Segoe UI Semibold"/>
              </w:rPr>
              <w:t>Annual change 2023</w:t>
            </w:r>
          </w:p>
        </w:tc>
        <w:tc>
          <w:tcPr>
            <w:tcW w:w="577"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7276E7A" w14:textId="07138F28" w:rsidR="00D10298" w:rsidRPr="009B783C" w:rsidRDefault="00D10298" w:rsidP="00107854">
            <w:pPr>
              <w:pStyle w:val="TableNheader"/>
              <w:rPr>
                <w:sz w:val="21"/>
                <w:szCs w:val="21"/>
              </w:rPr>
            </w:pPr>
            <w:r w:rsidRPr="009B783C">
              <w:rPr>
                <w:rFonts w:eastAsia="Segoe UI Semibold"/>
              </w:rPr>
              <w:t>Annual change 2024</w:t>
            </w:r>
          </w:p>
        </w:tc>
      </w:tr>
      <w:tr w:rsidR="007818D3" w:rsidRPr="009B783C" w14:paraId="312D8C26" w14:textId="77777777" w:rsidTr="007818D3">
        <w:trPr>
          <w:jc w:val="center"/>
        </w:trPr>
        <w:tc>
          <w:tcPr>
            <w:tcW w:w="40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140F27F" w14:textId="77777777" w:rsidR="001B1A55" w:rsidRPr="009B783C" w:rsidRDefault="001B1A55" w:rsidP="003E79FA">
            <w:pPr>
              <w:pStyle w:val="TableNText"/>
              <w:rPr>
                <w:sz w:val="21"/>
                <w:szCs w:val="21"/>
              </w:rPr>
            </w:pPr>
            <w:r w:rsidRPr="009B783C">
              <w:rPr>
                <w:sz w:val="21"/>
                <w:szCs w:val="21"/>
              </w:rPr>
              <w:t>Triage 4</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3A3A89C" w14:textId="77777777" w:rsidR="001B1A55" w:rsidRPr="009B783C" w:rsidRDefault="001B1A55" w:rsidP="00AB7572">
            <w:pPr>
              <w:pStyle w:val="TableNText"/>
              <w:jc w:val="center"/>
              <w:rPr>
                <w:sz w:val="21"/>
                <w:szCs w:val="21"/>
              </w:rPr>
            </w:pPr>
            <w:r w:rsidRPr="009B783C">
              <w:rPr>
                <w:sz w:val="21"/>
                <w:szCs w:val="21"/>
              </w:rPr>
              <w:t>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8884489" w14:textId="77777777" w:rsidR="001B1A55" w:rsidRPr="009B783C" w:rsidRDefault="001B1A55" w:rsidP="00AB7572">
            <w:pPr>
              <w:pStyle w:val="TableNText"/>
              <w:jc w:val="center"/>
              <w:rPr>
                <w:sz w:val="21"/>
                <w:szCs w:val="21"/>
              </w:rPr>
            </w:pPr>
            <w:r w:rsidRPr="009B783C">
              <w:rPr>
                <w:sz w:val="21"/>
                <w:szCs w:val="21"/>
              </w:rPr>
              <w:t>12,534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EBA1546" w14:textId="77777777" w:rsidR="001B1A55" w:rsidRPr="009B783C" w:rsidRDefault="001B1A55" w:rsidP="00AB7572">
            <w:pPr>
              <w:pStyle w:val="TableNText"/>
              <w:jc w:val="center"/>
              <w:rPr>
                <w:sz w:val="21"/>
                <w:szCs w:val="21"/>
              </w:rPr>
            </w:pPr>
            <w:r w:rsidRPr="009B783C">
              <w:rPr>
                <w:sz w:val="21"/>
                <w:szCs w:val="21"/>
              </w:rPr>
              <w:t>13,504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3CEE3EE" w14:textId="77777777" w:rsidR="001B1A55" w:rsidRPr="009B783C" w:rsidRDefault="001B1A55" w:rsidP="00AB7572">
            <w:pPr>
              <w:pStyle w:val="TableNText"/>
              <w:jc w:val="center"/>
              <w:rPr>
                <w:sz w:val="21"/>
                <w:szCs w:val="21"/>
              </w:rPr>
            </w:pPr>
            <w:r w:rsidRPr="009B783C">
              <w:rPr>
                <w:sz w:val="21"/>
                <w:szCs w:val="21"/>
              </w:rPr>
              <w:t>15,312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30AD3DB" w14:textId="77777777" w:rsidR="001B1A55" w:rsidRPr="009B783C" w:rsidRDefault="001B1A55" w:rsidP="00AB7572">
            <w:pPr>
              <w:pStyle w:val="TableNText"/>
              <w:jc w:val="center"/>
              <w:rPr>
                <w:sz w:val="21"/>
                <w:szCs w:val="21"/>
              </w:rPr>
            </w:pPr>
            <w:r w:rsidRPr="009B783C">
              <w:rPr>
                <w:sz w:val="21"/>
                <w:szCs w:val="21"/>
              </w:rPr>
              <w:t>14,407</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16E1EBC" w14:textId="77777777" w:rsidR="001B1A55" w:rsidRPr="009B783C" w:rsidRDefault="001B1A55" w:rsidP="00AB7572">
            <w:pPr>
              <w:pStyle w:val="TableNText"/>
              <w:jc w:val="center"/>
              <w:rPr>
                <w:sz w:val="21"/>
                <w:szCs w:val="21"/>
              </w:rPr>
            </w:pPr>
            <w:r w:rsidRPr="009B783C">
              <w:rPr>
                <w:sz w:val="21"/>
                <w:szCs w:val="21"/>
              </w:rPr>
              <w:t>7.7%</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89DEDE7" w14:textId="77777777" w:rsidR="001B1A55" w:rsidRPr="009B783C" w:rsidRDefault="001B1A55" w:rsidP="00AB7572">
            <w:pPr>
              <w:pStyle w:val="TableNText"/>
              <w:jc w:val="center"/>
              <w:rPr>
                <w:sz w:val="21"/>
                <w:szCs w:val="21"/>
              </w:rPr>
            </w:pPr>
            <w:r w:rsidRPr="009B783C">
              <w:rPr>
                <w:sz w:val="21"/>
                <w:szCs w:val="21"/>
              </w:rPr>
              <w:t>13.4%</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DBC7051" w14:textId="77777777" w:rsidR="001B1A55" w:rsidRPr="009B783C" w:rsidRDefault="001B1A55" w:rsidP="00AB7572">
            <w:pPr>
              <w:pStyle w:val="TableNText"/>
              <w:jc w:val="center"/>
              <w:rPr>
                <w:sz w:val="21"/>
                <w:szCs w:val="21"/>
              </w:rPr>
            </w:pPr>
            <w:r w:rsidRPr="009B783C">
              <w:rPr>
                <w:sz w:val="21"/>
                <w:szCs w:val="21"/>
              </w:rPr>
              <w:t>-5.9%</w:t>
            </w:r>
          </w:p>
        </w:tc>
      </w:tr>
      <w:tr w:rsidR="007818D3" w:rsidRPr="009B783C" w14:paraId="34DB8B37" w14:textId="77777777" w:rsidTr="007818D3">
        <w:trPr>
          <w:jc w:val="center"/>
        </w:trPr>
        <w:tc>
          <w:tcPr>
            <w:tcW w:w="40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B66548A" w14:textId="77777777" w:rsidR="001B1A55" w:rsidRPr="009B783C" w:rsidRDefault="001B1A55" w:rsidP="003E79FA">
            <w:pPr>
              <w:pStyle w:val="TableNText"/>
              <w:rPr>
                <w:sz w:val="21"/>
                <w:szCs w:val="21"/>
              </w:rPr>
            </w:pPr>
            <w:r w:rsidRPr="009B783C">
              <w:rPr>
                <w:sz w:val="21"/>
                <w:szCs w:val="21"/>
              </w:rPr>
              <w:t>Triage 5</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FC5F797" w14:textId="77777777" w:rsidR="001B1A55" w:rsidRPr="009B783C" w:rsidRDefault="001B1A55" w:rsidP="00AB7572">
            <w:pPr>
              <w:pStyle w:val="TableNText"/>
              <w:jc w:val="center"/>
              <w:rPr>
                <w:sz w:val="21"/>
                <w:szCs w:val="21"/>
              </w:rPr>
            </w:pPr>
            <w:r w:rsidRPr="009B783C">
              <w:rPr>
                <w:sz w:val="21"/>
                <w:szCs w:val="21"/>
              </w:rPr>
              <w:t>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8B8444E" w14:textId="77777777" w:rsidR="001B1A55" w:rsidRPr="009B783C" w:rsidRDefault="001B1A55" w:rsidP="00AB7572">
            <w:pPr>
              <w:pStyle w:val="TableNText"/>
              <w:jc w:val="center"/>
              <w:rPr>
                <w:sz w:val="21"/>
                <w:szCs w:val="21"/>
              </w:rPr>
            </w:pPr>
            <w:r w:rsidRPr="009B783C">
              <w:rPr>
                <w:sz w:val="21"/>
                <w:szCs w:val="21"/>
              </w:rPr>
              <w:t>3,574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021461E" w14:textId="77777777" w:rsidR="001B1A55" w:rsidRPr="009B783C" w:rsidRDefault="001B1A55" w:rsidP="00AB7572">
            <w:pPr>
              <w:pStyle w:val="TableNText"/>
              <w:jc w:val="center"/>
              <w:rPr>
                <w:sz w:val="21"/>
                <w:szCs w:val="21"/>
              </w:rPr>
            </w:pPr>
            <w:r w:rsidRPr="009B783C">
              <w:rPr>
                <w:sz w:val="21"/>
                <w:szCs w:val="21"/>
              </w:rPr>
              <w:t>4,825</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78BC84F" w14:textId="77777777" w:rsidR="001B1A55" w:rsidRPr="009B783C" w:rsidRDefault="001B1A55" w:rsidP="00AB7572">
            <w:pPr>
              <w:pStyle w:val="TableNText"/>
              <w:jc w:val="center"/>
              <w:rPr>
                <w:sz w:val="21"/>
                <w:szCs w:val="21"/>
              </w:rPr>
            </w:pPr>
            <w:r w:rsidRPr="009B783C">
              <w:rPr>
                <w:sz w:val="21"/>
                <w:szCs w:val="21"/>
              </w:rPr>
              <w:t>4,554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8906F9E" w14:textId="77777777" w:rsidR="001B1A55" w:rsidRPr="009B783C" w:rsidRDefault="001B1A55" w:rsidP="00AB7572">
            <w:pPr>
              <w:pStyle w:val="TableNText"/>
              <w:jc w:val="center"/>
              <w:rPr>
                <w:sz w:val="21"/>
                <w:szCs w:val="21"/>
              </w:rPr>
            </w:pPr>
            <w:r w:rsidRPr="009B783C">
              <w:rPr>
                <w:sz w:val="21"/>
                <w:szCs w:val="21"/>
              </w:rPr>
              <w:t>3,644</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816D00C" w14:textId="77777777" w:rsidR="001B1A55" w:rsidRPr="009B783C" w:rsidRDefault="001B1A55" w:rsidP="00AB7572">
            <w:pPr>
              <w:pStyle w:val="TableNText"/>
              <w:jc w:val="center"/>
              <w:rPr>
                <w:sz w:val="21"/>
                <w:szCs w:val="21"/>
              </w:rPr>
            </w:pPr>
            <w:r w:rsidRPr="009B783C">
              <w:rPr>
                <w:sz w:val="21"/>
                <w:szCs w:val="21"/>
              </w:rPr>
              <w:t>35.0%</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E38396B" w14:textId="77777777" w:rsidR="001B1A55" w:rsidRPr="009B783C" w:rsidRDefault="001B1A55" w:rsidP="00AB7572">
            <w:pPr>
              <w:pStyle w:val="TableNText"/>
              <w:jc w:val="center"/>
              <w:rPr>
                <w:sz w:val="21"/>
                <w:szCs w:val="21"/>
              </w:rPr>
            </w:pPr>
            <w:r w:rsidRPr="009B783C">
              <w:rPr>
                <w:sz w:val="21"/>
                <w:szCs w:val="21"/>
              </w:rPr>
              <w:t>-5.6%</w:t>
            </w:r>
          </w:p>
        </w:tc>
        <w:tc>
          <w:tcPr>
            <w:tcW w:w="57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DFFAEA3" w14:textId="77777777" w:rsidR="001B1A55" w:rsidRPr="009B783C" w:rsidRDefault="001B1A55" w:rsidP="00AB7572">
            <w:pPr>
              <w:pStyle w:val="TableNText"/>
              <w:jc w:val="center"/>
              <w:rPr>
                <w:sz w:val="21"/>
                <w:szCs w:val="21"/>
              </w:rPr>
            </w:pPr>
            <w:r w:rsidRPr="009B783C">
              <w:rPr>
                <w:sz w:val="21"/>
                <w:szCs w:val="21"/>
              </w:rPr>
              <w:t>-20.0%</w:t>
            </w:r>
          </w:p>
        </w:tc>
      </w:tr>
    </w:tbl>
    <w:p w14:paraId="340D4531" w14:textId="06C6D241" w:rsidR="00C57FDE" w:rsidRPr="009B783C" w:rsidRDefault="00C57FDE" w:rsidP="00C57FDE">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34</w:t>
      </w:r>
      <w:r w:rsidRPr="009B783C">
        <w:rPr>
          <w:szCs w:val="21"/>
        </w:rPr>
        <w:fldChar w:fldCharType="end"/>
      </w:r>
      <w:r w:rsidRPr="009B783C">
        <w:rPr>
          <w:szCs w:val="21"/>
        </w:rPr>
        <w:t xml:space="preserve"> | Mean number of presentations per ED by triage category: Partner hospitals for Medicare UCC transitioned from prior arrangements, commenced July to September 2024. 2020-21 to 2023-24, year ended 30 June for all years</w:t>
      </w:r>
    </w:p>
    <w:tbl>
      <w:tblPr>
        <w:tblW w:w="5000" w:type="pct"/>
        <w:jc w:val="center"/>
        <w:tblLook w:val="0420" w:firstRow="1" w:lastRow="0" w:firstColumn="0" w:lastColumn="0" w:noHBand="0" w:noVBand="1"/>
      </w:tblPr>
      <w:tblGrid>
        <w:gridCol w:w="1134"/>
        <w:gridCol w:w="1274"/>
        <w:gridCol w:w="1666"/>
        <w:gridCol w:w="1666"/>
        <w:gridCol w:w="1666"/>
        <w:gridCol w:w="1666"/>
        <w:gridCol w:w="1605"/>
        <w:gridCol w:w="1605"/>
        <w:gridCol w:w="1599"/>
      </w:tblGrid>
      <w:tr w:rsidR="007818D3" w:rsidRPr="009B783C" w14:paraId="6EDCB192" w14:textId="77777777" w:rsidTr="00BC7584">
        <w:trPr>
          <w:tblHeader/>
          <w:jc w:val="center"/>
        </w:trPr>
        <w:tc>
          <w:tcPr>
            <w:tcW w:w="40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642A3FD" w14:textId="77458CDE" w:rsidR="00D10298" w:rsidRPr="009B783C" w:rsidRDefault="00D10298" w:rsidP="00107854">
            <w:pPr>
              <w:pStyle w:val="TableNheader"/>
              <w:rPr>
                <w:sz w:val="21"/>
                <w:szCs w:val="21"/>
              </w:rPr>
            </w:pPr>
            <w:r w:rsidRPr="009B783C">
              <w:rPr>
                <w:rFonts w:eastAsia="Segoe UI Semibold"/>
              </w:rPr>
              <w:t>Triage category</w:t>
            </w:r>
          </w:p>
        </w:tc>
        <w:tc>
          <w:tcPr>
            <w:tcW w:w="45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599FB6D" w14:textId="423A1995" w:rsidR="00D10298" w:rsidRPr="009B783C" w:rsidRDefault="00D10298" w:rsidP="00107854">
            <w:pPr>
              <w:pStyle w:val="TableNheader"/>
              <w:rPr>
                <w:sz w:val="21"/>
                <w:szCs w:val="21"/>
              </w:rPr>
            </w:pPr>
            <w:r w:rsidRPr="009B783C">
              <w:rPr>
                <w:rFonts w:eastAsia="Segoe UI Semibold"/>
              </w:rPr>
              <w:t>Hospitals (n)</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F4F4841" w14:textId="49F44990" w:rsidR="00D10298" w:rsidRPr="009B783C" w:rsidRDefault="00D10298" w:rsidP="00107854">
            <w:pPr>
              <w:pStyle w:val="TableNheader"/>
              <w:rPr>
                <w:sz w:val="21"/>
                <w:szCs w:val="21"/>
              </w:rPr>
            </w:pPr>
            <w:r w:rsidRPr="009B783C">
              <w:rPr>
                <w:rFonts w:eastAsia="Segoe UI Semibold"/>
              </w:rPr>
              <w:t>Presentations (n) 2021</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F93E6A4" w14:textId="3BB6EA63" w:rsidR="00D10298" w:rsidRPr="009B783C" w:rsidRDefault="00D10298" w:rsidP="00107854">
            <w:pPr>
              <w:pStyle w:val="TableNheader"/>
              <w:rPr>
                <w:sz w:val="21"/>
                <w:szCs w:val="21"/>
              </w:rPr>
            </w:pPr>
            <w:r w:rsidRPr="009B783C">
              <w:rPr>
                <w:rFonts w:eastAsia="Segoe UI Semibold"/>
              </w:rPr>
              <w:t>Presentations (n) 2022</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7803F352" w14:textId="734A9FF8" w:rsidR="00D10298" w:rsidRPr="009B783C" w:rsidRDefault="00D10298" w:rsidP="00107854">
            <w:pPr>
              <w:pStyle w:val="TableNheader"/>
              <w:rPr>
                <w:sz w:val="21"/>
                <w:szCs w:val="21"/>
              </w:rPr>
            </w:pPr>
            <w:r w:rsidRPr="009B783C">
              <w:rPr>
                <w:rFonts w:eastAsia="Segoe UI Semibold"/>
              </w:rPr>
              <w:t>Presentations (n) 2023</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4A9A9783" w14:textId="10E7DC4A" w:rsidR="00D10298" w:rsidRPr="009B783C" w:rsidRDefault="00D10298" w:rsidP="00107854">
            <w:pPr>
              <w:pStyle w:val="TableNheader"/>
              <w:rPr>
                <w:sz w:val="21"/>
                <w:szCs w:val="21"/>
              </w:rPr>
            </w:pPr>
            <w:r w:rsidRPr="009B783C">
              <w:rPr>
                <w:rFonts w:eastAsia="Segoe UI Semibold"/>
              </w:rPr>
              <w:t>Presentations (n) 2024</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27B346D8" w14:textId="29FACBA4" w:rsidR="00D10298" w:rsidRPr="009B783C" w:rsidRDefault="00D10298" w:rsidP="00107854">
            <w:pPr>
              <w:pStyle w:val="TableNheader"/>
              <w:rPr>
                <w:sz w:val="21"/>
                <w:szCs w:val="21"/>
              </w:rPr>
            </w:pPr>
            <w:r w:rsidRPr="009B783C">
              <w:rPr>
                <w:rFonts w:eastAsia="Segoe UI Semibold"/>
              </w:rPr>
              <w:t>Annual change 2022</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23B1A689" w14:textId="1563145E" w:rsidR="00D10298" w:rsidRPr="009B783C" w:rsidRDefault="00D10298" w:rsidP="00107854">
            <w:pPr>
              <w:pStyle w:val="TableNheader"/>
              <w:rPr>
                <w:sz w:val="21"/>
                <w:szCs w:val="21"/>
              </w:rPr>
            </w:pPr>
            <w:r w:rsidRPr="009B783C">
              <w:rPr>
                <w:rFonts w:eastAsia="Segoe UI Semibold"/>
              </w:rPr>
              <w:t>Annual change 2023</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714E95FB" w14:textId="1511200F" w:rsidR="00D10298" w:rsidRPr="009B783C" w:rsidRDefault="00D10298" w:rsidP="00107854">
            <w:pPr>
              <w:pStyle w:val="TableNheader"/>
              <w:rPr>
                <w:sz w:val="21"/>
                <w:szCs w:val="21"/>
              </w:rPr>
            </w:pPr>
            <w:r w:rsidRPr="009B783C">
              <w:rPr>
                <w:rFonts w:eastAsia="Segoe UI Semibold"/>
              </w:rPr>
              <w:t>Annual change 2024</w:t>
            </w:r>
          </w:p>
        </w:tc>
      </w:tr>
      <w:tr w:rsidR="007818D3" w:rsidRPr="009B783C" w14:paraId="43ED96CE" w14:textId="77777777" w:rsidTr="007818D3">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20AD333" w14:textId="77777777" w:rsidR="001B1A55" w:rsidRPr="009B783C" w:rsidRDefault="001B1A55" w:rsidP="003E79FA">
            <w:pPr>
              <w:pStyle w:val="TableNText"/>
              <w:rPr>
                <w:sz w:val="21"/>
                <w:szCs w:val="21"/>
              </w:rPr>
            </w:pPr>
            <w:r w:rsidRPr="009B783C">
              <w:rPr>
                <w:sz w:val="21"/>
                <w:szCs w:val="21"/>
              </w:rPr>
              <w:t>Triage 4</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45509DD" w14:textId="77777777" w:rsidR="001B1A55" w:rsidRPr="009B783C" w:rsidRDefault="001B1A55" w:rsidP="00AB7572">
            <w:pPr>
              <w:pStyle w:val="TableNText"/>
              <w:jc w:val="center"/>
              <w:rPr>
                <w:sz w:val="21"/>
                <w:szCs w:val="21"/>
              </w:rPr>
            </w:pPr>
            <w:r w:rsidRPr="009B783C">
              <w:rPr>
                <w:sz w:val="21"/>
                <w:szCs w:val="21"/>
              </w:rPr>
              <w:t>11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D686848" w14:textId="77777777" w:rsidR="001B1A55" w:rsidRPr="009B783C" w:rsidRDefault="001B1A55" w:rsidP="00AB7572">
            <w:pPr>
              <w:pStyle w:val="TableNText"/>
              <w:jc w:val="center"/>
              <w:rPr>
                <w:sz w:val="21"/>
                <w:szCs w:val="21"/>
              </w:rPr>
            </w:pPr>
            <w:r w:rsidRPr="009B783C">
              <w:rPr>
                <w:sz w:val="21"/>
                <w:szCs w:val="21"/>
              </w:rPr>
              <w:t>19,091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97592CF" w14:textId="77777777" w:rsidR="001B1A55" w:rsidRPr="009B783C" w:rsidRDefault="001B1A55" w:rsidP="00AB7572">
            <w:pPr>
              <w:pStyle w:val="TableNText"/>
              <w:jc w:val="center"/>
              <w:rPr>
                <w:sz w:val="21"/>
                <w:szCs w:val="21"/>
              </w:rPr>
            </w:pPr>
            <w:r w:rsidRPr="009B783C">
              <w:rPr>
                <w:sz w:val="21"/>
                <w:szCs w:val="21"/>
              </w:rPr>
              <w:t>18,961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E8DE465" w14:textId="77777777" w:rsidR="001B1A55" w:rsidRPr="009B783C" w:rsidRDefault="001B1A55" w:rsidP="00AB7572">
            <w:pPr>
              <w:pStyle w:val="TableNText"/>
              <w:jc w:val="center"/>
              <w:rPr>
                <w:sz w:val="21"/>
                <w:szCs w:val="21"/>
              </w:rPr>
            </w:pPr>
            <w:r w:rsidRPr="009B783C">
              <w:rPr>
                <w:sz w:val="21"/>
                <w:szCs w:val="21"/>
              </w:rPr>
              <w:t>18,712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47FBE53" w14:textId="77777777" w:rsidR="001B1A55" w:rsidRPr="009B783C" w:rsidRDefault="001B1A55" w:rsidP="00AB7572">
            <w:pPr>
              <w:pStyle w:val="TableNText"/>
              <w:jc w:val="center"/>
              <w:rPr>
                <w:sz w:val="21"/>
                <w:szCs w:val="21"/>
              </w:rPr>
            </w:pPr>
            <w:r w:rsidRPr="009B783C">
              <w:rPr>
                <w:sz w:val="21"/>
                <w:szCs w:val="21"/>
              </w:rPr>
              <w:t>17,915</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3B54280" w14:textId="77777777" w:rsidR="001B1A55" w:rsidRPr="009B783C" w:rsidRDefault="001B1A55" w:rsidP="00AB7572">
            <w:pPr>
              <w:pStyle w:val="TableNText"/>
              <w:jc w:val="center"/>
              <w:rPr>
                <w:sz w:val="21"/>
                <w:szCs w:val="21"/>
              </w:rPr>
            </w:pPr>
            <w:r w:rsidRPr="009B783C">
              <w:rPr>
                <w:sz w:val="21"/>
                <w:szCs w:val="21"/>
              </w:rPr>
              <w:t>-0.7%</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BC52C3A" w14:textId="77777777" w:rsidR="001B1A55" w:rsidRPr="009B783C" w:rsidRDefault="001B1A55" w:rsidP="00AB7572">
            <w:pPr>
              <w:pStyle w:val="TableNText"/>
              <w:jc w:val="center"/>
              <w:rPr>
                <w:sz w:val="21"/>
                <w:szCs w:val="21"/>
              </w:rPr>
            </w:pPr>
            <w:r w:rsidRPr="009B783C">
              <w:rPr>
                <w:sz w:val="21"/>
                <w:szCs w:val="21"/>
              </w:rPr>
              <w:t>-1.3%</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63E6D23" w14:textId="77777777" w:rsidR="001B1A55" w:rsidRPr="009B783C" w:rsidRDefault="001B1A55" w:rsidP="00AB7572">
            <w:pPr>
              <w:pStyle w:val="TableNText"/>
              <w:jc w:val="center"/>
              <w:rPr>
                <w:sz w:val="21"/>
                <w:szCs w:val="21"/>
              </w:rPr>
            </w:pPr>
            <w:r w:rsidRPr="009B783C">
              <w:rPr>
                <w:sz w:val="21"/>
                <w:szCs w:val="21"/>
              </w:rPr>
              <w:t>-4.3%</w:t>
            </w:r>
          </w:p>
        </w:tc>
      </w:tr>
      <w:tr w:rsidR="007818D3" w:rsidRPr="009B783C" w14:paraId="1C5FC8E3" w14:textId="77777777" w:rsidTr="007818D3">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CBF346E" w14:textId="77777777" w:rsidR="001B1A55" w:rsidRPr="009B783C" w:rsidRDefault="001B1A55" w:rsidP="003E79FA">
            <w:pPr>
              <w:pStyle w:val="TableNText"/>
              <w:rPr>
                <w:sz w:val="21"/>
                <w:szCs w:val="21"/>
              </w:rPr>
            </w:pPr>
            <w:r w:rsidRPr="009B783C">
              <w:rPr>
                <w:sz w:val="21"/>
                <w:szCs w:val="21"/>
              </w:rPr>
              <w:t>Triage 5</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E4B2067" w14:textId="77777777" w:rsidR="001B1A55" w:rsidRPr="009B783C" w:rsidRDefault="001B1A55" w:rsidP="00AB7572">
            <w:pPr>
              <w:pStyle w:val="TableNText"/>
              <w:jc w:val="center"/>
              <w:rPr>
                <w:sz w:val="21"/>
                <w:szCs w:val="21"/>
              </w:rPr>
            </w:pPr>
            <w:r w:rsidRPr="009B783C">
              <w:rPr>
                <w:sz w:val="21"/>
                <w:szCs w:val="21"/>
              </w:rPr>
              <w:t>11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326CAFC" w14:textId="77777777" w:rsidR="001B1A55" w:rsidRPr="009B783C" w:rsidRDefault="001B1A55" w:rsidP="00AB7572">
            <w:pPr>
              <w:pStyle w:val="TableNText"/>
              <w:jc w:val="center"/>
              <w:rPr>
                <w:sz w:val="21"/>
                <w:szCs w:val="21"/>
              </w:rPr>
            </w:pPr>
            <w:r w:rsidRPr="009B783C">
              <w:rPr>
                <w:sz w:val="21"/>
                <w:szCs w:val="21"/>
              </w:rPr>
              <w:t>2,815</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2460EE5" w14:textId="77777777" w:rsidR="001B1A55" w:rsidRPr="009B783C" w:rsidRDefault="001B1A55" w:rsidP="00AB7572">
            <w:pPr>
              <w:pStyle w:val="TableNText"/>
              <w:jc w:val="center"/>
              <w:rPr>
                <w:sz w:val="21"/>
                <w:szCs w:val="21"/>
              </w:rPr>
            </w:pPr>
            <w:r w:rsidRPr="009B783C">
              <w:rPr>
                <w:sz w:val="21"/>
                <w:szCs w:val="21"/>
              </w:rPr>
              <w:t>3,391</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4B64FDF" w14:textId="77777777" w:rsidR="001B1A55" w:rsidRPr="009B783C" w:rsidRDefault="001B1A55" w:rsidP="00AB7572">
            <w:pPr>
              <w:pStyle w:val="TableNText"/>
              <w:jc w:val="center"/>
              <w:rPr>
                <w:sz w:val="21"/>
                <w:szCs w:val="21"/>
              </w:rPr>
            </w:pPr>
            <w:r w:rsidRPr="009B783C">
              <w:rPr>
                <w:sz w:val="21"/>
                <w:szCs w:val="21"/>
              </w:rPr>
              <w:t>2,834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122C7F9" w14:textId="77777777" w:rsidR="001B1A55" w:rsidRPr="009B783C" w:rsidRDefault="001B1A55" w:rsidP="00AB7572">
            <w:pPr>
              <w:pStyle w:val="TableNText"/>
              <w:jc w:val="center"/>
              <w:rPr>
                <w:sz w:val="21"/>
                <w:szCs w:val="21"/>
              </w:rPr>
            </w:pPr>
            <w:r w:rsidRPr="009B783C">
              <w:rPr>
                <w:sz w:val="21"/>
                <w:szCs w:val="21"/>
              </w:rPr>
              <w:t>2,890</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E5E6A82" w14:textId="77777777" w:rsidR="001B1A55" w:rsidRPr="009B783C" w:rsidRDefault="001B1A55" w:rsidP="00AB7572">
            <w:pPr>
              <w:pStyle w:val="TableNText"/>
              <w:jc w:val="center"/>
              <w:rPr>
                <w:sz w:val="21"/>
                <w:szCs w:val="21"/>
              </w:rPr>
            </w:pPr>
            <w:r w:rsidRPr="009B783C">
              <w:rPr>
                <w:sz w:val="21"/>
                <w:szCs w:val="21"/>
              </w:rPr>
              <w:t>20.4%</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728C8E8" w14:textId="77777777" w:rsidR="001B1A55" w:rsidRPr="009B783C" w:rsidRDefault="001B1A55" w:rsidP="00AB7572">
            <w:pPr>
              <w:pStyle w:val="TableNText"/>
              <w:jc w:val="center"/>
              <w:rPr>
                <w:sz w:val="21"/>
                <w:szCs w:val="21"/>
              </w:rPr>
            </w:pPr>
            <w:r w:rsidRPr="009B783C">
              <w:rPr>
                <w:sz w:val="21"/>
                <w:szCs w:val="21"/>
              </w:rPr>
              <w:t>-16.4%</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2B0314A" w14:textId="77777777" w:rsidR="001B1A55" w:rsidRPr="009B783C" w:rsidRDefault="001B1A55" w:rsidP="00AB7572">
            <w:pPr>
              <w:pStyle w:val="TableNText"/>
              <w:jc w:val="center"/>
              <w:rPr>
                <w:sz w:val="21"/>
                <w:szCs w:val="21"/>
              </w:rPr>
            </w:pPr>
            <w:r w:rsidRPr="009B783C">
              <w:rPr>
                <w:sz w:val="21"/>
                <w:szCs w:val="21"/>
              </w:rPr>
              <w:t>2.0%</w:t>
            </w:r>
          </w:p>
        </w:tc>
      </w:tr>
    </w:tbl>
    <w:p w14:paraId="3D2347B0" w14:textId="61B18A04" w:rsidR="00C57FDE" w:rsidRPr="009B783C" w:rsidRDefault="00C57FDE" w:rsidP="00C57FDE">
      <w:pPr>
        <w:pStyle w:val="Caption"/>
        <w:rPr>
          <w:szCs w:val="21"/>
        </w:rPr>
      </w:pPr>
      <w:bookmarkStart w:id="779" w:name="_Ref189769645"/>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35</w:t>
      </w:r>
      <w:r w:rsidRPr="009B783C">
        <w:rPr>
          <w:szCs w:val="21"/>
        </w:rPr>
        <w:fldChar w:fldCharType="end"/>
      </w:r>
      <w:bookmarkEnd w:id="779"/>
      <w:r w:rsidRPr="009B783C">
        <w:rPr>
          <w:szCs w:val="21"/>
        </w:rPr>
        <w:t xml:space="preserve"> | Mean number of presentations per ED by triage category: Comparison, other hospitals. 2020-21 to 2023-24, year ended 30 June for all years.</w:t>
      </w:r>
    </w:p>
    <w:tbl>
      <w:tblPr>
        <w:tblW w:w="5000" w:type="pct"/>
        <w:jc w:val="center"/>
        <w:tblLook w:val="0420" w:firstRow="1" w:lastRow="0" w:firstColumn="0" w:lastColumn="0" w:noHBand="0" w:noVBand="1"/>
      </w:tblPr>
      <w:tblGrid>
        <w:gridCol w:w="1134"/>
        <w:gridCol w:w="1274"/>
        <w:gridCol w:w="1666"/>
        <w:gridCol w:w="1666"/>
        <w:gridCol w:w="1666"/>
        <w:gridCol w:w="1666"/>
        <w:gridCol w:w="1605"/>
        <w:gridCol w:w="1605"/>
        <w:gridCol w:w="1599"/>
      </w:tblGrid>
      <w:tr w:rsidR="007818D3" w:rsidRPr="009B783C" w14:paraId="6D621EE9" w14:textId="77777777" w:rsidTr="00BC7584">
        <w:trPr>
          <w:tblHeader/>
          <w:jc w:val="center"/>
        </w:trPr>
        <w:tc>
          <w:tcPr>
            <w:tcW w:w="40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1E7A50A" w14:textId="30622D73" w:rsidR="00D10298" w:rsidRPr="009B783C" w:rsidRDefault="00D10298" w:rsidP="00107854">
            <w:pPr>
              <w:pStyle w:val="TableNheader"/>
              <w:rPr>
                <w:sz w:val="21"/>
                <w:szCs w:val="21"/>
              </w:rPr>
            </w:pPr>
            <w:r w:rsidRPr="009B783C">
              <w:rPr>
                <w:rFonts w:eastAsia="Segoe UI Semibold"/>
              </w:rPr>
              <w:t>Triage category</w:t>
            </w:r>
          </w:p>
        </w:tc>
        <w:tc>
          <w:tcPr>
            <w:tcW w:w="459"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1EB33CFD" w14:textId="41766926" w:rsidR="00D10298" w:rsidRPr="009B783C" w:rsidRDefault="00D10298" w:rsidP="00107854">
            <w:pPr>
              <w:pStyle w:val="TableNheader"/>
              <w:rPr>
                <w:sz w:val="21"/>
                <w:szCs w:val="21"/>
              </w:rPr>
            </w:pPr>
            <w:r w:rsidRPr="009B783C">
              <w:rPr>
                <w:rFonts w:eastAsia="Segoe UI Semibold"/>
              </w:rPr>
              <w:t>Hospitals (n)</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5D376CE8" w14:textId="76AC9E82" w:rsidR="00D10298" w:rsidRPr="009B783C" w:rsidRDefault="00D10298" w:rsidP="00107854">
            <w:pPr>
              <w:pStyle w:val="TableNheader"/>
              <w:rPr>
                <w:sz w:val="21"/>
                <w:szCs w:val="21"/>
              </w:rPr>
            </w:pPr>
            <w:r w:rsidRPr="009B783C">
              <w:rPr>
                <w:rFonts w:eastAsia="Segoe UI Semibold"/>
              </w:rPr>
              <w:t>Presentations (n) 2021</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259E68F" w14:textId="5749DAE9" w:rsidR="00D10298" w:rsidRPr="009B783C" w:rsidRDefault="00D10298" w:rsidP="00107854">
            <w:pPr>
              <w:pStyle w:val="TableNheader"/>
              <w:rPr>
                <w:sz w:val="21"/>
                <w:szCs w:val="21"/>
              </w:rPr>
            </w:pPr>
            <w:r w:rsidRPr="009B783C">
              <w:rPr>
                <w:rFonts w:eastAsia="Segoe UI Semibold"/>
              </w:rPr>
              <w:t>Presentations (n) 2022</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3DEED377" w14:textId="475FF5E2" w:rsidR="00D10298" w:rsidRPr="009B783C" w:rsidRDefault="00D10298" w:rsidP="00107854">
            <w:pPr>
              <w:pStyle w:val="TableNheader"/>
              <w:rPr>
                <w:sz w:val="21"/>
                <w:szCs w:val="21"/>
              </w:rPr>
            </w:pPr>
            <w:r w:rsidRPr="009B783C">
              <w:rPr>
                <w:rFonts w:eastAsia="Segoe UI Semibold"/>
              </w:rPr>
              <w:t>Presentations (n) 2023</w:t>
            </w:r>
          </w:p>
        </w:tc>
        <w:tc>
          <w:tcPr>
            <w:tcW w:w="600"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0E335C11" w14:textId="4768C5C1" w:rsidR="00D10298" w:rsidRPr="009B783C" w:rsidRDefault="00D10298" w:rsidP="00107854">
            <w:pPr>
              <w:pStyle w:val="TableNheader"/>
              <w:rPr>
                <w:sz w:val="21"/>
                <w:szCs w:val="21"/>
              </w:rPr>
            </w:pPr>
            <w:r w:rsidRPr="009B783C">
              <w:rPr>
                <w:rFonts w:eastAsia="Segoe UI Semibold"/>
              </w:rPr>
              <w:t>Presentations (n) 2024</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35FB7DD" w14:textId="1977511C" w:rsidR="00D10298" w:rsidRPr="009B783C" w:rsidRDefault="00D10298" w:rsidP="00107854">
            <w:pPr>
              <w:pStyle w:val="TableNheader"/>
              <w:rPr>
                <w:sz w:val="21"/>
                <w:szCs w:val="21"/>
              </w:rPr>
            </w:pPr>
            <w:r w:rsidRPr="009B783C">
              <w:rPr>
                <w:rFonts w:eastAsia="Segoe UI Semibold"/>
              </w:rPr>
              <w:t>Annual change 2022</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6A1D8242" w14:textId="116F6A67" w:rsidR="00D10298" w:rsidRPr="009B783C" w:rsidRDefault="00D10298" w:rsidP="00107854">
            <w:pPr>
              <w:pStyle w:val="TableNheader"/>
              <w:rPr>
                <w:sz w:val="21"/>
                <w:szCs w:val="21"/>
              </w:rPr>
            </w:pPr>
            <w:r w:rsidRPr="009B783C">
              <w:rPr>
                <w:rFonts w:eastAsia="Segoe UI Semibold"/>
              </w:rPr>
              <w:t>Annual change 2023</w:t>
            </w:r>
          </w:p>
        </w:tc>
        <w:tc>
          <w:tcPr>
            <w:tcW w:w="578" w:type="pct"/>
            <w:tcBorders>
              <w:top w:val="single" w:sz="4" w:space="0" w:color="FFFFFF" w:themeColor="background1"/>
              <w:left w:val="single" w:sz="4" w:space="0" w:color="FFFFFF" w:themeColor="background1"/>
              <w:bottom w:val="single" w:sz="4" w:space="0" w:color="00264D" w:themeColor="background2"/>
              <w:right w:val="single" w:sz="4" w:space="0" w:color="FFFFFF" w:themeColor="background1"/>
            </w:tcBorders>
            <w:shd w:val="clear" w:color="auto" w:fill="00264D" w:themeFill="background2"/>
            <w:tcMar>
              <w:top w:w="57" w:type="dxa"/>
              <w:left w:w="80" w:type="dxa"/>
              <w:bottom w:w="57" w:type="dxa"/>
              <w:right w:w="80" w:type="dxa"/>
            </w:tcMar>
            <w:vAlign w:val="center"/>
          </w:tcPr>
          <w:p w14:paraId="091B0A2D" w14:textId="7A51B2FA" w:rsidR="00D10298" w:rsidRPr="009B783C" w:rsidRDefault="00D10298" w:rsidP="00107854">
            <w:pPr>
              <w:pStyle w:val="TableNheader"/>
              <w:rPr>
                <w:sz w:val="21"/>
                <w:szCs w:val="21"/>
              </w:rPr>
            </w:pPr>
            <w:r w:rsidRPr="009B783C">
              <w:rPr>
                <w:rFonts w:eastAsia="Segoe UI Semibold"/>
              </w:rPr>
              <w:t>Annual change 2024</w:t>
            </w:r>
          </w:p>
        </w:tc>
      </w:tr>
      <w:tr w:rsidR="007818D3" w:rsidRPr="009B783C" w14:paraId="3748BA1E" w14:textId="77777777" w:rsidTr="007818D3">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72A266D" w14:textId="77777777" w:rsidR="001B1A55" w:rsidRPr="009B783C" w:rsidRDefault="001B1A55" w:rsidP="003E79FA">
            <w:pPr>
              <w:pStyle w:val="TableNText"/>
              <w:rPr>
                <w:sz w:val="21"/>
                <w:szCs w:val="21"/>
              </w:rPr>
            </w:pPr>
            <w:r w:rsidRPr="009B783C">
              <w:rPr>
                <w:sz w:val="21"/>
                <w:szCs w:val="21"/>
              </w:rPr>
              <w:t>Triage 4</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710FBB7" w14:textId="77777777" w:rsidR="001B1A55" w:rsidRPr="009B783C" w:rsidRDefault="001B1A55" w:rsidP="00AB7572">
            <w:pPr>
              <w:pStyle w:val="TableNText"/>
              <w:jc w:val="center"/>
              <w:rPr>
                <w:sz w:val="21"/>
                <w:szCs w:val="21"/>
              </w:rPr>
            </w:pPr>
            <w:r w:rsidRPr="009B783C">
              <w:rPr>
                <w:sz w:val="21"/>
                <w:szCs w:val="21"/>
              </w:rPr>
              <w:t>120</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1956657" w14:textId="77777777" w:rsidR="001B1A55" w:rsidRPr="009B783C" w:rsidRDefault="001B1A55" w:rsidP="00AB7572">
            <w:pPr>
              <w:pStyle w:val="TableNText"/>
              <w:jc w:val="center"/>
              <w:rPr>
                <w:sz w:val="21"/>
                <w:szCs w:val="21"/>
              </w:rPr>
            </w:pPr>
            <w:r w:rsidRPr="009B783C">
              <w:rPr>
                <w:sz w:val="21"/>
                <w:szCs w:val="21"/>
              </w:rPr>
              <w:t>13,164</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B83B653" w14:textId="77777777" w:rsidR="001B1A55" w:rsidRPr="009B783C" w:rsidRDefault="001B1A55" w:rsidP="00AB7572">
            <w:pPr>
              <w:pStyle w:val="TableNText"/>
              <w:jc w:val="center"/>
              <w:rPr>
                <w:sz w:val="21"/>
                <w:szCs w:val="21"/>
              </w:rPr>
            </w:pPr>
            <w:r w:rsidRPr="009B783C">
              <w:rPr>
                <w:sz w:val="21"/>
                <w:szCs w:val="21"/>
              </w:rPr>
              <w:t>12,778</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6F67A20" w14:textId="77777777" w:rsidR="001B1A55" w:rsidRPr="009B783C" w:rsidRDefault="001B1A55" w:rsidP="00AB7572">
            <w:pPr>
              <w:pStyle w:val="TableNText"/>
              <w:jc w:val="center"/>
              <w:rPr>
                <w:sz w:val="21"/>
                <w:szCs w:val="21"/>
              </w:rPr>
            </w:pPr>
            <w:r w:rsidRPr="009B783C">
              <w:rPr>
                <w:sz w:val="21"/>
                <w:szCs w:val="21"/>
              </w:rPr>
              <w:t>12,732</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8B7F91D" w14:textId="77777777" w:rsidR="001B1A55" w:rsidRPr="009B783C" w:rsidRDefault="001B1A55" w:rsidP="00AB7572">
            <w:pPr>
              <w:pStyle w:val="TableNText"/>
              <w:jc w:val="center"/>
              <w:rPr>
                <w:sz w:val="21"/>
                <w:szCs w:val="21"/>
              </w:rPr>
            </w:pPr>
            <w:r w:rsidRPr="009B783C">
              <w:rPr>
                <w:sz w:val="21"/>
                <w:szCs w:val="21"/>
              </w:rPr>
              <w:t>12,766</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4DC9F0E" w14:textId="77777777" w:rsidR="001B1A55" w:rsidRPr="009B783C" w:rsidRDefault="001B1A55" w:rsidP="00AB7572">
            <w:pPr>
              <w:pStyle w:val="TableNText"/>
              <w:jc w:val="center"/>
              <w:rPr>
                <w:sz w:val="21"/>
                <w:szCs w:val="21"/>
              </w:rPr>
            </w:pPr>
            <w:r w:rsidRPr="009B783C">
              <w:rPr>
                <w:sz w:val="21"/>
                <w:szCs w:val="21"/>
              </w:rPr>
              <w:t>-2.9%</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ECECDE6" w14:textId="77777777" w:rsidR="001B1A55" w:rsidRPr="009B783C" w:rsidRDefault="001B1A55" w:rsidP="00AB7572">
            <w:pPr>
              <w:pStyle w:val="TableNText"/>
              <w:jc w:val="center"/>
              <w:rPr>
                <w:sz w:val="21"/>
                <w:szCs w:val="21"/>
              </w:rPr>
            </w:pPr>
            <w:r w:rsidRPr="009B783C">
              <w:rPr>
                <w:sz w:val="21"/>
                <w:szCs w:val="21"/>
              </w:rPr>
              <w:t>-0.4%</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EBDED62" w14:textId="77777777" w:rsidR="001B1A55" w:rsidRPr="009B783C" w:rsidRDefault="001B1A55" w:rsidP="00AB7572">
            <w:pPr>
              <w:pStyle w:val="TableNText"/>
              <w:jc w:val="center"/>
              <w:rPr>
                <w:sz w:val="21"/>
                <w:szCs w:val="21"/>
              </w:rPr>
            </w:pPr>
            <w:r w:rsidRPr="009B783C">
              <w:rPr>
                <w:sz w:val="21"/>
                <w:szCs w:val="21"/>
              </w:rPr>
              <w:t>0.3%</w:t>
            </w:r>
          </w:p>
        </w:tc>
      </w:tr>
      <w:tr w:rsidR="007818D3" w:rsidRPr="009B783C" w14:paraId="526F22F0" w14:textId="77777777" w:rsidTr="007818D3">
        <w:trPr>
          <w:jc w:val="center"/>
        </w:trPr>
        <w:tc>
          <w:tcPr>
            <w:tcW w:w="40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C18F1DA" w14:textId="77777777" w:rsidR="001B1A55" w:rsidRPr="009B783C" w:rsidRDefault="001B1A55" w:rsidP="003E79FA">
            <w:pPr>
              <w:pStyle w:val="TableNText"/>
              <w:rPr>
                <w:sz w:val="21"/>
                <w:szCs w:val="21"/>
              </w:rPr>
            </w:pPr>
            <w:r w:rsidRPr="009B783C">
              <w:rPr>
                <w:sz w:val="21"/>
                <w:szCs w:val="21"/>
              </w:rPr>
              <w:t>Triage 5</w:t>
            </w:r>
          </w:p>
        </w:tc>
        <w:tc>
          <w:tcPr>
            <w:tcW w:w="459"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4033A0B" w14:textId="77777777" w:rsidR="001B1A55" w:rsidRPr="009B783C" w:rsidRDefault="001B1A55" w:rsidP="00AB7572">
            <w:pPr>
              <w:pStyle w:val="TableNText"/>
              <w:jc w:val="center"/>
              <w:rPr>
                <w:sz w:val="21"/>
                <w:szCs w:val="21"/>
              </w:rPr>
            </w:pPr>
            <w:r w:rsidRPr="009B783C">
              <w:rPr>
                <w:sz w:val="21"/>
                <w:szCs w:val="21"/>
              </w:rPr>
              <w:t>120</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AD6AFF4" w14:textId="77777777" w:rsidR="001B1A55" w:rsidRPr="009B783C" w:rsidRDefault="001B1A55" w:rsidP="00AB7572">
            <w:pPr>
              <w:pStyle w:val="TableNText"/>
              <w:jc w:val="center"/>
              <w:rPr>
                <w:sz w:val="21"/>
                <w:szCs w:val="21"/>
              </w:rPr>
            </w:pPr>
            <w:r w:rsidRPr="009B783C">
              <w:rPr>
                <w:sz w:val="21"/>
                <w:szCs w:val="21"/>
              </w:rPr>
              <w:t>4,080</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9291C6D" w14:textId="77777777" w:rsidR="001B1A55" w:rsidRPr="009B783C" w:rsidRDefault="001B1A55" w:rsidP="00AB7572">
            <w:pPr>
              <w:pStyle w:val="TableNText"/>
              <w:jc w:val="center"/>
              <w:rPr>
                <w:sz w:val="21"/>
                <w:szCs w:val="21"/>
              </w:rPr>
            </w:pPr>
            <w:r w:rsidRPr="009B783C">
              <w:rPr>
                <w:sz w:val="21"/>
                <w:szCs w:val="21"/>
              </w:rPr>
              <w:t>3,637</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93453F2" w14:textId="77777777" w:rsidR="001B1A55" w:rsidRPr="009B783C" w:rsidRDefault="001B1A55" w:rsidP="00AB7572">
            <w:pPr>
              <w:pStyle w:val="TableNText"/>
              <w:jc w:val="center"/>
              <w:rPr>
                <w:sz w:val="21"/>
                <w:szCs w:val="21"/>
              </w:rPr>
            </w:pPr>
            <w:r w:rsidRPr="009B783C">
              <w:rPr>
                <w:sz w:val="21"/>
                <w:szCs w:val="21"/>
              </w:rPr>
              <w:t>2,423</w:t>
            </w:r>
          </w:p>
        </w:tc>
        <w:tc>
          <w:tcPr>
            <w:tcW w:w="60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785364A" w14:textId="77777777" w:rsidR="001B1A55" w:rsidRPr="009B783C" w:rsidRDefault="001B1A55" w:rsidP="00AB7572">
            <w:pPr>
              <w:pStyle w:val="TableNText"/>
              <w:jc w:val="center"/>
              <w:rPr>
                <w:sz w:val="21"/>
                <w:szCs w:val="21"/>
              </w:rPr>
            </w:pPr>
            <w:r w:rsidRPr="009B783C">
              <w:rPr>
                <w:sz w:val="21"/>
                <w:szCs w:val="21"/>
              </w:rPr>
              <w:t>2,449</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C80AABF" w14:textId="77777777" w:rsidR="001B1A55" w:rsidRPr="009B783C" w:rsidRDefault="001B1A55" w:rsidP="00AB7572">
            <w:pPr>
              <w:pStyle w:val="TableNText"/>
              <w:jc w:val="center"/>
              <w:rPr>
                <w:sz w:val="21"/>
                <w:szCs w:val="21"/>
              </w:rPr>
            </w:pPr>
            <w:r w:rsidRPr="009B783C">
              <w:rPr>
                <w:sz w:val="21"/>
                <w:szCs w:val="21"/>
              </w:rPr>
              <w:t>-10.9%</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F233095" w14:textId="77777777" w:rsidR="001B1A55" w:rsidRPr="009B783C" w:rsidRDefault="001B1A55" w:rsidP="00AB7572">
            <w:pPr>
              <w:pStyle w:val="TableNText"/>
              <w:jc w:val="center"/>
              <w:rPr>
                <w:sz w:val="21"/>
                <w:szCs w:val="21"/>
              </w:rPr>
            </w:pPr>
            <w:r w:rsidRPr="009B783C">
              <w:rPr>
                <w:sz w:val="21"/>
                <w:szCs w:val="21"/>
              </w:rPr>
              <w:t>-33.4%</w:t>
            </w:r>
          </w:p>
        </w:tc>
        <w:tc>
          <w:tcPr>
            <w:tcW w:w="578"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40BC41C" w14:textId="77777777" w:rsidR="001B1A55" w:rsidRPr="009B783C" w:rsidRDefault="001B1A55" w:rsidP="00AB7572">
            <w:pPr>
              <w:pStyle w:val="TableNText"/>
              <w:jc w:val="center"/>
              <w:rPr>
                <w:sz w:val="21"/>
                <w:szCs w:val="21"/>
              </w:rPr>
            </w:pPr>
            <w:r w:rsidRPr="009B783C">
              <w:rPr>
                <w:sz w:val="21"/>
                <w:szCs w:val="21"/>
              </w:rPr>
              <w:t>1.1%</w:t>
            </w:r>
          </w:p>
        </w:tc>
      </w:tr>
    </w:tbl>
    <w:p w14:paraId="2819F93D" w14:textId="1F48A17F" w:rsidR="00493C3F" w:rsidRPr="009B783C" w:rsidRDefault="008206CA" w:rsidP="00493C3F">
      <w:pPr>
        <w:pStyle w:val="Caption"/>
        <w:rPr>
          <w:szCs w:val="21"/>
        </w:rPr>
      </w:pPr>
      <w:bookmarkStart w:id="780" w:name="_Ref185345669"/>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00493C3F" w:rsidRPr="009B783C">
        <w:rPr>
          <w:szCs w:val="21"/>
        </w:rPr>
        <w:t>36</w:t>
      </w:r>
      <w:r w:rsidRPr="009B783C">
        <w:rPr>
          <w:szCs w:val="21"/>
        </w:rPr>
        <w:fldChar w:fldCharType="end"/>
      </w:r>
      <w:bookmarkEnd w:id="780"/>
      <w:r w:rsidRPr="009B783C">
        <w:rPr>
          <w:szCs w:val="21"/>
        </w:rPr>
        <w:t xml:space="preserve"> | Percentage </w:t>
      </w:r>
      <w:r w:rsidR="00390814" w:rsidRPr="009B783C">
        <w:rPr>
          <w:szCs w:val="21"/>
        </w:rPr>
        <w:t xml:space="preserve">of patients </w:t>
      </w:r>
      <w:r w:rsidRPr="009B783C">
        <w:rPr>
          <w:szCs w:val="21"/>
        </w:rPr>
        <w:t xml:space="preserve">seen on time by triage category: </w:t>
      </w:r>
      <w:r w:rsidR="00493C3F" w:rsidRPr="009B783C">
        <w:rPr>
          <w:rFonts w:asciiTheme="majorHAnsi" w:hAnsiTheme="majorHAnsi" w:cstheme="majorHAnsi"/>
          <w:szCs w:val="21"/>
        </w:rPr>
        <w:t>Partner hospitals for newly established Medicare UCCs, commenced prior to 31 December 2023</w:t>
      </w:r>
      <w:r w:rsidR="00493C3F" w:rsidRPr="009B783C">
        <w:rPr>
          <w:szCs w:val="21"/>
        </w:rPr>
        <w:t>. 2020-21 to 2023-24, year ended 30 June for all years.</w:t>
      </w:r>
    </w:p>
    <w:tbl>
      <w:tblPr>
        <w:tblW w:w="5000" w:type="pct"/>
        <w:jc w:val="center"/>
        <w:tblLook w:val="0420" w:firstRow="1" w:lastRow="0" w:firstColumn="0" w:lastColumn="0" w:noHBand="0" w:noVBand="1"/>
      </w:tblPr>
      <w:tblGrid>
        <w:gridCol w:w="1278"/>
        <w:gridCol w:w="1558"/>
        <w:gridCol w:w="1489"/>
        <w:gridCol w:w="1489"/>
        <w:gridCol w:w="1489"/>
        <w:gridCol w:w="1489"/>
        <w:gridCol w:w="1697"/>
        <w:gridCol w:w="1696"/>
        <w:gridCol w:w="1696"/>
      </w:tblGrid>
      <w:tr w:rsidR="007818D3" w:rsidRPr="009B783C" w14:paraId="51DAAF13" w14:textId="77777777" w:rsidTr="007721A0">
        <w:trPr>
          <w:tblHeader/>
          <w:jc w:val="center"/>
        </w:trPr>
        <w:tc>
          <w:tcPr>
            <w:tcW w:w="460" w:type="pct"/>
            <w:tcBorders>
              <w:top w:val="single" w:sz="8" w:space="0" w:color="FFFFFF"/>
              <w:left w:val="none" w:sz="0" w:space="0" w:color="000000"/>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69A9A590" w14:textId="7B6A4F38" w:rsidR="009650CF" w:rsidRPr="00107854" w:rsidRDefault="009650CF" w:rsidP="009650CF">
            <w:pPr>
              <w:pStyle w:val="TableNheader"/>
            </w:pPr>
            <w:r w:rsidRPr="00107854">
              <w:rPr>
                <w:rFonts w:eastAsia="Segoe UI Semibold"/>
              </w:rPr>
              <w:t>Triage category</w:t>
            </w:r>
          </w:p>
        </w:tc>
        <w:tc>
          <w:tcPr>
            <w:tcW w:w="561"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2C417675" w14:textId="386E0D0F" w:rsidR="009650CF" w:rsidRPr="00107854" w:rsidRDefault="009650CF" w:rsidP="00107854">
            <w:pPr>
              <w:pStyle w:val="TableNheader"/>
            </w:pPr>
            <w:r w:rsidRPr="00107854">
              <w:rPr>
                <w:rFonts w:eastAsia="Segoe UI Semibold"/>
              </w:rPr>
              <w:t>Hospitals (n)</w:t>
            </w:r>
          </w:p>
        </w:tc>
        <w:tc>
          <w:tcPr>
            <w:tcW w:w="536"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666A249E" w14:textId="003FBB57" w:rsidR="009650CF" w:rsidRPr="00107854" w:rsidRDefault="009650CF" w:rsidP="00107854">
            <w:pPr>
              <w:pStyle w:val="TableNheader"/>
            </w:pPr>
            <w:r w:rsidRPr="00107854">
              <w:rPr>
                <w:rFonts w:eastAsia="Segoe UI Semibold"/>
              </w:rPr>
              <w:t>Seen on time 2021</w:t>
            </w:r>
          </w:p>
        </w:tc>
        <w:tc>
          <w:tcPr>
            <w:tcW w:w="536"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110BB17F" w14:textId="24CB80AF" w:rsidR="009650CF" w:rsidRPr="00107854" w:rsidRDefault="009650CF" w:rsidP="00107854">
            <w:pPr>
              <w:pStyle w:val="TableNheader"/>
            </w:pPr>
            <w:r w:rsidRPr="00107854">
              <w:rPr>
                <w:rFonts w:eastAsia="Segoe UI Semibold"/>
              </w:rPr>
              <w:t>Seen on time 2022</w:t>
            </w:r>
          </w:p>
        </w:tc>
        <w:tc>
          <w:tcPr>
            <w:tcW w:w="536"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08A4FE6D" w14:textId="2E147837" w:rsidR="009650CF" w:rsidRPr="00107854" w:rsidRDefault="009650CF" w:rsidP="00107854">
            <w:pPr>
              <w:pStyle w:val="TableNheader"/>
            </w:pPr>
            <w:r w:rsidRPr="00107854">
              <w:rPr>
                <w:rFonts w:eastAsia="Segoe UI Semibold"/>
              </w:rPr>
              <w:t>Seen on time 2023</w:t>
            </w:r>
          </w:p>
        </w:tc>
        <w:tc>
          <w:tcPr>
            <w:tcW w:w="536"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3CC1524C" w14:textId="6254AA20" w:rsidR="009650CF" w:rsidRPr="00107854" w:rsidRDefault="009650CF" w:rsidP="00107854">
            <w:pPr>
              <w:pStyle w:val="TableNheader"/>
            </w:pPr>
            <w:r w:rsidRPr="00107854">
              <w:rPr>
                <w:rFonts w:eastAsia="Segoe UI Semibold"/>
              </w:rPr>
              <w:t>Seen on time 2024</w:t>
            </w:r>
          </w:p>
        </w:tc>
        <w:tc>
          <w:tcPr>
            <w:tcW w:w="611"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5F7EF803" w14:textId="650F66CA" w:rsidR="009650CF" w:rsidRPr="00107854" w:rsidRDefault="009650CF" w:rsidP="00107854">
            <w:pPr>
              <w:pStyle w:val="TableNheader"/>
            </w:pPr>
            <w:r w:rsidRPr="00107854">
              <w:rPr>
                <w:rFonts w:eastAsia="Segoe UI Semibold"/>
              </w:rPr>
              <w:t>Annual change 2022</w:t>
            </w:r>
          </w:p>
        </w:tc>
        <w:tc>
          <w:tcPr>
            <w:tcW w:w="611"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24FD7318" w14:textId="1AE73312" w:rsidR="009650CF" w:rsidRPr="00107854" w:rsidRDefault="009650CF" w:rsidP="00107854">
            <w:pPr>
              <w:pStyle w:val="TableNheader"/>
            </w:pPr>
            <w:r w:rsidRPr="00107854">
              <w:rPr>
                <w:rFonts w:eastAsia="Segoe UI Semibold"/>
              </w:rPr>
              <w:t>Annual change 2023</w:t>
            </w:r>
          </w:p>
        </w:tc>
        <w:tc>
          <w:tcPr>
            <w:tcW w:w="611" w:type="pct"/>
            <w:tcBorders>
              <w:top w:val="single" w:sz="8" w:space="0" w:color="FFFFFF"/>
              <w:left w:val="single" w:sz="8" w:space="0" w:color="FFFFFF"/>
              <w:bottom w:val="single" w:sz="4" w:space="0" w:color="00264D" w:themeColor="background2"/>
              <w:right w:val="single" w:sz="8" w:space="0" w:color="FFFFFF"/>
            </w:tcBorders>
            <w:shd w:val="clear" w:color="auto" w:fill="00264D" w:themeFill="background2"/>
            <w:tcMar>
              <w:top w:w="40" w:type="dxa"/>
              <w:left w:w="80" w:type="dxa"/>
              <w:bottom w:w="40" w:type="dxa"/>
              <w:right w:w="80" w:type="dxa"/>
            </w:tcMar>
            <w:vAlign w:val="center"/>
          </w:tcPr>
          <w:p w14:paraId="2A3517B1" w14:textId="329EEB4B" w:rsidR="009650CF" w:rsidRPr="00107854" w:rsidRDefault="009650CF" w:rsidP="00107854">
            <w:pPr>
              <w:pStyle w:val="TableNheader"/>
            </w:pPr>
            <w:r w:rsidRPr="00107854">
              <w:rPr>
                <w:rFonts w:eastAsia="Segoe UI Semibold"/>
              </w:rPr>
              <w:t>Annual change 2024</w:t>
            </w:r>
          </w:p>
        </w:tc>
      </w:tr>
      <w:tr w:rsidR="007818D3" w:rsidRPr="009B783C" w14:paraId="2ED4F003" w14:textId="77777777" w:rsidTr="007721A0">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D5492A9" w14:textId="77777777" w:rsidR="00EB4F35" w:rsidRPr="009B783C" w:rsidRDefault="00EB4F35" w:rsidP="003E79FA">
            <w:pPr>
              <w:pStyle w:val="TableNText"/>
              <w:rPr>
                <w:sz w:val="21"/>
                <w:szCs w:val="21"/>
              </w:rPr>
            </w:pPr>
            <w:r w:rsidRPr="009B783C">
              <w:rPr>
                <w:sz w:val="21"/>
                <w:szCs w:val="21"/>
              </w:rPr>
              <w:t>Triage 4</w:t>
            </w:r>
          </w:p>
        </w:tc>
        <w:tc>
          <w:tcPr>
            <w:tcW w:w="5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08B20AF" w14:textId="77777777" w:rsidR="00EB4F35" w:rsidRPr="009B783C" w:rsidRDefault="00EB4F35" w:rsidP="00AB7572">
            <w:pPr>
              <w:pStyle w:val="TableNText"/>
              <w:jc w:val="center"/>
              <w:rPr>
                <w:sz w:val="21"/>
                <w:szCs w:val="21"/>
              </w:rPr>
            </w:pPr>
            <w:r w:rsidRPr="009B783C">
              <w:rPr>
                <w:sz w:val="21"/>
                <w:szCs w:val="21"/>
              </w:rPr>
              <w:t>43</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4719166" w14:textId="77777777" w:rsidR="00EB4F35" w:rsidRPr="009B783C" w:rsidRDefault="00EB4F35" w:rsidP="00AB7572">
            <w:pPr>
              <w:pStyle w:val="TableNText"/>
              <w:jc w:val="center"/>
              <w:rPr>
                <w:sz w:val="21"/>
                <w:szCs w:val="21"/>
              </w:rPr>
            </w:pPr>
            <w:r w:rsidRPr="009B783C">
              <w:rPr>
                <w:sz w:val="21"/>
                <w:szCs w:val="21"/>
              </w:rPr>
              <w:t>67%</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3E3B5E4" w14:textId="77777777" w:rsidR="00EB4F35" w:rsidRPr="009B783C" w:rsidRDefault="00EB4F35" w:rsidP="00AB7572">
            <w:pPr>
              <w:pStyle w:val="TableNText"/>
              <w:jc w:val="center"/>
              <w:rPr>
                <w:sz w:val="21"/>
                <w:szCs w:val="21"/>
              </w:rPr>
            </w:pPr>
            <w:r w:rsidRPr="009B783C">
              <w:rPr>
                <w:sz w:val="21"/>
                <w:szCs w:val="21"/>
              </w:rPr>
              <w:t>61%</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1C5E2BE" w14:textId="77777777" w:rsidR="00EB4F35" w:rsidRPr="009B783C" w:rsidRDefault="00EB4F35" w:rsidP="00AB7572">
            <w:pPr>
              <w:pStyle w:val="TableNText"/>
              <w:jc w:val="center"/>
              <w:rPr>
                <w:sz w:val="21"/>
                <w:szCs w:val="21"/>
              </w:rPr>
            </w:pPr>
            <w:r w:rsidRPr="009B783C">
              <w:rPr>
                <w:sz w:val="21"/>
                <w:szCs w:val="21"/>
              </w:rPr>
              <w:t>58%</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F98509E" w14:textId="77777777" w:rsidR="00EB4F35" w:rsidRPr="009B783C" w:rsidRDefault="00EB4F35" w:rsidP="00AB7572">
            <w:pPr>
              <w:pStyle w:val="TableNText"/>
              <w:jc w:val="center"/>
              <w:rPr>
                <w:sz w:val="21"/>
                <w:szCs w:val="21"/>
              </w:rPr>
            </w:pPr>
            <w:r w:rsidRPr="009B783C">
              <w:rPr>
                <w:sz w:val="21"/>
                <w:szCs w:val="21"/>
              </w:rPr>
              <w:t>60%</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1597CB6" w14:textId="77777777" w:rsidR="00EB4F35" w:rsidRPr="009B783C" w:rsidRDefault="00EB4F35" w:rsidP="00AB7572">
            <w:pPr>
              <w:pStyle w:val="TableNText"/>
              <w:jc w:val="center"/>
              <w:rPr>
                <w:sz w:val="21"/>
                <w:szCs w:val="21"/>
              </w:rPr>
            </w:pPr>
            <w:r w:rsidRPr="009B783C">
              <w:rPr>
                <w:sz w:val="21"/>
                <w:szCs w:val="21"/>
              </w:rPr>
              <w:t>-8.7%</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1123E9D" w14:textId="77777777" w:rsidR="00EB4F35" w:rsidRPr="009B783C" w:rsidRDefault="00EB4F35" w:rsidP="00AB7572">
            <w:pPr>
              <w:pStyle w:val="TableNText"/>
              <w:jc w:val="center"/>
              <w:rPr>
                <w:sz w:val="21"/>
                <w:szCs w:val="21"/>
              </w:rPr>
            </w:pPr>
            <w:r w:rsidRPr="009B783C">
              <w:rPr>
                <w:sz w:val="21"/>
                <w:szCs w:val="21"/>
              </w:rPr>
              <w:t>-3.9%</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3F8E779" w14:textId="77777777" w:rsidR="00EB4F35" w:rsidRPr="009B783C" w:rsidRDefault="00EB4F35" w:rsidP="00AB7572">
            <w:pPr>
              <w:pStyle w:val="TableNText"/>
              <w:jc w:val="center"/>
              <w:rPr>
                <w:sz w:val="21"/>
                <w:szCs w:val="21"/>
              </w:rPr>
            </w:pPr>
            <w:r w:rsidRPr="009B783C">
              <w:rPr>
                <w:sz w:val="21"/>
                <w:szCs w:val="21"/>
              </w:rPr>
              <w:t>1.8%</w:t>
            </w:r>
          </w:p>
        </w:tc>
      </w:tr>
      <w:tr w:rsidR="007818D3" w:rsidRPr="009B783C" w14:paraId="1EA1C0D6" w14:textId="77777777" w:rsidTr="007721A0">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A088206" w14:textId="77777777" w:rsidR="00EB4F35" w:rsidRPr="009B783C" w:rsidRDefault="00EB4F35" w:rsidP="003E79FA">
            <w:pPr>
              <w:pStyle w:val="TableNText"/>
              <w:rPr>
                <w:sz w:val="21"/>
                <w:szCs w:val="21"/>
              </w:rPr>
            </w:pPr>
            <w:r w:rsidRPr="009B783C">
              <w:rPr>
                <w:sz w:val="21"/>
                <w:szCs w:val="21"/>
              </w:rPr>
              <w:t>Triage 5</w:t>
            </w:r>
          </w:p>
        </w:tc>
        <w:tc>
          <w:tcPr>
            <w:tcW w:w="56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370FF56" w14:textId="77777777" w:rsidR="00EB4F35" w:rsidRPr="009B783C" w:rsidRDefault="00EB4F35" w:rsidP="00AB7572">
            <w:pPr>
              <w:pStyle w:val="TableNText"/>
              <w:jc w:val="center"/>
              <w:rPr>
                <w:sz w:val="21"/>
                <w:szCs w:val="21"/>
              </w:rPr>
            </w:pPr>
            <w:r w:rsidRPr="009B783C">
              <w:rPr>
                <w:sz w:val="21"/>
                <w:szCs w:val="21"/>
              </w:rPr>
              <w:t>43</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1007A4E" w14:textId="77777777" w:rsidR="00EB4F35" w:rsidRPr="009B783C" w:rsidRDefault="00EB4F35" w:rsidP="00AB7572">
            <w:pPr>
              <w:pStyle w:val="TableNText"/>
              <w:jc w:val="center"/>
              <w:rPr>
                <w:sz w:val="21"/>
                <w:szCs w:val="21"/>
              </w:rPr>
            </w:pPr>
            <w:r w:rsidRPr="009B783C">
              <w:rPr>
                <w:sz w:val="21"/>
                <w:szCs w:val="21"/>
              </w:rPr>
              <w:t>90%</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A60EA1D" w14:textId="77777777" w:rsidR="00EB4F35" w:rsidRPr="009B783C" w:rsidRDefault="00EB4F35" w:rsidP="00AB7572">
            <w:pPr>
              <w:pStyle w:val="TableNText"/>
              <w:jc w:val="center"/>
              <w:rPr>
                <w:sz w:val="21"/>
                <w:szCs w:val="21"/>
              </w:rPr>
            </w:pPr>
            <w:r w:rsidRPr="009B783C">
              <w:rPr>
                <w:sz w:val="21"/>
                <w:szCs w:val="21"/>
              </w:rPr>
              <w:t>86%</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30223F8" w14:textId="77777777" w:rsidR="00EB4F35" w:rsidRPr="009B783C" w:rsidRDefault="00EB4F35" w:rsidP="00AB7572">
            <w:pPr>
              <w:pStyle w:val="TableNText"/>
              <w:jc w:val="center"/>
              <w:rPr>
                <w:sz w:val="21"/>
                <w:szCs w:val="21"/>
              </w:rPr>
            </w:pPr>
            <w:r w:rsidRPr="009B783C">
              <w:rPr>
                <w:sz w:val="21"/>
                <w:szCs w:val="21"/>
              </w:rPr>
              <w:t>81%</w:t>
            </w:r>
          </w:p>
        </w:tc>
        <w:tc>
          <w:tcPr>
            <w:tcW w:w="536"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42A94DE" w14:textId="77777777" w:rsidR="00EB4F35" w:rsidRPr="009B783C" w:rsidRDefault="00EB4F35" w:rsidP="00AB7572">
            <w:pPr>
              <w:pStyle w:val="TableNText"/>
              <w:jc w:val="center"/>
              <w:rPr>
                <w:sz w:val="21"/>
                <w:szCs w:val="21"/>
              </w:rPr>
            </w:pPr>
            <w:r w:rsidRPr="009B783C">
              <w:rPr>
                <w:sz w:val="21"/>
                <w:szCs w:val="21"/>
              </w:rPr>
              <w:t>82%</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09DF633" w14:textId="77777777" w:rsidR="00EB4F35" w:rsidRPr="009B783C" w:rsidRDefault="00EB4F35" w:rsidP="00AB7572">
            <w:pPr>
              <w:pStyle w:val="TableNText"/>
              <w:jc w:val="center"/>
              <w:rPr>
                <w:sz w:val="21"/>
                <w:szCs w:val="21"/>
              </w:rPr>
            </w:pPr>
            <w:r w:rsidRPr="009B783C">
              <w:rPr>
                <w:sz w:val="21"/>
                <w:szCs w:val="21"/>
              </w:rPr>
              <w:t>-4.3%</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6FAA512" w14:textId="77777777" w:rsidR="00EB4F35" w:rsidRPr="009B783C" w:rsidRDefault="00EB4F35" w:rsidP="00AB7572">
            <w:pPr>
              <w:pStyle w:val="TableNText"/>
              <w:jc w:val="center"/>
              <w:rPr>
                <w:sz w:val="21"/>
                <w:szCs w:val="21"/>
              </w:rPr>
            </w:pPr>
            <w:r w:rsidRPr="009B783C">
              <w:rPr>
                <w:sz w:val="21"/>
                <w:szCs w:val="21"/>
              </w:rPr>
              <w:t>-5.9%</w:t>
            </w:r>
          </w:p>
        </w:tc>
        <w:tc>
          <w:tcPr>
            <w:tcW w:w="611"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89B7344" w14:textId="77777777" w:rsidR="00EB4F35" w:rsidRPr="009B783C" w:rsidRDefault="00EB4F35" w:rsidP="00AB7572">
            <w:pPr>
              <w:pStyle w:val="TableNText"/>
              <w:jc w:val="center"/>
              <w:rPr>
                <w:sz w:val="21"/>
                <w:szCs w:val="21"/>
              </w:rPr>
            </w:pPr>
            <w:r w:rsidRPr="009B783C">
              <w:rPr>
                <w:sz w:val="21"/>
                <w:szCs w:val="21"/>
              </w:rPr>
              <w:t>0.4%</w:t>
            </w:r>
          </w:p>
        </w:tc>
      </w:tr>
    </w:tbl>
    <w:p w14:paraId="35E67D57" w14:textId="43C9F9EA" w:rsidR="00493C3F" w:rsidRPr="009B783C" w:rsidRDefault="00493C3F" w:rsidP="00493C3F">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Pr="009B783C">
        <w:rPr>
          <w:szCs w:val="21"/>
        </w:rPr>
        <w:t>37</w:t>
      </w:r>
      <w:r w:rsidRPr="009B783C">
        <w:rPr>
          <w:szCs w:val="21"/>
        </w:rPr>
        <w:fldChar w:fldCharType="end"/>
      </w:r>
      <w:r w:rsidRPr="009B783C">
        <w:rPr>
          <w:szCs w:val="21"/>
        </w:rPr>
        <w:t xml:space="preserve"> | Percentage of patients seen on time by triage category: Partner hospitals for Medicare UCC transitioned from prior arrangements, commenced prior to 31 December 2023. 2020-21 to 2023-24, year ended 30 June for all years.</w:t>
      </w:r>
    </w:p>
    <w:tbl>
      <w:tblPr>
        <w:tblW w:w="5000" w:type="pct"/>
        <w:jc w:val="center"/>
        <w:tblLook w:val="0420" w:firstRow="1" w:lastRow="0" w:firstColumn="0" w:lastColumn="0" w:noHBand="0" w:noVBand="1"/>
      </w:tblPr>
      <w:tblGrid>
        <w:gridCol w:w="1278"/>
        <w:gridCol w:w="1560"/>
        <w:gridCol w:w="1491"/>
        <w:gridCol w:w="1491"/>
        <w:gridCol w:w="1491"/>
        <w:gridCol w:w="1491"/>
        <w:gridCol w:w="1693"/>
        <w:gridCol w:w="1693"/>
        <w:gridCol w:w="1693"/>
      </w:tblGrid>
      <w:tr w:rsidR="00E44936" w:rsidRPr="009B783C" w14:paraId="4322E01E" w14:textId="77777777" w:rsidTr="00BC7584">
        <w:trPr>
          <w:tblHeader/>
          <w:jc w:val="center"/>
        </w:trPr>
        <w:tc>
          <w:tcPr>
            <w:tcW w:w="46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5FE03E03" w14:textId="17E4D620" w:rsidR="00493C3F" w:rsidRPr="009B783C" w:rsidRDefault="00493C3F" w:rsidP="00107854">
            <w:pPr>
              <w:pStyle w:val="TableNheader"/>
              <w:rPr>
                <w:sz w:val="21"/>
                <w:szCs w:val="21"/>
              </w:rPr>
            </w:pPr>
            <w:r w:rsidRPr="009B783C">
              <w:rPr>
                <w:rFonts w:eastAsia="Segoe UI Semibold"/>
              </w:rPr>
              <w:t>Triage category</w:t>
            </w:r>
          </w:p>
        </w:tc>
        <w:tc>
          <w:tcPr>
            <w:tcW w:w="56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38B7F519" w14:textId="40F75514" w:rsidR="00493C3F" w:rsidRPr="009B783C" w:rsidRDefault="00493C3F" w:rsidP="00107854">
            <w:pPr>
              <w:pStyle w:val="TableNheader"/>
              <w:rPr>
                <w:sz w:val="21"/>
                <w:szCs w:val="21"/>
              </w:rPr>
            </w:pPr>
            <w:r w:rsidRPr="009B783C">
              <w:rPr>
                <w:rFonts w:eastAsia="Segoe UI Semibold"/>
              </w:rPr>
              <w:t>Hospitals (n)</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04428B2A" w14:textId="6B87B6BB" w:rsidR="00493C3F" w:rsidRPr="009B783C" w:rsidRDefault="00493C3F" w:rsidP="00107854">
            <w:pPr>
              <w:pStyle w:val="TableNheader"/>
              <w:rPr>
                <w:sz w:val="21"/>
                <w:szCs w:val="21"/>
              </w:rPr>
            </w:pPr>
            <w:r w:rsidRPr="009B783C">
              <w:rPr>
                <w:rFonts w:eastAsia="Segoe UI Semibold"/>
              </w:rPr>
              <w:t>Seen on time 2021</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07E17DE3" w14:textId="507A154D" w:rsidR="00493C3F" w:rsidRPr="009B783C" w:rsidRDefault="00493C3F" w:rsidP="00107854">
            <w:pPr>
              <w:pStyle w:val="TableNheader"/>
              <w:rPr>
                <w:sz w:val="21"/>
                <w:szCs w:val="21"/>
              </w:rPr>
            </w:pPr>
            <w:r w:rsidRPr="009B783C">
              <w:rPr>
                <w:rFonts w:eastAsia="Segoe UI Semibold"/>
              </w:rPr>
              <w:t>Seen on time 2022</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70A726B5" w14:textId="768FFE11" w:rsidR="00493C3F" w:rsidRPr="009B783C" w:rsidRDefault="00493C3F" w:rsidP="00107854">
            <w:pPr>
              <w:pStyle w:val="TableNheader"/>
              <w:rPr>
                <w:sz w:val="21"/>
                <w:szCs w:val="21"/>
              </w:rPr>
            </w:pPr>
            <w:r w:rsidRPr="009B783C">
              <w:rPr>
                <w:rFonts w:eastAsia="Segoe UI Semibold"/>
              </w:rPr>
              <w:t>Seen on time 2023</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5784E543" w14:textId="0D12BCE1" w:rsidR="00493C3F" w:rsidRPr="009B783C" w:rsidRDefault="00493C3F" w:rsidP="00107854">
            <w:pPr>
              <w:pStyle w:val="TableNheader"/>
              <w:rPr>
                <w:sz w:val="21"/>
                <w:szCs w:val="21"/>
              </w:rPr>
            </w:pPr>
            <w:r w:rsidRPr="009B783C">
              <w:rPr>
                <w:rFonts w:eastAsia="Segoe UI Semibold"/>
              </w:rPr>
              <w:t>Seen on time 2024</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205C30C1" w14:textId="22E4AA07" w:rsidR="00493C3F" w:rsidRPr="009B783C" w:rsidRDefault="00493C3F" w:rsidP="00107854">
            <w:pPr>
              <w:pStyle w:val="TableNheader"/>
              <w:rPr>
                <w:sz w:val="21"/>
                <w:szCs w:val="21"/>
              </w:rPr>
            </w:pPr>
            <w:r w:rsidRPr="009B783C">
              <w:rPr>
                <w:rFonts w:eastAsia="Segoe UI Semibold"/>
              </w:rPr>
              <w:t>Annual change 2022</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0BC727CB" w14:textId="395BA16A" w:rsidR="00493C3F" w:rsidRPr="009B783C" w:rsidRDefault="00493C3F" w:rsidP="00107854">
            <w:pPr>
              <w:pStyle w:val="TableNheader"/>
              <w:rPr>
                <w:sz w:val="21"/>
                <w:szCs w:val="21"/>
              </w:rPr>
            </w:pPr>
            <w:r w:rsidRPr="009B783C">
              <w:rPr>
                <w:rFonts w:eastAsia="Segoe UI Semibold"/>
              </w:rPr>
              <w:t>Annual change 2023</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724E5BC1" w14:textId="0B4C354E" w:rsidR="00493C3F" w:rsidRPr="009B783C" w:rsidRDefault="00493C3F" w:rsidP="00107854">
            <w:pPr>
              <w:pStyle w:val="TableNheader"/>
              <w:rPr>
                <w:sz w:val="21"/>
                <w:szCs w:val="21"/>
              </w:rPr>
            </w:pPr>
            <w:r w:rsidRPr="009B783C">
              <w:rPr>
                <w:rFonts w:eastAsia="Segoe UI Semibold"/>
              </w:rPr>
              <w:t>Annual change 2024</w:t>
            </w:r>
          </w:p>
        </w:tc>
      </w:tr>
      <w:tr w:rsidR="00E44936" w:rsidRPr="009B783C" w14:paraId="001B8A7E" w14:textId="77777777" w:rsidTr="00E44936">
        <w:trPr>
          <w:jc w:val="center"/>
        </w:trPr>
        <w:tc>
          <w:tcPr>
            <w:tcW w:w="46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5220E19" w14:textId="77777777" w:rsidR="00493C3F" w:rsidRPr="009B783C" w:rsidRDefault="00493C3F" w:rsidP="00493C3F">
            <w:pPr>
              <w:pStyle w:val="TableNText"/>
              <w:rPr>
                <w:sz w:val="21"/>
                <w:szCs w:val="21"/>
              </w:rPr>
            </w:pPr>
            <w:r w:rsidRPr="009B783C">
              <w:rPr>
                <w:sz w:val="21"/>
                <w:szCs w:val="21"/>
              </w:rPr>
              <w:t>Triage 4</w:t>
            </w:r>
          </w:p>
        </w:tc>
        <w:tc>
          <w:tcPr>
            <w:tcW w:w="562"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683B2E4" w14:textId="77777777" w:rsidR="00493C3F" w:rsidRPr="009B783C" w:rsidRDefault="00493C3F" w:rsidP="00493C3F">
            <w:pPr>
              <w:pStyle w:val="TableNText"/>
              <w:jc w:val="center"/>
              <w:rPr>
                <w:sz w:val="21"/>
                <w:szCs w:val="21"/>
              </w:rPr>
            </w:pPr>
            <w:r w:rsidRPr="009B783C">
              <w:rPr>
                <w:sz w:val="21"/>
                <w:szCs w:val="21"/>
              </w:rPr>
              <w:t>12</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572BE8E" w14:textId="77777777" w:rsidR="00493C3F" w:rsidRPr="009B783C" w:rsidRDefault="00493C3F" w:rsidP="00493C3F">
            <w:pPr>
              <w:pStyle w:val="TableNText"/>
              <w:jc w:val="center"/>
              <w:rPr>
                <w:sz w:val="21"/>
                <w:szCs w:val="21"/>
              </w:rPr>
            </w:pPr>
            <w:r w:rsidRPr="009B783C">
              <w:rPr>
                <w:sz w:val="21"/>
                <w:szCs w:val="21"/>
              </w:rPr>
              <w:t>61%</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E050C74" w14:textId="77777777" w:rsidR="00493C3F" w:rsidRPr="009B783C" w:rsidRDefault="00493C3F" w:rsidP="00493C3F">
            <w:pPr>
              <w:pStyle w:val="TableNText"/>
              <w:jc w:val="center"/>
              <w:rPr>
                <w:sz w:val="21"/>
                <w:szCs w:val="21"/>
              </w:rPr>
            </w:pPr>
            <w:r w:rsidRPr="009B783C">
              <w:rPr>
                <w:sz w:val="21"/>
                <w:szCs w:val="21"/>
              </w:rPr>
              <w:t>59%</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2BB80D3" w14:textId="77777777" w:rsidR="00493C3F" w:rsidRPr="009B783C" w:rsidRDefault="00493C3F" w:rsidP="00493C3F">
            <w:pPr>
              <w:pStyle w:val="TableNText"/>
              <w:jc w:val="center"/>
              <w:rPr>
                <w:sz w:val="21"/>
                <w:szCs w:val="21"/>
              </w:rPr>
            </w:pPr>
            <w:r w:rsidRPr="009B783C">
              <w:rPr>
                <w:sz w:val="21"/>
                <w:szCs w:val="21"/>
              </w:rPr>
              <w:t>60%</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E4A11D2" w14:textId="77777777" w:rsidR="00493C3F" w:rsidRPr="009B783C" w:rsidRDefault="00493C3F" w:rsidP="00493C3F">
            <w:pPr>
              <w:pStyle w:val="TableNText"/>
              <w:jc w:val="center"/>
              <w:rPr>
                <w:sz w:val="21"/>
                <w:szCs w:val="21"/>
              </w:rPr>
            </w:pPr>
            <w:r w:rsidRPr="009B783C">
              <w:rPr>
                <w:sz w:val="21"/>
                <w:szCs w:val="21"/>
              </w:rPr>
              <w:t>66%</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A9A5FD0" w14:textId="77777777" w:rsidR="00493C3F" w:rsidRPr="009B783C" w:rsidRDefault="00493C3F" w:rsidP="00493C3F">
            <w:pPr>
              <w:pStyle w:val="TableNText"/>
              <w:jc w:val="center"/>
              <w:rPr>
                <w:sz w:val="21"/>
                <w:szCs w:val="21"/>
              </w:rPr>
            </w:pPr>
            <w:r w:rsidRPr="009B783C">
              <w:rPr>
                <w:sz w:val="21"/>
                <w:szCs w:val="21"/>
              </w:rPr>
              <w:t>-4.1%</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F5A5CB8" w14:textId="77777777" w:rsidR="00493C3F" w:rsidRPr="009B783C" w:rsidRDefault="00493C3F" w:rsidP="00493C3F">
            <w:pPr>
              <w:pStyle w:val="TableNText"/>
              <w:jc w:val="center"/>
              <w:rPr>
                <w:sz w:val="21"/>
                <w:szCs w:val="21"/>
              </w:rPr>
            </w:pPr>
            <w:r w:rsidRPr="009B783C">
              <w:rPr>
                <w:sz w:val="21"/>
                <w:szCs w:val="21"/>
              </w:rPr>
              <w:t>2.6%</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8A3D47D" w14:textId="77777777" w:rsidR="00493C3F" w:rsidRPr="009B783C" w:rsidRDefault="00493C3F" w:rsidP="00493C3F">
            <w:pPr>
              <w:pStyle w:val="TableNText"/>
              <w:jc w:val="center"/>
              <w:rPr>
                <w:sz w:val="21"/>
                <w:szCs w:val="21"/>
              </w:rPr>
            </w:pPr>
            <w:r w:rsidRPr="009B783C">
              <w:rPr>
                <w:sz w:val="21"/>
                <w:szCs w:val="21"/>
              </w:rPr>
              <w:t>9.4%</w:t>
            </w:r>
          </w:p>
        </w:tc>
      </w:tr>
      <w:tr w:rsidR="00E44936" w:rsidRPr="009B783C" w14:paraId="4ABEFB03" w14:textId="77777777" w:rsidTr="00E44936">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B9CB766" w14:textId="77777777" w:rsidR="00493C3F" w:rsidRPr="009B783C" w:rsidRDefault="00493C3F" w:rsidP="00493C3F">
            <w:pPr>
              <w:pStyle w:val="TableNText"/>
              <w:rPr>
                <w:sz w:val="21"/>
                <w:szCs w:val="21"/>
              </w:rPr>
            </w:pPr>
            <w:r w:rsidRPr="009B783C">
              <w:rPr>
                <w:sz w:val="21"/>
                <w:szCs w:val="21"/>
              </w:rPr>
              <w:t>Triage 5</w:t>
            </w:r>
          </w:p>
        </w:tc>
        <w:tc>
          <w:tcPr>
            <w:tcW w:w="5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634A3AB" w14:textId="77777777" w:rsidR="00493C3F" w:rsidRPr="009B783C" w:rsidRDefault="00493C3F" w:rsidP="00493C3F">
            <w:pPr>
              <w:pStyle w:val="TableNText"/>
              <w:jc w:val="center"/>
              <w:rPr>
                <w:sz w:val="21"/>
                <w:szCs w:val="21"/>
              </w:rPr>
            </w:pPr>
            <w:r w:rsidRPr="009B783C">
              <w:rPr>
                <w:sz w:val="21"/>
                <w:szCs w:val="21"/>
              </w:rPr>
              <w:t>12</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C77904B" w14:textId="77777777" w:rsidR="00493C3F" w:rsidRPr="009B783C" w:rsidRDefault="00493C3F" w:rsidP="00493C3F">
            <w:pPr>
              <w:pStyle w:val="TableNText"/>
              <w:jc w:val="center"/>
              <w:rPr>
                <w:sz w:val="21"/>
                <w:szCs w:val="21"/>
              </w:rPr>
            </w:pPr>
            <w:r w:rsidRPr="009B783C">
              <w:rPr>
                <w:sz w:val="21"/>
                <w:szCs w:val="21"/>
              </w:rPr>
              <w:t>83%</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1E7576E" w14:textId="77777777" w:rsidR="00493C3F" w:rsidRPr="009B783C" w:rsidRDefault="00493C3F" w:rsidP="00493C3F">
            <w:pPr>
              <w:pStyle w:val="TableNText"/>
              <w:jc w:val="center"/>
              <w:rPr>
                <w:sz w:val="21"/>
                <w:szCs w:val="21"/>
              </w:rPr>
            </w:pPr>
            <w:r w:rsidRPr="009B783C">
              <w:rPr>
                <w:sz w:val="21"/>
                <w:szCs w:val="21"/>
              </w:rPr>
              <w:t>82%</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311C3B2" w14:textId="77777777" w:rsidR="00493C3F" w:rsidRPr="009B783C" w:rsidRDefault="00493C3F" w:rsidP="00493C3F">
            <w:pPr>
              <w:pStyle w:val="TableNText"/>
              <w:jc w:val="center"/>
              <w:rPr>
                <w:sz w:val="21"/>
                <w:szCs w:val="21"/>
              </w:rPr>
            </w:pPr>
            <w:r w:rsidRPr="009B783C">
              <w:rPr>
                <w:sz w:val="21"/>
                <w:szCs w:val="21"/>
              </w:rPr>
              <w:t>82%</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B8D47FF" w14:textId="77777777" w:rsidR="00493C3F" w:rsidRPr="009B783C" w:rsidRDefault="00493C3F" w:rsidP="00493C3F">
            <w:pPr>
              <w:pStyle w:val="TableNText"/>
              <w:jc w:val="center"/>
              <w:rPr>
                <w:sz w:val="21"/>
                <w:szCs w:val="21"/>
              </w:rPr>
            </w:pPr>
            <w:r w:rsidRPr="009B783C">
              <w:rPr>
                <w:sz w:val="21"/>
                <w:szCs w:val="21"/>
              </w:rPr>
              <w:t>86%</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6100BA7" w14:textId="77777777" w:rsidR="00493C3F" w:rsidRPr="009B783C" w:rsidRDefault="00493C3F" w:rsidP="00493C3F">
            <w:pPr>
              <w:pStyle w:val="TableNText"/>
              <w:jc w:val="center"/>
              <w:rPr>
                <w:sz w:val="21"/>
                <w:szCs w:val="21"/>
              </w:rPr>
            </w:pPr>
            <w:r w:rsidRPr="009B783C">
              <w:rPr>
                <w:sz w:val="21"/>
                <w:szCs w:val="21"/>
              </w:rPr>
              <w:t>-1.4%</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09BF5FC" w14:textId="77777777" w:rsidR="00493C3F" w:rsidRPr="009B783C" w:rsidRDefault="00493C3F" w:rsidP="00493C3F">
            <w:pPr>
              <w:pStyle w:val="TableNText"/>
              <w:jc w:val="center"/>
              <w:rPr>
                <w:sz w:val="21"/>
                <w:szCs w:val="21"/>
              </w:rPr>
            </w:pPr>
            <w:r w:rsidRPr="009B783C">
              <w:rPr>
                <w:sz w:val="21"/>
                <w:szCs w:val="21"/>
              </w:rPr>
              <w:t>-0.1%</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A38A92D" w14:textId="77777777" w:rsidR="00493C3F" w:rsidRPr="009B783C" w:rsidRDefault="00493C3F" w:rsidP="00493C3F">
            <w:pPr>
              <w:pStyle w:val="TableNText"/>
              <w:jc w:val="center"/>
              <w:rPr>
                <w:sz w:val="21"/>
                <w:szCs w:val="21"/>
              </w:rPr>
            </w:pPr>
            <w:r w:rsidRPr="009B783C">
              <w:rPr>
                <w:sz w:val="21"/>
                <w:szCs w:val="21"/>
              </w:rPr>
              <w:t>4.7%</w:t>
            </w:r>
          </w:p>
        </w:tc>
      </w:tr>
    </w:tbl>
    <w:p w14:paraId="06FF3758" w14:textId="104AA05A" w:rsidR="00493C3F" w:rsidRPr="009B783C" w:rsidRDefault="00493C3F" w:rsidP="00493C3F">
      <w:pPr>
        <w:pStyle w:val="Caption"/>
        <w:rPr>
          <w:szCs w:val="21"/>
        </w:rPr>
      </w:pPr>
      <w:r w:rsidRPr="009B783C">
        <w:rPr>
          <w:szCs w:val="21"/>
        </w:rPr>
        <w:lastRenderedPageBreak/>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Pr="009B783C">
        <w:rPr>
          <w:szCs w:val="21"/>
        </w:rPr>
        <w:t>38</w:t>
      </w:r>
      <w:r w:rsidRPr="009B783C">
        <w:rPr>
          <w:szCs w:val="21"/>
        </w:rPr>
        <w:fldChar w:fldCharType="end"/>
      </w:r>
      <w:r w:rsidRPr="009B783C">
        <w:rPr>
          <w:szCs w:val="21"/>
        </w:rPr>
        <w:t xml:space="preserve"> | Percentage of patients seen on time by triage category: Partner hospitals for newly established Medicare UCCs, commenced July to September 2024. 2020-21 to 2023-24, year ended 30 June for all years.</w:t>
      </w:r>
    </w:p>
    <w:tbl>
      <w:tblPr>
        <w:tblW w:w="5000" w:type="pct"/>
        <w:jc w:val="center"/>
        <w:tblLook w:val="0420" w:firstRow="1" w:lastRow="0" w:firstColumn="0" w:lastColumn="0" w:noHBand="0" w:noVBand="1"/>
      </w:tblPr>
      <w:tblGrid>
        <w:gridCol w:w="1278"/>
        <w:gridCol w:w="1560"/>
        <w:gridCol w:w="1491"/>
        <w:gridCol w:w="1491"/>
        <w:gridCol w:w="1491"/>
        <w:gridCol w:w="1491"/>
        <w:gridCol w:w="1693"/>
        <w:gridCol w:w="1693"/>
        <w:gridCol w:w="1693"/>
      </w:tblGrid>
      <w:tr w:rsidR="00E44936" w:rsidRPr="009B783C" w14:paraId="4326C6A1" w14:textId="77777777" w:rsidTr="00BC7584">
        <w:trPr>
          <w:tblHeader/>
          <w:jc w:val="center"/>
        </w:trPr>
        <w:tc>
          <w:tcPr>
            <w:tcW w:w="46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13E3F02" w14:textId="2BF3A070" w:rsidR="00493C3F" w:rsidRPr="009B783C" w:rsidRDefault="00493C3F" w:rsidP="00107854">
            <w:pPr>
              <w:pStyle w:val="TableNheader"/>
              <w:rPr>
                <w:sz w:val="21"/>
                <w:szCs w:val="21"/>
              </w:rPr>
            </w:pPr>
            <w:r w:rsidRPr="009B783C">
              <w:rPr>
                <w:rFonts w:eastAsia="Segoe UI Semibold"/>
              </w:rPr>
              <w:t>Triage category</w:t>
            </w:r>
          </w:p>
        </w:tc>
        <w:tc>
          <w:tcPr>
            <w:tcW w:w="56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C03DDCF" w14:textId="3C5EC141" w:rsidR="00493C3F" w:rsidRPr="009B783C" w:rsidRDefault="00493C3F" w:rsidP="00107854">
            <w:pPr>
              <w:pStyle w:val="TableNheader"/>
              <w:rPr>
                <w:sz w:val="21"/>
                <w:szCs w:val="21"/>
              </w:rPr>
            </w:pPr>
            <w:r w:rsidRPr="009B783C">
              <w:rPr>
                <w:rFonts w:eastAsia="Segoe UI Semibold"/>
              </w:rPr>
              <w:t>Hospitals (n)</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5B611CDF" w14:textId="1A28A8EA" w:rsidR="00493C3F" w:rsidRPr="009B783C" w:rsidRDefault="00493C3F" w:rsidP="00107854">
            <w:pPr>
              <w:pStyle w:val="TableNheader"/>
              <w:rPr>
                <w:sz w:val="21"/>
                <w:szCs w:val="21"/>
              </w:rPr>
            </w:pPr>
            <w:r w:rsidRPr="009B783C">
              <w:rPr>
                <w:rFonts w:eastAsia="Segoe UI Semibold"/>
              </w:rPr>
              <w:t>Seen on time 2021</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379D8C93" w14:textId="24E4EBBB" w:rsidR="00493C3F" w:rsidRPr="009B783C" w:rsidRDefault="00493C3F" w:rsidP="00107854">
            <w:pPr>
              <w:pStyle w:val="TableNheader"/>
              <w:rPr>
                <w:sz w:val="21"/>
                <w:szCs w:val="21"/>
              </w:rPr>
            </w:pPr>
            <w:r w:rsidRPr="009B783C">
              <w:rPr>
                <w:rFonts w:eastAsia="Segoe UI Semibold"/>
              </w:rPr>
              <w:t>Seen on time 2022</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3226BD05" w14:textId="7D342CC9" w:rsidR="00493C3F" w:rsidRPr="009B783C" w:rsidRDefault="00493C3F" w:rsidP="00107854">
            <w:pPr>
              <w:pStyle w:val="TableNheader"/>
              <w:rPr>
                <w:sz w:val="21"/>
                <w:szCs w:val="21"/>
              </w:rPr>
            </w:pPr>
            <w:r w:rsidRPr="009B783C">
              <w:rPr>
                <w:rFonts w:eastAsia="Segoe UI Semibold"/>
              </w:rPr>
              <w:t>Seen on time 2023</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32E2596" w14:textId="55A722A4" w:rsidR="00493C3F" w:rsidRPr="009B783C" w:rsidRDefault="00493C3F" w:rsidP="00107854">
            <w:pPr>
              <w:pStyle w:val="TableNheader"/>
              <w:rPr>
                <w:sz w:val="21"/>
                <w:szCs w:val="21"/>
              </w:rPr>
            </w:pPr>
            <w:r w:rsidRPr="009B783C">
              <w:rPr>
                <w:rFonts w:eastAsia="Segoe UI Semibold"/>
              </w:rPr>
              <w:t>Seen on time 2024</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6C64AAE1" w14:textId="07E8BEBB" w:rsidR="00493C3F" w:rsidRPr="009B783C" w:rsidRDefault="00493C3F" w:rsidP="00107854">
            <w:pPr>
              <w:pStyle w:val="TableNheader"/>
              <w:rPr>
                <w:sz w:val="21"/>
                <w:szCs w:val="21"/>
              </w:rPr>
            </w:pPr>
            <w:r w:rsidRPr="009B783C">
              <w:rPr>
                <w:rFonts w:eastAsia="Segoe UI Semibold"/>
              </w:rPr>
              <w:t>Annual change 2022</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6CFC6D33" w14:textId="06E9B48C" w:rsidR="00493C3F" w:rsidRPr="009B783C" w:rsidRDefault="00493C3F" w:rsidP="00107854">
            <w:pPr>
              <w:pStyle w:val="TableNheader"/>
              <w:rPr>
                <w:sz w:val="21"/>
                <w:szCs w:val="21"/>
              </w:rPr>
            </w:pPr>
            <w:r w:rsidRPr="009B783C">
              <w:rPr>
                <w:rFonts w:eastAsia="Segoe UI Semibold"/>
              </w:rPr>
              <w:t>Annual change 2023</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2AF63A49" w14:textId="4EC02391" w:rsidR="00493C3F" w:rsidRPr="009B783C" w:rsidRDefault="00493C3F" w:rsidP="00107854">
            <w:pPr>
              <w:pStyle w:val="TableNheader"/>
              <w:rPr>
                <w:sz w:val="21"/>
                <w:szCs w:val="21"/>
              </w:rPr>
            </w:pPr>
            <w:r w:rsidRPr="009B783C">
              <w:rPr>
                <w:rFonts w:eastAsia="Segoe UI Semibold"/>
              </w:rPr>
              <w:t>Annual change 2024</w:t>
            </w:r>
          </w:p>
        </w:tc>
      </w:tr>
      <w:tr w:rsidR="00E44936" w:rsidRPr="009B783C" w14:paraId="0A3D252C" w14:textId="77777777" w:rsidTr="00E44936">
        <w:trPr>
          <w:jc w:val="center"/>
        </w:trPr>
        <w:tc>
          <w:tcPr>
            <w:tcW w:w="46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0A097A9" w14:textId="77777777" w:rsidR="00EB4F35" w:rsidRPr="009B783C" w:rsidRDefault="00EB4F35" w:rsidP="003E79FA">
            <w:pPr>
              <w:pStyle w:val="TableNText"/>
              <w:rPr>
                <w:sz w:val="21"/>
                <w:szCs w:val="21"/>
              </w:rPr>
            </w:pPr>
            <w:r w:rsidRPr="009B783C">
              <w:rPr>
                <w:sz w:val="21"/>
                <w:szCs w:val="21"/>
              </w:rPr>
              <w:t>Triage 4</w:t>
            </w:r>
          </w:p>
        </w:tc>
        <w:tc>
          <w:tcPr>
            <w:tcW w:w="562"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BE6ED2E" w14:textId="77777777" w:rsidR="00EB4F35" w:rsidRPr="009B783C" w:rsidRDefault="00EB4F35" w:rsidP="00AB7572">
            <w:pPr>
              <w:pStyle w:val="TableNText"/>
              <w:jc w:val="center"/>
              <w:rPr>
                <w:sz w:val="21"/>
                <w:szCs w:val="21"/>
              </w:rPr>
            </w:pPr>
            <w:r w:rsidRPr="009B783C">
              <w:rPr>
                <w:sz w:val="21"/>
                <w:szCs w:val="21"/>
              </w:rPr>
              <w:t>2</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5260627" w14:textId="77777777" w:rsidR="00EB4F35" w:rsidRPr="009B783C" w:rsidRDefault="00EB4F35" w:rsidP="00AB7572">
            <w:pPr>
              <w:pStyle w:val="TableNText"/>
              <w:jc w:val="center"/>
              <w:rPr>
                <w:sz w:val="21"/>
                <w:szCs w:val="21"/>
              </w:rPr>
            </w:pPr>
            <w:r w:rsidRPr="009B783C">
              <w:rPr>
                <w:sz w:val="21"/>
                <w:szCs w:val="21"/>
              </w:rPr>
              <w:t>83%</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EC6FD86" w14:textId="77777777" w:rsidR="00EB4F35" w:rsidRPr="009B783C" w:rsidRDefault="00EB4F35" w:rsidP="00AB7572">
            <w:pPr>
              <w:pStyle w:val="TableNText"/>
              <w:jc w:val="center"/>
              <w:rPr>
                <w:sz w:val="21"/>
                <w:szCs w:val="21"/>
              </w:rPr>
            </w:pPr>
            <w:r w:rsidRPr="009B783C">
              <w:rPr>
                <w:sz w:val="21"/>
                <w:szCs w:val="21"/>
              </w:rPr>
              <w:t>83%</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2F90B72" w14:textId="77777777" w:rsidR="00EB4F35" w:rsidRPr="009B783C" w:rsidRDefault="00EB4F35" w:rsidP="00AB7572">
            <w:pPr>
              <w:pStyle w:val="TableNText"/>
              <w:jc w:val="center"/>
              <w:rPr>
                <w:sz w:val="21"/>
                <w:szCs w:val="21"/>
              </w:rPr>
            </w:pPr>
            <w:r w:rsidRPr="009B783C">
              <w:rPr>
                <w:sz w:val="21"/>
                <w:szCs w:val="21"/>
              </w:rPr>
              <w:t>78%</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738E15E" w14:textId="77777777" w:rsidR="00EB4F35" w:rsidRPr="009B783C" w:rsidRDefault="00EB4F35" w:rsidP="00AB7572">
            <w:pPr>
              <w:pStyle w:val="TableNText"/>
              <w:jc w:val="center"/>
              <w:rPr>
                <w:sz w:val="21"/>
                <w:szCs w:val="21"/>
              </w:rPr>
            </w:pPr>
            <w:r w:rsidRPr="009B783C">
              <w:rPr>
                <w:sz w:val="21"/>
                <w:szCs w:val="21"/>
              </w:rPr>
              <w:t>83%</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C2A9B87" w14:textId="77777777" w:rsidR="00EB4F35" w:rsidRPr="009B783C" w:rsidRDefault="00EB4F35" w:rsidP="00AB7572">
            <w:pPr>
              <w:pStyle w:val="TableNText"/>
              <w:jc w:val="center"/>
              <w:rPr>
                <w:sz w:val="21"/>
                <w:szCs w:val="21"/>
              </w:rPr>
            </w:pPr>
            <w:r w:rsidRPr="009B783C">
              <w:rPr>
                <w:sz w:val="21"/>
                <w:szCs w:val="21"/>
              </w:rPr>
              <w:t>0.7%</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99D75B8" w14:textId="77777777" w:rsidR="00EB4F35" w:rsidRPr="009B783C" w:rsidRDefault="00EB4F35" w:rsidP="00AB7572">
            <w:pPr>
              <w:pStyle w:val="TableNText"/>
              <w:jc w:val="center"/>
              <w:rPr>
                <w:sz w:val="21"/>
                <w:szCs w:val="21"/>
              </w:rPr>
            </w:pPr>
            <w:r w:rsidRPr="009B783C">
              <w:rPr>
                <w:sz w:val="21"/>
                <w:szCs w:val="21"/>
              </w:rPr>
              <w:t>-6.2%</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8B9C811" w14:textId="77777777" w:rsidR="00EB4F35" w:rsidRPr="009B783C" w:rsidRDefault="00EB4F35" w:rsidP="00AB7572">
            <w:pPr>
              <w:pStyle w:val="TableNText"/>
              <w:jc w:val="center"/>
              <w:rPr>
                <w:sz w:val="21"/>
                <w:szCs w:val="21"/>
              </w:rPr>
            </w:pPr>
            <w:r w:rsidRPr="009B783C">
              <w:rPr>
                <w:sz w:val="21"/>
                <w:szCs w:val="21"/>
              </w:rPr>
              <w:t>6.1%</w:t>
            </w:r>
          </w:p>
        </w:tc>
      </w:tr>
      <w:tr w:rsidR="00E44936" w:rsidRPr="009B783C" w14:paraId="03564561" w14:textId="77777777" w:rsidTr="00E44936">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6C7B929" w14:textId="77777777" w:rsidR="00EB4F35" w:rsidRPr="009B783C" w:rsidRDefault="00EB4F35" w:rsidP="003E79FA">
            <w:pPr>
              <w:pStyle w:val="TableNText"/>
              <w:rPr>
                <w:sz w:val="21"/>
                <w:szCs w:val="21"/>
              </w:rPr>
            </w:pPr>
            <w:r w:rsidRPr="009B783C">
              <w:rPr>
                <w:sz w:val="21"/>
                <w:szCs w:val="21"/>
              </w:rPr>
              <w:t>Triage 5</w:t>
            </w:r>
          </w:p>
        </w:tc>
        <w:tc>
          <w:tcPr>
            <w:tcW w:w="5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717523B" w14:textId="77777777" w:rsidR="00EB4F35" w:rsidRPr="009B783C" w:rsidRDefault="00EB4F35" w:rsidP="00AB7572">
            <w:pPr>
              <w:pStyle w:val="TableNText"/>
              <w:jc w:val="center"/>
              <w:rPr>
                <w:sz w:val="21"/>
                <w:szCs w:val="21"/>
              </w:rPr>
            </w:pPr>
            <w:r w:rsidRPr="009B783C">
              <w:rPr>
                <w:sz w:val="21"/>
                <w:szCs w:val="21"/>
              </w:rPr>
              <w:t>2</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4BA7055" w14:textId="77777777" w:rsidR="00EB4F35" w:rsidRPr="009B783C" w:rsidRDefault="00EB4F35" w:rsidP="00AB7572">
            <w:pPr>
              <w:pStyle w:val="TableNText"/>
              <w:jc w:val="center"/>
              <w:rPr>
                <w:sz w:val="21"/>
                <w:szCs w:val="21"/>
              </w:rPr>
            </w:pPr>
            <w:r w:rsidRPr="009B783C">
              <w:rPr>
                <w:sz w:val="21"/>
                <w:szCs w:val="21"/>
              </w:rPr>
              <w:t>95%</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F7450FC" w14:textId="77777777" w:rsidR="00EB4F35" w:rsidRPr="009B783C" w:rsidRDefault="00EB4F35" w:rsidP="00AB7572">
            <w:pPr>
              <w:pStyle w:val="TableNText"/>
              <w:jc w:val="center"/>
              <w:rPr>
                <w:sz w:val="21"/>
                <w:szCs w:val="21"/>
              </w:rPr>
            </w:pPr>
            <w:r w:rsidRPr="009B783C">
              <w:rPr>
                <w:sz w:val="21"/>
                <w:szCs w:val="21"/>
              </w:rPr>
              <w:t>96%</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C53A0CD" w14:textId="77777777" w:rsidR="00EB4F35" w:rsidRPr="009B783C" w:rsidRDefault="00EB4F35" w:rsidP="00AB7572">
            <w:pPr>
              <w:pStyle w:val="TableNText"/>
              <w:jc w:val="center"/>
              <w:rPr>
                <w:sz w:val="21"/>
                <w:szCs w:val="21"/>
              </w:rPr>
            </w:pPr>
            <w:r w:rsidRPr="009B783C">
              <w:rPr>
                <w:sz w:val="21"/>
                <w:szCs w:val="21"/>
              </w:rPr>
              <w:t>91%</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F4C965D" w14:textId="77777777" w:rsidR="00EB4F35" w:rsidRPr="009B783C" w:rsidRDefault="00EB4F35" w:rsidP="00AB7572">
            <w:pPr>
              <w:pStyle w:val="TableNText"/>
              <w:jc w:val="center"/>
              <w:rPr>
                <w:sz w:val="21"/>
                <w:szCs w:val="21"/>
              </w:rPr>
            </w:pPr>
            <w:r w:rsidRPr="009B783C">
              <w:rPr>
                <w:sz w:val="21"/>
                <w:szCs w:val="21"/>
              </w:rPr>
              <w:t>93%</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83148F9" w14:textId="77777777" w:rsidR="00EB4F35" w:rsidRPr="009B783C" w:rsidRDefault="00EB4F35" w:rsidP="00AB7572">
            <w:pPr>
              <w:pStyle w:val="TableNText"/>
              <w:jc w:val="center"/>
              <w:rPr>
                <w:sz w:val="21"/>
                <w:szCs w:val="21"/>
              </w:rPr>
            </w:pPr>
            <w:r w:rsidRPr="009B783C">
              <w:rPr>
                <w:sz w:val="21"/>
                <w:szCs w:val="21"/>
              </w:rPr>
              <w:t>0.8%</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5C95479" w14:textId="77777777" w:rsidR="00EB4F35" w:rsidRPr="009B783C" w:rsidRDefault="00EB4F35" w:rsidP="00AB7572">
            <w:pPr>
              <w:pStyle w:val="TableNText"/>
              <w:jc w:val="center"/>
              <w:rPr>
                <w:sz w:val="21"/>
                <w:szCs w:val="21"/>
              </w:rPr>
            </w:pPr>
            <w:r w:rsidRPr="009B783C">
              <w:rPr>
                <w:sz w:val="21"/>
                <w:szCs w:val="21"/>
              </w:rPr>
              <w:t>-5.0%</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7BA5B88" w14:textId="77777777" w:rsidR="00EB4F35" w:rsidRPr="009B783C" w:rsidRDefault="00EB4F35" w:rsidP="00AB7572">
            <w:pPr>
              <w:pStyle w:val="TableNText"/>
              <w:jc w:val="center"/>
              <w:rPr>
                <w:sz w:val="21"/>
                <w:szCs w:val="21"/>
              </w:rPr>
            </w:pPr>
            <w:r w:rsidRPr="009B783C">
              <w:rPr>
                <w:sz w:val="21"/>
                <w:szCs w:val="21"/>
              </w:rPr>
              <w:t>2.0%</w:t>
            </w:r>
          </w:p>
        </w:tc>
      </w:tr>
    </w:tbl>
    <w:p w14:paraId="42C5D26C" w14:textId="26B5CF5B" w:rsidR="00493C3F" w:rsidRPr="009B783C" w:rsidRDefault="00493C3F" w:rsidP="00493C3F">
      <w:pPr>
        <w:pStyle w:val="Caption"/>
        <w:rPr>
          <w:szCs w:val="21"/>
        </w:rPr>
      </w:pPr>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Pr="009B783C">
        <w:rPr>
          <w:szCs w:val="21"/>
        </w:rPr>
        <w:t>39</w:t>
      </w:r>
      <w:r w:rsidRPr="009B783C">
        <w:rPr>
          <w:szCs w:val="21"/>
        </w:rPr>
        <w:fldChar w:fldCharType="end"/>
      </w:r>
      <w:r w:rsidRPr="009B783C">
        <w:rPr>
          <w:szCs w:val="21"/>
        </w:rPr>
        <w:t xml:space="preserve"> | Percentage of patients seen on time by triage category: Partner hospitals for Medicare UCC transitioned from prior arrangements, commenced July to September 2024. 2020-21 to 2023-24, year ended 30 June for all years.</w:t>
      </w:r>
    </w:p>
    <w:tbl>
      <w:tblPr>
        <w:tblW w:w="5000" w:type="pct"/>
        <w:jc w:val="center"/>
        <w:tblLook w:val="0420" w:firstRow="1" w:lastRow="0" w:firstColumn="0" w:lastColumn="0" w:noHBand="0" w:noVBand="1"/>
      </w:tblPr>
      <w:tblGrid>
        <w:gridCol w:w="1278"/>
        <w:gridCol w:w="1560"/>
        <w:gridCol w:w="1491"/>
        <w:gridCol w:w="1491"/>
        <w:gridCol w:w="1491"/>
        <w:gridCol w:w="1491"/>
        <w:gridCol w:w="1693"/>
        <w:gridCol w:w="1693"/>
        <w:gridCol w:w="1693"/>
      </w:tblGrid>
      <w:tr w:rsidR="00E44936" w:rsidRPr="009B783C" w14:paraId="32D6DB1C" w14:textId="77777777" w:rsidTr="00BC7584">
        <w:trPr>
          <w:tblHeader/>
          <w:jc w:val="center"/>
        </w:trPr>
        <w:tc>
          <w:tcPr>
            <w:tcW w:w="46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0934CF0D" w14:textId="034AB29F" w:rsidR="00493C3F" w:rsidRPr="009B783C" w:rsidRDefault="00493C3F" w:rsidP="00107854">
            <w:pPr>
              <w:pStyle w:val="TableNheader"/>
              <w:rPr>
                <w:sz w:val="21"/>
                <w:szCs w:val="21"/>
              </w:rPr>
            </w:pPr>
            <w:r w:rsidRPr="009B783C">
              <w:rPr>
                <w:rFonts w:eastAsia="Segoe UI Semibold"/>
              </w:rPr>
              <w:t>Triage category</w:t>
            </w:r>
          </w:p>
        </w:tc>
        <w:tc>
          <w:tcPr>
            <w:tcW w:w="56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9F7CE2F" w14:textId="63B31E0E" w:rsidR="00493C3F" w:rsidRPr="009B783C" w:rsidRDefault="00493C3F" w:rsidP="00107854">
            <w:pPr>
              <w:pStyle w:val="TableNheader"/>
              <w:rPr>
                <w:sz w:val="21"/>
                <w:szCs w:val="21"/>
              </w:rPr>
            </w:pPr>
            <w:r w:rsidRPr="009B783C">
              <w:rPr>
                <w:rFonts w:eastAsia="Segoe UI Semibold"/>
              </w:rPr>
              <w:t>Hospitals (n)</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2ADBE36" w14:textId="6994FAEF" w:rsidR="00493C3F" w:rsidRPr="009B783C" w:rsidRDefault="00493C3F" w:rsidP="00107854">
            <w:pPr>
              <w:pStyle w:val="TableNheader"/>
              <w:rPr>
                <w:sz w:val="21"/>
                <w:szCs w:val="21"/>
              </w:rPr>
            </w:pPr>
            <w:r w:rsidRPr="009B783C">
              <w:rPr>
                <w:rFonts w:eastAsia="Segoe UI Semibold"/>
              </w:rPr>
              <w:t>Seen on time 2021</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E66EEFE" w14:textId="136BA50D" w:rsidR="00493C3F" w:rsidRPr="009B783C" w:rsidRDefault="00493C3F" w:rsidP="00107854">
            <w:pPr>
              <w:pStyle w:val="TableNheader"/>
              <w:rPr>
                <w:sz w:val="21"/>
                <w:szCs w:val="21"/>
              </w:rPr>
            </w:pPr>
            <w:r w:rsidRPr="009B783C">
              <w:rPr>
                <w:rFonts w:eastAsia="Segoe UI Semibold"/>
              </w:rPr>
              <w:t>Seen on time 2022</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6DEB43C9" w14:textId="23A7B1BA" w:rsidR="00493C3F" w:rsidRPr="009B783C" w:rsidRDefault="00493C3F" w:rsidP="00107854">
            <w:pPr>
              <w:pStyle w:val="TableNheader"/>
              <w:rPr>
                <w:sz w:val="21"/>
                <w:szCs w:val="21"/>
              </w:rPr>
            </w:pPr>
            <w:r w:rsidRPr="009B783C">
              <w:rPr>
                <w:rFonts w:eastAsia="Segoe UI Semibold"/>
              </w:rPr>
              <w:t>Seen on time 2023</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75947B17" w14:textId="7359E36A" w:rsidR="00493C3F" w:rsidRPr="009B783C" w:rsidRDefault="00493C3F" w:rsidP="00107854">
            <w:pPr>
              <w:pStyle w:val="TableNheader"/>
              <w:rPr>
                <w:sz w:val="21"/>
                <w:szCs w:val="21"/>
              </w:rPr>
            </w:pPr>
            <w:r w:rsidRPr="009B783C">
              <w:rPr>
                <w:rFonts w:eastAsia="Segoe UI Semibold"/>
              </w:rPr>
              <w:t>Seen on time 2024</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5C4311F9" w14:textId="5A765836" w:rsidR="00493C3F" w:rsidRPr="009B783C" w:rsidRDefault="00493C3F" w:rsidP="00107854">
            <w:pPr>
              <w:pStyle w:val="TableNheader"/>
              <w:rPr>
                <w:sz w:val="21"/>
                <w:szCs w:val="21"/>
              </w:rPr>
            </w:pPr>
            <w:r w:rsidRPr="009B783C">
              <w:rPr>
                <w:rFonts w:eastAsia="Segoe UI Semibold"/>
              </w:rPr>
              <w:t>Annual change 2022</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4155799" w14:textId="0922EF74" w:rsidR="00493C3F" w:rsidRPr="009B783C" w:rsidRDefault="00493C3F" w:rsidP="00107854">
            <w:pPr>
              <w:pStyle w:val="TableNheader"/>
              <w:rPr>
                <w:sz w:val="21"/>
                <w:szCs w:val="21"/>
              </w:rPr>
            </w:pPr>
            <w:r w:rsidRPr="009B783C">
              <w:rPr>
                <w:rFonts w:eastAsia="Segoe UI Semibold"/>
              </w:rPr>
              <w:t>Annual change 2023</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11CE4FC4" w14:textId="1C48F4D5" w:rsidR="00493C3F" w:rsidRPr="009B783C" w:rsidRDefault="00493C3F" w:rsidP="00107854">
            <w:pPr>
              <w:pStyle w:val="TableNheader"/>
              <w:rPr>
                <w:sz w:val="21"/>
                <w:szCs w:val="21"/>
              </w:rPr>
            </w:pPr>
            <w:r w:rsidRPr="009B783C">
              <w:rPr>
                <w:rFonts w:eastAsia="Segoe UI Semibold"/>
              </w:rPr>
              <w:t>Annual change 2024</w:t>
            </w:r>
          </w:p>
        </w:tc>
      </w:tr>
      <w:tr w:rsidR="00E44936" w:rsidRPr="009B783C" w14:paraId="777586A0" w14:textId="77777777" w:rsidTr="00E44936">
        <w:trPr>
          <w:jc w:val="center"/>
        </w:trPr>
        <w:tc>
          <w:tcPr>
            <w:tcW w:w="46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06A89A7" w14:textId="77777777" w:rsidR="00EB4F35" w:rsidRPr="009B783C" w:rsidRDefault="00EB4F35" w:rsidP="003E79FA">
            <w:pPr>
              <w:pStyle w:val="TableNText"/>
              <w:rPr>
                <w:sz w:val="21"/>
                <w:szCs w:val="21"/>
              </w:rPr>
            </w:pPr>
            <w:r w:rsidRPr="009B783C">
              <w:rPr>
                <w:sz w:val="21"/>
                <w:szCs w:val="21"/>
              </w:rPr>
              <w:t>Triage 4</w:t>
            </w:r>
          </w:p>
        </w:tc>
        <w:tc>
          <w:tcPr>
            <w:tcW w:w="562"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22F9626" w14:textId="77777777" w:rsidR="00EB4F35" w:rsidRPr="009B783C" w:rsidRDefault="00EB4F35" w:rsidP="00AB7572">
            <w:pPr>
              <w:pStyle w:val="TableNText"/>
              <w:jc w:val="center"/>
              <w:rPr>
                <w:sz w:val="21"/>
                <w:szCs w:val="21"/>
              </w:rPr>
            </w:pPr>
            <w:r w:rsidRPr="009B783C">
              <w:rPr>
                <w:sz w:val="21"/>
                <w:szCs w:val="21"/>
              </w:rPr>
              <w:t>11</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69FF868" w14:textId="77777777" w:rsidR="00EB4F35" w:rsidRPr="009B783C" w:rsidRDefault="00EB4F35" w:rsidP="00AB7572">
            <w:pPr>
              <w:pStyle w:val="TableNText"/>
              <w:jc w:val="center"/>
              <w:rPr>
                <w:sz w:val="21"/>
                <w:szCs w:val="21"/>
              </w:rPr>
            </w:pPr>
            <w:r w:rsidRPr="009B783C">
              <w:rPr>
                <w:sz w:val="21"/>
                <w:szCs w:val="21"/>
              </w:rPr>
              <w:t>77%</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209AE5C" w14:textId="77777777" w:rsidR="00EB4F35" w:rsidRPr="009B783C" w:rsidRDefault="00EB4F35" w:rsidP="00AB7572">
            <w:pPr>
              <w:pStyle w:val="TableNText"/>
              <w:jc w:val="center"/>
              <w:rPr>
                <w:sz w:val="21"/>
                <w:szCs w:val="21"/>
              </w:rPr>
            </w:pPr>
            <w:r w:rsidRPr="009B783C">
              <w:rPr>
                <w:sz w:val="21"/>
                <w:szCs w:val="21"/>
              </w:rPr>
              <w:t>73%</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872CD92" w14:textId="77777777" w:rsidR="00EB4F35" w:rsidRPr="009B783C" w:rsidRDefault="00EB4F35" w:rsidP="00AB7572">
            <w:pPr>
              <w:pStyle w:val="TableNText"/>
              <w:jc w:val="center"/>
              <w:rPr>
                <w:sz w:val="21"/>
                <w:szCs w:val="21"/>
              </w:rPr>
            </w:pPr>
            <w:r w:rsidRPr="009B783C">
              <w:rPr>
                <w:sz w:val="21"/>
                <w:szCs w:val="21"/>
              </w:rPr>
              <w:t>74%</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7454530" w14:textId="77777777" w:rsidR="00EB4F35" w:rsidRPr="009B783C" w:rsidRDefault="00EB4F35" w:rsidP="00AB7572">
            <w:pPr>
              <w:pStyle w:val="TableNText"/>
              <w:jc w:val="center"/>
              <w:rPr>
                <w:sz w:val="21"/>
                <w:szCs w:val="21"/>
              </w:rPr>
            </w:pPr>
            <w:r w:rsidRPr="009B783C">
              <w:rPr>
                <w:sz w:val="21"/>
                <w:szCs w:val="21"/>
              </w:rPr>
              <w:t>79%</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77C1289" w14:textId="77777777" w:rsidR="00EB4F35" w:rsidRPr="009B783C" w:rsidRDefault="00EB4F35" w:rsidP="00AB7572">
            <w:pPr>
              <w:pStyle w:val="TableNText"/>
              <w:jc w:val="center"/>
              <w:rPr>
                <w:sz w:val="21"/>
                <w:szCs w:val="21"/>
              </w:rPr>
            </w:pPr>
            <w:r w:rsidRPr="009B783C">
              <w:rPr>
                <w:sz w:val="21"/>
                <w:szCs w:val="21"/>
              </w:rPr>
              <w:t>-5.5%</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DDFF247" w14:textId="77777777" w:rsidR="00EB4F35" w:rsidRPr="009B783C" w:rsidRDefault="00EB4F35" w:rsidP="00AB7572">
            <w:pPr>
              <w:pStyle w:val="TableNText"/>
              <w:jc w:val="center"/>
              <w:rPr>
                <w:sz w:val="21"/>
                <w:szCs w:val="21"/>
              </w:rPr>
            </w:pPr>
            <w:r w:rsidRPr="009B783C">
              <w:rPr>
                <w:sz w:val="21"/>
                <w:szCs w:val="21"/>
              </w:rPr>
              <w:t>1.3%</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35E65D6" w14:textId="77777777" w:rsidR="00EB4F35" w:rsidRPr="009B783C" w:rsidRDefault="00EB4F35" w:rsidP="00AB7572">
            <w:pPr>
              <w:pStyle w:val="TableNText"/>
              <w:jc w:val="center"/>
              <w:rPr>
                <w:sz w:val="21"/>
                <w:szCs w:val="21"/>
              </w:rPr>
            </w:pPr>
            <w:r w:rsidRPr="009B783C">
              <w:rPr>
                <w:sz w:val="21"/>
                <w:szCs w:val="21"/>
              </w:rPr>
              <w:t>7.3%</w:t>
            </w:r>
          </w:p>
        </w:tc>
      </w:tr>
      <w:tr w:rsidR="00E44936" w:rsidRPr="009B783C" w14:paraId="7BB67E06" w14:textId="77777777" w:rsidTr="00E44936">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2BA97B1" w14:textId="77777777" w:rsidR="00EB4F35" w:rsidRPr="009B783C" w:rsidRDefault="00EB4F35" w:rsidP="003E79FA">
            <w:pPr>
              <w:pStyle w:val="TableNText"/>
              <w:rPr>
                <w:sz w:val="21"/>
                <w:szCs w:val="21"/>
              </w:rPr>
            </w:pPr>
            <w:r w:rsidRPr="009B783C">
              <w:rPr>
                <w:sz w:val="21"/>
                <w:szCs w:val="21"/>
              </w:rPr>
              <w:t>Triage 5</w:t>
            </w:r>
          </w:p>
        </w:tc>
        <w:tc>
          <w:tcPr>
            <w:tcW w:w="5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B5A4CF8" w14:textId="77777777" w:rsidR="00EB4F35" w:rsidRPr="009B783C" w:rsidRDefault="00EB4F35" w:rsidP="00AB7572">
            <w:pPr>
              <w:pStyle w:val="TableNText"/>
              <w:jc w:val="center"/>
              <w:rPr>
                <w:sz w:val="21"/>
                <w:szCs w:val="21"/>
              </w:rPr>
            </w:pPr>
            <w:r w:rsidRPr="009B783C">
              <w:rPr>
                <w:sz w:val="21"/>
                <w:szCs w:val="21"/>
              </w:rPr>
              <w:t>11</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247C70B" w14:textId="77777777" w:rsidR="00EB4F35" w:rsidRPr="009B783C" w:rsidRDefault="00EB4F35" w:rsidP="00AB7572">
            <w:pPr>
              <w:pStyle w:val="TableNText"/>
              <w:jc w:val="center"/>
              <w:rPr>
                <w:sz w:val="21"/>
                <w:szCs w:val="21"/>
              </w:rPr>
            </w:pPr>
            <w:r w:rsidRPr="009B783C">
              <w:rPr>
                <w:sz w:val="21"/>
                <w:szCs w:val="21"/>
              </w:rPr>
              <w:t>93%</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6ABE211" w14:textId="77777777" w:rsidR="00EB4F35" w:rsidRPr="009B783C" w:rsidRDefault="00EB4F35" w:rsidP="00AB7572">
            <w:pPr>
              <w:pStyle w:val="TableNText"/>
              <w:jc w:val="center"/>
              <w:rPr>
                <w:sz w:val="21"/>
                <w:szCs w:val="21"/>
              </w:rPr>
            </w:pPr>
            <w:r w:rsidRPr="009B783C">
              <w:rPr>
                <w:sz w:val="21"/>
                <w:szCs w:val="21"/>
              </w:rPr>
              <w:t>91%</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B0C5D53" w14:textId="77777777" w:rsidR="00EB4F35" w:rsidRPr="009B783C" w:rsidRDefault="00EB4F35" w:rsidP="00AB7572">
            <w:pPr>
              <w:pStyle w:val="TableNText"/>
              <w:jc w:val="center"/>
              <w:rPr>
                <w:sz w:val="21"/>
                <w:szCs w:val="21"/>
              </w:rPr>
            </w:pPr>
            <w:r w:rsidRPr="009B783C">
              <w:rPr>
                <w:sz w:val="21"/>
                <w:szCs w:val="21"/>
              </w:rPr>
              <w:t>90%</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14650701" w14:textId="77777777" w:rsidR="00EB4F35" w:rsidRPr="009B783C" w:rsidRDefault="00EB4F35" w:rsidP="00AB7572">
            <w:pPr>
              <w:pStyle w:val="TableNText"/>
              <w:jc w:val="center"/>
              <w:rPr>
                <w:sz w:val="21"/>
                <w:szCs w:val="21"/>
              </w:rPr>
            </w:pPr>
            <w:r w:rsidRPr="009B783C">
              <w:rPr>
                <w:sz w:val="21"/>
                <w:szCs w:val="21"/>
              </w:rPr>
              <w:t>92%</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2CA80A4" w14:textId="77777777" w:rsidR="00EB4F35" w:rsidRPr="009B783C" w:rsidRDefault="00EB4F35" w:rsidP="00AB7572">
            <w:pPr>
              <w:pStyle w:val="TableNText"/>
              <w:jc w:val="center"/>
              <w:rPr>
                <w:sz w:val="21"/>
                <w:szCs w:val="21"/>
              </w:rPr>
            </w:pPr>
            <w:r w:rsidRPr="009B783C">
              <w:rPr>
                <w:sz w:val="21"/>
                <w:szCs w:val="21"/>
              </w:rPr>
              <w:t>-1.8%</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DB5CDCD" w14:textId="77777777" w:rsidR="00EB4F35" w:rsidRPr="009B783C" w:rsidRDefault="00EB4F35" w:rsidP="00AB7572">
            <w:pPr>
              <w:pStyle w:val="TableNText"/>
              <w:jc w:val="center"/>
              <w:rPr>
                <w:sz w:val="21"/>
                <w:szCs w:val="21"/>
              </w:rPr>
            </w:pPr>
            <w:r w:rsidRPr="009B783C">
              <w:rPr>
                <w:sz w:val="21"/>
                <w:szCs w:val="21"/>
              </w:rPr>
              <w:t>-1.4%</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2A4EA1F" w14:textId="77777777" w:rsidR="00EB4F35" w:rsidRPr="009B783C" w:rsidRDefault="00EB4F35" w:rsidP="00AB7572">
            <w:pPr>
              <w:pStyle w:val="TableNText"/>
              <w:jc w:val="center"/>
              <w:rPr>
                <w:sz w:val="21"/>
                <w:szCs w:val="21"/>
              </w:rPr>
            </w:pPr>
            <w:r w:rsidRPr="009B783C">
              <w:rPr>
                <w:sz w:val="21"/>
                <w:szCs w:val="21"/>
              </w:rPr>
              <w:t>1.9%</w:t>
            </w:r>
          </w:p>
        </w:tc>
      </w:tr>
    </w:tbl>
    <w:p w14:paraId="589412C7" w14:textId="11FE35D2" w:rsidR="00493C3F" w:rsidRPr="009B783C" w:rsidRDefault="00493C3F" w:rsidP="00493C3F">
      <w:pPr>
        <w:pStyle w:val="Caption"/>
        <w:rPr>
          <w:szCs w:val="21"/>
        </w:rPr>
      </w:pPr>
      <w:bookmarkStart w:id="781" w:name="_Ref189769325"/>
      <w:r w:rsidRPr="009B783C">
        <w:rPr>
          <w:szCs w:val="21"/>
        </w:rPr>
        <w:t xml:space="preserve">Table </w:t>
      </w:r>
      <w:r w:rsidRPr="009B783C">
        <w:rPr>
          <w:szCs w:val="21"/>
        </w:rPr>
        <w:fldChar w:fldCharType="begin"/>
      </w:r>
      <w:r w:rsidRPr="009B783C">
        <w:rPr>
          <w:szCs w:val="21"/>
        </w:rPr>
        <w:instrText xml:space="preserve"> SEQ Table \* ARABIC </w:instrText>
      </w:r>
      <w:r w:rsidRPr="009B783C">
        <w:rPr>
          <w:szCs w:val="21"/>
        </w:rPr>
        <w:fldChar w:fldCharType="separate"/>
      </w:r>
      <w:r w:rsidRPr="009B783C">
        <w:rPr>
          <w:szCs w:val="21"/>
        </w:rPr>
        <w:t>40</w:t>
      </w:r>
      <w:r w:rsidRPr="009B783C">
        <w:rPr>
          <w:szCs w:val="21"/>
        </w:rPr>
        <w:fldChar w:fldCharType="end"/>
      </w:r>
      <w:bookmarkEnd w:id="781"/>
      <w:r w:rsidRPr="009B783C">
        <w:rPr>
          <w:szCs w:val="21"/>
        </w:rPr>
        <w:t xml:space="preserve"> | Percentage of patients seen on time by triage category: Comparison, other hospitals. 2020-21 to 2023-24, year ended 30 June for all years.</w:t>
      </w:r>
    </w:p>
    <w:tbl>
      <w:tblPr>
        <w:tblW w:w="5000" w:type="pct"/>
        <w:jc w:val="center"/>
        <w:tblLook w:val="0420" w:firstRow="1" w:lastRow="0" w:firstColumn="0" w:lastColumn="0" w:noHBand="0" w:noVBand="1"/>
      </w:tblPr>
      <w:tblGrid>
        <w:gridCol w:w="1278"/>
        <w:gridCol w:w="1560"/>
        <w:gridCol w:w="1491"/>
        <w:gridCol w:w="1491"/>
        <w:gridCol w:w="1491"/>
        <w:gridCol w:w="1491"/>
        <w:gridCol w:w="1693"/>
        <w:gridCol w:w="1693"/>
        <w:gridCol w:w="1693"/>
      </w:tblGrid>
      <w:tr w:rsidR="00E44936" w:rsidRPr="009B783C" w14:paraId="16CCC649" w14:textId="77777777" w:rsidTr="00BC7584">
        <w:trPr>
          <w:tblHeader/>
          <w:jc w:val="center"/>
        </w:trPr>
        <w:tc>
          <w:tcPr>
            <w:tcW w:w="46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D48B250" w14:textId="1283B2D6" w:rsidR="00493C3F" w:rsidRPr="009B783C" w:rsidRDefault="00493C3F" w:rsidP="00107854">
            <w:pPr>
              <w:pStyle w:val="TableNheader"/>
              <w:rPr>
                <w:sz w:val="21"/>
                <w:szCs w:val="21"/>
              </w:rPr>
            </w:pPr>
            <w:r w:rsidRPr="009B783C">
              <w:rPr>
                <w:rFonts w:eastAsia="Segoe UI Semibold"/>
              </w:rPr>
              <w:t>Triage category</w:t>
            </w:r>
          </w:p>
        </w:tc>
        <w:tc>
          <w:tcPr>
            <w:tcW w:w="56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78ED8C4A" w14:textId="6170871E" w:rsidR="00493C3F" w:rsidRPr="009B783C" w:rsidRDefault="00493C3F" w:rsidP="00107854">
            <w:pPr>
              <w:pStyle w:val="TableNheader"/>
              <w:rPr>
                <w:sz w:val="21"/>
                <w:szCs w:val="21"/>
              </w:rPr>
            </w:pPr>
            <w:r w:rsidRPr="009B783C">
              <w:rPr>
                <w:rFonts w:eastAsia="Segoe UI Semibold"/>
              </w:rPr>
              <w:t>Hospitals (n)</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C2BDBEF" w14:textId="34FC7FC3" w:rsidR="00493C3F" w:rsidRPr="009B783C" w:rsidRDefault="00493C3F" w:rsidP="00107854">
            <w:pPr>
              <w:pStyle w:val="TableNheader"/>
              <w:rPr>
                <w:sz w:val="21"/>
                <w:szCs w:val="21"/>
              </w:rPr>
            </w:pPr>
            <w:r w:rsidRPr="009B783C">
              <w:rPr>
                <w:rFonts w:eastAsia="Segoe UI Semibold"/>
              </w:rPr>
              <w:t>Seen on time 2021</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9A12CC6" w14:textId="55BE2AF7" w:rsidR="00493C3F" w:rsidRPr="009B783C" w:rsidRDefault="00493C3F" w:rsidP="00107854">
            <w:pPr>
              <w:pStyle w:val="TableNheader"/>
              <w:rPr>
                <w:sz w:val="21"/>
                <w:szCs w:val="21"/>
              </w:rPr>
            </w:pPr>
            <w:r w:rsidRPr="009B783C">
              <w:rPr>
                <w:rFonts w:eastAsia="Segoe UI Semibold"/>
              </w:rPr>
              <w:t>Seen on time 2022</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473F96AC" w14:textId="7B831860" w:rsidR="00493C3F" w:rsidRPr="009B783C" w:rsidRDefault="00493C3F" w:rsidP="00107854">
            <w:pPr>
              <w:pStyle w:val="TableNheader"/>
              <w:rPr>
                <w:sz w:val="21"/>
                <w:szCs w:val="21"/>
              </w:rPr>
            </w:pPr>
            <w:r w:rsidRPr="009B783C">
              <w:rPr>
                <w:rFonts w:eastAsia="Segoe UI Semibold"/>
              </w:rPr>
              <w:t>Seen on time 2023</w:t>
            </w:r>
          </w:p>
        </w:tc>
        <w:tc>
          <w:tcPr>
            <w:tcW w:w="537"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6D843027" w14:textId="6F4B0220" w:rsidR="00493C3F" w:rsidRPr="009B783C" w:rsidRDefault="00493C3F" w:rsidP="00107854">
            <w:pPr>
              <w:pStyle w:val="TableNheader"/>
              <w:rPr>
                <w:sz w:val="21"/>
                <w:szCs w:val="21"/>
              </w:rPr>
            </w:pPr>
            <w:r w:rsidRPr="009B783C">
              <w:rPr>
                <w:rFonts w:eastAsia="Segoe UI Semibold"/>
              </w:rPr>
              <w:t>Seen on time 2024</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0338490C" w14:textId="2B9D6B28" w:rsidR="00493C3F" w:rsidRPr="009B783C" w:rsidRDefault="00493C3F" w:rsidP="00107854">
            <w:pPr>
              <w:pStyle w:val="TableNheader"/>
              <w:rPr>
                <w:sz w:val="21"/>
                <w:szCs w:val="21"/>
              </w:rPr>
            </w:pPr>
            <w:r w:rsidRPr="009B783C">
              <w:rPr>
                <w:rFonts w:eastAsia="Segoe UI Semibold"/>
              </w:rPr>
              <w:t>Annual change 2022</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21571506" w14:textId="512495CD" w:rsidR="00493C3F" w:rsidRPr="009B783C" w:rsidRDefault="00493C3F" w:rsidP="00107854">
            <w:pPr>
              <w:pStyle w:val="TableNheader"/>
              <w:rPr>
                <w:sz w:val="21"/>
                <w:szCs w:val="21"/>
              </w:rPr>
            </w:pPr>
            <w:r w:rsidRPr="009B783C">
              <w:rPr>
                <w:rFonts w:eastAsia="Segoe UI Semibold"/>
              </w:rPr>
              <w:t>Annual change 2023</w:t>
            </w:r>
          </w:p>
        </w:tc>
        <w:tc>
          <w:tcPr>
            <w:tcW w:w="61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0264D" w:themeFill="background2"/>
            <w:tcMar>
              <w:top w:w="57" w:type="dxa"/>
              <w:left w:w="80" w:type="dxa"/>
              <w:bottom w:w="57" w:type="dxa"/>
              <w:right w:w="80" w:type="dxa"/>
            </w:tcMar>
            <w:vAlign w:val="center"/>
          </w:tcPr>
          <w:p w14:paraId="24CE3B7C" w14:textId="0393C320" w:rsidR="00493C3F" w:rsidRPr="009B783C" w:rsidRDefault="00493C3F" w:rsidP="00107854">
            <w:pPr>
              <w:pStyle w:val="TableNheader"/>
              <w:rPr>
                <w:sz w:val="21"/>
                <w:szCs w:val="21"/>
              </w:rPr>
            </w:pPr>
            <w:r w:rsidRPr="009B783C">
              <w:rPr>
                <w:rFonts w:eastAsia="Segoe UI Semibold"/>
              </w:rPr>
              <w:t>Annual change 2024</w:t>
            </w:r>
          </w:p>
        </w:tc>
      </w:tr>
      <w:tr w:rsidR="00E44936" w:rsidRPr="009B783C" w14:paraId="3279AEA6" w14:textId="77777777" w:rsidTr="00E44936">
        <w:trPr>
          <w:jc w:val="center"/>
        </w:trPr>
        <w:tc>
          <w:tcPr>
            <w:tcW w:w="46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ED218AA" w14:textId="77777777" w:rsidR="00EB4F35" w:rsidRPr="009B783C" w:rsidRDefault="00EB4F35" w:rsidP="003E79FA">
            <w:pPr>
              <w:pStyle w:val="TableNText"/>
              <w:rPr>
                <w:sz w:val="21"/>
                <w:szCs w:val="21"/>
              </w:rPr>
            </w:pPr>
            <w:r w:rsidRPr="009B783C">
              <w:rPr>
                <w:sz w:val="21"/>
                <w:szCs w:val="21"/>
              </w:rPr>
              <w:t>Triage 4</w:t>
            </w:r>
          </w:p>
        </w:tc>
        <w:tc>
          <w:tcPr>
            <w:tcW w:w="562"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D0916B1" w14:textId="77777777" w:rsidR="00EB4F35" w:rsidRPr="009B783C" w:rsidRDefault="00EB4F35" w:rsidP="00AB7572">
            <w:pPr>
              <w:pStyle w:val="TableNText"/>
              <w:jc w:val="center"/>
              <w:rPr>
                <w:sz w:val="21"/>
                <w:szCs w:val="21"/>
              </w:rPr>
            </w:pPr>
            <w:r w:rsidRPr="009B783C">
              <w:rPr>
                <w:sz w:val="21"/>
                <w:szCs w:val="21"/>
              </w:rPr>
              <w:t>115</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0B82B31" w14:textId="77777777" w:rsidR="00EB4F35" w:rsidRPr="009B783C" w:rsidRDefault="00EB4F35" w:rsidP="00AB7572">
            <w:pPr>
              <w:pStyle w:val="TableNText"/>
              <w:jc w:val="center"/>
              <w:rPr>
                <w:sz w:val="21"/>
                <w:szCs w:val="21"/>
              </w:rPr>
            </w:pPr>
            <w:r w:rsidRPr="009B783C">
              <w:rPr>
                <w:sz w:val="21"/>
                <w:szCs w:val="21"/>
              </w:rPr>
              <w:t>77%</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45DB4B2" w14:textId="77777777" w:rsidR="00EB4F35" w:rsidRPr="009B783C" w:rsidRDefault="00EB4F35" w:rsidP="00AB7572">
            <w:pPr>
              <w:pStyle w:val="TableNText"/>
              <w:jc w:val="center"/>
              <w:rPr>
                <w:sz w:val="21"/>
                <w:szCs w:val="21"/>
              </w:rPr>
            </w:pPr>
            <w:r w:rsidRPr="009B783C">
              <w:rPr>
                <w:sz w:val="21"/>
                <w:szCs w:val="21"/>
              </w:rPr>
              <w:t>75%</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9E9C57D" w14:textId="77777777" w:rsidR="00EB4F35" w:rsidRPr="009B783C" w:rsidRDefault="00EB4F35" w:rsidP="00AB7572">
            <w:pPr>
              <w:pStyle w:val="TableNText"/>
              <w:jc w:val="center"/>
              <w:rPr>
                <w:sz w:val="21"/>
                <w:szCs w:val="21"/>
              </w:rPr>
            </w:pPr>
            <w:r w:rsidRPr="009B783C">
              <w:rPr>
                <w:sz w:val="21"/>
                <w:szCs w:val="21"/>
              </w:rPr>
              <w:t>72%</w:t>
            </w:r>
          </w:p>
        </w:tc>
        <w:tc>
          <w:tcPr>
            <w:tcW w:w="537"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84A286C" w14:textId="77777777" w:rsidR="00EB4F35" w:rsidRPr="009B783C" w:rsidRDefault="00EB4F35" w:rsidP="00AB7572">
            <w:pPr>
              <w:pStyle w:val="TableNText"/>
              <w:jc w:val="center"/>
              <w:rPr>
                <w:sz w:val="21"/>
                <w:szCs w:val="21"/>
              </w:rPr>
            </w:pPr>
            <w:r w:rsidRPr="009B783C">
              <w:rPr>
                <w:sz w:val="21"/>
                <w:szCs w:val="21"/>
              </w:rPr>
              <w:t>73%</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FFD932C" w14:textId="77777777" w:rsidR="00EB4F35" w:rsidRPr="009B783C" w:rsidRDefault="00EB4F35" w:rsidP="00AB7572">
            <w:pPr>
              <w:pStyle w:val="TableNText"/>
              <w:jc w:val="center"/>
              <w:rPr>
                <w:sz w:val="21"/>
                <w:szCs w:val="21"/>
              </w:rPr>
            </w:pPr>
            <w:r w:rsidRPr="009B783C">
              <w:rPr>
                <w:sz w:val="21"/>
                <w:szCs w:val="21"/>
              </w:rPr>
              <w:t>-2.6%</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E03D3F4" w14:textId="77777777" w:rsidR="00EB4F35" w:rsidRPr="009B783C" w:rsidRDefault="00EB4F35" w:rsidP="00AB7572">
            <w:pPr>
              <w:pStyle w:val="TableNText"/>
              <w:jc w:val="center"/>
              <w:rPr>
                <w:sz w:val="21"/>
                <w:szCs w:val="21"/>
              </w:rPr>
            </w:pPr>
            <w:r w:rsidRPr="009B783C">
              <w:rPr>
                <w:sz w:val="21"/>
                <w:szCs w:val="21"/>
              </w:rPr>
              <w:t>-3.4%</w:t>
            </w:r>
          </w:p>
        </w:tc>
        <w:tc>
          <w:tcPr>
            <w:tcW w:w="610" w:type="pct"/>
            <w:tcBorders>
              <w:top w:val="single" w:sz="4" w:space="0" w:color="FFFFFF" w:themeColor="background1"/>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63E710BA" w14:textId="77777777" w:rsidR="00EB4F35" w:rsidRPr="009B783C" w:rsidRDefault="00EB4F35" w:rsidP="00AB7572">
            <w:pPr>
              <w:pStyle w:val="TableNText"/>
              <w:jc w:val="center"/>
              <w:rPr>
                <w:sz w:val="21"/>
                <w:szCs w:val="21"/>
              </w:rPr>
            </w:pPr>
            <w:r w:rsidRPr="009B783C">
              <w:rPr>
                <w:sz w:val="21"/>
                <w:szCs w:val="21"/>
              </w:rPr>
              <w:t>1.8%</w:t>
            </w:r>
          </w:p>
        </w:tc>
      </w:tr>
      <w:tr w:rsidR="00E44936" w:rsidRPr="009B783C" w14:paraId="40A645DE" w14:textId="77777777" w:rsidTr="00E44936">
        <w:trPr>
          <w:jc w:val="center"/>
        </w:trPr>
        <w:tc>
          <w:tcPr>
            <w:tcW w:w="46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012DF28C" w14:textId="77777777" w:rsidR="00EB4F35" w:rsidRPr="009B783C" w:rsidRDefault="00EB4F35" w:rsidP="003E79FA">
            <w:pPr>
              <w:pStyle w:val="TableNText"/>
              <w:rPr>
                <w:sz w:val="21"/>
                <w:szCs w:val="21"/>
              </w:rPr>
            </w:pPr>
            <w:r w:rsidRPr="009B783C">
              <w:rPr>
                <w:sz w:val="21"/>
                <w:szCs w:val="21"/>
              </w:rPr>
              <w:t>Triage 5</w:t>
            </w:r>
          </w:p>
        </w:tc>
        <w:tc>
          <w:tcPr>
            <w:tcW w:w="562"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ABE88F9" w14:textId="77777777" w:rsidR="00EB4F35" w:rsidRPr="009B783C" w:rsidRDefault="00EB4F35" w:rsidP="00AB7572">
            <w:pPr>
              <w:pStyle w:val="TableNText"/>
              <w:jc w:val="center"/>
              <w:rPr>
                <w:sz w:val="21"/>
                <w:szCs w:val="21"/>
              </w:rPr>
            </w:pPr>
            <w:r w:rsidRPr="009B783C">
              <w:rPr>
                <w:sz w:val="21"/>
                <w:szCs w:val="21"/>
              </w:rPr>
              <w:t>115</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A99A76D" w14:textId="77777777" w:rsidR="00EB4F35" w:rsidRPr="009B783C" w:rsidRDefault="00EB4F35" w:rsidP="00AB7572">
            <w:pPr>
              <w:pStyle w:val="TableNText"/>
              <w:jc w:val="center"/>
              <w:rPr>
                <w:sz w:val="21"/>
                <w:szCs w:val="21"/>
              </w:rPr>
            </w:pPr>
            <w:r w:rsidRPr="009B783C">
              <w:rPr>
                <w:sz w:val="21"/>
                <w:szCs w:val="21"/>
              </w:rPr>
              <w:t>95%</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53B8E646" w14:textId="77777777" w:rsidR="00EB4F35" w:rsidRPr="009B783C" w:rsidRDefault="00EB4F35" w:rsidP="00AB7572">
            <w:pPr>
              <w:pStyle w:val="TableNText"/>
              <w:jc w:val="center"/>
              <w:rPr>
                <w:sz w:val="21"/>
                <w:szCs w:val="21"/>
              </w:rPr>
            </w:pPr>
            <w:r w:rsidRPr="009B783C">
              <w:rPr>
                <w:sz w:val="21"/>
                <w:szCs w:val="21"/>
              </w:rPr>
              <w:t>94%</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766F7EC" w14:textId="77777777" w:rsidR="00EB4F35" w:rsidRPr="009B783C" w:rsidRDefault="00EB4F35" w:rsidP="00AB7572">
            <w:pPr>
              <w:pStyle w:val="TableNText"/>
              <w:jc w:val="center"/>
              <w:rPr>
                <w:sz w:val="21"/>
                <w:szCs w:val="21"/>
              </w:rPr>
            </w:pPr>
            <w:r w:rsidRPr="009B783C">
              <w:rPr>
                <w:sz w:val="21"/>
                <w:szCs w:val="21"/>
              </w:rPr>
              <w:t>90%</w:t>
            </w:r>
          </w:p>
        </w:tc>
        <w:tc>
          <w:tcPr>
            <w:tcW w:w="537"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44421989" w14:textId="77777777" w:rsidR="00EB4F35" w:rsidRPr="009B783C" w:rsidRDefault="00EB4F35" w:rsidP="00AB7572">
            <w:pPr>
              <w:pStyle w:val="TableNText"/>
              <w:jc w:val="center"/>
              <w:rPr>
                <w:sz w:val="21"/>
                <w:szCs w:val="21"/>
              </w:rPr>
            </w:pPr>
            <w:r w:rsidRPr="009B783C">
              <w:rPr>
                <w:sz w:val="21"/>
                <w:szCs w:val="21"/>
              </w:rPr>
              <w:t>90%</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36DA7FE7" w14:textId="77777777" w:rsidR="00EB4F35" w:rsidRPr="009B783C" w:rsidRDefault="00EB4F35" w:rsidP="00AB7572">
            <w:pPr>
              <w:pStyle w:val="TableNText"/>
              <w:jc w:val="center"/>
              <w:rPr>
                <w:sz w:val="21"/>
                <w:szCs w:val="21"/>
              </w:rPr>
            </w:pPr>
            <w:r w:rsidRPr="009B783C">
              <w:rPr>
                <w:sz w:val="21"/>
                <w:szCs w:val="21"/>
              </w:rPr>
              <w:t>-1.0%</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7769804E" w14:textId="77777777" w:rsidR="00EB4F35" w:rsidRPr="009B783C" w:rsidRDefault="00EB4F35" w:rsidP="00AB7572">
            <w:pPr>
              <w:pStyle w:val="TableNText"/>
              <w:jc w:val="center"/>
              <w:rPr>
                <w:sz w:val="21"/>
                <w:szCs w:val="21"/>
              </w:rPr>
            </w:pPr>
            <w:r w:rsidRPr="009B783C">
              <w:rPr>
                <w:sz w:val="21"/>
                <w:szCs w:val="21"/>
              </w:rPr>
              <w:t>-4.4%</w:t>
            </w:r>
          </w:p>
        </w:tc>
        <w:tc>
          <w:tcPr>
            <w:tcW w:w="610" w:type="pct"/>
            <w:tcBorders>
              <w:top w:val="single" w:sz="4" w:space="0" w:color="00264D" w:themeColor="background2"/>
              <w:left w:val="single" w:sz="4" w:space="0" w:color="00264D" w:themeColor="background2"/>
              <w:bottom w:val="single" w:sz="4" w:space="0" w:color="00264D" w:themeColor="background2"/>
              <w:right w:val="single" w:sz="4" w:space="0" w:color="00264D" w:themeColor="background2"/>
            </w:tcBorders>
            <w:shd w:val="clear" w:color="auto" w:fill="FFFFFF"/>
            <w:tcMar>
              <w:top w:w="57" w:type="dxa"/>
              <w:left w:w="80" w:type="dxa"/>
              <w:bottom w:w="57" w:type="dxa"/>
              <w:right w:w="80" w:type="dxa"/>
            </w:tcMar>
            <w:vAlign w:val="center"/>
          </w:tcPr>
          <w:p w14:paraId="256C23CD" w14:textId="77777777" w:rsidR="00EB4F35" w:rsidRPr="009B783C" w:rsidRDefault="00EB4F35" w:rsidP="00AB7572">
            <w:pPr>
              <w:pStyle w:val="TableNText"/>
              <w:jc w:val="center"/>
              <w:rPr>
                <w:sz w:val="21"/>
                <w:szCs w:val="21"/>
              </w:rPr>
            </w:pPr>
            <w:r w:rsidRPr="009B783C">
              <w:rPr>
                <w:sz w:val="21"/>
                <w:szCs w:val="21"/>
              </w:rPr>
              <w:t>0.8%</w:t>
            </w:r>
          </w:p>
        </w:tc>
      </w:tr>
    </w:tbl>
    <w:p w14:paraId="0C9A7DCB" w14:textId="17CA4FD7" w:rsidR="00E9565C" w:rsidRPr="009B783C" w:rsidRDefault="00E9565C" w:rsidP="0066677B">
      <w:pPr>
        <w:sectPr w:rsidR="00E9565C" w:rsidRPr="009B783C" w:rsidSect="00663435">
          <w:pgSz w:w="16839" w:h="11907" w:orient="landscape" w:code="9"/>
          <w:pgMar w:top="1559" w:right="1247" w:bottom="1418" w:left="1701" w:header="720" w:footer="720" w:gutter="0"/>
          <w:cols w:space="720"/>
          <w:docGrid w:linePitch="360"/>
        </w:sectPr>
      </w:pPr>
    </w:p>
    <w:p w14:paraId="19C0397E" w14:textId="3D620CAD" w:rsidR="00E4302E" w:rsidRPr="009B783C" w:rsidRDefault="00E4302E" w:rsidP="006F0A12">
      <w:pPr>
        <w:pStyle w:val="Heading1"/>
        <w:numPr>
          <w:ilvl w:val="0"/>
          <w:numId w:val="0"/>
        </w:numPr>
      </w:pPr>
      <w:bookmarkStart w:id="782" w:name="_Toc189639244"/>
      <w:bookmarkStart w:id="783" w:name="_Toc189772045"/>
      <w:r w:rsidRPr="009B783C">
        <w:lastRenderedPageBreak/>
        <w:t>References</w:t>
      </w:r>
      <w:bookmarkEnd w:id="782"/>
      <w:bookmarkEnd w:id="783"/>
    </w:p>
    <w:p w14:paraId="5FBF5292" w14:textId="30C6E450" w:rsidR="00D25013" w:rsidRPr="00BC24EC" w:rsidRDefault="0023147D" w:rsidP="00D25013">
      <w:pPr>
        <w:pStyle w:val="EndNoteBibliography"/>
        <w:spacing w:after="0"/>
        <w:ind w:left="720" w:hanging="720"/>
        <w:rPr>
          <w:sz w:val="20"/>
          <w:szCs w:val="20"/>
        </w:rPr>
      </w:pPr>
      <w:r w:rsidRPr="009B783C">
        <w:rPr>
          <w:noProof w:val="0"/>
        </w:rPr>
        <w:fldChar w:fldCharType="begin"/>
      </w:r>
      <w:r w:rsidRPr="009B783C">
        <w:rPr>
          <w:noProof w:val="0"/>
        </w:rPr>
        <w:instrText xml:space="preserve"> ADDIN EN.REFLIST </w:instrText>
      </w:r>
      <w:r w:rsidRPr="009B783C">
        <w:rPr>
          <w:noProof w:val="0"/>
        </w:rPr>
        <w:fldChar w:fldCharType="separate"/>
      </w:r>
      <w:r w:rsidR="00D25013" w:rsidRPr="00BC24EC">
        <w:rPr>
          <w:sz w:val="20"/>
          <w:szCs w:val="20"/>
        </w:rPr>
        <w:t xml:space="preserve">Ablard, S., O'Keeffe, C., Ramlakhan, S., &amp; Mason, S. M. (2017). Primary care services co-located with Emergency Departments across a UK region: early views on their development. </w:t>
      </w:r>
      <w:r w:rsidR="00D25013" w:rsidRPr="00BC24EC">
        <w:rPr>
          <w:i/>
          <w:sz w:val="20"/>
          <w:szCs w:val="20"/>
        </w:rPr>
        <w:t>Emerg Med J</w:t>
      </w:r>
      <w:r w:rsidR="00D25013" w:rsidRPr="00BC24EC">
        <w:rPr>
          <w:sz w:val="20"/>
          <w:szCs w:val="20"/>
        </w:rPr>
        <w:t>,</w:t>
      </w:r>
      <w:r w:rsidR="00D25013" w:rsidRPr="00BC24EC">
        <w:rPr>
          <w:i/>
          <w:sz w:val="20"/>
          <w:szCs w:val="20"/>
        </w:rPr>
        <w:t xml:space="preserve"> 34</w:t>
      </w:r>
      <w:r w:rsidR="00D25013" w:rsidRPr="00BC24EC">
        <w:rPr>
          <w:sz w:val="20"/>
          <w:szCs w:val="20"/>
        </w:rPr>
        <w:t xml:space="preserve">(10), 672-676. </w:t>
      </w:r>
      <w:hyperlink r:id="rId51" w:history="1">
        <w:r w:rsidR="00D25013" w:rsidRPr="00BC24EC">
          <w:rPr>
            <w:rStyle w:val="Hyperlink"/>
            <w:sz w:val="20"/>
            <w:szCs w:val="20"/>
          </w:rPr>
          <w:t>https://doi.org/10.1136/emermed-2016-206539</w:t>
        </w:r>
      </w:hyperlink>
      <w:r w:rsidR="00D25013" w:rsidRPr="00BC24EC">
        <w:rPr>
          <w:sz w:val="20"/>
          <w:szCs w:val="20"/>
        </w:rPr>
        <w:t xml:space="preserve"> </w:t>
      </w:r>
    </w:p>
    <w:p w14:paraId="288E980D" w14:textId="61B28EDF" w:rsidR="00857810" w:rsidRPr="00BC24EC" w:rsidRDefault="00857810" w:rsidP="00857810">
      <w:pPr>
        <w:pStyle w:val="EndNoteBibliography"/>
        <w:spacing w:after="0"/>
        <w:ind w:left="720" w:hanging="720"/>
        <w:rPr>
          <w:sz w:val="20"/>
          <w:szCs w:val="20"/>
        </w:rPr>
      </w:pPr>
      <w:r w:rsidRPr="00BC24EC">
        <w:rPr>
          <w:sz w:val="20"/>
          <w:szCs w:val="20"/>
        </w:rPr>
        <w:t xml:space="preserve">Agency for Healthcare Research and Quality. (2024). </w:t>
      </w:r>
      <w:r w:rsidRPr="00BC24EC">
        <w:rPr>
          <w:i/>
          <w:sz w:val="20"/>
          <w:szCs w:val="20"/>
        </w:rPr>
        <w:t>Care Coordination</w:t>
      </w:r>
      <w:r w:rsidRPr="00BC24EC">
        <w:rPr>
          <w:sz w:val="20"/>
          <w:szCs w:val="20"/>
        </w:rPr>
        <w:t xml:space="preserve">. Retrieved 21 November from </w:t>
      </w:r>
      <w:hyperlink r:id="rId52" w:history="1">
        <w:r w:rsidRPr="00BC24EC">
          <w:rPr>
            <w:rStyle w:val="Hyperlink"/>
            <w:sz w:val="20"/>
            <w:szCs w:val="20"/>
          </w:rPr>
          <w:t>https://www.ahrq.gov/ncepcr/care/coordination.html</w:t>
        </w:r>
      </w:hyperlink>
    </w:p>
    <w:p w14:paraId="16993460" w14:textId="57519E5E" w:rsidR="00857810" w:rsidRPr="00BC24EC" w:rsidRDefault="00857810" w:rsidP="00857810">
      <w:pPr>
        <w:pStyle w:val="EndNoteBibliography"/>
        <w:spacing w:after="0"/>
        <w:ind w:left="720" w:hanging="720"/>
        <w:rPr>
          <w:sz w:val="20"/>
          <w:szCs w:val="20"/>
        </w:rPr>
      </w:pPr>
      <w:r w:rsidRPr="00BC24EC">
        <w:rPr>
          <w:sz w:val="20"/>
          <w:szCs w:val="20"/>
        </w:rPr>
        <w:t xml:space="preserve">Australasian College of Emergency Medicine. (2024). </w:t>
      </w:r>
      <w:r w:rsidRPr="00BC24EC">
        <w:rPr>
          <w:i/>
          <w:sz w:val="20"/>
          <w:szCs w:val="20"/>
        </w:rPr>
        <w:t>Triage</w:t>
      </w:r>
      <w:r w:rsidRPr="00BC24EC">
        <w:rPr>
          <w:sz w:val="20"/>
          <w:szCs w:val="20"/>
        </w:rPr>
        <w:t xml:space="preserve">. Retrieved 21 November from </w:t>
      </w:r>
      <w:hyperlink r:id="rId53" w:history="1">
        <w:r w:rsidRPr="00BC24EC">
          <w:rPr>
            <w:rStyle w:val="Hyperlink"/>
            <w:sz w:val="20"/>
            <w:szCs w:val="20"/>
          </w:rPr>
          <w:t>https://acem.org.au/Content-Sources/Advancing-Emergency-Medicine/Better-Outcomes-for-Patients/Triage</w:t>
        </w:r>
      </w:hyperlink>
    </w:p>
    <w:p w14:paraId="01D8A4FC" w14:textId="2A3E4DE6" w:rsidR="00857810" w:rsidRPr="00BC24EC" w:rsidRDefault="00857810" w:rsidP="00857810">
      <w:pPr>
        <w:pStyle w:val="EndNoteBibliography"/>
        <w:spacing w:after="0"/>
        <w:ind w:left="720" w:hanging="720"/>
        <w:rPr>
          <w:sz w:val="20"/>
          <w:szCs w:val="20"/>
        </w:rPr>
      </w:pPr>
      <w:r w:rsidRPr="00BC24EC">
        <w:rPr>
          <w:sz w:val="20"/>
          <w:szCs w:val="20"/>
        </w:rPr>
        <w:t xml:space="preserve">Australian Bureau of Statistics. (2016). </w:t>
      </w:r>
      <w:r w:rsidRPr="00BC24EC">
        <w:rPr>
          <w:i/>
          <w:sz w:val="20"/>
          <w:szCs w:val="20"/>
        </w:rPr>
        <w:t>Country of Birth Standard</w:t>
      </w:r>
      <w:r w:rsidRPr="00BC24EC">
        <w:rPr>
          <w:sz w:val="20"/>
          <w:szCs w:val="20"/>
        </w:rPr>
        <w:t xml:space="preserve">. Retrieved 3 December from </w:t>
      </w:r>
      <w:hyperlink r:id="rId54" w:history="1">
        <w:r w:rsidRPr="00BC24EC">
          <w:rPr>
            <w:rStyle w:val="Hyperlink"/>
            <w:sz w:val="20"/>
            <w:szCs w:val="20"/>
          </w:rPr>
          <w:t>https://www.abs.gov.au/statistics/standards/country-birth-standard/latest-release</w:t>
        </w:r>
      </w:hyperlink>
    </w:p>
    <w:p w14:paraId="3D72AFBA" w14:textId="198C8A9D" w:rsidR="00857810" w:rsidRPr="00BC24EC" w:rsidRDefault="00857810" w:rsidP="00857810">
      <w:pPr>
        <w:pStyle w:val="EndNoteBibliography"/>
        <w:spacing w:after="0"/>
        <w:ind w:left="720" w:hanging="720"/>
        <w:rPr>
          <w:sz w:val="20"/>
          <w:szCs w:val="20"/>
        </w:rPr>
      </w:pPr>
      <w:r w:rsidRPr="00BC24EC">
        <w:rPr>
          <w:sz w:val="20"/>
          <w:szCs w:val="20"/>
        </w:rPr>
        <w:t xml:space="preserve">Australian Bureau of Statistics. (2019). </w:t>
      </w:r>
      <w:r w:rsidRPr="00BC24EC">
        <w:rPr>
          <w:i/>
          <w:sz w:val="20"/>
          <w:szCs w:val="20"/>
        </w:rPr>
        <w:t>Australian Standard Classification of Cultural and Ethnic Groups (ASCCEG)</w:t>
      </w:r>
      <w:r w:rsidRPr="00BC24EC">
        <w:rPr>
          <w:sz w:val="20"/>
          <w:szCs w:val="20"/>
        </w:rPr>
        <w:t xml:space="preserve">. Retrieved 3 December from </w:t>
      </w:r>
      <w:hyperlink r:id="rId55" w:history="1">
        <w:r w:rsidRPr="00BC24EC">
          <w:rPr>
            <w:rStyle w:val="Hyperlink"/>
            <w:sz w:val="20"/>
            <w:szCs w:val="20"/>
          </w:rPr>
          <w:t>https://www.abs.gov.au/statistics/classifications/australian-standard-classification-cultural-and-ethnic-groups-ascceg/latest-release</w:t>
        </w:r>
      </w:hyperlink>
    </w:p>
    <w:p w14:paraId="0C2BB0D5" w14:textId="215905A8" w:rsidR="00857810" w:rsidRPr="00BC24EC" w:rsidRDefault="00857810" w:rsidP="00857810">
      <w:pPr>
        <w:pStyle w:val="EndNoteBibliography"/>
        <w:spacing w:after="0"/>
        <w:ind w:left="720" w:hanging="720"/>
        <w:rPr>
          <w:sz w:val="20"/>
          <w:szCs w:val="20"/>
        </w:rPr>
      </w:pPr>
      <w:r w:rsidRPr="00BC24EC">
        <w:rPr>
          <w:sz w:val="20"/>
          <w:szCs w:val="20"/>
        </w:rPr>
        <w:t xml:space="preserve">Australian Centre for Disease Control. (2024). </w:t>
      </w:r>
      <w:r w:rsidRPr="00BC24EC">
        <w:rPr>
          <w:i/>
          <w:sz w:val="20"/>
          <w:szCs w:val="20"/>
        </w:rPr>
        <w:t>Australian Respitatory Surveillance Report</w:t>
      </w:r>
      <w:r w:rsidRPr="00BC24EC">
        <w:rPr>
          <w:sz w:val="20"/>
          <w:szCs w:val="20"/>
        </w:rPr>
        <w:t xml:space="preserve">. Department of Health and Aged Care. </w:t>
      </w:r>
      <w:hyperlink r:id="rId56" w:history="1">
        <w:r w:rsidRPr="00BC24EC">
          <w:rPr>
            <w:rStyle w:val="Hyperlink"/>
            <w:sz w:val="20"/>
            <w:szCs w:val="20"/>
          </w:rPr>
          <w:t>https://www.health.gov.au/sites/default/files/2024-10/australian-respiratory-surveillance-report-15-7-october-2024-to-20-october-2024_0.pdf</w:t>
        </w:r>
      </w:hyperlink>
    </w:p>
    <w:p w14:paraId="7149F1B9" w14:textId="3AA7CAC7" w:rsidR="00857810" w:rsidRPr="00BC24EC" w:rsidRDefault="00857810" w:rsidP="00633916">
      <w:pPr>
        <w:pStyle w:val="EndNoteBibliography"/>
        <w:ind w:left="720" w:hanging="720"/>
        <w:rPr>
          <w:sz w:val="20"/>
          <w:szCs w:val="20"/>
        </w:rPr>
      </w:pPr>
      <w:r w:rsidRPr="00BC24EC">
        <w:rPr>
          <w:sz w:val="20"/>
          <w:szCs w:val="20"/>
        </w:rPr>
        <w:t xml:space="preserve">Australian Commission on Safety and Quality in Health Care. (2011). </w:t>
      </w:r>
      <w:r w:rsidRPr="00BC24EC">
        <w:rPr>
          <w:i/>
          <w:sz w:val="20"/>
          <w:szCs w:val="20"/>
        </w:rPr>
        <w:t>Improving quality and safety through partnerships with patients</w:t>
      </w:r>
      <w:r w:rsidR="00633916">
        <w:rPr>
          <w:i/>
          <w:sz w:val="20"/>
          <w:szCs w:val="20"/>
        </w:rPr>
        <w:t xml:space="preserve"> </w:t>
      </w:r>
      <w:r w:rsidRPr="00BC24EC">
        <w:rPr>
          <w:i/>
          <w:sz w:val="20"/>
          <w:szCs w:val="20"/>
        </w:rPr>
        <w:t>and consumers</w:t>
      </w:r>
      <w:r w:rsidRPr="00BC24EC">
        <w:rPr>
          <w:sz w:val="20"/>
          <w:szCs w:val="20"/>
        </w:rPr>
        <w:t xml:space="preserve">. </w:t>
      </w:r>
      <w:hyperlink r:id="rId57" w:history="1">
        <w:r w:rsidRPr="00BC24EC">
          <w:rPr>
            <w:rStyle w:val="Hyperlink"/>
            <w:sz w:val="20"/>
            <w:szCs w:val="20"/>
          </w:rPr>
          <w:t>https://www.safetyandquality.gov.au/sites/default/files/migrated/PCC_Paper_August.pdf</w:t>
        </w:r>
      </w:hyperlink>
    </w:p>
    <w:p w14:paraId="72DDE1BF" w14:textId="00DF4D81" w:rsidR="00D25013" w:rsidRPr="00BC24EC" w:rsidRDefault="00D25013" w:rsidP="00D25013">
      <w:pPr>
        <w:pStyle w:val="EndNoteBibliography"/>
        <w:spacing w:after="0"/>
        <w:ind w:left="720" w:hanging="720"/>
        <w:rPr>
          <w:sz w:val="20"/>
          <w:szCs w:val="20"/>
        </w:rPr>
      </w:pPr>
      <w:r w:rsidRPr="00BC24EC">
        <w:rPr>
          <w:sz w:val="20"/>
          <w:szCs w:val="20"/>
        </w:rPr>
        <w:t xml:space="preserve">Health Insurance (Medicare Benefits Payable in Respect of Professional Services - Services Rendered under the Commonwealth Medicare Urgent Care Clinic Program) Direction (No.4) 2024, (2024a). </w:t>
      </w:r>
      <w:hyperlink r:id="rId58" w:history="1">
        <w:r w:rsidRPr="00BC24EC">
          <w:rPr>
            <w:rStyle w:val="Hyperlink"/>
            <w:sz w:val="20"/>
            <w:szCs w:val="20"/>
          </w:rPr>
          <w:t>https://www.legislation.gov.au/F2024N01065/asmade/text</w:t>
        </w:r>
      </w:hyperlink>
    </w:p>
    <w:p w14:paraId="19DC0314" w14:textId="33085013" w:rsidR="00D25013" w:rsidRPr="00BC24EC" w:rsidRDefault="00D25013" w:rsidP="00D25013">
      <w:pPr>
        <w:pStyle w:val="EndNoteBibliography"/>
        <w:spacing w:after="0"/>
        <w:ind w:left="720" w:hanging="720"/>
        <w:rPr>
          <w:sz w:val="20"/>
          <w:szCs w:val="20"/>
        </w:rPr>
      </w:pPr>
      <w:r w:rsidRPr="00BC24EC">
        <w:rPr>
          <w:sz w:val="20"/>
          <w:szCs w:val="20"/>
        </w:rPr>
        <w:t xml:space="preserve">Australian Government Department of Health and Aged Care. (2024b). </w:t>
      </w:r>
      <w:r w:rsidR="00857810" w:rsidRPr="00BC24EC">
        <w:rPr>
          <w:i/>
          <w:sz w:val="20"/>
          <w:szCs w:val="20"/>
        </w:rPr>
        <w:t>MBS Online: Medicare Benefits Schedule - Associated Notes After Hours Attendances</w:t>
      </w:r>
      <w:r w:rsidR="00857810" w:rsidRPr="00BC24EC">
        <w:rPr>
          <w:sz w:val="20"/>
          <w:szCs w:val="20"/>
        </w:rPr>
        <w:t xml:space="preserve">. Retrieved 21 November from </w:t>
      </w:r>
      <w:hyperlink r:id="rId59" w:history="1">
        <w:r w:rsidR="00857810" w:rsidRPr="00BC24EC">
          <w:rPr>
            <w:rStyle w:val="Hyperlink"/>
            <w:sz w:val="20"/>
            <w:szCs w:val="20"/>
          </w:rPr>
          <w:t>https://www9.health.gov.au/mbs/fullDisplay.cfm?type=item&amp;q=599&amp;qt=item</w:t>
        </w:r>
      </w:hyperlink>
    </w:p>
    <w:p w14:paraId="1562383E" w14:textId="292ED124" w:rsidR="00D25013" w:rsidRPr="00BC24EC" w:rsidRDefault="00857810" w:rsidP="00D25013">
      <w:pPr>
        <w:pStyle w:val="EndNoteBibliography"/>
        <w:spacing w:after="0"/>
        <w:ind w:left="720" w:hanging="720"/>
        <w:rPr>
          <w:sz w:val="20"/>
          <w:szCs w:val="20"/>
        </w:rPr>
      </w:pPr>
      <w:r w:rsidRPr="00BC24EC">
        <w:rPr>
          <w:sz w:val="20"/>
          <w:szCs w:val="20"/>
        </w:rPr>
        <w:t xml:space="preserve">Australian Government Department of Health and Aged Care. (2024c). </w:t>
      </w:r>
      <w:r w:rsidR="00D25013" w:rsidRPr="00BC24EC">
        <w:rPr>
          <w:i/>
          <w:sz w:val="20"/>
          <w:szCs w:val="20"/>
        </w:rPr>
        <w:t>When to visit a Medicare Urgent Care Clinic</w:t>
      </w:r>
      <w:r w:rsidR="00D25013" w:rsidRPr="00BC24EC">
        <w:rPr>
          <w:sz w:val="20"/>
          <w:szCs w:val="20"/>
        </w:rPr>
        <w:t xml:space="preserve">. </w:t>
      </w:r>
      <w:hyperlink r:id="rId60" w:history="1">
        <w:r w:rsidR="00D25013" w:rsidRPr="00BC24EC">
          <w:rPr>
            <w:rStyle w:val="Hyperlink"/>
            <w:sz w:val="20"/>
            <w:szCs w:val="20"/>
          </w:rPr>
          <w:t>https://www.health.gov.au/find-a-medicare-ucc/when-to-visit</w:t>
        </w:r>
      </w:hyperlink>
    </w:p>
    <w:p w14:paraId="4E4CCD28" w14:textId="7864A6F3" w:rsidR="00D25013" w:rsidRPr="00BC24EC" w:rsidRDefault="00D25013" w:rsidP="00D25013">
      <w:pPr>
        <w:pStyle w:val="EndNoteBibliography"/>
        <w:spacing w:after="0"/>
        <w:ind w:left="720" w:hanging="720"/>
        <w:rPr>
          <w:sz w:val="20"/>
          <w:szCs w:val="20"/>
        </w:rPr>
      </w:pPr>
      <w:r w:rsidRPr="00BC24EC">
        <w:rPr>
          <w:sz w:val="20"/>
          <w:szCs w:val="20"/>
        </w:rPr>
        <w:t xml:space="preserve">Australian Institute of Health and Welfare. (2023a). </w:t>
      </w:r>
      <w:r w:rsidR="005B610E" w:rsidRPr="00BC24EC">
        <w:rPr>
          <w:i/>
          <w:sz w:val="20"/>
          <w:szCs w:val="20"/>
        </w:rPr>
        <w:t>Coordination of health care</w:t>
      </w:r>
      <w:r w:rsidR="005B610E" w:rsidRPr="00BC24EC">
        <w:rPr>
          <w:sz w:val="20"/>
          <w:szCs w:val="20"/>
        </w:rPr>
        <w:t xml:space="preserve">. Retrieved 29 November from </w:t>
      </w:r>
      <w:hyperlink r:id="rId61" w:history="1">
        <w:r w:rsidR="005B610E" w:rsidRPr="00BC24EC">
          <w:rPr>
            <w:rStyle w:val="Hyperlink"/>
            <w:sz w:val="20"/>
            <w:szCs w:val="20"/>
          </w:rPr>
          <w:t>https://www.aihw.gov.au/reports-data/health-welfare-overview/health-care-quality-performance/coordination-of-health-care</w:t>
        </w:r>
      </w:hyperlink>
    </w:p>
    <w:p w14:paraId="5DBD9A47" w14:textId="7F71CEE0" w:rsidR="005B610E" w:rsidRPr="00BC24EC" w:rsidRDefault="00D25013" w:rsidP="005B610E">
      <w:pPr>
        <w:pStyle w:val="EndNoteBibliography"/>
        <w:spacing w:after="0"/>
        <w:ind w:left="720" w:hanging="720"/>
        <w:rPr>
          <w:sz w:val="20"/>
          <w:szCs w:val="20"/>
        </w:rPr>
      </w:pPr>
      <w:r w:rsidRPr="00BC24EC">
        <w:rPr>
          <w:sz w:val="20"/>
          <w:szCs w:val="20"/>
        </w:rPr>
        <w:t xml:space="preserve">Australian Institute of Health and Welfare. (2023b). </w:t>
      </w:r>
      <w:r w:rsidR="005B610E" w:rsidRPr="00BC24EC">
        <w:rPr>
          <w:i/>
          <w:sz w:val="20"/>
          <w:szCs w:val="20"/>
        </w:rPr>
        <w:t>Emergency department care</w:t>
      </w:r>
      <w:r w:rsidR="005B610E" w:rsidRPr="00BC24EC">
        <w:rPr>
          <w:sz w:val="20"/>
          <w:szCs w:val="20"/>
        </w:rPr>
        <w:t xml:space="preserve">. </w:t>
      </w:r>
      <w:hyperlink r:id="rId62" w:history="1">
        <w:r w:rsidR="005B610E" w:rsidRPr="00BC24EC">
          <w:rPr>
            <w:rStyle w:val="Hyperlink"/>
            <w:sz w:val="20"/>
            <w:szCs w:val="20"/>
          </w:rPr>
          <w:t>https://www.aihw.gov.au/reports-data/myhospitals/sectors/emergency-department-care</w:t>
        </w:r>
      </w:hyperlink>
    </w:p>
    <w:p w14:paraId="497743BB" w14:textId="2BA58EDB" w:rsidR="00D25013" w:rsidRPr="00BC24EC" w:rsidRDefault="005B610E" w:rsidP="00D25013">
      <w:pPr>
        <w:pStyle w:val="EndNoteBibliography"/>
        <w:spacing w:after="0"/>
        <w:ind w:left="720" w:hanging="720"/>
        <w:rPr>
          <w:sz w:val="20"/>
          <w:szCs w:val="20"/>
        </w:rPr>
      </w:pPr>
      <w:r w:rsidRPr="00BC24EC">
        <w:rPr>
          <w:sz w:val="20"/>
          <w:szCs w:val="20"/>
        </w:rPr>
        <w:t xml:space="preserve">Australian Institute of Health and Welfare. (2023c). </w:t>
      </w:r>
      <w:r w:rsidR="00D25013" w:rsidRPr="00BC24EC">
        <w:rPr>
          <w:i/>
          <w:sz w:val="20"/>
          <w:szCs w:val="20"/>
        </w:rPr>
        <w:t>National Healthcare Agreement: PI 19–Selected potentially avoidable GP-type presentations to emergency departments, 2022</w:t>
      </w:r>
      <w:r w:rsidR="00D25013" w:rsidRPr="00BC24EC">
        <w:rPr>
          <w:sz w:val="20"/>
          <w:szCs w:val="20"/>
        </w:rPr>
        <w:t xml:space="preserve">. </w:t>
      </w:r>
      <w:hyperlink r:id="rId63" w:history="1">
        <w:r w:rsidR="00D25013" w:rsidRPr="00BC24EC">
          <w:rPr>
            <w:rStyle w:val="Hyperlink"/>
            <w:sz w:val="20"/>
            <w:szCs w:val="20"/>
          </w:rPr>
          <w:t>https://meteor.aihw.gov.au/content/740847</w:t>
        </w:r>
      </w:hyperlink>
    </w:p>
    <w:p w14:paraId="5E20929B" w14:textId="324F5E95" w:rsidR="00E627A2" w:rsidRPr="00BC24EC" w:rsidRDefault="00857810" w:rsidP="00E627A2">
      <w:pPr>
        <w:pStyle w:val="EndNoteBibliography"/>
        <w:spacing w:after="0"/>
        <w:ind w:left="720" w:hanging="720"/>
        <w:rPr>
          <w:sz w:val="20"/>
          <w:szCs w:val="20"/>
        </w:rPr>
      </w:pPr>
      <w:r w:rsidRPr="00BC24EC">
        <w:rPr>
          <w:sz w:val="20"/>
          <w:szCs w:val="20"/>
        </w:rPr>
        <w:t xml:space="preserve">Australian Institute of Health and Welfare. </w:t>
      </w:r>
      <w:r w:rsidR="00E627A2" w:rsidRPr="00BC24EC">
        <w:rPr>
          <w:sz w:val="20"/>
          <w:szCs w:val="20"/>
        </w:rPr>
        <w:t xml:space="preserve">(2023-24). </w:t>
      </w:r>
      <w:r w:rsidR="00E627A2" w:rsidRPr="00BC24EC">
        <w:rPr>
          <w:i/>
          <w:sz w:val="20"/>
          <w:szCs w:val="20"/>
        </w:rPr>
        <w:t>Emergency department care 2023-24 data tables</w:t>
      </w:r>
      <w:r w:rsidR="00E627A2" w:rsidRPr="00BC24EC">
        <w:rPr>
          <w:sz w:val="20"/>
          <w:szCs w:val="20"/>
        </w:rPr>
        <w:t xml:space="preserve">. </w:t>
      </w:r>
      <w:hyperlink r:id="rId64" w:history="1">
        <w:r w:rsidR="00E627A2" w:rsidRPr="00BC24EC">
          <w:rPr>
            <w:rStyle w:val="Hyperlink"/>
            <w:sz w:val="20"/>
            <w:szCs w:val="20"/>
          </w:rPr>
          <w:t>https://www.aihw.gov.au/reports-data/myhospitals/sectors/emergency-department-care%23more-data</w:t>
        </w:r>
      </w:hyperlink>
    </w:p>
    <w:p w14:paraId="776C0FF3" w14:textId="688997D8" w:rsidR="005B610E" w:rsidRPr="00BC24EC" w:rsidRDefault="00E627A2" w:rsidP="005B610E">
      <w:pPr>
        <w:pStyle w:val="EndNoteBibliography"/>
        <w:spacing w:after="0"/>
        <w:ind w:left="720" w:hanging="720"/>
        <w:rPr>
          <w:sz w:val="20"/>
          <w:szCs w:val="20"/>
        </w:rPr>
      </w:pPr>
      <w:r w:rsidRPr="00BC24EC">
        <w:rPr>
          <w:sz w:val="20"/>
          <w:szCs w:val="20"/>
        </w:rPr>
        <w:t xml:space="preserve">Australian Institute of Health and Welfare. </w:t>
      </w:r>
      <w:r w:rsidR="00857810" w:rsidRPr="00BC24EC">
        <w:rPr>
          <w:sz w:val="20"/>
          <w:szCs w:val="20"/>
        </w:rPr>
        <w:t>(</w:t>
      </w:r>
      <w:r w:rsidR="005B610E" w:rsidRPr="00BC24EC">
        <w:rPr>
          <w:sz w:val="20"/>
          <w:szCs w:val="20"/>
        </w:rPr>
        <w:t xml:space="preserve">2024a). </w:t>
      </w:r>
      <w:r w:rsidR="005B610E" w:rsidRPr="00BC24EC">
        <w:rPr>
          <w:i/>
          <w:sz w:val="20"/>
          <w:szCs w:val="20"/>
        </w:rPr>
        <w:t>Admitted patients</w:t>
      </w:r>
      <w:r w:rsidR="005B610E" w:rsidRPr="00BC24EC">
        <w:rPr>
          <w:sz w:val="20"/>
          <w:szCs w:val="20"/>
        </w:rPr>
        <w:t xml:space="preserve">. Retrieved 1 December from </w:t>
      </w:r>
      <w:hyperlink r:id="rId65" w:history="1">
        <w:r w:rsidR="005B610E" w:rsidRPr="00BC24EC">
          <w:rPr>
            <w:rStyle w:val="Hyperlink"/>
            <w:sz w:val="20"/>
            <w:szCs w:val="20"/>
          </w:rPr>
          <w:t>https://www.aihw.gov.au/reports-data/myhospitals/sectors/admitted-patients</w:t>
        </w:r>
      </w:hyperlink>
    </w:p>
    <w:p w14:paraId="0F4077D8" w14:textId="05358E66" w:rsidR="00857810" w:rsidRPr="00BC24EC" w:rsidRDefault="005B610E" w:rsidP="00857810">
      <w:pPr>
        <w:pStyle w:val="EndNoteBibliography"/>
        <w:spacing w:after="0"/>
        <w:ind w:left="720" w:hanging="720"/>
        <w:rPr>
          <w:sz w:val="20"/>
          <w:szCs w:val="20"/>
        </w:rPr>
      </w:pPr>
      <w:r w:rsidRPr="00BC24EC">
        <w:rPr>
          <w:sz w:val="20"/>
          <w:szCs w:val="20"/>
        </w:rPr>
        <w:lastRenderedPageBreak/>
        <w:t>Australian Institute of Health and Welfare. (2024b).</w:t>
      </w:r>
      <w:r w:rsidR="00857810" w:rsidRPr="00BC24EC">
        <w:rPr>
          <w:sz w:val="20"/>
          <w:szCs w:val="20"/>
        </w:rPr>
        <w:t xml:space="preserve"> </w:t>
      </w:r>
      <w:r w:rsidR="00857810" w:rsidRPr="00BC24EC">
        <w:rPr>
          <w:i/>
          <w:sz w:val="20"/>
          <w:szCs w:val="20"/>
        </w:rPr>
        <w:t>Culturally and Linguistically Diverse Australians</w:t>
      </w:r>
      <w:r w:rsidR="00857810" w:rsidRPr="00BC24EC">
        <w:rPr>
          <w:sz w:val="20"/>
          <w:szCs w:val="20"/>
        </w:rPr>
        <w:t xml:space="preserve">. Retrieved 1 December from </w:t>
      </w:r>
      <w:hyperlink r:id="rId66" w:history="1">
        <w:r w:rsidR="00857810" w:rsidRPr="00BC24EC">
          <w:rPr>
            <w:rStyle w:val="Hyperlink"/>
            <w:sz w:val="20"/>
            <w:szCs w:val="20"/>
          </w:rPr>
          <w:t>https://www.aihw.gov.au/reports-data/population-groups/cald-australians/overview</w:t>
        </w:r>
      </w:hyperlink>
    </w:p>
    <w:p w14:paraId="6F305780" w14:textId="2C434359" w:rsidR="00857810" w:rsidRPr="00BC24EC" w:rsidRDefault="00857810" w:rsidP="00857810">
      <w:pPr>
        <w:pStyle w:val="EndNoteBibliography"/>
        <w:spacing w:after="0"/>
        <w:ind w:left="720" w:hanging="720"/>
        <w:rPr>
          <w:sz w:val="20"/>
          <w:szCs w:val="20"/>
        </w:rPr>
      </w:pPr>
      <w:r w:rsidRPr="00BC24EC">
        <w:rPr>
          <w:sz w:val="20"/>
          <w:szCs w:val="20"/>
        </w:rPr>
        <w:t xml:space="preserve">Barry, D., Melhado, T., Chacko, K., Lee, R. S.-M., Steiner, J., &amp; Kutner, J. (2006). Patient and Physician Perceptions of Timely Access to Care. </w:t>
      </w:r>
      <w:r w:rsidRPr="00BC24EC">
        <w:rPr>
          <w:i/>
          <w:sz w:val="20"/>
          <w:szCs w:val="20"/>
        </w:rPr>
        <w:t>Journal of General Internal Medicine</w:t>
      </w:r>
      <w:r w:rsidRPr="00BC24EC">
        <w:rPr>
          <w:sz w:val="20"/>
          <w:szCs w:val="20"/>
        </w:rPr>
        <w:t>,</w:t>
      </w:r>
      <w:r w:rsidRPr="00BC24EC">
        <w:rPr>
          <w:i/>
          <w:sz w:val="20"/>
          <w:szCs w:val="20"/>
        </w:rPr>
        <w:t xml:space="preserve"> 21</w:t>
      </w:r>
      <w:r w:rsidRPr="00BC24EC">
        <w:rPr>
          <w:sz w:val="20"/>
          <w:szCs w:val="20"/>
        </w:rPr>
        <w:t xml:space="preserve">(2), 130-133. </w:t>
      </w:r>
      <w:hyperlink r:id="rId67" w:history="1">
        <w:r w:rsidRPr="00BC24EC">
          <w:rPr>
            <w:rStyle w:val="Hyperlink"/>
            <w:sz w:val="20"/>
            <w:szCs w:val="20"/>
          </w:rPr>
          <w:t>https://doi.org/10.1111/j.1525-1497.2005.0299.x</w:t>
        </w:r>
      </w:hyperlink>
      <w:r w:rsidRPr="00BC24EC">
        <w:rPr>
          <w:sz w:val="20"/>
          <w:szCs w:val="20"/>
        </w:rPr>
        <w:t xml:space="preserve"> </w:t>
      </w:r>
    </w:p>
    <w:p w14:paraId="1F62CB11" w14:textId="39995BB7" w:rsidR="00D25013" w:rsidRPr="00BC24EC" w:rsidRDefault="00D25013" w:rsidP="00D25013">
      <w:pPr>
        <w:pStyle w:val="EndNoteBibliography"/>
        <w:spacing w:after="0"/>
        <w:ind w:left="720" w:hanging="720"/>
        <w:rPr>
          <w:sz w:val="20"/>
          <w:szCs w:val="20"/>
        </w:rPr>
      </w:pPr>
      <w:r w:rsidRPr="00BC24EC">
        <w:rPr>
          <w:sz w:val="20"/>
          <w:szCs w:val="20"/>
        </w:rPr>
        <w:t xml:space="preserve">Benjamin, P., Bryce, R., Oyedokun, T., &amp; Stempien, J. (2023). Strength in the gap: A rapid review of principles and practices for urgent care centres. </w:t>
      </w:r>
      <w:r w:rsidRPr="00BC24EC">
        <w:rPr>
          <w:i/>
          <w:sz w:val="20"/>
          <w:szCs w:val="20"/>
        </w:rPr>
        <w:t>Healthc Manage Forum</w:t>
      </w:r>
      <w:r w:rsidRPr="00BC24EC">
        <w:rPr>
          <w:sz w:val="20"/>
          <w:szCs w:val="20"/>
        </w:rPr>
        <w:t>,</w:t>
      </w:r>
      <w:r w:rsidRPr="00BC24EC">
        <w:rPr>
          <w:i/>
          <w:sz w:val="20"/>
          <w:szCs w:val="20"/>
        </w:rPr>
        <w:t xml:space="preserve"> 36</w:t>
      </w:r>
      <w:r w:rsidRPr="00BC24EC">
        <w:rPr>
          <w:sz w:val="20"/>
          <w:szCs w:val="20"/>
        </w:rPr>
        <w:t xml:space="preserve">(2), 101-106. </w:t>
      </w:r>
      <w:hyperlink r:id="rId68" w:history="1">
        <w:r w:rsidRPr="00BC24EC">
          <w:rPr>
            <w:rStyle w:val="Hyperlink"/>
            <w:sz w:val="20"/>
            <w:szCs w:val="20"/>
          </w:rPr>
          <w:t>https://doi.org/10.1177/08404704221143300</w:t>
        </w:r>
      </w:hyperlink>
      <w:r w:rsidRPr="00BC24EC">
        <w:rPr>
          <w:sz w:val="20"/>
          <w:szCs w:val="20"/>
        </w:rPr>
        <w:t xml:space="preserve"> </w:t>
      </w:r>
    </w:p>
    <w:p w14:paraId="68E41630" w14:textId="466EA239" w:rsidR="00D25013" w:rsidRPr="00BC24EC" w:rsidRDefault="00D25013" w:rsidP="00D25013">
      <w:pPr>
        <w:pStyle w:val="EndNoteBibliography"/>
        <w:spacing w:after="0"/>
        <w:ind w:left="720" w:hanging="720"/>
        <w:rPr>
          <w:sz w:val="20"/>
          <w:szCs w:val="20"/>
        </w:rPr>
      </w:pPr>
      <w:r w:rsidRPr="00BC24EC">
        <w:rPr>
          <w:sz w:val="20"/>
          <w:szCs w:val="20"/>
        </w:rPr>
        <w:t xml:space="preserve">Cowling, T. E., Ramzan, F., Ladbrooke, T., Millington, H., Majeed, A., &amp; Gnani, S. (2016). Referral outcomes of attendances at general practitioner led urgent care centres in London, England: retrospective analysis of hospital administrative data. </w:t>
      </w:r>
      <w:r w:rsidRPr="00BC24EC">
        <w:rPr>
          <w:i/>
          <w:sz w:val="20"/>
          <w:szCs w:val="20"/>
        </w:rPr>
        <w:t>Emergency Medicine Journal</w:t>
      </w:r>
      <w:r w:rsidRPr="00BC24EC">
        <w:rPr>
          <w:sz w:val="20"/>
          <w:szCs w:val="20"/>
        </w:rPr>
        <w:t>,</w:t>
      </w:r>
      <w:r w:rsidRPr="00BC24EC">
        <w:rPr>
          <w:i/>
          <w:sz w:val="20"/>
          <w:szCs w:val="20"/>
        </w:rPr>
        <w:t xml:space="preserve"> 33</w:t>
      </w:r>
      <w:r w:rsidRPr="00BC24EC">
        <w:rPr>
          <w:sz w:val="20"/>
          <w:szCs w:val="20"/>
        </w:rPr>
        <w:t xml:space="preserve">(3), 200-207. </w:t>
      </w:r>
      <w:hyperlink r:id="rId69" w:history="1">
        <w:r w:rsidRPr="00BC24EC">
          <w:rPr>
            <w:rStyle w:val="Hyperlink"/>
            <w:sz w:val="20"/>
            <w:szCs w:val="20"/>
          </w:rPr>
          <w:t>https://emj.bmj.com/content/33/3/200.long</w:t>
        </w:r>
      </w:hyperlink>
      <w:r w:rsidRPr="00BC24EC">
        <w:rPr>
          <w:sz w:val="20"/>
          <w:szCs w:val="20"/>
        </w:rPr>
        <w:t xml:space="preserve"> </w:t>
      </w:r>
    </w:p>
    <w:p w14:paraId="16B05F4F" w14:textId="77777777" w:rsidR="00EF3B1D" w:rsidRPr="00BC24EC" w:rsidRDefault="00EF3B1D" w:rsidP="00D25013">
      <w:pPr>
        <w:pStyle w:val="EndNoteBibliography"/>
        <w:spacing w:after="0"/>
        <w:ind w:left="720" w:hanging="720"/>
        <w:rPr>
          <w:sz w:val="20"/>
          <w:szCs w:val="20"/>
        </w:rPr>
      </w:pPr>
      <w:r w:rsidRPr="00BC24EC">
        <w:rPr>
          <w:sz w:val="20"/>
          <w:szCs w:val="20"/>
        </w:rPr>
        <w:t xml:space="preserve">Department of Health and Aged Care. (2022). </w:t>
      </w:r>
      <w:r w:rsidRPr="00BC24EC">
        <w:rPr>
          <w:i/>
          <w:sz w:val="20"/>
          <w:szCs w:val="20"/>
        </w:rPr>
        <w:t>Operational Guidance for Urgent Care Clinics</w:t>
      </w:r>
      <w:r w:rsidRPr="00BC24EC">
        <w:rPr>
          <w:sz w:val="20"/>
          <w:szCs w:val="20"/>
        </w:rPr>
        <w:t xml:space="preserve">. </w:t>
      </w:r>
    </w:p>
    <w:p w14:paraId="018FAC92" w14:textId="77777777" w:rsidR="00857810" w:rsidRPr="00BC24EC" w:rsidRDefault="00857810" w:rsidP="00857810">
      <w:pPr>
        <w:pStyle w:val="EndNoteBibliography"/>
        <w:spacing w:after="0"/>
        <w:ind w:left="720" w:hanging="720"/>
        <w:rPr>
          <w:sz w:val="20"/>
          <w:szCs w:val="20"/>
        </w:rPr>
      </w:pPr>
      <w:r w:rsidRPr="00BC24EC">
        <w:rPr>
          <w:sz w:val="20"/>
          <w:szCs w:val="20"/>
        </w:rPr>
        <w:t xml:space="preserve">Department of Health and Aged Care. (2024). </w:t>
      </w:r>
      <w:r w:rsidRPr="00BC24EC">
        <w:rPr>
          <w:i/>
          <w:sz w:val="20"/>
          <w:szCs w:val="20"/>
        </w:rPr>
        <w:t>Supply and Demand Study - General Practitioners in Australia</w:t>
      </w:r>
      <w:r w:rsidRPr="00BC24EC">
        <w:rPr>
          <w:sz w:val="20"/>
          <w:szCs w:val="20"/>
        </w:rPr>
        <w:t xml:space="preserve">. </w:t>
      </w:r>
    </w:p>
    <w:p w14:paraId="7E5A4C27" w14:textId="79417AFE" w:rsidR="00EF3B1D" w:rsidRPr="00BC24EC" w:rsidRDefault="00EF3B1D" w:rsidP="00D25013">
      <w:pPr>
        <w:pStyle w:val="EndNoteBibliography"/>
        <w:spacing w:after="0"/>
        <w:ind w:left="720" w:hanging="720"/>
        <w:rPr>
          <w:sz w:val="20"/>
          <w:szCs w:val="20"/>
        </w:rPr>
      </w:pPr>
      <w:r w:rsidRPr="00BC24EC">
        <w:rPr>
          <w:sz w:val="20"/>
          <w:szCs w:val="20"/>
        </w:rPr>
        <w:t xml:space="preserve">Department of Home Affairs. </w:t>
      </w:r>
      <w:r w:rsidRPr="00BC24EC">
        <w:rPr>
          <w:i/>
          <w:sz w:val="20"/>
          <w:szCs w:val="20"/>
        </w:rPr>
        <w:t>Translation and Interpretation Service - Calculate the cost of your booking</w:t>
      </w:r>
      <w:r w:rsidRPr="00BC24EC">
        <w:rPr>
          <w:sz w:val="20"/>
          <w:szCs w:val="20"/>
        </w:rPr>
        <w:t xml:space="preserve">. Retrieved 3 October from </w:t>
      </w:r>
      <w:hyperlink r:id="rId70" w:history="1">
        <w:r w:rsidRPr="00BC24EC">
          <w:rPr>
            <w:rStyle w:val="Hyperlink"/>
            <w:sz w:val="20"/>
            <w:szCs w:val="20"/>
          </w:rPr>
          <w:t>https://www.tisnational.gov.au/Our-services/Pricing/Cost-calculator</w:t>
        </w:r>
      </w:hyperlink>
    </w:p>
    <w:p w14:paraId="0A8BFF69" w14:textId="1F4AD951" w:rsidR="00857810" w:rsidRPr="00BC24EC" w:rsidRDefault="00857810" w:rsidP="00857810">
      <w:pPr>
        <w:pStyle w:val="EndNoteBibliography"/>
        <w:spacing w:after="0"/>
        <w:ind w:left="720" w:hanging="720"/>
        <w:rPr>
          <w:sz w:val="20"/>
          <w:szCs w:val="20"/>
        </w:rPr>
      </w:pPr>
      <w:r w:rsidRPr="00BC24EC">
        <w:rPr>
          <w:sz w:val="20"/>
          <w:szCs w:val="20"/>
        </w:rPr>
        <w:t xml:space="preserve">Doyle, C., Lennox, L., &amp; Bell, D. (2013). A systematic review of evidence on the links between patient experience and clinical safety and effectiveness. </w:t>
      </w:r>
      <w:r w:rsidRPr="00BC24EC">
        <w:rPr>
          <w:i/>
          <w:sz w:val="20"/>
          <w:szCs w:val="20"/>
        </w:rPr>
        <w:t>BMJ Open</w:t>
      </w:r>
      <w:r w:rsidRPr="00BC24EC">
        <w:rPr>
          <w:sz w:val="20"/>
          <w:szCs w:val="20"/>
        </w:rPr>
        <w:t>,</w:t>
      </w:r>
      <w:r w:rsidRPr="00BC24EC">
        <w:rPr>
          <w:i/>
          <w:sz w:val="20"/>
          <w:szCs w:val="20"/>
        </w:rPr>
        <w:t xml:space="preserve"> 3</w:t>
      </w:r>
      <w:r w:rsidRPr="00BC24EC">
        <w:rPr>
          <w:sz w:val="20"/>
          <w:szCs w:val="20"/>
        </w:rPr>
        <w:t xml:space="preserve">(1), e001570. </w:t>
      </w:r>
      <w:hyperlink r:id="rId71" w:history="1">
        <w:r w:rsidRPr="00BC24EC">
          <w:rPr>
            <w:rStyle w:val="Hyperlink"/>
            <w:sz w:val="20"/>
            <w:szCs w:val="20"/>
          </w:rPr>
          <w:t>https://doi.org/10.1136/bmjopen-2012-001570</w:t>
        </w:r>
      </w:hyperlink>
      <w:r w:rsidRPr="00BC24EC">
        <w:rPr>
          <w:sz w:val="20"/>
          <w:szCs w:val="20"/>
        </w:rPr>
        <w:t xml:space="preserve"> </w:t>
      </w:r>
    </w:p>
    <w:p w14:paraId="1BCB7E6F" w14:textId="77777777" w:rsidR="00857810" w:rsidRPr="00BC24EC" w:rsidRDefault="00857810" w:rsidP="00857810">
      <w:pPr>
        <w:pStyle w:val="EndNoteBibliography"/>
        <w:spacing w:after="0"/>
        <w:ind w:left="720" w:hanging="720"/>
        <w:rPr>
          <w:sz w:val="20"/>
          <w:szCs w:val="20"/>
        </w:rPr>
      </w:pPr>
      <w:r w:rsidRPr="00BC24EC">
        <w:rPr>
          <w:sz w:val="20"/>
          <w:szCs w:val="20"/>
        </w:rPr>
        <w:t xml:space="preserve">Gardiner, F., &amp; Zhai, S. (2016). Are all after-hours diagnostic imaging appropriate? An Australian Emergency Department pilot study. </w:t>
      </w:r>
      <w:r w:rsidRPr="00BC24EC">
        <w:rPr>
          <w:i/>
          <w:sz w:val="20"/>
          <w:szCs w:val="20"/>
        </w:rPr>
        <w:t>Annals of Medicine and Surgery</w:t>
      </w:r>
      <w:r w:rsidRPr="00BC24EC">
        <w:rPr>
          <w:sz w:val="20"/>
          <w:szCs w:val="20"/>
        </w:rPr>
        <w:t>,</w:t>
      </w:r>
      <w:r w:rsidRPr="00BC24EC">
        <w:rPr>
          <w:i/>
          <w:sz w:val="20"/>
          <w:szCs w:val="20"/>
        </w:rPr>
        <w:t xml:space="preserve"> 12</w:t>
      </w:r>
      <w:r w:rsidRPr="00BC24EC">
        <w:rPr>
          <w:sz w:val="20"/>
          <w:szCs w:val="20"/>
        </w:rPr>
        <w:t xml:space="preserve">, 75-78. </w:t>
      </w:r>
    </w:p>
    <w:p w14:paraId="3A011363" w14:textId="5E90A77A" w:rsidR="00857810" w:rsidRPr="00BC24EC" w:rsidRDefault="00857810" w:rsidP="00857810">
      <w:pPr>
        <w:pStyle w:val="EndNoteBibliography"/>
        <w:spacing w:after="0"/>
        <w:ind w:left="720" w:hanging="720"/>
        <w:rPr>
          <w:sz w:val="20"/>
          <w:szCs w:val="20"/>
        </w:rPr>
      </w:pPr>
      <w:r w:rsidRPr="00BC24EC">
        <w:rPr>
          <w:sz w:val="20"/>
          <w:szCs w:val="20"/>
        </w:rPr>
        <w:t xml:space="preserve">Healthed. (2024). </w:t>
      </w:r>
      <w:r w:rsidRPr="00BC24EC">
        <w:rPr>
          <w:i/>
          <w:sz w:val="20"/>
          <w:szCs w:val="20"/>
        </w:rPr>
        <w:t>Shock poll: Most GPs support urgent care clinics</w:t>
      </w:r>
      <w:r w:rsidRPr="00BC24EC">
        <w:rPr>
          <w:sz w:val="20"/>
          <w:szCs w:val="20"/>
        </w:rPr>
        <w:t xml:space="preserve">. Retrieved 5 December from </w:t>
      </w:r>
      <w:hyperlink r:id="rId72" w:history="1">
        <w:r w:rsidRPr="00BC24EC">
          <w:rPr>
            <w:rStyle w:val="Hyperlink"/>
            <w:sz w:val="20"/>
            <w:szCs w:val="20"/>
          </w:rPr>
          <w:t>https://www.healthed.com.au/clinical_articles/most-gps-support-urgent-care-clinics-poll/</w:t>
        </w:r>
      </w:hyperlink>
    </w:p>
    <w:p w14:paraId="1055CE11" w14:textId="77777777" w:rsidR="00857810" w:rsidRPr="00BC24EC" w:rsidRDefault="00857810" w:rsidP="00857810">
      <w:pPr>
        <w:pStyle w:val="EndNoteBibliography"/>
        <w:spacing w:after="0"/>
        <w:ind w:left="720" w:hanging="720"/>
        <w:rPr>
          <w:sz w:val="20"/>
          <w:szCs w:val="20"/>
        </w:rPr>
      </w:pPr>
      <w:r w:rsidRPr="00BC24EC">
        <w:rPr>
          <w:sz w:val="20"/>
          <w:szCs w:val="20"/>
        </w:rPr>
        <w:t xml:space="preserve">Institute of Medicine (US) Committee on Quality of Health Care in America. (2001). </w:t>
      </w:r>
      <w:r w:rsidRPr="00BC24EC">
        <w:rPr>
          <w:i/>
          <w:sz w:val="20"/>
          <w:szCs w:val="20"/>
        </w:rPr>
        <w:t>Crossing the Quality Chasm: A New Health System for the 21st Century</w:t>
      </w:r>
      <w:r w:rsidRPr="00BC24EC">
        <w:rPr>
          <w:sz w:val="20"/>
          <w:szCs w:val="20"/>
        </w:rPr>
        <w:t xml:space="preserve">. National Academies Press (US). </w:t>
      </w:r>
    </w:p>
    <w:p w14:paraId="2C1008D8" w14:textId="38C24A44" w:rsidR="00857810" w:rsidRPr="00BC24EC" w:rsidRDefault="00857810" w:rsidP="00857810">
      <w:pPr>
        <w:pStyle w:val="EndNoteBibliography"/>
        <w:spacing w:after="0"/>
        <w:ind w:left="720" w:hanging="720"/>
        <w:rPr>
          <w:sz w:val="20"/>
          <w:szCs w:val="20"/>
        </w:rPr>
      </w:pPr>
      <w:r w:rsidRPr="00BC24EC">
        <w:rPr>
          <w:sz w:val="20"/>
          <w:szCs w:val="20"/>
        </w:rPr>
        <w:t xml:space="preserve">McDonough, A., Lennox, A., Angus, M., &amp; Coumbarides, A. (2022). An analysis of the utility, effectiveness and scope of advanced physiotherapy practitioners in an urgent treatment centre pilot. </w:t>
      </w:r>
      <w:r w:rsidRPr="00BC24EC">
        <w:rPr>
          <w:i/>
          <w:sz w:val="20"/>
          <w:szCs w:val="20"/>
        </w:rPr>
        <w:t>Physiotherapy</w:t>
      </w:r>
      <w:r w:rsidRPr="00BC24EC">
        <w:rPr>
          <w:sz w:val="20"/>
          <w:szCs w:val="20"/>
        </w:rPr>
        <w:t>,</w:t>
      </w:r>
      <w:r w:rsidRPr="00BC24EC">
        <w:rPr>
          <w:i/>
          <w:sz w:val="20"/>
          <w:szCs w:val="20"/>
        </w:rPr>
        <w:t xml:space="preserve"> 115</w:t>
      </w:r>
      <w:r w:rsidRPr="00BC24EC">
        <w:rPr>
          <w:sz w:val="20"/>
          <w:szCs w:val="20"/>
        </w:rPr>
        <w:t xml:space="preserve">, 61-65. </w:t>
      </w:r>
      <w:hyperlink r:id="rId73" w:history="1">
        <w:r w:rsidRPr="00BC24EC">
          <w:rPr>
            <w:rStyle w:val="Hyperlink"/>
            <w:sz w:val="20"/>
            <w:szCs w:val="20"/>
          </w:rPr>
          <w:t>https://doi.org/10.1016/j.physio.2021.12.005</w:t>
        </w:r>
      </w:hyperlink>
      <w:r w:rsidRPr="00BC24EC">
        <w:rPr>
          <w:sz w:val="20"/>
          <w:szCs w:val="20"/>
        </w:rPr>
        <w:t xml:space="preserve"> </w:t>
      </w:r>
    </w:p>
    <w:p w14:paraId="763A4D24" w14:textId="12C8FD97" w:rsidR="00857810" w:rsidRPr="00BC24EC" w:rsidRDefault="00857810" w:rsidP="00857810">
      <w:pPr>
        <w:pStyle w:val="EndNoteBibliography"/>
        <w:spacing w:after="0"/>
        <w:ind w:left="720" w:hanging="720"/>
        <w:rPr>
          <w:sz w:val="20"/>
          <w:szCs w:val="20"/>
        </w:rPr>
      </w:pPr>
      <w:r w:rsidRPr="00BC24EC">
        <w:rPr>
          <w:sz w:val="20"/>
          <w:szCs w:val="20"/>
        </w:rPr>
        <w:t xml:space="preserve">Meta. (2024). </w:t>
      </w:r>
      <w:r w:rsidRPr="00BC24EC">
        <w:rPr>
          <w:i/>
          <w:sz w:val="20"/>
          <w:szCs w:val="20"/>
        </w:rPr>
        <w:t>Business Help Centre: Impressions</w:t>
      </w:r>
      <w:r w:rsidRPr="00BC24EC">
        <w:rPr>
          <w:sz w:val="20"/>
          <w:szCs w:val="20"/>
        </w:rPr>
        <w:t xml:space="preserve">. </w:t>
      </w:r>
      <w:hyperlink r:id="rId74" w:history="1">
        <w:r w:rsidRPr="00BC24EC">
          <w:rPr>
            <w:rStyle w:val="Hyperlink"/>
            <w:sz w:val="20"/>
            <w:szCs w:val="20"/>
          </w:rPr>
          <w:t>https://www.facebook.com/business/help/675615482516035?locale=en_GB</w:t>
        </w:r>
      </w:hyperlink>
    </w:p>
    <w:p w14:paraId="79A0CD26" w14:textId="77777777" w:rsidR="00D25013" w:rsidRPr="00BC24EC" w:rsidRDefault="00857810" w:rsidP="00D25013">
      <w:pPr>
        <w:pStyle w:val="EndNoteBibliography"/>
        <w:spacing w:after="0"/>
        <w:ind w:left="720" w:hanging="720"/>
        <w:rPr>
          <w:sz w:val="20"/>
          <w:szCs w:val="20"/>
        </w:rPr>
      </w:pPr>
      <w:r w:rsidRPr="00BC24EC">
        <w:rPr>
          <w:sz w:val="20"/>
          <w:szCs w:val="20"/>
        </w:rPr>
        <w:t xml:space="preserve">National Council of Primary Care Doctors. (2024). </w:t>
      </w:r>
      <w:r w:rsidRPr="00BC24EC">
        <w:rPr>
          <w:i/>
          <w:sz w:val="20"/>
          <w:szCs w:val="20"/>
        </w:rPr>
        <w:t>Urgent Care Centres Position Statement</w:t>
      </w:r>
      <w:r w:rsidR="00D25013" w:rsidRPr="00BC24EC">
        <w:rPr>
          <w:sz w:val="20"/>
          <w:szCs w:val="20"/>
        </w:rPr>
        <w:t xml:space="preserve"> </w:t>
      </w:r>
    </w:p>
    <w:p w14:paraId="1C2A2A9C" w14:textId="19A00755" w:rsidR="003D7C43" w:rsidRPr="00BC24EC" w:rsidRDefault="003D7C43" w:rsidP="00D25013">
      <w:pPr>
        <w:pStyle w:val="EndNoteBibliography"/>
        <w:spacing w:after="0"/>
        <w:ind w:left="720" w:hanging="720"/>
        <w:rPr>
          <w:sz w:val="20"/>
          <w:szCs w:val="20"/>
        </w:rPr>
      </w:pPr>
      <w:r w:rsidRPr="00BC24EC">
        <w:rPr>
          <w:sz w:val="20"/>
          <w:szCs w:val="20"/>
        </w:rPr>
        <w:t xml:space="preserve">National Institute for Health and Care Excellence. (2018). </w:t>
      </w:r>
      <w:r w:rsidRPr="00BC24EC">
        <w:rPr>
          <w:i/>
          <w:sz w:val="20"/>
          <w:szCs w:val="20"/>
        </w:rPr>
        <w:t>Minor injury unit, urgent care centre or walk-in centre in Emergency and acute medical care in over 16s: service delivery and organisation</w:t>
      </w:r>
      <w:r w:rsidRPr="00BC24EC">
        <w:rPr>
          <w:sz w:val="20"/>
          <w:szCs w:val="20"/>
        </w:rPr>
        <w:t xml:space="preserve">. </w:t>
      </w:r>
      <w:hyperlink r:id="rId75" w:history="1">
        <w:r w:rsidRPr="00BC24EC">
          <w:rPr>
            <w:rStyle w:val="Hyperlink"/>
            <w:sz w:val="20"/>
            <w:szCs w:val="20"/>
          </w:rPr>
          <w:t>https://www.nice.org.uk/guidance/ng94/evidence/18minor-injury-unit-urgent-care-centre-or-walkin-centre-pdf-172397464605</w:t>
        </w:r>
      </w:hyperlink>
    </w:p>
    <w:p w14:paraId="101486D0" w14:textId="37529D86" w:rsidR="00963C8D" w:rsidRPr="00BC24EC" w:rsidRDefault="00963C8D" w:rsidP="00963C8D">
      <w:pPr>
        <w:pStyle w:val="EndNoteBibliography"/>
        <w:spacing w:after="0"/>
        <w:ind w:left="720" w:hanging="720"/>
        <w:rPr>
          <w:sz w:val="20"/>
          <w:szCs w:val="20"/>
        </w:rPr>
      </w:pPr>
      <w:r w:rsidRPr="00BC24EC">
        <w:rPr>
          <w:sz w:val="20"/>
          <w:szCs w:val="20"/>
        </w:rPr>
        <w:t xml:space="preserve">NSW Agency for Clinical Innovation. (2024). </w:t>
      </w:r>
      <w:r w:rsidRPr="00BC24EC">
        <w:rPr>
          <w:i/>
          <w:sz w:val="20"/>
          <w:szCs w:val="20"/>
        </w:rPr>
        <w:t>Care Coordination</w:t>
      </w:r>
      <w:r w:rsidRPr="00BC24EC">
        <w:rPr>
          <w:sz w:val="20"/>
          <w:szCs w:val="20"/>
        </w:rPr>
        <w:t xml:space="preserve">. Retrieved 29 November from </w:t>
      </w:r>
      <w:hyperlink r:id="rId76" w:history="1">
        <w:r w:rsidRPr="00BC24EC">
          <w:rPr>
            <w:rStyle w:val="Hyperlink"/>
            <w:sz w:val="20"/>
            <w:szCs w:val="20"/>
          </w:rPr>
          <w:t>https://aci.health.nsw.gov.au/projects/consumer-enablement/how-to-support-enablement/care-coordination</w:t>
        </w:r>
      </w:hyperlink>
    </w:p>
    <w:p w14:paraId="21542F3C" w14:textId="693A461C" w:rsidR="00857810" w:rsidRPr="00BC24EC" w:rsidRDefault="00857810" w:rsidP="00857810">
      <w:pPr>
        <w:pStyle w:val="EndNoteBibliography"/>
        <w:spacing w:after="0"/>
        <w:ind w:left="720" w:hanging="720"/>
        <w:rPr>
          <w:sz w:val="20"/>
          <w:szCs w:val="20"/>
        </w:rPr>
      </w:pPr>
      <w:r w:rsidRPr="00BC24EC">
        <w:rPr>
          <w:sz w:val="20"/>
          <w:szCs w:val="20"/>
        </w:rPr>
        <w:t xml:space="preserve">NSW Bureau of Health Information. (2024). </w:t>
      </w:r>
      <w:r w:rsidRPr="00BC24EC">
        <w:rPr>
          <w:i/>
          <w:sz w:val="20"/>
          <w:szCs w:val="20"/>
        </w:rPr>
        <w:t>Data portal</w:t>
      </w:r>
      <w:r w:rsidRPr="00BC24EC">
        <w:rPr>
          <w:sz w:val="20"/>
          <w:szCs w:val="20"/>
        </w:rPr>
        <w:t xml:space="preserve">. Retrieved 3 December from </w:t>
      </w:r>
      <w:hyperlink r:id="rId77" w:history="1">
        <w:r w:rsidRPr="00BC24EC">
          <w:rPr>
            <w:rStyle w:val="Hyperlink"/>
            <w:sz w:val="20"/>
            <w:szCs w:val="20"/>
          </w:rPr>
          <w:t>https://www.bhi.nsw.gov.au/data-portal</w:t>
        </w:r>
      </w:hyperlink>
    </w:p>
    <w:p w14:paraId="78CFB1BA" w14:textId="57C307C2" w:rsidR="00D25013" w:rsidRPr="00BC24EC" w:rsidRDefault="00D25013" w:rsidP="00D25013">
      <w:pPr>
        <w:pStyle w:val="EndNoteBibliography"/>
        <w:spacing w:after="0"/>
        <w:ind w:left="720" w:hanging="720"/>
        <w:rPr>
          <w:sz w:val="20"/>
          <w:szCs w:val="20"/>
        </w:rPr>
      </w:pPr>
      <w:r w:rsidRPr="00BC24EC">
        <w:rPr>
          <w:sz w:val="20"/>
          <w:szCs w:val="20"/>
        </w:rPr>
        <w:t xml:space="preserve">NT Government. (2024). </w:t>
      </w:r>
      <w:r w:rsidRPr="00BC24EC">
        <w:rPr>
          <w:i/>
          <w:sz w:val="20"/>
          <w:szCs w:val="20"/>
        </w:rPr>
        <w:t>Radiation licenses for medical and dental practitioners - registered nurses and general practitioners</w:t>
      </w:r>
      <w:r w:rsidRPr="00BC24EC">
        <w:rPr>
          <w:sz w:val="20"/>
          <w:szCs w:val="20"/>
        </w:rPr>
        <w:t xml:space="preserve">. Retrieved 5 December from </w:t>
      </w:r>
      <w:hyperlink r:id="rId78" w:history="1">
        <w:r w:rsidRPr="00BC24EC">
          <w:rPr>
            <w:rStyle w:val="Hyperlink"/>
            <w:sz w:val="20"/>
            <w:szCs w:val="20"/>
          </w:rPr>
          <w:t>https://nt.gov.au/industry/licences/radiation-licences-for-medical-and-dental-practitioners/registered-nurses-and-general-practitioners</w:t>
        </w:r>
      </w:hyperlink>
    </w:p>
    <w:p w14:paraId="3027A89D" w14:textId="52B50CEC" w:rsidR="00D25013" w:rsidRPr="00BC24EC" w:rsidRDefault="00D25013" w:rsidP="00D25013">
      <w:pPr>
        <w:pStyle w:val="EndNoteBibliography"/>
        <w:spacing w:after="0"/>
        <w:ind w:left="720" w:hanging="720"/>
        <w:rPr>
          <w:sz w:val="20"/>
          <w:szCs w:val="20"/>
        </w:rPr>
      </w:pPr>
      <w:r w:rsidRPr="00BC24EC">
        <w:rPr>
          <w:sz w:val="20"/>
          <w:szCs w:val="20"/>
        </w:rPr>
        <w:t xml:space="preserve">O'Loughlin, M., Mills, J., McDermott, R., &amp; Harriss, L. R. (2021). Exploring the measure of potentially avoidable general practitioner-type presentations to the emergency department in regional Queensland using linked, patient-perspective data. </w:t>
      </w:r>
      <w:r w:rsidRPr="00BC24EC">
        <w:rPr>
          <w:i/>
          <w:sz w:val="20"/>
          <w:szCs w:val="20"/>
        </w:rPr>
        <w:t>Aust Health Rev</w:t>
      </w:r>
      <w:r w:rsidRPr="00BC24EC">
        <w:rPr>
          <w:sz w:val="20"/>
          <w:szCs w:val="20"/>
        </w:rPr>
        <w:t>,</w:t>
      </w:r>
      <w:r w:rsidRPr="00BC24EC">
        <w:rPr>
          <w:i/>
          <w:sz w:val="20"/>
          <w:szCs w:val="20"/>
        </w:rPr>
        <w:t xml:space="preserve"> 45</w:t>
      </w:r>
      <w:r w:rsidRPr="00BC24EC">
        <w:rPr>
          <w:sz w:val="20"/>
          <w:szCs w:val="20"/>
        </w:rPr>
        <w:t xml:space="preserve">(1), 90-96. </w:t>
      </w:r>
      <w:hyperlink r:id="rId79" w:history="1">
        <w:r w:rsidRPr="00BC24EC">
          <w:rPr>
            <w:rStyle w:val="Hyperlink"/>
            <w:sz w:val="20"/>
            <w:szCs w:val="20"/>
          </w:rPr>
          <w:t>https://doi.org/10.1071/AH19210</w:t>
        </w:r>
      </w:hyperlink>
      <w:r w:rsidRPr="00BC24EC">
        <w:rPr>
          <w:sz w:val="20"/>
          <w:szCs w:val="20"/>
        </w:rPr>
        <w:t xml:space="preserve"> </w:t>
      </w:r>
    </w:p>
    <w:p w14:paraId="340BE7E3" w14:textId="3085CF14" w:rsidR="00857810" w:rsidRPr="00BC24EC" w:rsidRDefault="00857810" w:rsidP="00857810">
      <w:pPr>
        <w:pStyle w:val="EndNoteBibliography"/>
        <w:spacing w:after="0"/>
        <w:ind w:left="720" w:hanging="720"/>
        <w:rPr>
          <w:sz w:val="20"/>
          <w:szCs w:val="20"/>
        </w:rPr>
      </w:pPr>
      <w:r w:rsidRPr="00BC24EC">
        <w:rPr>
          <w:sz w:val="20"/>
          <w:szCs w:val="20"/>
        </w:rPr>
        <w:t xml:space="preserve">Queensland Government. (2024). </w:t>
      </w:r>
      <w:r w:rsidRPr="00BC24EC">
        <w:rPr>
          <w:i/>
          <w:sz w:val="20"/>
          <w:szCs w:val="20"/>
        </w:rPr>
        <w:t>Emergency departments - quarterly report</w:t>
      </w:r>
      <w:r w:rsidRPr="00BC24EC">
        <w:rPr>
          <w:sz w:val="20"/>
          <w:szCs w:val="20"/>
        </w:rPr>
        <w:t xml:space="preserve">. Retrieved 3 December from </w:t>
      </w:r>
      <w:hyperlink r:id="rId80" w:history="1">
        <w:r w:rsidRPr="00BC24EC">
          <w:rPr>
            <w:rStyle w:val="Hyperlink"/>
            <w:sz w:val="20"/>
            <w:szCs w:val="20"/>
          </w:rPr>
          <w:t>https://www.data.qld.gov.au/dataset/emergency-departments-quarterly-data</w:t>
        </w:r>
      </w:hyperlink>
    </w:p>
    <w:p w14:paraId="48AFFA4E" w14:textId="1AC09DF4" w:rsidR="00D25013" w:rsidRPr="00BC24EC" w:rsidRDefault="00D25013" w:rsidP="00D25013">
      <w:pPr>
        <w:pStyle w:val="EndNoteBibliography"/>
        <w:spacing w:after="0"/>
        <w:ind w:left="720" w:hanging="720"/>
        <w:rPr>
          <w:sz w:val="20"/>
          <w:szCs w:val="20"/>
        </w:rPr>
      </w:pPr>
      <w:r w:rsidRPr="00BC24EC">
        <w:rPr>
          <w:sz w:val="20"/>
          <w:szCs w:val="20"/>
        </w:rPr>
        <w:t xml:space="preserve">Royal New Zealand College of Urgent Care. (2015). </w:t>
      </w:r>
      <w:r w:rsidRPr="00BC24EC">
        <w:rPr>
          <w:i/>
          <w:sz w:val="20"/>
          <w:szCs w:val="20"/>
        </w:rPr>
        <w:t>Urgent Care Standard 2015</w:t>
      </w:r>
      <w:r w:rsidRPr="00BC24EC">
        <w:rPr>
          <w:sz w:val="20"/>
          <w:szCs w:val="20"/>
        </w:rPr>
        <w:t xml:space="preserve">. </w:t>
      </w:r>
      <w:hyperlink r:id="rId81" w:history="1">
        <w:r w:rsidRPr="00BC24EC">
          <w:rPr>
            <w:rStyle w:val="Hyperlink"/>
            <w:sz w:val="20"/>
            <w:szCs w:val="20"/>
          </w:rPr>
          <w:t>https://rnzcuc.org.nz/clinics-and-training-facilities/accredited-urgent-care-clinics/ucs/</w:t>
        </w:r>
      </w:hyperlink>
    </w:p>
    <w:p w14:paraId="18C18F59" w14:textId="25D136F3" w:rsidR="00857810" w:rsidRPr="00BC24EC" w:rsidRDefault="00857810" w:rsidP="00857810">
      <w:pPr>
        <w:pStyle w:val="EndNoteBibliography"/>
        <w:spacing w:after="0"/>
        <w:ind w:left="720" w:hanging="720"/>
        <w:rPr>
          <w:sz w:val="20"/>
          <w:szCs w:val="20"/>
        </w:rPr>
      </w:pPr>
      <w:r w:rsidRPr="00BC24EC">
        <w:rPr>
          <w:sz w:val="20"/>
          <w:szCs w:val="20"/>
        </w:rPr>
        <w:t xml:space="preserve">Swerissen, H., &amp; Duckett, S. (2018). </w:t>
      </w:r>
      <w:r w:rsidRPr="00BC24EC">
        <w:rPr>
          <w:i/>
          <w:sz w:val="20"/>
          <w:szCs w:val="20"/>
        </w:rPr>
        <w:t>Mapping primary care in Australia</w:t>
      </w:r>
      <w:r w:rsidRPr="00BC24EC">
        <w:rPr>
          <w:sz w:val="20"/>
          <w:szCs w:val="20"/>
        </w:rPr>
        <w:t xml:space="preserve">. </w:t>
      </w:r>
      <w:hyperlink r:id="rId82" w:history="1">
        <w:r w:rsidRPr="00BC24EC">
          <w:rPr>
            <w:rStyle w:val="Hyperlink"/>
            <w:sz w:val="20"/>
            <w:szCs w:val="20"/>
          </w:rPr>
          <w:t>https://grattan.edu.au/wp-content/uploads/2018/07/906-Mapping-primary-care.pdf</w:t>
        </w:r>
      </w:hyperlink>
    </w:p>
    <w:p w14:paraId="49D96070" w14:textId="396D4A63" w:rsidR="00D25013" w:rsidRPr="00BC24EC" w:rsidRDefault="00D25013" w:rsidP="00D25013">
      <w:pPr>
        <w:pStyle w:val="EndNoteBibliography"/>
        <w:spacing w:after="0"/>
        <w:ind w:left="720" w:hanging="720"/>
        <w:rPr>
          <w:sz w:val="20"/>
          <w:szCs w:val="20"/>
        </w:rPr>
      </w:pPr>
      <w:r w:rsidRPr="00BC24EC">
        <w:rPr>
          <w:sz w:val="20"/>
          <w:szCs w:val="20"/>
        </w:rPr>
        <w:t xml:space="preserve">Tammes, P., Morris, R. W., Brangan, E., Checkland, K., England, H., Huntley, A., Lasserson, D., MacKichan, F., Salisbury, C., Wye, L., &amp; Purdy, S. (2017). Exploring the relationship between general practice characteristics and attendance at Walk-in Centres, Minor Injuries Units and Emergency Departments in England 2009/10-2012/2013: a longitudinal study. </w:t>
      </w:r>
      <w:r w:rsidRPr="00BC24EC">
        <w:rPr>
          <w:i/>
          <w:sz w:val="20"/>
          <w:szCs w:val="20"/>
        </w:rPr>
        <w:t>BMC Health Serv Res</w:t>
      </w:r>
      <w:r w:rsidRPr="00BC24EC">
        <w:rPr>
          <w:sz w:val="20"/>
          <w:szCs w:val="20"/>
        </w:rPr>
        <w:t>,</w:t>
      </w:r>
      <w:r w:rsidRPr="00BC24EC">
        <w:rPr>
          <w:i/>
          <w:sz w:val="20"/>
          <w:szCs w:val="20"/>
        </w:rPr>
        <w:t xml:space="preserve"> 17</w:t>
      </w:r>
      <w:r w:rsidRPr="00BC24EC">
        <w:rPr>
          <w:sz w:val="20"/>
          <w:szCs w:val="20"/>
        </w:rPr>
        <w:t xml:space="preserve">(1), 546. </w:t>
      </w:r>
      <w:hyperlink r:id="rId83" w:history="1">
        <w:r w:rsidRPr="00BC24EC">
          <w:rPr>
            <w:rStyle w:val="Hyperlink"/>
            <w:sz w:val="20"/>
            <w:szCs w:val="20"/>
          </w:rPr>
          <w:t>https://doi.org/10.1186/s12913-017-2483-x</w:t>
        </w:r>
      </w:hyperlink>
      <w:r w:rsidRPr="00BC24EC">
        <w:rPr>
          <w:sz w:val="20"/>
          <w:szCs w:val="20"/>
        </w:rPr>
        <w:t xml:space="preserve"> </w:t>
      </w:r>
    </w:p>
    <w:p w14:paraId="6AF2522C" w14:textId="0947044F" w:rsidR="0034618C" w:rsidRPr="00BC24EC" w:rsidRDefault="0034618C" w:rsidP="0034618C">
      <w:pPr>
        <w:pStyle w:val="EndNoteBibliography"/>
        <w:spacing w:after="0"/>
        <w:ind w:left="720" w:hanging="720"/>
        <w:rPr>
          <w:sz w:val="20"/>
          <w:szCs w:val="20"/>
        </w:rPr>
      </w:pPr>
      <w:r w:rsidRPr="00BC24EC">
        <w:rPr>
          <w:sz w:val="20"/>
          <w:szCs w:val="20"/>
        </w:rPr>
        <w:t xml:space="preserve">Tasmanian Government Department of Health. (2024). </w:t>
      </w:r>
      <w:r w:rsidRPr="00BC24EC">
        <w:rPr>
          <w:i/>
          <w:sz w:val="20"/>
          <w:szCs w:val="20"/>
        </w:rPr>
        <w:t>Emergency department - presentations</w:t>
      </w:r>
      <w:r w:rsidRPr="00BC24EC">
        <w:rPr>
          <w:sz w:val="20"/>
          <w:szCs w:val="20"/>
        </w:rPr>
        <w:t xml:space="preserve">. Retrieved 21 November from </w:t>
      </w:r>
      <w:hyperlink r:id="rId84" w:history="1">
        <w:r w:rsidRPr="00BC24EC">
          <w:rPr>
            <w:rStyle w:val="Hyperlink"/>
            <w:sz w:val="20"/>
            <w:szCs w:val="20"/>
          </w:rPr>
          <w:t>https://www.health.tas.gov.au/health-system-dashboard/monthly/emergency-department</w:t>
        </w:r>
      </w:hyperlink>
    </w:p>
    <w:p w14:paraId="6AEEE8E8" w14:textId="77777777" w:rsidR="00D25013" w:rsidRPr="00BC24EC" w:rsidRDefault="00D25013" w:rsidP="00857810">
      <w:pPr>
        <w:pStyle w:val="EndNoteBibliography"/>
        <w:spacing w:after="0"/>
        <w:ind w:left="720" w:hanging="720"/>
        <w:rPr>
          <w:sz w:val="20"/>
          <w:szCs w:val="20"/>
        </w:rPr>
      </w:pPr>
      <w:r w:rsidRPr="00BC24EC">
        <w:rPr>
          <w:sz w:val="20"/>
          <w:szCs w:val="20"/>
        </w:rPr>
        <w:t xml:space="preserve">UK National Guideline Centre. (2018). Minor injury unit, urgent care centre or walk-in centre. In </w:t>
      </w:r>
      <w:r w:rsidRPr="00BC24EC">
        <w:rPr>
          <w:i/>
          <w:sz w:val="20"/>
          <w:szCs w:val="20"/>
        </w:rPr>
        <w:t>Emergency and acute medical care in over 16s: service delivery and organisation</w:t>
      </w:r>
      <w:r w:rsidRPr="00BC24EC">
        <w:rPr>
          <w:sz w:val="20"/>
          <w:szCs w:val="20"/>
        </w:rPr>
        <w:t xml:space="preserve">. National Institute for Health and Care Excellence (NICE). </w:t>
      </w:r>
    </w:p>
    <w:p w14:paraId="7D7150A0" w14:textId="4B6C07CB" w:rsidR="00857810" w:rsidRPr="00BC24EC" w:rsidRDefault="00857810" w:rsidP="00857810">
      <w:pPr>
        <w:pStyle w:val="EndNoteBibliography"/>
        <w:spacing w:after="0"/>
        <w:ind w:left="720" w:hanging="720"/>
        <w:rPr>
          <w:sz w:val="20"/>
          <w:szCs w:val="20"/>
        </w:rPr>
      </w:pPr>
      <w:r w:rsidRPr="00BC24EC">
        <w:rPr>
          <w:sz w:val="20"/>
          <w:szCs w:val="20"/>
        </w:rPr>
        <w:t xml:space="preserve">Victorian Agency for Health Information. (2024). </w:t>
      </w:r>
      <w:r w:rsidRPr="00BC24EC">
        <w:rPr>
          <w:i/>
          <w:sz w:val="20"/>
          <w:szCs w:val="20"/>
        </w:rPr>
        <w:t>Reports</w:t>
      </w:r>
      <w:r w:rsidRPr="00BC24EC">
        <w:rPr>
          <w:sz w:val="20"/>
          <w:szCs w:val="20"/>
        </w:rPr>
        <w:t xml:space="preserve">. Retrieved 3 December from </w:t>
      </w:r>
      <w:hyperlink r:id="rId85" w:history="1">
        <w:r w:rsidRPr="00BC24EC">
          <w:rPr>
            <w:rStyle w:val="Hyperlink"/>
            <w:sz w:val="20"/>
            <w:szCs w:val="20"/>
          </w:rPr>
          <w:t>https://vahi.vic.gov.au/reports</w:t>
        </w:r>
      </w:hyperlink>
    </w:p>
    <w:p w14:paraId="68697BC1" w14:textId="308368C1" w:rsidR="00857810" w:rsidRPr="00BC24EC" w:rsidRDefault="00857810" w:rsidP="00857810">
      <w:pPr>
        <w:pStyle w:val="EndNoteBibliography"/>
        <w:spacing w:after="0"/>
        <w:ind w:left="720" w:hanging="720"/>
        <w:rPr>
          <w:sz w:val="20"/>
          <w:szCs w:val="20"/>
        </w:rPr>
      </w:pPr>
      <w:r w:rsidRPr="00BC24EC">
        <w:rPr>
          <w:sz w:val="20"/>
          <w:szCs w:val="20"/>
        </w:rPr>
        <w:t xml:space="preserve">World Health Organisation. (2024). </w:t>
      </w:r>
      <w:r w:rsidRPr="00BC24EC">
        <w:rPr>
          <w:i/>
          <w:sz w:val="20"/>
          <w:szCs w:val="20"/>
        </w:rPr>
        <w:t>Quality of Care</w:t>
      </w:r>
      <w:r w:rsidRPr="00BC24EC">
        <w:rPr>
          <w:sz w:val="20"/>
          <w:szCs w:val="20"/>
        </w:rPr>
        <w:t xml:space="preserve">. </w:t>
      </w:r>
    </w:p>
    <w:p w14:paraId="624EAAD1" w14:textId="1912D0C9" w:rsidR="00857810" w:rsidRPr="009B783C" w:rsidRDefault="00857810" w:rsidP="00857810">
      <w:pPr>
        <w:pStyle w:val="EndNoteBibliography"/>
        <w:ind w:left="720" w:hanging="720"/>
        <w:rPr>
          <w:noProof w:val="0"/>
        </w:rPr>
      </w:pPr>
      <w:r w:rsidRPr="00BC24EC">
        <w:rPr>
          <w:sz w:val="20"/>
          <w:szCs w:val="20"/>
        </w:rPr>
        <w:t xml:space="preserve">ZEST Health Strategies. (2023). </w:t>
      </w:r>
      <w:r w:rsidRPr="00BC24EC">
        <w:rPr>
          <w:i/>
          <w:sz w:val="20"/>
          <w:szCs w:val="20"/>
        </w:rPr>
        <w:t>Patient experience measurement in primary health care</w:t>
      </w:r>
      <w:r w:rsidRPr="00BC24EC">
        <w:rPr>
          <w:sz w:val="20"/>
          <w:szCs w:val="20"/>
        </w:rPr>
        <w:t xml:space="preserve">. Australian Commission on Safety and Quality in Health Care. </w:t>
      </w:r>
      <w:hyperlink r:id="rId86" w:history="1">
        <w:r w:rsidRPr="00BC24EC">
          <w:rPr>
            <w:rStyle w:val="Hyperlink"/>
            <w:sz w:val="20"/>
            <w:szCs w:val="20"/>
          </w:rPr>
          <w:t>https://www.safetyandquality.gov.au/sites/default/files/2023-07/literature_review_on_patient_experience_in_primary_health_care_-_april_-_2023.pdf</w:t>
        </w:r>
      </w:hyperlink>
    </w:p>
    <w:p w14:paraId="2BF46618" w14:textId="09B6D400" w:rsidR="006F0706" w:rsidRPr="009B783C" w:rsidRDefault="0023147D">
      <w:pPr>
        <w:spacing w:after="160" w:line="259" w:lineRule="auto"/>
        <w:rPr>
          <w:rFonts w:eastAsia="Times New Roman" w:cs="Times New Roman"/>
          <w:szCs w:val="19"/>
          <w:lang w:eastAsia="en-AU"/>
        </w:rPr>
      </w:pPr>
      <w:r w:rsidRPr="009B783C">
        <w:fldChar w:fldCharType="end"/>
      </w:r>
      <w:r w:rsidR="006F0706" w:rsidRPr="009B783C">
        <w:br w:type="page"/>
      </w:r>
    </w:p>
    <w:p w14:paraId="07223DEC" w14:textId="3AED5C24" w:rsidR="000C42B0" w:rsidRPr="006F0706" w:rsidRDefault="006F0706" w:rsidP="006F0706">
      <w:pPr>
        <w:spacing w:after="160" w:line="259" w:lineRule="auto"/>
        <w:rPr>
          <w:rFonts w:eastAsia="Times New Roman" w:cs="Times New Roman"/>
          <w:szCs w:val="19"/>
          <w:lang w:eastAsia="en-AU"/>
        </w:rPr>
      </w:pPr>
      <w:r w:rsidRPr="009B783C">
        <w:rPr>
          <w:noProof/>
        </w:rPr>
        <w:lastRenderedPageBreak/>
        <w:drawing>
          <wp:anchor distT="0" distB="0" distL="114300" distR="114300" simplePos="0" relativeHeight="251658241" behindDoc="0" locked="0" layoutInCell="1" allowOverlap="1" wp14:anchorId="02945470" wp14:editId="1B165469">
            <wp:simplePos x="0" y="0"/>
            <wp:positionH relativeFrom="page">
              <wp:posOffset>0</wp:posOffset>
            </wp:positionH>
            <wp:positionV relativeFrom="paragraph">
              <wp:posOffset>95695</wp:posOffset>
            </wp:positionV>
            <wp:extent cx="7563332" cy="9787442"/>
            <wp:effectExtent l="0" t="0" r="0" b="4445"/>
            <wp:wrapNone/>
            <wp:docPr id="1702201333" name="Picture 67" descr="Back page about Nous. Nous Group is an international management consultancy operating across Australia, New Zealand, the United Kingdom, Ireland and Canada. We are inspired and determined to improve people's lives in significant ways. When our strengths complement yours and we think big together, we can transform businesses, governments, and communities. We realise a bigger idea of success. Nous has 750 people, 75 principles, and operates in 5 countries. It has a 2020 to 2022 net promoter score of +80.7, above the global consulting average of +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201333" name="Picture 67" descr="Back page about Nous. Nous Group is an international management consultancy operating across Australia, New Zealand, the United Kingdom, Ireland and Canada. We are inspired and determined to improve people's lives in significant ways. When our strengths complement yours and we think big together, we can transform businesses, governments, and communities. We realise a bigger idea of success. Nous has 750 people, 75 principles, and operates in 5 countries. It has a 2020 to 2022 net promoter score of +80.7, above the global consulting average of +76.6."/>
                    <pic:cNvPicPr/>
                  </pic:nvPicPr>
                  <pic:blipFill>
                    <a:blip r:embed="rId87" cstate="print">
                      <a:extLst>
                        <a:ext uri="{28A0092B-C50C-407E-A947-70E740481C1C}">
                          <a14:useLocalDpi xmlns:a14="http://schemas.microsoft.com/office/drawing/2010/main" val="0"/>
                        </a:ext>
                      </a:extLst>
                    </a:blip>
                    <a:stretch>
                      <a:fillRect/>
                    </a:stretch>
                  </pic:blipFill>
                  <pic:spPr>
                    <a:xfrm>
                      <a:off x="0" y="0"/>
                      <a:ext cx="7563332" cy="9787442"/>
                    </a:xfrm>
                    <a:prstGeom prst="rect">
                      <a:avLst/>
                    </a:prstGeom>
                  </pic:spPr>
                </pic:pic>
              </a:graphicData>
            </a:graphic>
            <wp14:sizeRelH relativeFrom="margin">
              <wp14:pctWidth>0</wp14:pctWidth>
            </wp14:sizeRelH>
            <wp14:sizeRelV relativeFrom="margin">
              <wp14:pctHeight>0</wp14:pctHeight>
            </wp14:sizeRelV>
          </wp:anchor>
        </w:drawing>
      </w:r>
    </w:p>
    <w:sectPr w:rsidR="000C42B0" w:rsidRPr="006F0706" w:rsidSect="00A6080F">
      <w:pgSz w:w="11907" w:h="16839" w:code="9"/>
      <w:pgMar w:top="1247" w:right="1418" w:bottom="1701" w:left="155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5DCFD4" w14:textId="77777777" w:rsidR="003A46CE" w:rsidRPr="009B783C" w:rsidRDefault="003A46CE" w:rsidP="00302076">
      <w:pPr>
        <w:spacing w:after="0"/>
      </w:pPr>
      <w:r w:rsidRPr="009B783C">
        <w:separator/>
      </w:r>
    </w:p>
  </w:endnote>
  <w:endnote w:type="continuationSeparator" w:id="0">
    <w:p w14:paraId="53F8CB42" w14:textId="77777777" w:rsidR="003A46CE" w:rsidRPr="009B783C" w:rsidRDefault="003A46CE" w:rsidP="00302076">
      <w:pPr>
        <w:spacing w:after="0"/>
      </w:pPr>
      <w:r w:rsidRPr="009B783C">
        <w:continuationSeparator/>
      </w:r>
    </w:p>
  </w:endnote>
  <w:endnote w:type="continuationNotice" w:id="1">
    <w:p w14:paraId="6639F27F" w14:textId="77777777" w:rsidR="003A46CE" w:rsidRPr="009B783C" w:rsidRDefault="003A46C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egoe UI">
    <w:panose1 w:val="020B0502040204020203"/>
    <w:charset w:val="00"/>
    <w:family w:val="swiss"/>
    <w:pitch w:val="variable"/>
    <w:sig w:usb0="E4002EFF" w:usb1="C000E47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albaum Heading">
    <w:charset w:val="00"/>
    <w:family w:val="roman"/>
    <w:pitch w:val="variable"/>
    <w:sig w:usb0="8000002F" w:usb1="0000000A" w:usb2="00000000" w:usb3="00000000" w:csb0="00000001" w:csb1="00000000"/>
  </w:font>
  <w:font w:name="Tahoma">
    <w:panose1 w:val="020B0604030504040204"/>
    <w:charset w:val="00"/>
    <w:family w:val="swiss"/>
    <w:pitch w:val="variable"/>
    <w:sig w:usb0="E1002EFF" w:usb1="C000605B" w:usb2="00000029" w:usb3="00000000" w:csb0="000101FF" w:csb1="00000000"/>
  </w:font>
  <w:font w:name="Source Sans Pro">
    <w:charset w:val="00"/>
    <w:family w:val="swiss"/>
    <w:pitch w:val="variable"/>
    <w:sig w:usb0="600002F7" w:usb1="02000001" w:usb2="00000000" w:usb3="00000000" w:csb0="0000019F" w:csb1="00000000"/>
  </w:font>
  <w:font w:name="Yu Mincho Light">
    <w:charset w:val="80"/>
    <w:family w:val="roman"/>
    <w:pitch w:val="variable"/>
    <w:sig w:usb0="800002E7" w:usb1="2AC7FCFF" w:usb2="00000012" w:usb3="00000000" w:csb0="0002009F" w:csb1="00000000"/>
  </w:font>
  <w:font w:name="Segoe UI Semilight">
    <w:panose1 w:val="020B04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296825" w14:textId="52A362AF" w:rsidR="00865A27" w:rsidRPr="009B783C" w:rsidRDefault="00865A27" w:rsidP="00FD4AB1">
    <w:pPr>
      <w:pStyle w:val="Footer"/>
      <w:rPr>
        <w:rFonts w:ascii="Segoe UI Semibold" w:hAnsi="Segoe UI Semibold" w:cs="Segoe UI"/>
        <w:b/>
      </w:rPr>
    </w:pPr>
    <w:r w:rsidRPr="00E643BE">
      <w:rPr>
        <w:szCs w:val="15"/>
        <w:lang w:eastAsia="en-AU"/>
      </w:rPr>
      <w:t xml:space="preserve">Nous Group | </w:t>
    </w:r>
    <w:sdt>
      <w:sdtPr>
        <w:rPr>
          <w:szCs w:val="15"/>
          <w:lang w:eastAsia="en-AU"/>
        </w:rPr>
        <w:alias w:val="Title"/>
        <w:id w:val="-1274856872"/>
        <w:dataBinding w:prefixMappings="xmlns:ns0='http://purl.org/dc/elements/1.1/' xmlns:ns1='http://schemas.openxmlformats.org/package/2006/metadata/core-properties' " w:xpath="/ns1:coreProperties[1]/ns0:title[1]" w:storeItemID="{6C3C8BC8-F283-45AE-878A-BAB7291924A1}"/>
        <w:text/>
      </w:sdtPr>
      <w:sdtContent>
        <w:r w:rsidR="002140DC">
          <w:rPr>
            <w:szCs w:val="15"/>
            <w:lang w:eastAsia="en-AU"/>
          </w:rPr>
          <w:t>Evaluation of the Medicare Urgent Care Clinics: Interim Evaluation Report</w:t>
        </w:r>
      </w:sdtContent>
    </w:sdt>
    <w:r w:rsidRPr="00E643BE">
      <w:rPr>
        <w:szCs w:val="15"/>
        <w:lang w:eastAsia="en-AU"/>
      </w:rPr>
      <w:t xml:space="preserve"> | </w:t>
    </w:r>
    <w:sdt>
      <w:sdtPr>
        <w:rPr>
          <w:szCs w:val="15"/>
          <w:lang w:eastAsia="en-AU"/>
        </w:rPr>
        <w:alias w:val="Publish Date"/>
        <w:id w:val="-1714653380"/>
        <w:dataBinding w:prefixMappings="xmlns:ns0='http://schemas.microsoft.com/office/2006/coverPageProps' " w:xpath="/ns0:CoverPageProperties[1]/ns0:PublishDate[1]" w:storeItemID="{55AF091B-3C7A-41E3-B477-F2FDAA23CFDA}"/>
        <w:date w:fullDate="2025-01-28T00:00:00Z">
          <w:dateFormat w:val="d MMMM yyyy"/>
          <w:lid w:val="en-AU"/>
          <w:storeMappedDataAs w:val="dateTime"/>
          <w:calendar w:val="gregorian"/>
        </w:date>
      </w:sdtPr>
      <w:sdtContent>
        <w:r w:rsidR="00682C0B" w:rsidRPr="00E643BE">
          <w:rPr>
            <w:szCs w:val="15"/>
            <w:lang w:eastAsia="en-AU"/>
          </w:rPr>
          <w:t>28 January 2025</w:t>
        </w:r>
      </w:sdtContent>
    </w:sdt>
    <w:r w:rsidRPr="00E643BE">
      <w:rPr>
        <w:rFonts w:ascii="Segoe UI Semibold" w:hAnsi="Segoe UI Semibold" w:cs="Segoe UI"/>
      </w:rPr>
      <w:ptab w:relativeTo="margin" w:alignment="right" w:leader="none"/>
    </w:r>
    <w:r w:rsidRPr="00E643BE">
      <w:rPr>
        <w:rFonts w:cs="Segoe UI"/>
      </w:rPr>
      <w:t xml:space="preserve">| </w:t>
    </w:r>
    <w:r w:rsidRPr="00E643BE">
      <w:rPr>
        <w:rFonts w:cs="Segoe UI"/>
        <w:b/>
        <w:sz w:val="16"/>
        <w:szCs w:val="16"/>
      </w:rPr>
      <w:fldChar w:fldCharType="begin"/>
    </w:r>
    <w:r w:rsidRPr="00E643BE">
      <w:rPr>
        <w:rFonts w:cs="Segoe UI"/>
        <w:sz w:val="16"/>
        <w:szCs w:val="16"/>
      </w:rPr>
      <w:instrText xml:space="preserve"> PAGE  \* roman  \* MERGEFORMAT </w:instrText>
    </w:r>
    <w:r w:rsidRPr="00E643BE">
      <w:rPr>
        <w:rFonts w:cs="Segoe UI"/>
        <w:b/>
        <w:sz w:val="16"/>
        <w:szCs w:val="16"/>
      </w:rPr>
      <w:fldChar w:fldCharType="separate"/>
    </w:r>
    <w:r w:rsidRPr="00E643BE">
      <w:rPr>
        <w:rFonts w:cs="Segoe UI"/>
        <w:b/>
        <w:sz w:val="16"/>
        <w:szCs w:val="16"/>
      </w:rPr>
      <w:t>i</w:t>
    </w:r>
    <w:r w:rsidRPr="00E643BE">
      <w:rPr>
        <w:rFonts w:cs="Segoe UI"/>
        <w:b/>
        <w:sz w:val="16"/>
        <w:szCs w:val="16"/>
      </w:rPr>
      <w:fldChar w:fldCharType="end"/>
    </w:r>
    <w:r w:rsidRPr="00E643BE">
      <w:rPr>
        <w:rFonts w:cs="Segoe UI"/>
        <w:sz w:val="16"/>
        <w:szCs w:val="16"/>
      </w:rPr>
      <w:t xml:space="preserve"> </w:t>
    </w:r>
    <w:r w:rsidRPr="00E643BE">
      <w:rPr>
        <w:rFonts w:cs="Segoe UI"/>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DE553" w14:textId="26E774C7" w:rsidR="00865A27" w:rsidRPr="009B783C" w:rsidRDefault="00B70A3B">
    <w:pPr>
      <w:pStyle w:val="Footer"/>
    </w:pPr>
    <w:r w:rsidRPr="009B783C">
      <w:rPr>
        <w:rFonts w:ascii="Segoe UI Semibold" w:hAnsi="Segoe UI Semibold" w:cs="Segoe UI"/>
        <w:noProof/>
        <w:color w:val="A5A5A5"/>
        <w:lang w:eastAsia="en-AU"/>
      </w:rPr>
      <w:drawing>
        <wp:anchor distT="0" distB="0" distL="114300" distR="114300" simplePos="0" relativeHeight="251656192" behindDoc="0" locked="0" layoutInCell="1" allowOverlap="1" wp14:anchorId="067B2A35" wp14:editId="0CE169FA">
          <wp:simplePos x="0" y="0"/>
          <wp:positionH relativeFrom="page">
            <wp:posOffset>6313403</wp:posOffset>
          </wp:positionH>
          <wp:positionV relativeFrom="page">
            <wp:posOffset>10115186</wp:posOffset>
          </wp:positionV>
          <wp:extent cx="842400" cy="230240"/>
          <wp:effectExtent l="0" t="0" r="0" b="0"/>
          <wp:wrapNone/>
          <wp:docPr id="4" name="Picture 4" descr="N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Nou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842400" cy="230240"/>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F43D6" w14:textId="186DAAA8" w:rsidR="00FD4AB1" w:rsidRPr="009B783C" w:rsidRDefault="00294C7F" w:rsidP="00FD4AB1">
    <w:pPr>
      <w:pStyle w:val="Footer"/>
      <w:rPr>
        <w:rFonts w:ascii="Segoe UI Semibold" w:hAnsi="Segoe UI Semibold" w:cs="Segoe UI"/>
        <w:b/>
        <w:color w:val="00264D" w:themeColor="background2"/>
      </w:rPr>
    </w:pPr>
    <w:r w:rsidRPr="009B783C">
      <w:rPr>
        <w:color w:val="00264D" w:themeColor="background2"/>
        <w:szCs w:val="15"/>
        <w:lang w:eastAsia="en-AU"/>
      </w:rPr>
      <w:t xml:space="preserve">Nous Group | </w:t>
    </w:r>
    <w:sdt>
      <w:sdtPr>
        <w:rPr>
          <w:color w:val="00264D" w:themeColor="background2"/>
          <w:szCs w:val="15"/>
          <w:lang w:eastAsia="en-AU"/>
        </w:rPr>
        <w:alias w:val="Title"/>
        <w:id w:val="1089580792"/>
        <w:dataBinding w:prefixMappings="xmlns:ns0='http://purl.org/dc/elements/1.1/' xmlns:ns1='http://schemas.openxmlformats.org/package/2006/metadata/core-properties' " w:xpath="/ns1:coreProperties[1]/ns0:title[1]" w:storeItemID="{6C3C8BC8-F283-45AE-878A-BAB7291924A1}"/>
        <w:text/>
      </w:sdtPr>
      <w:sdtContent>
        <w:r w:rsidR="002140DC">
          <w:rPr>
            <w:color w:val="00264D" w:themeColor="background2"/>
            <w:szCs w:val="15"/>
            <w:lang w:eastAsia="en-AU"/>
          </w:rPr>
          <w:t>Evaluation of the Medicare Urgent Care Clinics: Interim Evaluation Report</w:t>
        </w:r>
      </w:sdtContent>
    </w:sdt>
    <w:r w:rsidRPr="009B783C">
      <w:rPr>
        <w:color w:val="00264D" w:themeColor="background2"/>
        <w:szCs w:val="15"/>
        <w:lang w:eastAsia="en-AU"/>
      </w:rPr>
      <w:t xml:space="preserve"> | </w:t>
    </w:r>
    <w:sdt>
      <w:sdtPr>
        <w:rPr>
          <w:color w:val="00264D" w:themeColor="background2"/>
          <w:szCs w:val="15"/>
          <w:lang w:eastAsia="en-AU"/>
        </w:rPr>
        <w:alias w:val="Publish Date"/>
        <w:id w:val="-1085840653"/>
        <w:dataBinding w:prefixMappings="xmlns:ns0='http://schemas.microsoft.com/office/2006/coverPageProps' " w:xpath="/ns0:CoverPageProperties[1]/ns0:PublishDate[1]" w:storeItemID="{55AF091B-3C7A-41E3-B477-F2FDAA23CFDA}"/>
        <w:date w:fullDate="2025-01-28T00:00:00Z">
          <w:dateFormat w:val="d MMMM yyyy"/>
          <w:lid w:val="en-AU"/>
          <w:storeMappedDataAs w:val="dateTime"/>
          <w:calendar w:val="gregorian"/>
        </w:date>
      </w:sdtPr>
      <w:sdtContent>
        <w:r w:rsidR="00682C0B" w:rsidRPr="009B783C">
          <w:rPr>
            <w:color w:val="00264D" w:themeColor="background2"/>
            <w:szCs w:val="15"/>
            <w:lang w:eastAsia="en-AU"/>
          </w:rPr>
          <w:t>28 January 2025</w:t>
        </w:r>
      </w:sdtContent>
    </w:sdt>
    <w:r w:rsidR="00FD4AB1" w:rsidRPr="009B783C">
      <w:rPr>
        <w:rFonts w:ascii="Segoe UI Semibold" w:hAnsi="Segoe UI Semibold" w:cs="Segoe UI"/>
        <w:color w:val="00264D" w:themeColor="background2"/>
      </w:rPr>
      <w:ptab w:relativeTo="margin" w:alignment="right" w:leader="none"/>
    </w:r>
    <w:r w:rsidR="00FD4AB1" w:rsidRPr="009B783C">
      <w:rPr>
        <w:rFonts w:cs="Segoe UI"/>
        <w:color w:val="00264D" w:themeColor="background2"/>
      </w:rPr>
      <w:t xml:space="preserve">| </w:t>
    </w:r>
    <w:r w:rsidR="00FD4AB1" w:rsidRPr="009B783C">
      <w:rPr>
        <w:rFonts w:cs="Segoe UI"/>
        <w:color w:val="00264D" w:themeColor="background2"/>
        <w:sz w:val="16"/>
        <w:szCs w:val="16"/>
      </w:rPr>
      <w:fldChar w:fldCharType="begin"/>
    </w:r>
    <w:r w:rsidR="00FD4AB1" w:rsidRPr="009B783C">
      <w:rPr>
        <w:rFonts w:cs="Segoe UI"/>
        <w:color w:val="00264D" w:themeColor="background2"/>
        <w:sz w:val="16"/>
        <w:szCs w:val="16"/>
      </w:rPr>
      <w:instrText xml:space="preserve"> PAGE  \* roman  \* MERGEFORMAT </w:instrText>
    </w:r>
    <w:r w:rsidR="00FD4AB1" w:rsidRPr="009B783C">
      <w:rPr>
        <w:rFonts w:cs="Segoe UI"/>
        <w:color w:val="00264D" w:themeColor="background2"/>
        <w:sz w:val="16"/>
        <w:szCs w:val="16"/>
      </w:rPr>
      <w:fldChar w:fldCharType="separate"/>
    </w:r>
    <w:r w:rsidR="00836AA0" w:rsidRPr="009B783C">
      <w:rPr>
        <w:rFonts w:cs="Segoe UI"/>
        <w:color w:val="00264D" w:themeColor="background2"/>
        <w:sz w:val="16"/>
        <w:szCs w:val="16"/>
      </w:rPr>
      <w:t>ii</w:t>
    </w:r>
    <w:r w:rsidR="00FD4AB1" w:rsidRPr="009B783C">
      <w:rPr>
        <w:rFonts w:cs="Segoe UI"/>
        <w:color w:val="00264D" w:themeColor="background2"/>
        <w:sz w:val="16"/>
        <w:szCs w:val="16"/>
      </w:rPr>
      <w:fldChar w:fldCharType="end"/>
    </w:r>
    <w:r w:rsidR="00FD4AB1" w:rsidRPr="009B783C">
      <w:rPr>
        <w:rFonts w:cs="Segoe UI"/>
        <w:color w:val="00264D" w:themeColor="background2"/>
        <w:sz w:val="16"/>
        <w:szCs w:val="16"/>
      </w:rPr>
      <w:t xml:space="preserve"> </w:t>
    </w:r>
    <w:r w:rsidR="00FD4AB1" w:rsidRPr="009B783C">
      <w:rPr>
        <w:rFonts w:cs="Segoe UI"/>
        <w:color w:val="00264D" w:themeColor="background2"/>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7BDBD6" w14:textId="118B693B" w:rsidR="00175471" w:rsidRPr="009B783C" w:rsidRDefault="00175471" w:rsidP="00FD4AB1">
    <w:pPr>
      <w:pStyle w:val="Footer"/>
      <w:rPr>
        <w:rFonts w:cs="Segoe UI"/>
        <w:b/>
        <w:color w:val="00264D" w:themeColor="background2"/>
      </w:rPr>
    </w:pPr>
    <w:r w:rsidRPr="009B783C">
      <w:rPr>
        <w:rFonts w:cs="Segoe UI"/>
        <w:color w:val="00264D" w:themeColor="background2"/>
        <w:szCs w:val="15"/>
        <w:lang w:eastAsia="en-AU"/>
      </w:rPr>
      <w:t xml:space="preserve">Nous Group | </w:t>
    </w:r>
    <w:sdt>
      <w:sdtPr>
        <w:rPr>
          <w:rFonts w:cs="Segoe UI"/>
          <w:color w:val="00264D" w:themeColor="background2"/>
          <w:szCs w:val="15"/>
          <w:lang w:eastAsia="en-AU"/>
        </w:rPr>
        <w:alias w:val="Title"/>
        <w:id w:val="692196516"/>
        <w:dataBinding w:prefixMappings="xmlns:ns0='http://purl.org/dc/elements/1.1/' xmlns:ns1='http://schemas.openxmlformats.org/package/2006/metadata/core-properties' " w:xpath="/ns1:coreProperties[1]/ns0:title[1]" w:storeItemID="{6C3C8BC8-F283-45AE-878A-BAB7291924A1}"/>
        <w:text/>
      </w:sdtPr>
      <w:sdtContent>
        <w:r w:rsidR="002140DC">
          <w:rPr>
            <w:rFonts w:cs="Segoe UI"/>
            <w:color w:val="00264D" w:themeColor="background2"/>
            <w:szCs w:val="15"/>
            <w:lang w:eastAsia="en-AU"/>
          </w:rPr>
          <w:t>Evaluation of the Medicare Urgent Care Clinics: Interim Evaluation Report</w:t>
        </w:r>
      </w:sdtContent>
    </w:sdt>
    <w:r w:rsidRPr="009B783C">
      <w:rPr>
        <w:rFonts w:cs="Segoe UI"/>
        <w:color w:val="00264D" w:themeColor="background2"/>
        <w:szCs w:val="15"/>
        <w:lang w:eastAsia="en-AU"/>
      </w:rPr>
      <w:t xml:space="preserve"> | </w:t>
    </w:r>
    <w:sdt>
      <w:sdtPr>
        <w:rPr>
          <w:rFonts w:cs="Segoe UI"/>
          <w:color w:val="00264D" w:themeColor="background2"/>
          <w:szCs w:val="15"/>
          <w:lang w:eastAsia="en-AU"/>
        </w:rPr>
        <w:alias w:val="Publish Date"/>
        <w:id w:val="664203597"/>
        <w:dataBinding w:prefixMappings="xmlns:ns0='http://schemas.microsoft.com/office/2006/coverPageProps' " w:xpath="/ns0:CoverPageProperties[1]/ns0:PublishDate[1]" w:storeItemID="{55AF091B-3C7A-41E3-B477-F2FDAA23CFDA}"/>
        <w:date w:fullDate="2025-01-28T00:00:00Z">
          <w:dateFormat w:val="d MMMM yyyy"/>
          <w:lid w:val="en-AU"/>
          <w:storeMappedDataAs w:val="dateTime"/>
          <w:calendar w:val="gregorian"/>
        </w:date>
      </w:sdtPr>
      <w:sdtContent>
        <w:r w:rsidR="00682C0B" w:rsidRPr="009B783C">
          <w:rPr>
            <w:rFonts w:cs="Segoe UI"/>
            <w:color w:val="00264D" w:themeColor="background2"/>
            <w:szCs w:val="15"/>
            <w:lang w:eastAsia="en-AU"/>
          </w:rPr>
          <w:t>28 January 2025</w:t>
        </w:r>
      </w:sdtContent>
    </w:sdt>
    <w:r w:rsidRPr="009B783C">
      <w:rPr>
        <w:rFonts w:cs="Segoe UI"/>
        <w:color w:val="00264D" w:themeColor="background2"/>
      </w:rPr>
      <w:ptab w:relativeTo="margin" w:alignment="right" w:leader="none"/>
    </w:r>
    <w:r w:rsidRPr="009B783C">
      <w:rPr>
        <w:rFonts w:cs="Segoe UI"/>
        <w:color w:val="00264D" w:themeColor="background2"/>
      </w:rPr>
      <w:t xml:space="preserve">| </w:t>
    </w:r>
    <w:r w:rsidRPr="009B783C">
      <w:rPr>
        <w:rFonts w:cs="Segoe UI"/>
        <w:color w:val="00264D" w:themeColor="background2"/>
        <w:sz w:val="16"/>
        <w:szCs w:val="16"/>
      </w:rPr>
      <w:fldChar w:fldCharType="begin"/>
    </w:r>
    <w:r w:rsidRPr="009B783C">
      <w:rPr>
        <w:rFonts w:cs="Segoe UI"/>
        <w:color w:val="00264D" w:themeColor="background2"/>
        <w:sz w:val="16"/>
        <w:szCs w:val="16"/>
      </w:rPr>
      <w:instrText xml:space="preserve"> PAGE  \* Arabic  \* MERGEFORMAT </w:instrText>
    </w:r>
    <w:r w:rsidRPr="009B783C">
      <w:rPr>
        <w:rFonts w:cs="Segoe UI"/>
        <w:color w:val="00264D" w:themeColor="background2"/>
        <w:sz w:val="16"/>
        <w:szCs w:val="16"/>
      </w:rPr>
      <w:fldChar w:fldCharType="separate"/>
    </w:r>
    <w:r w:rsidRPr="009B783C">
      <w:rPr>
        <w:rFonts w:cs="Segoe UI"/>
        <w:color w:val="00264D" w:themeColor="background2"/>
        <w:sz w:val="16"/>
        <w:szCs w:val="16"/>
      </w:rPr>
      <w:t>1</w:t>
    </w:r>
    <w:r w:rsidRPr="009B783C">
      <w:rPr>
        <w:rFonts w:cs="Segoe UI"/>
        <w:color w:val="00264D" w:themeColor="background2"/>
        <w:sz w:val="16"/>
        <w:szCs w:val="16"/>
      </w:rPr>
      <w:fldChar w:fldCharType="end"/>
    </w:r>
    <w:r w:rsidRPr="009B783C">
      <w:rPr>
        <w:rFonts w:cs="Segoe UI"/>
        <w:b/>
        <w:color w:val="00264D" w:themeColor="background2"/>
      </w:rPr>
      <w:t xml:space="preserve"> </w:t>
    </w:r>
    <w:r w:rsidRPr="009B783C">
      <w:rPr>
        <w:rFonts w:cs="Segoe UI"/>
        <w:color w:val="00264D" w:themeColor="background2"/>
      </w:rPr>
      <w: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99EB1" w14:textId="2E06547E" w:rsidR="00363BC2" w:rsidRPr="00416A30" w:rsidRDefault="00084BE9">
    <w:pPr>
      <w:pStyle w:val="Footer"/>
      <w:rPr>
        <w:rFonts w:cs="Segoe UI"/>
        <w:b/>
        <w:color w:val="00264D" w:themeColor="background2"/>
      </w:rPr>
    </w:pPr>
    <w:r w:rsidRPr="00416A30">
      <w:rPr>
        <w:rFonts w:cs="Segoe UI"/>
        <w:color w:val="00264D" w:themeColor="background2"/>
        <w:szCs w:val="15"/>
        <w:lang w:eastAsia="en-AU"/>
      </w:rPr>
      <w:t xml:space="preserve">Nous Group | </w:t>
    </w:r>
    <w:sdt>
      <w:sdtPr>
        <w:rPr>
          <w:rFonts w:cs="Segoe UI"/>
          <w:color w:val="00264D" w:themeColor="background2"/>
          <w:szCs w:val="15"/>
          <w:lang w:eastAsia="en-AU"/>
        </w:rPr>
        <w:alias w:val="Title"/>
        <w:id w:val="287162867"/>
        <w:dataBinding w:prefixMappings="xmlns:ns0='http://purl.org/dc/elements/1.1/' xmlns:ns1='http://schemas.openxmlformats.org/package/2006/metadata/core-properties' " w:xpath="/ns1:coreProperties[1]/ns0:title[1]" w:storeItemID="{6C3C8BC8-F283-45AE-878A-BAB7291924A1}"/>
        <w:text/>
      </w:sdtPr>
      <w:sdtContent>
        <w:r w:rsidR="002140DC">
          <w:rPr>
            <w:rFonts w:cs="Segoe UI"/>
            <w:color w:val="00264D" w:themeColor="background2"/>
            <w:szCs w:val="15"/>
            <w:lang w:eastAsia="en-AU"/>
          </w:rPr>
          <w:t>Evaluation of the Medicare Urgent Care Clinics: Interim Evaluation Report</w:t>
        </w:r>
      </w:sdtContent>
    </w:sdt>
    <w:r w:rsidRPr="00416A30">
      <w:rPr>
        <w:rFonts w:cs="Segoe UI"/>
        <w:color w:val="00264D" w:themeColor="background2"/>
        <w:szCs w:val="15"/>
        <w:lang w:eastAsia="en-AU"/>
      </w:rPr>
      <w:t xml:space="preserve"> | </w:t>
    </w:r>
    <w:sdt>
      <w:sdtPr>
        <w:rPr>
          <w:rFonts w:cs="Segoe UI"/>
          <w:color w:val="00264D" w:themeColor="background2"/>
          <w:szCs w:val="15"/>
          <w:lang w:eastAsia="en-AU"/>
        </w:rPr>
        <w:alias w:val="Publish Date"/>
        <w:id w:val="-617602137"/>
        <w:dataBinding w:prefixMappings="xmlns:ns0='http://schemas.microsoft.com/office/2006/coverPageProps' " w:xpath="/ns0:CoverPageProperties[1]/ns0:PublishDate[1]" w:storeItemID="{55AF091B-3C7A-41E3-B477-F2FDAA23CFDA}"/>
        <w:date w:fullDate="2025-01-28T00:00:00Z">
          <w:dateFormat w:val="d MMMM yyyy"/>
          <w:lid w:val="en-AU"/>
          <w:storeMappedDataAs w:val="dateTime"/>
          <w:calendar w:val="gregorian"/>
        </w:date>
      </w:sdtPr>
      <w:sdtContent>
        <w:r w:rsidR="00682C0B" w:rsidRPr="00416A30">
          <w:rPr>
            <w:rFonts w:cs="Segoe UI"/>
            <w:color w:val="00264D" w:themeColor="background2"/>
            <w:szCs w:val="15"/>
            <w:lang w:eastAsia="en-AU"/>
          </w:rPr>
          <w:t>28 January 2025</w:t>
        </w:r>
      </w:sdtContent>
    </w:sdt>
    <w:r w:rsidRPr="00416A30">
      <w:rPr>
        <w:rFonts w:cs="Segoe UI"/>
        <w:color w:val="00264D" w:themeColor="background2"/>
      </w:rPr>
      <w:ptab w:relativeTo="margin" w:alignment="right" w:leader="none"/>
    </w:r>
    <w:r w:rsidRPr="00416A30">
      <w:rPr>
        <w:rFonts w:cs="Segoe UI"/>
        <w:color w:val="00264D" w:themeColor="background2"/>
      </w:rPr>
      <w:t xml:space="preserve">| </w:t>
    </w:r>
    <w:r w:rsidRPr="00416A30">
      <w:rPr>
        <w:rFonts w:cs="Segoe UI"/>
        <w:color w:val="00264D" w:themeColor="background2"/>
        <w:sz w:val="16"/>
        <w:szCs w:val="16"/>
      </w:rPr>
      <w:fldChar w:fldCharType="begin"/>
    </w:r>
    <w:r w:rsidRPr="00416A30">
      <w:rPr>
        <w:rFonts w:cs="Segoe UI"/>
        <w:color w:val="00264D" w:themeColor="background2"/>
        <w:sz w:val="16"/>
        <w:szCs w:val="16"/>
      </w:rPr>
      <w:instrText xml:space="preserve"> PAGE  \* Arabic  \* MERGEFORMAT </w:instrText>
    </w:r>
    <w:r w:rsidRPr="00416A30">
      <w:rPr>
        <w:rFonts w:cs="Segoe UI"/>
        <w:color w:val="00264D" w:themeColor="background2"/>
        <w:sz w:val="16"/>
        <w:szCs w:val="16"/>
      </w:rPr>
      <w:fldChar w:fldCharType="separate"/>
    </w:r>
    <w:r w:rsidRPr="00416A30">
      <w:rPr>
        <w:rFonts w:cs="Segoe UI"/>
        <w:color w:val="00264D" w:themeColor="background2"/>
        <w:sz w:val="16"/>
        <w:szCs w:val="16"/>
      </w:rPr>
      <w:t>5</w:t>
    </w:r>
    <w:r w:rsidRPr="00416A30">
      <w:rPr>
        <w:rFonts w:cs="Segoe UI"/>
        <w:color w:val="00264D" w:themeColor="background2"/>
        <w:sz w:val="16"/>
        <w:szCs w:val="16"/>
      </w:rPr>
      <w:fldChar w:fldCharType="end"/>
    </w:r>
    <w:r w:rsidRPr="00416A30">
      <w:rPr>
        <w:rFonts w:cs="Segoe UI"/>
        <w:b/>
        <w:color w:val="00264D" w:themeColor="background2"/>
      </w:rPr>
      <w:t xml:space="preserve"> </w:t>
    </w:r>
    <w:r w:rsidRPr="00416A30">
      <w:rPr>
        <w:rFonts w:cs="Segoe UI"/>
        <w:color w:val="00264D" w:themeColor="background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C9786C" w14:textId="77777777" w:rsidR="003A46CE" w:rsidRPr="009B783C" w:rsidRDefault="003A46CE" w:rsidP="00302076">
      <w:pPr>
        <w:spacing w:after="0"/>
      </w:pPr>
      <w:r w:rsidRPr="009B783C">
        <w:separator/>
      </w:r>
    </w:p>
  </w:footnote>
  <w:footnote w:type="continuationSeparator" w:id="0">
    <w:p w14:paraId="2027BEBE" w14:textId="77777777" w:rsidR="003A46CE" w:rsidRPr="009B783C" w:rsidRDefault="003A46CE" w:rsidP="00302076">
      <w:pPr>
        <w:spacing w:after="0"/>
      </w:pPr>
      <w:r w:rsidRPr="009B783C">
        <w:continuationSeparator/>
      </w:r>
    </w:p>
  </w:footnote>
  <w:footnote w:type="continuationNotice" w:id="1">
    <w:p w14:paraId="720DDC84" w14:textId="77777777" w:rsidR="003A46CE" w:rsidRPr="009B783C" w:rsidRDefault="003A46CE">
      <w:pPr>
        <w:spacing w:after="0"/>
      </w:pPr>
    </w:p>
  </w:footnote>
  <w:footnote w:id="2">
    <w:p w14:paraId="74F8C856" w14:textId="77777777" w:rsidR="00D95FE8" w:rsidRPr="009B783C" w:rsidRDefault="00D95FE8" w:rsidP="00D95FE8">
      <w:pPr>
        <w:pStyle w:val="Footer"/>
      </w:pPr>
      <w:r w:rsidRPr="009B783C">
        <w:rPr>
          <w:rStyle w:val="FootnoteReference"/>
          <w:sz w:val="14"/>
          <w:szCs w:val="14"/>
        </w:rPr>
        <w:footnoteRef/>
      </w:r>
      <w:r w:rsidRPr="009B783C">
        <w:t xml:space="preserve"> Based on Australian Government Department of Health and Aged Care. (2024c). </w:t>
      </w:r>
      <w:r w:rsidRPr="009B783C">
        <w:rPr>
          <w:i/>
        </w:rPr>
        <w:t>When to visit a Medicare Urgent Care Clinic</w:t>
      </w:r>
      <w:r w:rsidRPr="009B783C">
        <w:t xml:space="preserve">. </w:t>
      </w:r>
      <w:hyperlink r:id="rId1" w:history="1">
        <w:r w:rsidRPr="009B783C">
          <w:t>https://www.health.gov.au/find-a-medicare-ucc/when-to-visit</w:t>
        </w:r>
      </w:hyperlink>
    </w:p>
  </w:footnote>
  <w:footnote w:id="3">
    <w:p w14:paraId="31E05F29" w14:textId="4E0A792F" w:rsidR="00557FA6" w:rsidRPr="009B783C" w:rsidRDefault="00557FA6" w:rsidP="00557FA6">
      <w:pPr>
        <w:pStyle w:val="Footer"/>
      </w:pPr>
      <w:r w:rsidRPr="009B783C">
        <w:rPr>
          <w:vertAlign w:val="superscript"/>
        </w:rPr>
        <w:footnoteRef/>
      </w:r>
      <w:r w:rsidRPr="009B783C">
        <w:t xml:space="preserve"> </w:t>
      </w:r>
      <w:r w:rsidRPr="009B783C">
        <w:fldChar w:fldCharType="begin"/>
      </w:r>
      <w:r w:rsidR="005B610E" w:rsidRPr="009B783C">
        <w:instrText xml:space="preserve"> ADDIN EN.CITE &lt;EndNote&gt;&lt;Cite&gt;&lt;Author&gt;Australian Institute of Health and Welfare&lt;/Author&gt;&lt;Year&gt;2023&lt;/Year&gt;&lt;RecNum&gt;37&lt;/RecNum&gt;&lt;DisplayText&gt;Australian Institute of Health and Welfare. (2023c). &lt;style face="italic"&gt;National Healthcare Agreement: PI 19–Selected potentially avoidable GP-type presentations to emergency departments, 2022&lt;/style&gt;. https://meteor.aihw.gov.au/content/740847&lt;/DisplayText&gt;&lt;record&gt;&lt;rec-number&gt;37&lt;/rec-number&gt;&lt;foreign-keys&gt;&lt;key app="EN" db-id="dawdzvawp59fxqevpt559rphwt5dfwx2xwa5" timestamp="1733268708" guid="813327ff-0aee-4837-b423-4c8c46f03e0a"&gt;37&lt;/key&gt;&lt;/foreign-keys&gt;&lt;ref-type name="Report"&gt;27&lt;/ref-type&gt;&lt;contributors&gt;&lt;authors&gt;&lt;author&gt;Australian Institute of Health and Welfare,&lt;/author&gt;&lt;/authors&gt;&lt;/contributors&gt;&lt;titles&gt;&lt;title&gt;National Healthcare Agreement: PI 19–Selected potentially avoidable GP-type presentations to emergency departments, 2022&lt;/title&gt;&lt;/titles&gt;&lt;dates&gt;&lt;year&gt;2023&lt;/year&gt;&lt;/dates&gt;&lt;urls&gt;&lt;related-urls&gt;&lt;url&gt;https://meteor.aihw.gov.au/content/740847&lt;/url&gt;&lt;/related-urls&gt;&lt;/urls&gt;&lt;/record&gt;&lt;/Cite&gt;&lt;/EndNote&gt;</w:instrText>
      </w:r>
      <w:r w:rsidRPr="009B783C">
        <w:fldChar w:fldCharType="separate"/>
      </w:r>
      <w:r w:rsidR="005B610E" w:rsidRPr="009B783C">
        <w:t xml:space="preserve">Australian Institute of Health and Welfare. (2023c). </w:t>
      </w:r>
      <w:r w:rsidR="005B610E" w:rsidRPr="009B783C">
        <w:rPr>
          <w:i/>
        </w:rPr>
        <w:t>National Healthcare Agreement: PI 19–Selected potentially avoidable GP-type presentations to emergency departments, 2022</w:t>
      </w:r>
      <w:r w:rsidR="005B610E" w:rsidRPr="009B783C">
        <w:t>. https://meteor.aihw.gov.au/content/740847</w:t>
      </w:r>
      <w:r w:rsidRPr="009B783C">
        <w:fldChar w:fldCharType="end"/>
      </w:r>
    </w:p>
  </w:footnote>
  <w:footnote w:id="4">
    <w:p w14:paraId="07AF8555" w14:textId="1E68702B" w:rsidR="00557FA6" w:rsidRPr="009B783C" w:rsidRDefault="00557FA6" w:rsidP="003E79FA">
      <w:pPr>
        <w:pStyle w:val="Footer"/>
      </w:pPr>
      <w:r w:rsidRPr="009B783C">
        <w:rPr>
          <w:rStyle w:val="FootnoteReference"/>
          <w:sz w:val="14"/>
          <w:szCs w:val="14"/>
        </w:rPr>
        <w:footnoteRef/>
      </w:r>
      <w:r w:rsidR="00C17381" w:rsidRPr="009B783C">
        <w:t xml:space="preserve"> Note that this definition is applicable only in cases where NAPEDC data are available for analysis. Publicly accessible ED data do not include information on arrival mode or discharge disposition (</w:t>
      </w:r>
      <w:r w:rsidR="00310047" w:rsidRPr="009B783C">
        <w:t>that is</w:t>
      </w:r>
      <w:r w:rsidR="00C17381" w:rsidRPr="009B783C">
        <w:t xml:space="preserve">, whether the patient was admitted to the hospital, discharged home, or died). </w:t>
      </w:r>
    </w:p>
  </w:footnote>
  <w:footnote w:id="5">
    <w:p w14:paraId="739AD4C2" w14:textId="3B787D8D" w:rsidR="00B5184A" w:rsidRPr="009B783C" w:rsidRDefault="00B5184A" w:rsidP="003E79FA">
      <w:pPr>
        <w:pStyle w:val="Footer"/>
      </w:pPr>
      <w:r w:rsidRPr="009B783C">
        <w:rPr>
          <w:rStyle w:val="FootnoteReference"/>
          <w:sz w:val="14"/>
          <w:szCs w:val="14"/>
        </w:rPr>
        <w:footnoteRef/>
      </w:r>
      <w:r w:rsidR="00C17381" w:rsidRPr="009B783C">
        <w:t xml:space="preserve"> Only </w:t>
      </w:r>
      <w:r w:rsidR="00310047" w:rsidRPr="009B783C">
        <w:t>triage</w:t>
      </w:r>
      <w:r w:rsidR="00C17381" w:rsidRPr="009B783C">
        <w:t xml:space="preserve"> category has been available in the ED data used for this Interim Evaluation Report 1. Other variables will be used when they become available in future evaluation phases.</w:t>
      </w:r>
    </w:p>
  </w:footnote>
  <w:footnote w:id="6">
    <w:p w14:paraId="15E1103D" w14:textId="402A3880" w:rsidR="00AC4710" w:rsidRPr="009B783C" w:rsidRDefault="00AC4710" w:rsidP="00AC4710">
      <w:pPr>
        <w:pStyle w:val="Footer"/>
        <w:rPr>
          <w:rFonts w:ascii="Calibri" w:hAnsi="Calibri"/>
          <w:sz w:val="20"/>
        </w:rPr>
      </w:pPr>
      <w:r w:rsidRPr="009B783C">
        <w:rPr>
          <w:vertAlign w:val="superscript"/>
        </w:rPr>
        <w:footnoteRef/>
      </w:r>
      <w:r w:rsidRPr="009B783C">
        <w:t xml:space="preserve"> </w:t>
      </w:r>
      <w:r w:rsidRPr="009B783C">
        <w:fldChar w:fldCharType="begin">
          <w:fldData xml:space="preserve">PEVuZE5vdGU+PENpdGU+PEF1dGhvcj5PJmFwb3M7TG91Z2hsaW48L0F1dGhvcj48WWVhcj4yMDIx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</w:fldData>
        </w:fldChar>
      </w:r>
      <w:r w:rsidR="00963C8D" w:rsidRPr="009B783C">
        <w:instrText xml:space="preserve"> ADDIN EN.CITE </w:instrText>
      </w:r>
      <w:r w:rsidR="00963C8D" w:rsidRPr="009B783C">
        <w:fldChar w:fldCharType="begin">
          <w:fldData xml:space="preserve">PEVuZE5vdGU+PENpdGU+PEF1dGhvcj5PJmFwb3M7TG91Z2hsaW48L0F1dGhvcj48WWVhcj4yMDIx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</w:fldData>
        </w:fldChar>
      </w:r>
      <w:r w:rsidR="00963C8D" w:rsidRPr="009B783C">
        <w:instrText xml:space="preserve"> ADDIN EN.CITE.DATA </w:instrText>
      </w:r>
      <w:r w:rsidR="00963C8D" w:rsidRPr="009B783C">
        <w:fldChar w:fldCharType="end"/>
      </w:r>
      <w:r w:rsidRPr="009B783C">
        <w:fldChar w:fldCharType="separate"/>
      </w:r>
      <w:r w:rsidR="00963C8D" w:rsidRPr="009B783C">
        <w:t xml:space="preserve">O'Loughlin, M., Mills, J., McDermott, R., &amp; Harriss, L. R. (2021). Exploring the measure of potentially avoidable general practitioner-type presentations to the emergency department in regional Queensland using linked, patient-perspective data. </w:t>
      </w:r>
      <w:r w:rsidR="00963C8D" w:rsidRPr="009B783C">
        <w:rPr>
          <w:i/>
        </w:rPr>
        <w:t>Aust Health Rev</w:t>
      </w:r>
      <w:r w:rsidR="00963C8D" w:rsidRPr="009B783C">
        <w:t>,</w:t>
      </w:r>
      <w:r w:rsidR="00963C8D" w:rsidRPr="009B783C">
        <w:rPr>
          <w:i/>
        </w:rPr>
        <w:t xml:space="preserve"> 45</w:t>
      </w:r>
      <w:r w:rsidR="00963C8D" w:rsidRPr="009B783C">
        <w:t xml:space="preserve">(1), 90-96. https://doi.org/10.1071/AH19210 </w:t>
      </w:r>
      <w:r w:rsidRPr="009B783C">
        <w:fldChar w:fldCharType="end"/>
      </w:r>
    </w:p>
  </w:footnote>
  <w:footnote w:id="7">
    <w:p w14:paraId="7638AE14" w14:textId="562F8F5A" w:rsidR="00295B68" w:rsidRPr="009B783C" w:rsidRDefault="00295B68" w:rsidP="003E79FA">
      <w:pPr>
        <w:pStyle w:val="Footer"/>
      </w:pPr>
      <w:r w:rsidRPr="009B783C">
        <w:rPr>
          <w:rStyle w:val="FootnoteReference"/>
          <w:sz w:val="14"/>
          <w:szCs w:val="14"/>
        </w:rPr>
        <w:footnoteRef/>
      </w:r>
      <w:r w:rsidR="00C17381" w:rsidRPr="009B783C">
        <w:t xml:space="preserve"> Steering Committee for the Review of Government Service Provision 2024, Report on Government Services 2024, Productivity Commission, Canberra. https://www.pc.gov.au/ongoing/report-on-government-services/2024/health/Rogs-2024-parte-overview-and-sections.pdf </w:t>
      </w:r>
    </w:p>
  </w:footnote>
  <w:footnote w:id="8">
    <w:p w14:paraId="777B1EC3" w14:textId="1A35FD1F" w:rsidR="00145721" w:rsidRPr="009B783C" w:rsidRDefault="00145721" w:rsidP="003E79FA">
      <w:pPr>
        <w:pStyle w:val="Footer"/>
      </w:pPr>
      <w:r w:rsidRPr="009B783C">
        <w:rPr>
          <w:rStyle w:val="FootnoteReference"/>
          <w:sz w:val="14"/>
          <w:szCs w:val="14"/>
        </w:rPr>
        <w:footnoteRef/>
      </w:r>
      <w:r w:rsidRPr="009B783C">
        <w:t xml:space="preserve"> </w:t>
      </w:r>
      <w:r w:rsidR="00EB276E" w:rsidRPr="009B783C">
        <w:t xml:space="preserve">An example is the </w:t>
      </w:r>
      <w:r w:rsidR="00D25013" w:rsidRPr="009B783C">
        <w:fldChar w:fldCharType="begin"/>
      </w:r>
      <w:r w:rsidR="00D25013" w:rsidRPr="009B783C">
        <w:instrText xml:space="preserve"> ADDIN EN.CITE &lt;EndNote&gt;&lt;Cite&gt;&lt;Author&gt;Australian Government Department of Health and Aged Care&lt;/Author&gt;&lt;Year&gt;2024&lt;/Year&gt;&lt;RecNum&gt;100&lt;/RecNum&gt;&lt;DisplayText&gt;Health Insurance (Medicare Benefits Payable in Respect of Professional Services - Services Rendered under the Commonwealth Medicare Urgent Care Clinic Program) Direction (No.4) 2024, (2024a). https://www.legislation.gov.au/F2024N01065/asmade/text&lt;/DisplayText&gt;&lt;record&gt;&lt;rec-number&gt;100&lt;/rec-number&gt;&lt;foreign-keys&gt;&lt;key app="EN" db-id="dawdzvawp59fxqevpt559rphwt5dfwx2xwa5" timestamp="1733715198" guid="0ef43d39-3189-43d5-9b84-bf85415bb69b"&gt;100&lt;/key&gt;&lt;/foreign-keys&gt;&lt;ref-type name="Legal Rule or Regulation"&gt;50&lt;/ref-type&gt;&lt;contributors&gt;&lt;authors&gt;&lt;author&gt;Australian Government Department of Health and Aged Care,,&lt;/author&gt;&lt;/authors&gt;&lt;/contributors&gt;&lt;titles&gt;&lt;title&gt;Health Insurance (Medicare Benefits Payable in Respect of Professional Services - Services Rendered under the Commonwealth Medicare Urgent Care Clinic Program) Direction (No.4) 2024&lt;/title&gt;&lt;/titles&gt;&lt;dates&gt;&lt;year&gt;2024&lt;/year&gt;&lt;/dates&gt;&lt;urls&gt;&lt;related-urls&gt;&lt;url&gt;https://www.legislation.gov.au/F2024N01065/asmade/text&lt;/url&gt;&lt;/related-urls&gt;&lt;/urls&gt;&lt;/record&gt;&lt;/Cite&gt;&lt;/EndNote&gt;</w:instrText>
      </w:r>
      <w:r w:rsidR="00D25013" w:rsidRPr="009B783C">
        <w:fldChar w:fldCharType="separate"/>
      </w:r>
      <w:r w:rsidR="00D25013" w:rsidRPr="009B783C">
        <w:t>Health Insurance (Medicare Benefits Payable in Respect of Professional Services - Services Rendered under the Commonwealth Medicare Urgent Care Clinic Program) Direction (No.4) 2024, (2024a). https://www.legislation.gov.au/F2024N01065/asmade/text</w:t>
      </w:r>
      <w:r w:rsidR="00D25013" w:rsidRPr="009B783C">
        <w:fldChar w:fldCharType="end"/>
      </w:r>
      <w:r w:rsidR="00D25013" w:rsidRPr="009B783C">
        <w:t xml:space="preserve"> </w:t>
      </w:r>
    </w:p>
  </w:footnote>
  <w:footnote w:id="9">
    <w:p w14:paraId="49581573" w14:textId="77777777" w:rsidR="00EC6EC2" w:rsidRPr="009B783C" w:rsidRDefault="00EC6EC2" w:rsidP="003E79FA">
      <w:pPr>
        <w:pStyle w:val="Footer"/>
      </w:pPr>
      <w:r w:rsidRPr="009B783C">
        <w:rPr>
          <w:rStyle w:val="FootnoteReference"/>
          <w:sz w:val="14"/>
          <w:szCs w:val="14"/>
        </w:rPr>
        <w:footnoteRef/>
      </w:r>
      <w:r w:rsidRPr="009B783C">
        <w:t xml:space="preserve"> https://www.health.gov.au/sites/default/files/2024-10/a-better-after-hours-system-review-of-after-hours-primary-care-programs-and-policy_0.pdf</w:t>
      </w:r>
    </w:p>
  </w:footnote>
  <w:footnote w:id="10">
    <w:p w14:paraId="533BCB4C" w14:textId="77777777" w:rsidR="00C34761" w:rsidRPr="009B783C" w:rsidRDefault="00C34761" w:rsidP="003E79FA">
      <w:pPr>
        <w:pStyle w:val="Footer"/>
      </w:pPr>
      <w:r w:rsidRPr="009B783C">
        <w:rPr>
          <w:rStyle w:val="FootnoteReference"/>
          <w:sz w:val="14"/>
          <w:szCs w:val="14"/>
        </w:rPr>
        <w:footnoteRef/>
      </w:r>
      <w:r w:rsidRPr="009B783C">
        <w:t xml:space="preserve"> </w:t>
      </w:r>
      <w:r w:rsidRPr="009B783C">
        <w:fldChar w:fldCharType="begin"/>
      </w:r>
      <w:r w:rsidR="003A2142" w:rsidRPr="009B783C">
        <w:instrText xml:space="preserve"> ADDIN EN.CITE &lt;EndNote&gt;&lt;Cite ExcludeYear="1"&gt;&lt;Author&gt;Royal New Zealand College of Urgent Care&lt;/Author&gt;&lt;Year&gt;2015&lt;/Year&gt;&lt;RecNum&gt;6&lt;/RecNum&gt;&lt;DisplayText&gt;Royal New Zealand College of Urgent Care. (2015). &lt;style face="italic"&gt;Urgent Care Standard 2015&lt;/style&gt;. https://rnzcuc.org.nz/clinics-and-training-facilities/accredited-urgent-care-clinics/ucs/&lt;/DisplayText&gt;&lt;record&gt;&lt;rec-number&gt;6&lt;/rec-number&gt;&lt;foreign-keys&gt;&lt;key app="EN" db-id="dawdzvawp59fxqevpt559rphwt5dfwx2xwa5" timestamp="1730345220" guid="61538a26-9d51-4e0d-b8db-b1b0629e7a0d"&gt;6&lt;/key&gt;&lt;/foreign-keys&gt;&lt;ref-type name="Report"&gt;27&lt;/ref-type&gt;&lt;contributors&gt;&lt;authors&gt;&lt;author&gt;Royal New Zealand College of Urgent Care,,&lt;/author&gt;&lt;/authors&gt;&lt;/contributors&gt;&lt;titles&gt;&lt;title&gt;Urgent Care Standard 2015&lt;/title&gt;&lt;/titles&gt;&lt;dates&gt;&lt;year&gt;2015&lt;/year&gt;&lt;/dates&gt;&lt;urls&gt;&lt;related-urls&gt;&lt;url&gt;https://rnzcuc.org.nz/clinics-and-training-facilities/accredited-urgent-care-clinics/ucs/&lt;/url&gt;&lt;/related-urls&gt;&lt;/urls&gt;&lt;/record&gt;&lt;/Cite&gt;&lt;/EndNote&gt;</w:instrText>
      </w:r>
      <w:r w:rsidRPr="009B783C">
        <w:fldChar w:fldCharType="separate"/>
      </w:r>
      <w:r w:rsidR="003A2142" w:rsidRPr="009B783C">
        <w:t xml:space="preserve">Royal New Zealand College of Urgent Care. (2015). </w:t>
      </w:r>
      <w:r w:rsidR="003A2142" w:rsidRPr="009B783C">
        <w:rPr>
          <w:i/>
        </w:rPr>
        <w:t>Urgent Care Standard 2015</w:t>
      </w:r>
      <w:r w:rsidR="003A2142" w:rsidRPr="009B783C">
        <w:t>. https://rnzcuc.org.nz/clinics-and-training-facilities/accredited-urgent-care-clinics/ucs/</w:t>
      </w:r>
      <w:r w:rsidRPr="009B783C">
        <w:fldChar w:fldCharType="end"/>
      </w:r>
    </w:p>
  </w:footnote>
  <w:footnote w:id="11">
    <w:p w14:paraId="34DAD760" w14:textId="77777777" w:rsidR="00A940D5" w:rsidRPr="009B783C" w:rsidRDefault="00A940D5" w:rsidP="003E79FA">
      <w:pPr>
        <w:pStyle w:val="Footer"/>
      </w:pPr>
      <w:r w:rsidRPr="009B783C">
        <w:rPr>
          <w:rStyle w:val="FootnoteReference"/>
          <w:sz w:val="14"/>
          <w:szCs w:val="14"/>
        </w:rPr>
        <w:footnoteRef/>
      </w:r>
      <w:r w:rsidRPr="009B783C">
        <w:t xml:space="preserve"> </w:t>
      </w:r>
      <w:r w:rsidRPr="009B783C">
        <w:fldChar w:fldCharType="begin"/>
      </w:r>
      <w:r w:rsidRPr="009B783C">
        <w:instrText xml:space="preserve"> ADDIN EN.CITE &lt;EndNote&gt;&lt;Cite&gt;&lt;Author&gt;National Institute for Health and Care Excellence&lt;/Author&gt;&lt;Year&gt;2018&lt;/Year&gt;&lt;RecNum&gt;7&lt;/RecNum&gt;&lt;DisplayText&gt;National Institute for Health and Care Excellence. (2018). &lt;style face="italic"&gt;Minor injury unit, urgent care centre or walk-in centre in Emergency and acute medical care in over 16s: service delivery and organisation&lt;/style&gt;. https://www.nice.org.uk/guidance/ng94/evidence/18minor-injury-unit-urgent-care-centre-or-walkin-centre-pdf-172397464605&lt;/DisplayText&gt;&lt;record&gt;&lt;rec-number&gt;7&lt;/rec-number&gt;&lt;foreign-keys&gt;&lt;key app="EN" db-id="dawdzvawp59fxqevpt559rphwt5dfwx2xwa5" timestamp="1730345484" guid="003dfdbb-97bf-4e93-a3f6-82a1700e85bb"&gt;7&lt;/key&gt;&lt;/foreign-keys&gt;&lt;ref-type name="Report"&gt;27&lt;/ref-type&gt;&lt;contributors&gt;&lt;authors&gt;&lt;author&gt;National Institute for Health and Care Excellence,,&lt;/author&gt;&lt;/authors&gt;&lt;/contributors&gt;&lt;titles&gt;&lt;title&gt;Minor injury unit, urgent care centre or walk-in centre in Emergency and acute medical care in over 16s: service delivery and organisation&lt;/title&gt;&lt;/titles&gt;&lt;dates&gt;&lt;year&gt;2018&lt;/year&gt;&lt;/dates&gt;&lt;urls&gt;&lt;related-urls&gt;&lt;url&gt;https://www.nice.org.uk/guidance/ng94/evidence/18minor-injury-unit-urgent-care-centre-or-walkin-centre-pdf-172397464605&lt;/url&gt;&lt;/related-urls&gt;&lt;/urls&gt;&lt;/record&gt;&lt;/Cite&gt;&lt;/EndNote&gt;</w:instrText>
      </w:r>
      <w:r w:rsidRPr="009B783C">
        <w:fldChar w:fldCharType="separate"/>
      </w:r>
      <w:r w:rsidRPr="009B783C">
        <w:t xml:space="preserve">National Institute for Health and Care Excellence. (2018). </w:t>
      </w:r>
      <w:r w:rsidRPr="009B783C">
        <w:rPr>
          <w:i/>
        </w:rPr>
        <w:t>Minor injury unit, urgent care centre or walk-in centre in Emergency and acute medical care in over 16s: service delivery and organisation</w:t>
      </w:r>
      <w:r w:rsidRPr="009B783C">
        <w:t>. https://www.nice.org.uk/guidance/ng94/evidence/18minor-injury-unit-urgent-care-centre-or-walkin-centre-pdf-172397464605</w:t>
      </w:r>
      <w:r w:rsidRPr="009B783C">
        <w:fldChar w:fldCharType="end"/>
      </w:r>
    </w:p>
  </w:footnote>
  <w:footnote w:id="12">
    <w:p w14:paraId="7F55BEBF" w14:textId="77777777" w:rsidR="007845BA" w:rsidRPr="009B783C" w:rsidRDefault="007845BA" w:rsidP="003E79FA">
      <w:pPr>
        <w:pStyle w:val="Footer"/>
      </w:pPr>
      <w:r w:rsidRPr="009B783C">
        <w:rPr>
          <w:rStyle w:val="FootnoteReference"/>
          <w:sz w:val="14"/>
          <w:szCs w:val="14"/>
        </w:rPr>
        <w:footnoteRef/>
      </w:r>
      <w:r w:rsidRPr="009B783C">
        <w:t xml:space="preserve"> </w:t>
      </w:r>
      <w:r w:rsidR="003A2142" w:rsidRPr="009B783C">
        <w:fldChar w:fldCharType="begin"/>
      </w:r>
      <w:r w:rsidR="003A2142" w:rsidRPr="009B783C">
        <w:instrText xml:space="preserve"> ADDIN EN.CITE &lt;EndNote&gt;&lt;Cite&gt;&lt;Author&gt;Royal New Zealand College of Urgent Care&lt;/Author&gt;&lt;Year&gt;2015&lt;/Year&gt;&lt;RecNum&gt;6&lt;/RecNum&gt;&lt;DisplayText&gt;Royal New Zealand College of Urgent Care. (2015). &lt;style face="italic"&gt;Urgent Care Standard 2015&lt;/style&gt;. https://rnzcuc.org.nz/clinics-and-training-facilities/accredited-urgent-care-clinics/ucs/&lt;/DisplayText&gt;&lt;record&gt;&lt;rec-number&gt;6&lt;/rec-number&gt;&lt;foreign-keys&gt;&lt;key app="EN" db-id="dawdzvawp59fxqevpt559rphwt5dfwx2xwa5" timestamp="1730345220" guid="61538a26-9d51-4e0d-b8db-b1b0629e7a0d"&gt;6&lt;/key&gt;&lt;/foreign-keys&gt;&lt;ref-type name="Report"&gt;27&lt;/ref-type&gt;&lt;contributors&gt;&lt;authors&gt;&lt;author&gt;Royal New Zealand College of Urgent Care,,&lt;/author&gt;&lt;/authors&gt;&lt;/contributors&gt;&lt;titles&gt;&lt;title&gt;Urgent Care Standard 2015&lt;/title&gt;&lt;/titles&gt;&lt;dates&gt;&lt;year&gt;2015&lt;/year&gt;&lt;/dates&gt;&lt;urls&gt;&lt;related-urls&gt;&lt;url&gt;https://rnzcuc.org.nz/clinics-and-training-facilities/accredited-urgent-care-clinics/ucs/&lt;/url&gt;&lt;/related-urls&gt;&lt;/urls&gt;&lt;/record&gt;&lt;/Cite&gt;&lt;/EndNote&gt;</w:instrText>
      </w:r>
      <w:r w:rsidR="003A2142" w:rsidRPr="009B783C">
        <w:fldChar w:fldCharType="separate"/>
      </w:r>
      <w:r w:rsidR="003A2142" w:rsidRPr="009B783C">
        <w:t xml:space="preserve">Royal New Zealand College of Urgent Care. (2015). </w:t>
      </w:r>
      <w:r w:rsidR="003A2142" w:rsidRPr="009B783C">
        <w:rPr>
          <w:i/>
        </w:rPr>
        <w:t>Urgent Care Standard 2015</w:t>
      </w:r>
      <w:r w:rsidR="003A2142" w:rsidRPr="009B783C">
        <w:t>. https://rnzcuc.org.nz/clinics-and-training-facilities/accredited-urgent-care-clinics/ucs/</w:t>
      </w:r>
      <w:r w:rsidR="003A2142" w:rsidRPr="009B783C">
        <w:fldChar w:fldCharType="end"/>
      </w:r>
      <w:r w:rsidRPr="009B783C">
        <w:t>.</w:t>
      </w:r>
    </w:p>
  </w:footnote>
  <w:footnote w:id="13">
    <w:p w14:paraId="1783B4A7" w14:textId="77777777" w:rsidR="007845BA" w:rsidRPr="009B783C" w:rsidRDefault="007845BA" w:rsidP="003E79FA">
      <w:pPr>
        <w:pStyle w:val="Footer"/>
        <w:rPr>
          <w:sz w:val="16"/>
          <w:szCs w:val="16"/>
        </w:rPr>
      </w:pPr>
      <w:r w:rsidRPr="009B783C">
        <w:rPr>
          <w:rStyle w:val="FootnoteReference"/>
          <w:sz w:val="14"/>
          <w:szCs w:val="14"/>
        </w:rPr>
        <w:footnoteRef/>
      </w:r>
      <w:r w:rsidRPr="009B783C">
        <w:t xml:space="preserve"> </w:t>
      </w:r>
      <w:r w:rsidR="00C50167" w:rsidRPr="009B783C">
        <w:t>Ibid.</w:t>
      </w:r>
    </w:p>
  </w:footnote>
  <w:footnote w:id="14">
    <w:p w14:paraId="32B62989" w14:textId="77777777" w:rsidR="000459D5" w:rsidRPr="009B783C" w:rsidRDefault="000459D5" w:rsidP="003E79FA">
      <w:pPr>
        <w:pStyle w:val="Footer"/>
        <w:rPr>
          <w:highlight w:val="green"/>
        </w:rPr>
      </w:pPr>
      <w:r w:rsidRPr="009B783C">
        <w:rPr>
          <w:rStyle w:val="FootnoteReference"/>
          <w:sz w:val="14"/>
          <w:szCs w:val="14"/>
        </w:rPr>
        <w:footnoteRef/>
      </w:r>
      <w:r w:rsidRPr="009B783C">
        <w:t xml:space="preserve"> Ibid.</w:t>
      </w:r>
    </w:p>
  </w:footnote>
  <w:footnote w:id="15">
    <w:p w14:paraId="11642F75" w14:textId="77777777" w:rsidR="00145721" w:rsidRPr="009B783C" w:rsidRDefault="00145721" w:rsidP="003E79FA">
      <w:pPr>
        <w:pStyle w:val="Footer"/>
        <w:rPr>
          <w:highlight w:val="green"/>
        </w:rPr>
      </w:pPr>
      <w:r w:rsidRPr="009B783C">
        <w:rPr>
          <w:vertAlign w:val="superscript"/>
        </w:rPr>
        <w:footnoteRef/>
      </w:r>
      <w:r w:rsidRPr="009B783C">
        <w:rPr>
          <w:vertAlign w:val="superscript"/>
        </w:rPr>
        <w:t xml:space="preserve"> </w:t>
      </w:r>
      <w:r w:rsidR="0000023A" w:rsidRPr="009B783C">
        <w:fldChar w:fldCharType="begin">
          <w:fldData xml:space="preserve">PEVuZE5vdGU+PENpdGU+PEF1dGhvcj5BYmxhcmQ8L0F1dGhvcj48WWVhcj4yMDE3PC9ZZWFyPjxS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</w:fldData>
        </w:fldChar>
      </w:r>
      <w:r w:rsidR="00963C8D" w:rsidRPr="009B783C">
        <w:instrText xml:space="preserve"> ADDIN EN.CITE </w:instrText>
      </w:r>
      <w:r w:rsidR="00963C8D" w:rsidRPr="009B783C">
        <w:fldChar w:fldCharType="begin">
          <w:fldData xml:space="preserve">PEVuZE5vdGU+PENpdGU+PEF1dGhvcj5BYmxhcmQ8L0F1dGhvcj48WWVhcj4yMDE3PC9ZZWFyPjxS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</w:fldData>
        </w:fldChar>
      </w:r>
      <w:r w:rsidR="00963C8D" w:rsidRPr="009B783C">
        <w:instrText xml:space="preserve"> ADDIN EN.CITE.DATA </w:instrText>
      </w:r>
      <w:r w:rsidR="00963C8D" w:rsidRPr="009B783C">
        <w:fldChar w:fldCharType="end"/>
      </w:r>
      <w:r w:rsidR="0000023A" w:rsidRPr="009B783C">
        <w:fldChar w:fldCharType="separate"/>
      </w:r>
      <w:r w:rsidR="00963C8D" w:rsidRPr="009B783C">
        <w:t xml:space="preserve">Ablard, S., O'Keeffe, C., Ramlakhan, S., &amp; Mason, S. M. (2017). Primary care services co-located with Emergency Departments across a UK region: early views on their development. </w:t>
      </w:r>
      <w:r w:rsidR="00963C8D" w:rsidRPr="009B783C">
        <w:rPr>
          <w:i/>
        </w:rPr>
        <w:t>Emerg Med J</w:t>
      </w:r>
      <w:r w:rsidR="00963C8D" w:rsidRPr="009B783C">
        <w:t>,</w:t>
      </w:r>
      <w:r w:rsidR="00963C8D" w:rsidRPr="009B783C">
        <w:rPr>
          <w:i/>
        </w:rPr>
        <w:t xml:space="preserve"> 34</w:t>
      </w:r>
      <w:r w:rsidR="00963C8D" w:rsidRPr="009B783C">
        <w:t xml:space="preserve">(10), 672-676. https://doi.org/10.1136/emermed-2016-206539 </w:t>
      </w:r>
      <w:r w:rsidR="0000023A" w:rsidRPr="009B783C">
        <w:fldChar w:fldCharType="end"/>
      </w:r>
    </w:p>
  </w:footnote>
  <w:footnote w:id="16">
    <w:p w14:paraId="4B7D684E" w14:textId="77777777" w:rsidR="00961EEC" w:rsidRPr="009B783C" w:rsidRDefault="0000023A" w:rsidP="003E79FA">
      <w:pPr>
        <w:pStyle w:val="Footer"/>
      </w:pPr>
      <w:r w:rsidRPr="009B783C">
        <w:rPr>
          <w:rStyle w:val="FootnoteReference"/>
          <w:sz w:val="14"/>
          <w:szCs w:val="14"/>
        </w:rPr>
        <w:footnoteRef/>
      </w:r>
      <w:r w:rsidRPr="009B783C">
        <w:t xml:space="preserve"> </w:t>
      </w:r>
      <w:r w:rsidR="00961EEC" w:rsidRPr="009B783C">
        <w:fldChar w:fldCharType="begin"/>
      </w:r>
      <w:r w:rsidR="00961EEC" w:rsidRPr="009B783C">
        <w:instrText xml:space="preserve"> ADDIN EN.CITE &lt;EndNote&gt;&lt;Cite&gt;&lt;Author&gt;Cowling&lt;/Author&gt;&lt;Year&gt;2016&lt;/Year&gt;&lt;RecNum&gt;420&lt;/RecNum&gt;&lt;DisplayText&gt;Cowling, T. E., Ramzan, F., Ladbrooke, T., Millington, H., Majeed, A., &amp;amp; Gnani, S. (2016). Referral outcomes of attendances at general practitioner led urgent care centres in London, England: retrospective analysis of hospital administrative data. &lt;style face="italic"&gt;Emergency Medicine Journal&lt;/style&gt;,&lt;style face="italic"&gt; 33&lt;/style&gt;(3), 200-207. https://emj.bmj.com/content/33/3/200.long &lt;/DisplayText&gt;&lt;record&gt;&lt;rec-number&gt;420&lt;/rec-number&gt;&lt;foreign-keys&gt;&lt;key app="EN" db-id="25959et2mvx9fye0fpa5z29avawff2veaxvz" timestamp="1733269104" guid="25c5befa-a76e-4790-ad5e-540011133d87"&gt;420&lt;/key&gt;&lt;/foreign-keys&gt;&lt;ref-type name="Journal Article"&gt;17&lt;/ref-type&gt;&lt;contributors&gt;&lt;authors&gt;&lt;author&gt;Cowling, Thomas E&lt;/author&gt;&lt;author&gt;Ramzan, Farzan&lt;/author&gt;&lt;author&gt;Ladbrooke, Tim&lt;/author&gt;&lt;author&gt;Millington, Hugh&lt;/author&gt;&lt;author&gt;Majeed, Azeem&lt;/author&gt;&lt;author&gt;Gnani, Shamini&lt;/author&gt;&lt;/authors&gt;&lt;/contributors&gt;&lt;titles&gt;&lt;title&gt;Referral outcomes of attendances at general practitioner led urgent care centres in London, England: retrospective analysis of hospital administrative data&lt;/title&gt;&lt;secondary-title&gt;Emergency Medicine Journal&lt;/secondary-title&gt;&lt;/titles&gt;&lt;periodical&gt;&lt;full-title&gt;Emergency Medicine Journal&lt;/full-title&gt;&lt;/periodical&gt;&lt;pages&gt;200-207&lt;/pages&gt;&lt;volume&gt;33&lt;/volume&gt;&lt;number&gt;3&lt;/number&gt;&lt;dates&gt;&lt;year&gt;2016&lt;/year&gt;&lt;/dates&gt;&lt;isbn&gt;1472-0205&lt;/isbn&gt;&lt;urls&gt;&lt;related-urls&gt;&lt;url&gt;https://emj.bmj.com/content/33/3/200.long&lt;/url&gt;&lt;/related-urls&gt;&lt;/urls&gt;&lt;/record&gt;&lt;/Cite&gt;&lt;/EndNote&gt;</w:instrText>
      </w:r>
      <w:r w:rsidR="00961EEC" w:rsidRPr="009B783C">
        <w:fldChar w:fldCharType="separate"/>
      </w:r>
      <w:r w:rsidR="00961EEC" w:rsidRPr="009B783C">
        <w:t xml:space="preserve">Cowling, T. E., Ramzan, F., Ladbrooke, T., Millington, H., Majeed, A., &amp; Gnani, S. (2016). Referral outcomes of attendances at general practitioner led urgent care centres in London, England: retrospective analysis of hospital administrative data. </w:t>
      </w:r>
      <w:r w:rsidR="00961EEC" w:rsidRPr="009B783C">
        <w:rPr>
          <w:i/>
        </w:rPr>
        <w:t>Emergency Medicine Journal</w:t>
      </w:r>
      <w:r w:rsidR="00961EEC" w:rsidRPr="009B783C">
        <w:t>,</w:t>
      </w:r>
      <w:r w:rsidR="00961EEC" w:rsidRPr="009B783C">
        <w:rPr>
          <w:i/>
        </w:rPr>
        <w:t xml:space="preserve"> 33</w:t>
      </w:r>
      <w:r w:rsidR="00961EEC" w:rsidRPr="009B783C">
        <w:t xml:space="preserve">(3), 200-207. https://emj.bmj.com/content/33/3/200.long </w:t>
      </w:r>
      <w:r w:rsidR="00961EEC" w:rsidRPr="009B783C">
        <w:fldChar w:fldCharType="end"/>
      </w:r>
    </w:p>
  </w:footnote>
  <w:footnote w:id="17">
    <w:p w14:paraId="25175925" w14:textId="77777777" w:rsidR="00145721" w:rsidRPr="009B783C" w:rsidRDefault="00145721" w:rsidP="003E79FA">
      <w:pPr>
        <w:pStyle w:val="Footer"/>
      </w:pPr>
      <w:r w:rsidRPr="009B783C">
        <w:rPr>
          <w:rStyle w:val="FootnoteReference"/>
          <w:sz w:val="14"/>
          <w:szCs w:val="14"/>
        </w:rPr>
        <w:footnoteRef/>
      </w:r>
      <w:r w:rsidR="0066589D" w:rsidRPr="009B783C">
        <w:t xml:space="preserve"> </w:t>
      </w:r>
      <w:r w:rsidR="00D002AE" w:rsidRPr="009B783C">
        <w:fldChar w:fldCharType="begin"/>
      </w:r>
      <w:r w:rsidR="00D002AE" w:rsidRPr="009B783C">
        <w:instrText xml:space="preserve"> ADDIN EN.CITE &lt;EndNote&gt;&lt;Cite&gt;&lt;Author&gt;UK National Guideline Centre&lt;/Author&gt;&lt;Year&gt;2018&lt;/Year&gt;&lt;RecNum&gt;446&lt;/RecNum&gt;&lt;DisplayText&gt;UK National Guideline Centre. (2018). Minor injury unit, urgent care centre or walk-in centre. In &lt;style face="italic"&gt;Emergency and acute medical care in over 16s: service delivery and organisation&lt;/style&gt;. National Institute for Health and Care Excellence (NICE). &lt;/DisplayText&gt;&lt;record&gt;&lt;rec-number&gt;446&lt;/rec-number&gt;&lt;foreign-keys&gt;&lt;key app="EN" db-id="25959et2mvx9fye0fpa5z29avawff2veaxvz" timestamp="1733269132" guid="6254bdf1-20b2-4712-9b35-ded50247c2b8"&gt;446&lt;/key&gt;&lt;/foreign-keys&gt;&lt;ref-type name="Book Section"&gt;5&lt;/ref-type&gt;&lt;contributors&gt;&lt;authors&gt;&lt;author&gt;UK National Guideline Centre,&lt;/author&gt;&lt;/authors&gt;&lt;/contributors&gt;&lt;titles&gt;&lt;title&gt;Minor injury unit, urgent care centre or walk-in centre&lt;/title&gt;&lt;secondary-title&gt;Emergency and acute medical care in over 16s: service delivery and organisation&lt;/secondary-title&gt;&lt;/titles&gt;&lt;dates&gt;&lt;year&gt;2018&lt;/year&gt;&lt;/dates&gt;&lt;publisher&gt;National Institute for Health and Care Excellence (NICE)&lt;/publisher&gt;&lt;urls&gt;&lt;/urls&gt;&lt;/record&gt;&lt;/Cite&gt;&lt;/EndNote&gt;</w:instrText>
      </w:r>
      <w:r w:rsidR="00D002AE" w:rsidRPr="009B783C">
        <w:fldChar w:fldCharType="separate"/>
      </w:r>
      <w:r w:rsidR="00D002AE" w:rsidRPr="009B783C">
        <w:t xml:space="preserve">UK National Guideline Centre. (2018). Minor injury unit, urgent care centre or walk-in centre. In </w:t>
      </w:r>
      <w:r w:rsidR="00D002AE" w:rsidRPr="009B783C">
        <w:rPr>
          <w:i/>
        </w:rPr>
        <w:t>Emergency and acute medical care in over 16s: service delivery and organisation</w:t>
      </w:r>
      <w:r w:rsidR="00D002AE" w:rsidRPr="009B783C">
        <w:t xml:space="preserve">. National Institute for Health and Care Excellence (NICE). </w:t>
      </w:r>
      <w:r w:rsidR="00D002AE" w:rsidRPr="009B783C">
        <w:fldChar w:fldCharType="end"/>
      </w:r>
    </w:p>
  </w:footnote>
  <w:footnote w:id="18">
    <w:p w14:paraId="0BC3ADFF" w14:textId="77777777" w:rsidR="001D1861" w:rsidRPr="009B783C" w:rsidRDefault="001D1861" w:rsidP="003E79FA">
      <w:pPr>
        <w:pStyle w:val="Footer"/>
      </w:pPr>
      <w:r w:rsidRPr="009B783C">
        <w:rPr>
          <w:vertAlign w:val="superscript"/>
        </w:rPr>
        <w:footnoteRef/>
      </w:r>
      <w:r w:rsidRPr="009B783C">
        <w:t xml:space="preserve"> </w:t>
      </w:r>
      <w:r w:rsidR="00A171D5" w:rsidRPr="009B783C">
        <w:fldChar w:fldCharType="begin">
          <w:fldData xml:space="preserve">PEVuZE5vdGU+PENpdGU+PEF1dGhvcj5NY0Rvbm91Z2g8L0F1dGhvcj48WWVhcj4yMDIyPC9ZZWFy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=
</w:fldData>
        </w:fldChar>
      </w:r>
      <w:r w:rsidR="00A171D5" w:rsidRPr="009B783C">
        <w:instrText xml:space="preserve"> ADDIN EN.CITE </w:instrText>
      </w:r>
      <w:r w:rsidR="00A171D5" w:rsidRPr="009B783C">
        <w:fldChar w:fldCharType="begin">
          <w:fldData xml:space="preserve">PEVuZE5vdGU+PENpdGU+PEF1dGhvcj5NY0Rvbm91Z2g8L0F1dGhvcj48WWVhcj4yMDIyPC9ZZWFy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=
</w:fldData>
        </w:fldChar>
      </w:r>
      <w:r w:rsidR="00A171D5" w:rsidRPr="009B783C">
        <w:instrText xml:space="preserve"> ADDIN EN.CITE.DATA </w:instrText>
      </w:r>
      <w:r w:rsidR="00A171D5" w:rsidRPr="009B783C">
        <w:fldChar w:fldCharType="end"/>
      </w:r>
      <w:r w:rsidR="00A171D5" w:rsidRPr="009B783C">
        <w:fldChar w:fldCharType="separate"/>
      </w:r>
      <w:r w:rsidR="00A171D5" w:rsidRPr="009B783C">
        <w:t xml:space="preserve">McDonough, A., Lennox, A., Angus, M., &amp; Coumbarides, A. (2022). An analysis of the utility, effectiveness and scope of advanced physiotherapy practitioners in an urgent treatment centre pilot. </w:t>
      </w:r>
      <w:r w:rsidR="00A171D5" w:rsidRPr="009B783C">
        <w:rPr>
          <w:i/>
        </w:rPr>
        <w:t>Physiotherapy</w:t>
      </w:r>
      <w:r w:rsidR="00A171D5" w:rsidRPr="009B783C">
        <w:t>,</w:t>
      </w:r>
      <w:r w:rsidR="00A171D5" w:rsidRPr="009B783C">
        <w:rPr>
          <w:i/>
        </w:rPr>
        <w:t xml:space="preserve"> 115</w:t>
      </w:r>
      <w:r w:rsidR="00A171D5" w:rsidRPr="009B783C">
        <w:t xml:space="preserve">, 61-65. https://doi.org/10.1016/j.physio.2021.12.005 </w:t>
      </w:r>
      <w:r w:rsidR="00A171D5" w:rsidRPr="009B783C">
        <w:fldChar w:fldCharType="end"/>
      </w:r>
    </w:p>
  </w:footnote>
  <w:footnote w:id="19">
    <w:p w14:paraId="6CF6C309" w14:textId="77777777" w:rsidR="001D1861" w:rsidRPr="009B783C" w:rsidRDefault="001D1861" w:rsidP="003E79FA">
      <w:pPr>
        <w:pStyle w:val="Footer"/>
      </w:pPr>
      <w:r w:rsidRPr="009B783C">
        <w:rPr>
          <w:vertAlign w:val="superscript"/>
        </w:rPr>
        <w:footnoteRef/>
      </w:r>
      <w:r w:rsidR="009550F6" w:rsidRPr="009B783C">
        <w:rPr>
          <w:vertAlign w:val="superscript"/>
        </w:rPr>
        <w:t xml:space="preserve"> </w:t>
      </w:r>
      <w:r w:rsidR="009550F6" w:rsidRPr="009B783C">
        <w:fldChar w:fldCharType="begin"/>
      </w:r>
      <w:r w:rsidR="009550F6" w:rsidRPr="009B783C">
        <w:instrText xml:space="preserve"> ADDIN EN.CITE &lt;EndNote&gt;&lt;Cite&gt;&lt;Author&gt;Cowling&lt;/Author&gt;&lt;Year&gt;2016&lt;/Year&gt;&lt;RecNum&gt;420&lt;/RecNum&gt;&lt;DisplayText&gt;Cowling, T. E., Ramzan, F., Ladbrooke, T., Millington, H., Majeed, A., &amp;amp; Gnani, S. (2016). Referral outcomes of attendances at general practitioner led urgent care centres in London, England: retrospective analysis of hospital administrative data. &lt;style face="italic"&gt;Emergency Medicine Journal&lt;/style&gt;,&lt;style face="italic"&gt; 33&lt;/style&gt;(3), 200-207. https://emj.bmj.com/content/33/3/200.long &lt;/DisplayText&gt;&lt;record&gt;&lt;rec-number&gt;420&lt;/rec-number&gt;&lt;foreign-keys&gt;&lt;key app="EN" db-id="25959et2mvx9fye0fpa5z29avawff2veaxvz" timestamp="1733269104" guid="25c5befa-a76e-4790-ad5e-540011133d87"&gt;420&lt;/key&gt;&lt;/foreign-keys&gt;&lt;ref-type name="Journal Article"&gt;17&lt;/ref-type&gt;&lt;contributors&gt;&lt;authors&gt;&lt;author&gt;Cowling, Thomas E&lt;/author&gt;&lt;author&gt;Ramzan, Farzan&lt;/author&gt;&lt;author&gt;Ladbrooke, Tim&lt;/author&gt;&lt;author&gt;Millington, Hugh&lt;/author&gt;&lt;author&gt;Majeed, Azeem&lt;/author&gt;&lt;author&gt;Gnani, Shamini&lt;/author&gt;&lt;/authors&gt;&lt;/contributors&gt;&lt;titles&gt;&lt;title&gt;Referral outcomes of attendances at general practitioner led urgent care centres in London, England: retrospective analysis of hospital administrative data&lt;/title&gt;&lt;secondary-title&gt;Emergency Medicine Journal&lt;/secondary-title&gt;&lt;/titles&gt;&lt;periodical&gt;&lt;full-title&gt;Emergency Medicine Journal&lt;/full-title&gt;&lt;/periodical&gt;&lt;pages&gt;200-207&lt;/pages&gt;&lt;volume&gt;33&lt;/volume&gt;&lt;number&gt;3&lt;/number&gt;&lt;dates&gt;&lt;year&gt;2016&lt;/year&gt;&lt;/dates&gt;&lt;isbn&gt;1472-0205&lt;/isbn&gt;&lt;urls&gt;&lt;related-urls&gt;&lt;url&gt;https://emj.bmj.com/content/33/3/200.long&lt;/url&gt;&lt;/related-urls&gt;&lt;/urls&gt;&lt;/record&gt;&lt;/Cite&gt;&lt;/EndNote&gt;</w:instrText>
      </w:r>
      <w:r w:rsidR="009550F6" w:rsidRPr="009B783C">
        <w:fldChar w:fldCharType="separate"/>
      </w:r>
      <w:r w:rsidR="009550F6" w:rsidRPr="009B783C">
        <w:t xml:space="preserve">Cowling, T. E., Ramzan, F., Ladbrooke, T., Millington, H., Majeed, A., &amp; Gnani, S. (2016). Referral outcomes of attendances at general practitioner led urgent care centres in London, England: retrospective analysis of hospital administrative data. </w:t>
      </w:r>
      <w:r w:rsidR="009550F6" w:rsidRPr="009B783C">
        <w:rPr>
          <w:i/>
        </w:rPr>
        <w:t>Emergency Medicine Journal</w:t>
      </w:r>
      <w:r w:rsidR="009550F6" w:rsidRPr="009B783C">
        <w:t>,</w:t>
      </w:r>
      <w:r w:rsidR="009550F6" w:rsidRPr="009B783C">
        <w:rPr>
          <w:i/>
        </w:rPr>
        <w:t xml:space="preserve"> 33</w:t>
      </w:r>
      <w:r w:rsidR="009550F6" w:rsidRPr="009B783C">
        <w:t xml:space="preserve">(3), 200-207. https://emj.bmj.com/content/33/3/200.long </w:t>
      </w:r>
      <w:r w:rsidR="009550F6" w:rsidRPr="009B783C">
        <w:fldChar w:fldCharType="end"/>
      </w:r>
    </w:p>
  </w:footnote>
  <w:footnote w:id="20">
    <w:p w14:paraId="51A52156" w14:textId="77777777" w:rsidR="007033D5" w:rsidRPr="009B783C" w:rsidRDefault="007033D5" w:rsidP="003E79FA">
      <w:pPr>
        <w:pStyle w:val="Footer"/>
      </w:pPr>
      <w:r w:rsidRPr="009B783C">
        <w:rPr>
          <w:vertAlign w:val="superscript"/>
        </w:rPr>
        <w:footnoteRef/>
      </w:r>
      <w:r w:rsidRPr="009B783C">
        <w:rPr>
          <w:vertAlign w:val="superscript"/>
        </w:rPr>
        <w:t xml:space="preserve"> </w:t>
      </w:r>
      <w:r w:rsidR="00B701A7" w:rsidRPr="009B783C">
        <w:fldChar w:fldCharType="begin">
          <w:fldData xml:space="preserve">PEVuZE5vdGU+PENpdGU+PEF1dGhvcj5CZW5qYW1pbjwvQXV0aG9yPjxZZWFyPjIwMjM8L1llYXI+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</w:fldData>
        </w:fldChar>
      </w:r>
      <w:r w:rsidR="00D25013" w:rsidRPr="009B783C">
        <w:instrText xml:space="preserve"> ADDIN EN.CITE </w:instrText>
      </w:r>
      <w:r w:rsidR="00D25013" w:rsidRPr="009B783C">
        <w:fldChar w:fldCharType="begin">
          <w:fldData xml:space="preserve">PEVuZE5vdGU+PENpdGU+PEF1dGhvcj5CZW5qYW1pbjwvQXV0aG9yPjxZZWFyPjIwMjM8L1llYXI+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</w:fldData>
        </w:fldChar>
      </w:r>
      <w:r w:rsidR="00D25013" w:rsidRPr="009B783C">
        <w:instrText xml:space="preserve"> ADDIN EN.CITE.DATA </w:instrText>
      </w:r>
      <w:r w:rsidR="00D25013" w:rsidRPr="009B783C">
        <w:fldChar w:fldCharType="end"/>
      </w:r>
      <w:r w:rsidR="00B701A7" w:rsidRPr="009B783C">
        <w:fldChar w:fldCharType="separate"/>
      </w:r>
      <w:r w:rsidR="00B701A7" w:rsidRPr="009B783C">
        <w:t xml:space="preserve">Benjamin, P., Bryce, R., Oyedokun, T., &amp; Stempien, J. (2023). Strength in the gap: A rapid review of principles and practices for urgent care centres. </w:t>
      </w:r>
      <w:r w:rsidR="00B701A7" w:rsidRPr="009B783C">
        <w:rPr>
          <w:i/>
        </w:rPr>
        <w:t>Healthc Manage Forum</w:t>
      </w:r>
      <w:r w:rsidR="00B701A7" w:rsidRPr="009B783C">
        <w:t>,</w:t>
      </w:r>
      <w:r w:rsidR="00B701A7" w:rsidRPr="009B783C">
        <w:rPr>
          <w:i/>
        </w:rPr>
        <w:t xml:space="preserve"> 36</w:t>
      </w:r>
      <w:r w:rsidR="00B701A7" w:rsidRPr="009B783C">
        <w:t xml:space="preserve">(2), 101-106. https://doi.org/10.1177/08404704221143300 </w:t>
      </w:r>
      <w:r w:rsidR="00B701A7" w:rsidRPr="009B783C">
        <w:fldChar w:fldCharType="end"/>
      </w:r>
    </w:p>
  </w:footnote>
  <w:footnote w:id="21">
    <w:p w14:paraId="46FCBDD4" w14:textId="77777777" w:rsidR="007033D5" w:rsidRPr="009B783C" w:rsidRDefault="007033D5" w:rsidP="003E79FA">
      <w:pPr>
        <w:pStyle w:val="Footer"/>
      </w:pPr>
      <w:r w:rsidRPr="009B783C">
        <w:rPr>
          <w:rStyle w:val="FootnoteReference"/>
          <w:sz w:val="14"/>
          <w:szCs w:val="14"/>
        </w:rPr>
        <w:footnoteRef/>
      </w:r>
      <w:r w:rsidR="00852355" w:rsidRPr="009B783C">
        <w:t xml:space="preserve"> </w:t>
      </w:r>
      <w:r w:rsidR="00242ED0" w:rsidRPr="009B783C">
        <w:fldChar w:fldCharType="begin">
          <w:fldData xml:space="preserve">PEVuZE5vdGU+PENpdGU+PEF1dGhvcj5UYW1tZXM8L0F1dGhvcj48WWVhcj4yMDE3PC9ZZWFyPjxS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</w:fldData>
        </w:fldChar>
      </w:r>
      <w:r w:rsidR="00963C8D" w:rsidRPr="009B783C">
        <w:instrText xml:space="preserve"> ADDIN EN.CITE </w:instrText>
      </w:r>
      <w:r w:rsidR="00963C8D" w:rsidRPr="009B783C">
        <w:fldChar w:fldCharType="begin">
          <w:fldData xml:space="preserve">PEVuZE5vdGU+PENpdGU+PEF1dGhvcj5UYW1tZXM8L0F1dGhvcj48WWVhcj4yMDE3PC9ZZWFyPjxS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</w:fldData>
        </w:fldChar>
      </w:r>
      <w:r w:rsidR="00963C8D" w:rsidRPr="009B783C">
        <w:instrText xml:space="preserve"> ADDIN EN.CITE.DATA </w:instrText>
      </w:r>
      <w:r w:rsidR="00963C8D" w:rsidRPr="009B783C">
        <w:fldChar w:fldCharType="end"/>
      </w:r>
      <w:r w:rsidR="00242ED0" w:rsidRPr="009B783C">
        <w:fldChar w:fldCharType="separate"/>
      </w:r>
      <w:r w:rsidR="00963C8D" w:rsidRPr="009B783C">
        <w:t xml:space="preserve">Tammes, P., Morris, R. W., Brangan, E., Checkland, K., England, H., Huntley, A., Lasserson, D., MacKichan, F., Salisbury, C., Wye, L., &amp; Purdy, S. (2017). Exploring the relationship between general practice characteristics and attendance at Walk-in Centres, Minor Injuries Units and Emergency Departments in England 2009/10-2012/2013: a longitudinal study. </w:t>
      </w:r>
      <w:r w:rsidR="00963C8D" w:rsidRPr="009B783C">
        <w:rPr>
          <w:i/>
        </w:rPr>
        <w:t>BMC Health Serv Res</w:t>
      </w:r>
      <w:r w:rsidR="00963C8D" w:rsidRPr="009B783C">
        <w:t>,</w:t>
      </w:r>
      <w:r w:rsidR="00963C8D" w:rsidRPr="009B783C">
        <w:rPr>
          <w:i/>
        </w:rPr>
        <w:t xml:space="preserve"> 17</w:t>
      </w:r>
      <w:r w:rsidR="00963C8D" w:rsidRPr="009B783C">
        <w:t xml:space="preserve">(1), 546. https://doi.org/10.1186/s12913-017-2483-x </w:t>
      </w:r>
      <w:r w:rsidR="00242ED0" w:rsidRPr="009B783C">
        <w:fldChar w:fldCharType="end"/>
      </w:r>
    </w:p>
  </w:footnote>
  <w:footnote w:id="22">
    <w:p w14:paraId="47CACE98" w14:textId="00B07662" w:rsidR="00C538E3" w:rsidRPr="009B783C" w:rsidRDefault="00C538E3" w:rsidP="003E79FA">
      <w:pPr>
        <w:pStyle w:val="Footer"/>
      </w:pPr>
      <w:r w:rsidRPr="009B783C">
        <w:rPr>
          <w:rStyle w:val="FootnoteReference"/>
          <w:sz w:val="14"/>
          <w:szCs w:val="14"/>
        </w:rPr>
        <w:footnoteRef/>
      </w:r>
      <w:r w:rsidRPr="009B783C">
        <w:t xml:space="preserve"> </w:t>
      </w:r>
      <w:r w:rsidR="009A5B9C" w:rsidRPr="009B783C">
        <w:fldChar w:fldCharType="begin"/>
      </w:r>
      <w:r w:rsidR="009A5B9C" w:rsidRPr="009B783C">
        <w:instrText xml:space="preserve"> ADDIN EN.CITE &lt;EndNote&gt;&lt;Cite&gt;&lt;Author&gt;UK National Guideline Centre&lt;/Author&gt;&lt;Year&gt;2018&lt;/Year&gt;&lt;RecNum&gt;4&lt;/RecNum&gt;&lt;DisplayText&gt;UK National Guideline Centre. (2018). Minor injury unit, urgent care centre or walk-in centre. In &lt;style face="italic"&gt;Emergency and acute medical care in over 16s: service delivery and organisation&lt;/style&gt;. National Institute for Health and Care Excellence (NICE). &lt;/DisplayText&gt;&lt;record&gt;&lt;rec-number&gt;4&lt;/rec-number&gt;&lt;foreign-keys&gt;&lt;key app="EN" db-id="zr0r9atac0dr9oe99avx5fznftzraradzavr" timestamp="1734482642"&gt;4&lt;/key&gt;&lt;/foreign-keys&gt;&lt;ref-type name="Book Section"&gt;5&lt;/ref-type&gt;&lt;contributors&gt;&lt;authors&gt;&lt;author&gt;UK National Guideline Centre,&lt;/author&gt;&lt;/authors&gt;&lt;/contributors&gt;&lt;titles&gt;&lt;title&gt;Minor injury unit, urgent care centre or walk-in centre&lt;/title&gt;&lt;secondary-title&gt;Emergency and acute medical care in over 16s: service delivery and organisation&lt;/secondary-title&gt;&lt;/titles&gt;&lt;dates&gt;&lt;year&gt;2018&lt;/year&gt;&lt;/dates&gt;&lt;publisher&gt;National Institute for Health and Care Excellence (NICE)&lt;/publisher&gt;&lt;urls&gt;&lt;/urls&gt;&lt;/record&gt;&lt;/Cite&gt;&lt;/EndNote&gt;</w:instrText>
      </w:r>
      <w:r w:rsidR="009A5B9C" w:rsidRPr="009B783C">
        <w:fldChar w:fldCharType="separate"/>
      </w:r>
      <w:r w:rsidR="009A5B9C" w:rsidRPr="009B783C">
        <w:t xml:space="preserve">UK National Guideline Centre. (2018). Minor injury unit, urgent care centre or walk-in centre. In </w:t>
      </w:r>
      <w:r w:rsidR="009A5B9C" w:rsidRPr="009B783C">
        <w:rPr>
          <w:i/>
        </w:rPr>
        <w:t>Emergency and acute medical care in over 16s: service delivery and organisation</w:t>
      </w:r>
      <w:r w:rsidR="009A5B9C" w:rsidRPr="009B783C">
        <w:t xml:space="preserve">. National Institute for Health and Care Excellence (NICE). </w:t>
      </w:r>
      <w:r w:rsidR="009A5B9C" w:rsidRPr="009B783C">
        <w:fldChar w:fldCharType="end"/>
      </w:r>
    </w:p>
  </w:footnote>
  <w:footnote w:id="23">
    <w:p w14:paraId="33C6CF22" w14:textId="0AAC88EE" w:rsidR="009A5B9C" w:rsidRPr="009B783C" w:rsidRDefault="009A5B9C" w:rsidP="003E79FA">
      <w:pPr>
        <w:pStyle w:val="Footer"/>
      </w:pPr>
      <w:r w:rsidRPr="009B783C">
        <w:rPr>
          <w:rStyle w:val="FootnoteReference"/>
          <w:sz w:val="14"/>
          <w:szCs w:val="14"/>
        </w:rPr>
        <w:footnoteRef/>
      </w:r>
      <w:r w:rsidRPr="009B783C">
        <w:t xml:space="preserve"> </w:t>
      </w:r>
      <w:r w:rsidR="002A0C5E" w:rsidRPr="009B783C">
        <w:fldChar w:fldCharType="begin">
          <w:fldData xml:space="preserve">PEVuZE5vdGU+PENpdGU+PEF1dGhvcj5DcmF3Zm9yZDwvQXV0aG9yPjxZZWFyPjIwMTc8L1llYXI+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</w:fldData>
        </w:fldChar>
      </w:r>
      <w:r w:rsidR="002A0C5E" w:rsidRPr="009B783C">
        <w:instrText xml:space="preserve"> ADDIN EN.CITE </w:instrText>
      </w:r>
      <w:r w:rsidR="002A0C5E" w:rsidRPr="009B783C">
        <w:fldChar w:fldCharType="begin">
          <w:fldData xml:space="preserve">PEVuZE5vdGU+PENpdGU+PEF1dGhvcj5DcmF3Zm9yZDwvQXV0aG9yPjxZZWFyPjIwMTc8L1llYXI+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</w:fldData>
        </w:fldChar>
      </w:r>
      <w:r w:rsidR="002A0C5E" w:rsidRPr="009B783C">
        <w:instrText xml:space="preserve"> ADDIN EN.CITE.DATA </w:instrText>
      </w:r>
      <w:r w:rsidR="002A0C5E" w:rsidRPr="009B783C">
        <w:fldChar w:fldCharType="end"/>
      </w:r>
      <w:r w:rsidR="002A0C5E" w:rsidRPr="009B783C">
        <w:fldChar w:fldCharType="separate"/>
      </w:r>
      <w:r w:rsidR="002A0C5E" w:rsidRPr="009B783C">
        <w:t xml:space="preserve">Crawford, J., Cooper, S., Cant, R., &amp; DeSouza, R. (2017). The impact of walk-in centres and GP co-operatives on emergency department presentations: A systematic review of the literature. </w:t>
      </w:r>
      <w:r w:rsidR="002A0C5E" w:rsidRPr="009B783C">
        <w:rPr>
          <w:i/>
        </w:rPr>
        <w:t>Int Emerg Nurs</w:t>
      </w:r>
      <w:r w:rsidR="002A0C5E" w:rsidRPr="009B783C">
        <w:t>,</w:t>
      </w:r>
      <w:r w:rsidR="002A0C5E" w:rsidRPr="009B783C">
        <w:rPr>
          <w:i/>
        </w:rPr>
        <w:t xml:space="preserve"> 34</w:t>
      </w:r>
      <w:r w:rsidR="002A0C5E" w:rsidRPr="009B783C">
        <w:t xml:space="preserve">, 36-42. https://doi.org/10.1016/j.ienj.2017.04.002 </w:t>
      </w:r>
      <w:r w:rsidR="002A0C5E" w:rsidRPr="009B783C">
        <w:fldChar w:fldCharType="end"/>
      </w:r>
    </w:p>
  </w:footnote>
  <w:footnote w:id="24">
    <w:p w14:paraId="5EC2CD56" w14:textId="674AEF7E" w:rsidR="00B53883" w:rsidRPr="009B783C" w:rsidRDefault="00B53883" w:rsidP="003E79FA">
      <w:pPr>
        <w:pStyle w:val="Footer"/>
      </w:pPr>
      <w:r w:rsidRPr="009B783C">
        <w:rPr>
          <w:rStyle w:val="FootnoteReference"/>
          <w:sz w:val="14"/>
          <w:szCs w:val="14"/>
        </w:rPr>
        <w:footnoteRef/>
      </w:r>
      <w:r w:rsidRPr="009B783C">
        <w:t xml:space="preserve"> Ibid.</w:t>
      </w:r>
    </w:p>
  </w:footnote>
  <w:footnote w:id="25">
    <w:p w14:paraId="690B42D5" w14:textId="77777777" w:rsidR="00C17381" w:rsidRPr="009B783C" w:rsidRDefault="00C17381" w:rsidP="003E79FA">
      <w:pPr>
        <w:pStyle w:val="Footer"/>
      </w:pPr>
      <w:r w:rsidRPr="009B783C">
        <w:rPr>
          <w:rStyle w:val="FootnoteReference"/>
        </w:rPr>
        <w:footnoteRef/>
      </w:r>
      <w:r w:rsidRPr="009B783C">
        <w:rPr>
          <w:vertAlign w:val="superscript"/>
        </w:rPr>
        <w:t xml:space="preserve"> </w:t>
      </w:r>
      <w:r w:rsidRPr="009B783C">
        <w:fldChar w:fldCharType="begin"/>
      </w:r>
      <w:r w:rsidRPr="009B783C">
        <w:instrText xml:space="preserve"> ADDIN EN.CITE &lt;EndNote&gt;&lt;Cite ExcludeYear="1"&gt;&lt;Author&gt;Department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fldChar w:fldCharType="separate"/>
      </w:r>
      <w:r w:rsidRPr="009B783C">
        <w:t xml:space="preserve">Department of Health and Aged Care. (2022). Operational Guidance for Urgent Care Clinics. </w:t>
      </w:r>
      <w:r w:rsidRPr="009B783C">
        <w:fldChar w:fldCharType="end"/>
      </w:r>
    </w:p>
  </w:footnote>
  <w:footnote w:id="26">
    <w:p w14:paraId="700FD6E5" w14:textId="5A09AA6B" w:rsidR="00206B8D" w:rsidRPr="009B783C" w:rsidRDefault="00206B8D" w:rsidP="003E79FA">
      <w:pPr>
        <w:pStyle w:val="Footer"/>
        <w:rPr>
          <w:sz w:val="16"/>
          <w:szCs w:val="16"/>
        </w:rPr>
      </w:pPr>
      <w:r w:rsidRPr="009B783C">
        <w:rPr>
          <w:rStyle w:val="FootnoteReference"/>
          <w:sz w:val="16"/>
          <w:szCs w:val="16"/>
        </w:rPr>
        <w:footnoteRef/>
      </w:r>
      <w:r w:rsidRPr="009B783C">
        <w:rPr>
          <w:sz w:val="16"/>
          <w:szCs w:val="16"/>
        </w:rPr>
        <w:t xml:space="preserve"> </w:t>
      </w:r>
      <w:r w:rsidR="0085143D" w:rsidRPr="009B783C">
        <w:rPr>
          <w:sz w:val="16"/>
          <w:szCs w:val="16"/>
        </w:rPr>
        <w:t xml:space="preserve">Based on analysis of </w:t>
      </w:r>
      <w:r w:rsidR="008D6C50" w:rsidRPr="009B783C">
        <w:rPr>
          <w:sz w:val="16"/>
          <w:szCs w:val="16"/>
        </w:rPr>
        <w:fldChar w:fldCharType="begin"/>
      </w:r>
      <w:r w:rsidR="00857810" w:rsidRPr="009B783C">
        <w:instrText xml:space="preserve"> ADDIN EN.CITE &lt;EndNote&gt;&lt;Cite&gt;&lt;Author&gt;Australian Bureau of Statistics&lt;/Author&gt;&lt;Year&gt;2021&lt;/Year&gt;&lt;RecNum&gt;5&lt;/RecNum&gt;&lt;DisplayText&gt;Australian Bureau of Statistics. (2021). &lt;style face="italic"&gt;Socio-Economic Indexes for Areas (SEIFA)&lt;/style&gt; (https://www.abs.gov.au/statistics/people/people-and-communities/socio-economic-indexes-areas-seifa-australia/latest-release#data-downloads &lt;/DisplayText&gt;&lt;record&gt;&lt;rec-number&gt;5&lt;/rec-number&gt;&lt;foreign-keys&gt;&lt;key app="EN" db-id="dawdzvawp59fxqevpt559rphwt5dfwx2xwa5" timestamp="1729055283" guid="7c12bb5d-4d28-4f25-8f67-c4f097573b6b"&gt;5&lt;/key&gt;&lt;/foreign-keys&gt;&lt;ref-type name="Dataset"&gt;59&lt;/ref-type&gt;&lt;contributors&gt;&lt;authors&gt;&lt;author&gt;Australian Bureau of Statistics,,&lt;/author&gt;&lt;/authors&gt;&lt;secondary-authors&gt;&lt;author&gt;ABS&lt;/author&gt;&lt;/secondary-authors&gt;&lt;/contributors&gt;&lt;titles&gt;&lt;title&gt;Socio-Economic Indexes for Areas (SEIFA)&lt;/title&gt;&lt;/titles&gt;&lt;dates&gt;&lt;year&gt;2021&lt;/year&gt;&lt;/dates&gt;&lt;pub-location&gt;Australia&lt;/pub-location&gt;&lt;urls&gt;&lt;related-urls&gt;&lt;url&gt;https://www.abs.gov.au/statistics/people/people-and-communities/socio-economic-indexes-areas-seifa-australia/latest-release#data-downloads&lt;/url&gt;&lt;/related-urls&gt;&lt;/urls&gt;&lt;/record&gt;&lt;/Cite&gt;&lt;/EndNote&gt;</w:instrText>
      </w:r>
      <w:r w:rsidR="008D6C50" w:rsidRPr="009B783C">
        <w:rPr>
          <w:sz w:val="16"/>
          <w:szCs w:val="16"/>
        </w:rPr>
        <w:fldChar w:fldCharType="separate"/>
      </w:r>
      <w:r w:rsidR="00857810" w:rsidRPr="009B783C">
        <w:rPr>
          <w:sz w:val="16"/>
          <w:szCs w:val="16"/>
        </w:rPr>
        <w:t xml:space="preserve">Australian Bureau of Statistics. (2021). </w:t>
      </w:r>
      <w:r w:rsidR="00857810" w:rsidRPr="009B783C">
        <w:rPr>
          <w:i/>
          <w:sz w:val="16"/>
          <w:szCs w:val="16"/>
        </w:rPr>
        <w:t>Socio-Economic Indexes for Areas (SEIFA)</w:t>
      </w:r>
      <w:r w:rsidR="00857810" w:rsidRPr="009B783C">
        <w:rPr>
          <w:sz w:val="16"/>
          <w:szCs w:val="16"/>
        </w:rPr>
        <w:t xml:space="preserve"> (https://www.abs.gov.au/statistics/people/people-and-communities/socio-economic-indexes-areas-seifa-australia/latest-release#data-downloads </w:t>
      </w:r>
      <w:r w:rsidR="008D6C50" w:rsidRPr="009B783C">
        <w:rPr>
          <w:sz w:val="16"/>
          <w:szCs w:val="16"/>
        </w:rPr>
        <w:fldChar w:fldCharType="end"/>
      </w:r>
      <w:r w:rsidR="00C17381" w:rsidRPr="009B783C">
        <w:rPr>
          <w:sz w:val="16"/>
          <w:szCs w:val="16"/>
        </w:rPr>
        <w:t>SA2s were mapped to</w:t>
      </w:r>
      <w:r w:rsidR="00A16841" w:rsidRPr="009B783C">
        <w:rPr>
          <w:sz w:val="16"/>
          <w:szCs w:val="16"/>
        </w:rPr>
        <w:t xml:space="preserve"> </w:t>
      </w:r>
      <w:r w:rsidR="00C17381" w:rsidRPr="009B783C">
        <w:rPr>
          <w:sz w:val="16"/>
          <w:szCs w:val="16"/>
        </w:rPr>
        <w:t>MMM categories and Quintiles IRSD.</w:t>
      </w:r>
    </w:p>
  </w:footnote>
  <w:footnote w:id="27">
    <w:p w14:paraId="37613C03" w14:textId="77777777" w:rsidR="00642228" w:rsidRPr="009B783C" w:rsidRDefault="00642228" w:rsidP="00642228">
      <w:pPr>
        <w:pStyle w:val="Footer"/>
        <w:rPr>
          <w:sz w:val="16"/>
          <w:szCs w:val="16"/>
        </w:rPr>
      </w:pPr>
      <w:r w:rsidRPr="009B783C">
        <w:rPr>
          <w:rStyle w:val="FootnoteReference"/>
          <w:sz w:val="16"/>
          <w:szCs w:val="16"/>
        </w:rPr>
        <w:footnoteRef/>
      </w:r>
      <w:r w:rsidRPr="009B783C">
        <w:rPr>
          <w:sz w:val="16"/>
          <w:szCs w:val="16"/>
        </w:rPr>
        <w:t xml:space="preserve"> Ibid.</w:t>
      </w:r>
    </w:p>
  </w:footnote>
  <w:footnote w:id="28">
    <w:p w14:paraId="5410BD71" w14:textId="77777777" w:rsidR="00A13415" w:rsidRPr="009B783C" w:rsidRDefault="00A13415" w:rsidP="003E79FA">
      <w:pPr>
        <w:pStyle w:val="Footer"/>
      </w:pPr>
      <w:r w:rsidRPr="009B783C">
        <w:rPr>
          <w:rStyle w:val="FootnoteReference"/>
          <w:sz w:val="16"/>
          <w:szCs w:val="16"/>
        </w:rPr>
        <w:footnoteRef/>
      </w:r>
      <w:r w:rsidRPr="009B783C">
        <w:t xml:space="preserve"> </w:t>
      </w:r>
      <w:r w:rsidR="00EE4B8F" w:rsidRPr="009B783C">
        <w:t>I</w:t>
      </w:r>
      <w:r w:rsidR="009C4646" w:rsidRPr="009B783C">
        <w:t>bid</w:t>
      </w:r>
      <w:r w:rsidRPr="009B783C">
        <w:t>.</w:t>
      </w:r>
    </w:p>
  </w:footnote>
  <w:footnote w:id="29">
    <w:p w14:paraId="21407783" w14:textId="0A10A48F" w:rsidR="00C17381" w:rsidRPr="009B783C" w:rsidRDefault="00C17381" w:rsidP="003E79FA">
      <w:pPr>
        <w:pStyle w:val="Footer"/>
      </w:pPr>
      <w:r w:rsidRPr="009B783C">
        <w:rPr>
          <w:rStyle w:val="FootnoteReference"/>
        </w:rPr>
        <w:footnoteRef/>
      </w:r>
      <w:r w:rsidRPr="009B783C">
        <w:t xml:space="preserve"> Data captured regarding clinic opening hours, as well as pathology, </w:t>
      </w:r>
      <w:r w:rsidR="007C2789" w:rsidRPr="009B783C">
        <w:t>X</w:t>
      </w:r>
      <w:r w:rsidRPr="009B783C">
        <w:t xml:space="preserve">-ray, CT and ultrasound is point in time. This may continue to change as Medicare UCCs adjust their hours to meet demand and as part of existing efforts to improve the accessibility of clinics and/or ancillary services. This data represents the Department’s best efforts to accurately capture opening hours information through a range of channels </w:t>
      </w:r>
      <w:r w:rsidR="007C2789" w:rsidRPr="009B783C">
        <w:t>–</w:t>
      </w:r>
      <w:r w:rsidRPr="009B783C">
        <w:t xml:space="preserve"> when drawing on opening hours information.</w:t>
      </w:r>
    </w:p>
  </w:footnote>
  <w:footnote w:id="30">
    <w:p w14:paraId="41359FCD" w14:textId="77777777" w:rsidR="00C17381" w:rsidRPr="009B783C" w:rsidRDefault="00C17381" w:rsidP="003E79FA">
      <w:pPr>
        <w:pStyle w:val="Footer"/>
      </w:pPr>
      <w:r w:rsidRPr="009B783C">
        <w:rPr>
          <w:rStyle w:val="FootnoteReference"/>
          <w:sz w:val="16"/>
          <w:szCs w:val="16"/>
        </w:rPr>
        <w:footnoteRef/>
      </w:r>
      <w:r w:rsidRPr="009B783C">
        <w:t xml:space="preserve"> Ibid.</w:t>
      </w:r>
    </w:p>
  </w:footnote>
  <w:footnote w:id="31">
    <w:p w14:paraId="414052B0" w14:textId="7CDA23AA" w:rsidR="00C17381" w:rsidRPr="009B783C" w:rsidRDefault="00C17381" w:rsidP="003E79FA">
      <w:pPr>
        <w:pStyle w:val="Footer"/>
      </w:pPr>
      <w:r w:rsidRPr="009B783C">
        <w:rPr>
          <w:rStyle w:val="FootnoteReference"/>
          <w:sz w:val="14"/>
          <w:szCs w:val="14"/>
        </w:rPr>
        <w:footnoteRef/>
      </w:r>
      <w:r w:rsidRPr="009B783C">
        <w:t xml:space="preserve"> Ibid</w:t>
      </w:r>
      <w:r w:rsidR="00605456" w:rsidRPr="009B783C">
        <w:t>.</w:t>
      </w:r>
    </w:p>
  </w:footnote>
  <w:footnote w:id="32">
    <w:p w14:paraId="5BB11442" w14:textId="77777777" w:rsidR="00C17381" w:rsidRPr="009B783C" w:rsidRDefault="00C17381" w:rsidP="003E79FA">
      <w:pPr>
        <w:pStyle w:val="Footer"/>
      </w:pPr>
      <w:r w:rsidRPr="009B783C">
        <w:rPr>
          <w:rStyle w:val="FootnoteReference"/>
          <w:sz w:val="14"/>
          <w:szCs w:val="14"/>
        </w:rPr>
        <w:footnoteRef/>
      </w:r>
      <w:r w:rsidRPr="009B783C">
        <w:t xml:space="preserve"> Ibid.</w:t>
      </w:r>
    </w:p>
  </w:footnote>
  <w:footnote w:id="33">
    <w:p w14:paraId="015E15D3" w14:textId="77777777" w:rsidR="001B616E" w:rsidRPr="009B783C" w:rsidRDefault="001B616E" w:rsidP="003E79FA">
      <w:pPr>
        <w:pStyle w:val="Footer"/>
      </w:pPr>
      <w:r w:rsidRPr="009B783C">
        <w:rPr>
          <w:rStyle w:val="FootnoteReference"/>
          <w:sz w:val="14"/>
          <w:szCs w:val="14"/>
        </w:rPr>
        <w:footnoteRef/>
      </w:r>
      <w:r w:rsidRPr="009B783C">
        <w:t xml:space="preserve"> Ibid.</w:t>
      </w:r>
    </w:p>
  </w:footnote>
  <w:footnote w:id="34">
    <w:p w14:paraId="7C966F10" w14:textId="77777777" w:rsidR="00C17381" w:rsidRPr="009B783C" w:rsidRDefault="00C17381" w:rsidP="003E79FA">
      <w:pPr>
        <w:pStyle w:val="Footer"/>
      </w:pPr>
      <w:r w:rsidRPr="009B783C">
        <w:rPr>
          <w:rStyle w:val="FootnoteReference"/>
          <w:sz w:val="14"/>
          <w:szCs w:val="14"/>
        </w:rPr>
        <w:footnoteRef/>
      </w:r>
      <w:r w:rsidRPr="009B783C">
        <w:t xml:space="preserve"> Ibid.</w:t>
      </w:r>
    </w:p>
  </w:footnote>
  <w:footnote w:id="35">
    <w:p w14:paraId="322FB319" w14:textId="51743721" w:rsidR="00BE1496" w:rsidRPr="009B783C" w:rsidRDefault="00BE1496" w:rsidP="003E79FA">
      <w:pPr>
        <w:pStyle w:val="Footer"/>
      </w:pPr>
      <w:r w:rsidRPr="009B783C">
        <w:rPr>
          <w:rStyle w:val="FootnoteReference"/>
          <w:sz w:val="16"/>
          <w:szCs w:val="16"/>
        </w:rPr>
        <w:footnoteRef/>
      </w:r>
      <w:r w:rsidRPr="009B783C">
        <w:t xml:space="preserve"> </w:t>
      </w:r>
      <w:r w:rsidRPr="009B783C">
        <w:fldChar w:fldCharType="begin"/>
      </w:r>
      <w:r w:rsidR="005B610E" w:rsidRPr="009B783C">
        <w:instrText xml:space="preserve"> ADDIN EN.CITE &lt;EndNote&gt;&lt;Cite ExcludeYear="1"&gt;&lt;Author&gt;Australian Institute of Health and Welfare&lt;/Author&gt;&lt;Year&gt;2023&lt;/Year&gt;&lt;RecNum&gt;4&lt;/RecNum&gt;&lt;DisplayText&gt;Australian Institute of Health and Welfare. (2023b). &lt;style face="italic"&gt;Emergency department care&lt;/style&gt;. https://www.aihw.gov.au/reports-data/myhospitals/sectors/emergency-department-care&lt;/DisplayText&gt;&lt;record&gt;&lt;rec-number&gt;4&lt;/rec-number&gt;&lt;foreign-keys&gt;&lt;key app="EN" db-id="dawdzvawp59fxqevpt559rphwt5dfwx2xwa5" timestamp="1728696282" guid="3259798a-d924-4e06-a03c-134d70b11770"&gt;4&lt;/key&gt;&lt;/foreign-keys&gt;&lt;ref-type name="Report"&gt;27&lt;/ref-type&gt;&lt;contributors&gt;&lt;authors&gt;&lt;author&gt;Australian Institute of Health and Welfare,,&lt;/author&gt;&lt;/authors&gt;&lt;/contributors&gt;&lt;titles&gt;&lt;title&gt;Emergency department care&lt;/title&gt;&lt;/titles&gt;&lt;dates&gt;&lt;year&gt;2023&lt;/year&gt;&lt;/dates&gt;&lt;urls&gt;&lt;related-urls&gt;&lt;url&gt;https://www.aihw.gov.au/reports-data/myhospitals/sectors/emergency-department-care&lt;/url&gt;&lt;/related-urls&gt;&lt;/urls&gt;&lt;/record&gt;&lt;/Cite&gt;&lt;/EndNote&gt;</w:instrText>
      </w:r>
      <w:r w:rsidRPr="009B783C">
        <w:fldChar w:fldCharType="separate"/>
      </w:r>
      <w:r w:rsidR="005B610E" w:rsidRPr="009B783C">
        <w:t xml:space="preserve">Australian Institute of Health and Welfare. (2023b). </w:t>
      </w:r>
      <w:r w:rsidR="005B610E" w:rsidRPr="009B783C">
        <w:rPr>
          <w:i/>
        </w:rPr>
        <w:t>Emergency department care</w:t>
      </w:r>
      <w:r w:rsidR="005B610E" w:rsidRPr="009B783C">
        <w:t>. https://www.aihw.gov.au/reports-data/myhospitals/sectors/emergency-department-care</w:t>
      </w:r>
      <w:r w:rsidRPr="009B783C">
        <w:fldChar w:fldCharType="end"/>
      </w:r>
    </w:p>
  </w:footnote>
  <w:footnote w:id="36">
    <w:p w14:paraId="6AF68A57" w14:textId="3B85AD69" w:rsidR="00DF0399" w:rsidRPr="009B783C" w:rsidRDefault="00DF0399" w:rsidP="00DF0399">
      <w:pPr>
        <w:pStyle w:val="Footer"/>
      </w:pPr>
      <w:r w:rsidRPr="009B783C">
        <w:rPr>
          <w:vertAlign w:val="superscript"/>
        </w:rPr>
        <w:footnoteRef/>
      </w:r>
      <w:r w:rsidR="00C17381" w:rsidRPr="009B783C">
        <w:t xml:space="preserve"> Semi-urgent and non-urgent (triage categor</w:t>
      </w:r>
      <w:r w:rsidR="004A10AC" w:rsidRPr="009B783C">
        <w:t>ies four and five</w:t>
      </w:r>
      <w:r w:rsidR="00C17381" w:rsidRPr="009B783C">
        <w:t xml:space="preserve">) presentations to ED are considered to align with the types of conditions that Medicare UCCs aim to treat, and used in the indicator: </w:t>
      </w:r>
      <w:r w:rsidRPr="009B783C">
        <w:fldChar w:fldCharType="begin"/>
      </w:r>
      <w:r w:rsidR="005B610E" w:rsidRPr="009B783C">
        <w:instrText xml:space="preserve"> ADDIN EN.CITE &lt;EndNote&gt;&lt;Cite&gt;&lt;Author&gt;Australian Institute of Health and Welfare&lt;/Author&gt;&lt;Year&gt;2023&lt;/Year&gt;&lt;RecNum&gt;37&lt;/RecNum&gt;&lt;DisplayText&gt;Australian Institute of Health and Welfare. (2023c). &lt;style face="italic"&gt;National Healthcare Agreement: PI 19–Selected potentially avoidable GP-type presentations to emergency departments, 2022&lt;/style&gt;. https://meteor.aihw.gov.au/content/740847&lt;/DisplayText&gt;&lt;record&gt;&lt;rec-number&gt;37&lt;/rec-number&gt;&lt;foreign-keys&gt;&lt;key app="EN" db-id="dawdzvawp59fxqevpt559rphwt5dfwx2xwa5" timestamp="1733268708" guid="813327ff-0aee-4837-b423-4c8c46f03e0a"&gt;37&lt;/key&gt;&lt;/foreign-keys&gt;&lt;ref-type name="Report"&gt;27&lt;/ref-type&gt;&lt;contributors&gt;&lt;authors&gt;&lt;author&gt;Australian Institute of Health and Welfare,&lt;/author&gt;&lt;/authors&gt;&lt;/contributors&gt;&lt;titles&gt;&lt;title&gt;National Healthcare Agreement: PI 19–Selected potentially avoidable GP-type presentations to emergency departments, 2022&lt;/title&gt;&lt;/titles&gt;&lt;dates&gt;&lt;year&gt;2023&lt;/year&gt;&lt;/dates&gt;&lt;urls&gt;&lt;related-urls&gt;&lt;url&gt;https://meteor.aihw.gov.au/content/740847&lt;/url&gt;&lt;/related-urls&gt;&lt;/urls&gt;&lt;/record&gt;&lt;/Cite&gt;&lt;/EndNote&gt;</w:instrText>
      </w:r>
      <w:r w:rsidRPr="009B783C">
        <w:fldChar w:fldCharType="separate"/>
      </w:r>
      <w:r w:rsidR="005B610E" w:rsidRPr="009B783C">
        <w:t xml:space="preserve">Australian Institute of Health and Welfare. (2023c). </w:t>
      </w:r>
      <w:r w:rsidR="005B610E" w:rsidRPr="009B783C">
        <w:rPr>
          <w:i/>
        </w:rPr>
        <w:t>National Healthcare Agreement: PI 19–Selected potentially avoidable GP-type presentations to emergency departments, 2022</w:t>
      </w:r>
      <w:r w:rsidR="005B610E" w:rsidRPr="009B783C">
        <w:t>. https://meteor.aihw.gov.au/content/740847</w:t>
      </w:r>
      <w:r w:rsidRPr="009B783C">
        <w:fldChar w:fldCharType="end"/>
      </w:r>
    </w:p>
  </w:footnote>
  <w:footnote w:id="37">
    <w:p w14:paraId="0F2617A8" w14:textId="77777777" w:rsidR="00404D22" w:rsidRPr="009B783C" w:rsidRDefault="00404D22" w:rsidP="003E79FA">
      <w:pPr>
        <w:pStyle w:val="Footer"/>
      </w:pPr>
      <w:r w:rsidRPr="009B783C">
        <w:rPr>
          <w:rStyle w:val="FootnoteReference"/>
          <w:sz w:val="16"/>
          <w:szCs w:val="16"/>
        </w:rPr>
        <w:footnoteRef/>
      </w:r>
      <w:r w:rsidRPr="009B783C">
        <w:t xml:space="preserve"> This is based on the variable in source the practice management systems and may refer to either gender or sex. There is likely to be variation across practices in the recording of the variable.</w:t>
      </w:r>
    </w:p>
  </w:footnote>
  <w:footnote w:id="38">
    <w:p w14:paraId="436638CF" w14:textId="06ACC1D3" w:rsidR="00404D22" w:rsidRPr="009B783C" w:rsidRDefault="00404D22" w:rsidP="003E79FA">
      <w:pPr>
        <w:pStyle w:val="Footer"/>
      </w:pPr>
      <w:r w:rsidRPr="009B783C">
        <w:rPr>
          <w:rStyle w:val="FootnoteReference"/>
          <w:sz w:val="16"/>
          <w:szCs w:val="16"/>
        </w:rPr>
        <w:footnoteRef/>
      </w:r>
      <w:r w:rsidRPr="009B783C">
        <w:t xml:space="preserve"> </w:t>
      </w:r>
      <w:r w:rsidRPr="009B783C">
        <w:fldChar w:fldCharType="begin"/>
      </w:r>
      <w:r w:rsidR="005B610E" w:rsidRPr="009B783C">
        <w:instrText xml:space="preserve"> ADDIN EN.CITE &lt;EndNote&gt;&lt;Cite ExcludeYear="1"&gt;&lt;Author&gt;Australian Institute of Health and Welfare&lt;/Author&gt;&lt;Year&gt;2023&lt;/Year&gt;&lt;RecNum&gt;4&lt;/RecNum&gt;&lt;DisplayText&gt;Australian Institute of Health and Welfare. (2023b). &lt;style face="italic"&gt;Emergency department care&lt;/style&gt;. https://www.aihw.gov.au/reports-data/myhospitals/sectors/emergency-department-care&lt;/DisplayText&gt;&lt;record&gt;&lt;rec-number&gt;4&lt;/rec-number&gt;&lt;foreign-keys&gt;&lt;key app="EN" db-id="dawdzvawp59fxqevpt559rphwt5dfwx2xwa5" timestamp="1728696282" guid="3259798a-d924-4e06-a03c-134d70b11770"&gt;4&lt;/key&gt;&lt;/foreign-keys&gt;&lt;ref-type name="Report"&gt;27&lt;/ref-type&gt;&lt;contributors&gt;&lt;authors&gt;&lt;author&gt;Australian Institute of Health and Welfare,,&lt;/author&gt;&lt;/authors&gt;&lt;/contributors&gt;&lt;titles&gt;&lt;title&gt;Emergency department care&lt;/title&gt;&lt;/titles&gt;&lt;dates&gt;&lt;year&gt;2023&lt;/year&gt;&lt;/dates&gt;&lt;urls&gt;&lt;related-urls&gt;&lt;url&gt;https://www.aihw.gov.au/reports-data/myhospitals/sectors/emergency-department-care&lt;/url&gt;&lt;/related-urls&gt;&lt;/urls&gt;&lt;/record&gt;&lt;/Cite&gt;&lt;/EndNote&gt;</w:instrText>
      </w:r>
      <w:r w:rsidRPr="009B783C">
        <w:fldChar w:fldCharType="separate"/>
      </w:r>
      <w:r w:rsidR="005B610E" w:rsidRPr="009B783C">
        <w:t xml:space="preserve">Australian Institute of Health and Welfare. (2023b). </w:t>
      </w:r>
      <w:r w:rsidR="005B610E" w:rsidRPr="009B783C">
        <w:rPr>
          <w:i/>
        </w:rPr>
        <w:t>Emergency department care</w:t>
      </w:r>
      <w:r w:rsidR="005B610E" w:rsidRPr="009B783C">
        <w:t>. https://www.aihw.gov.au/reports-data/myhospitals/sectors/emergency-department-care</w:t>
      </w:r>
      <w:r w:rsidRPr="009B783C">
        <w:fldChar w:fldCharType="end"/>
      </w:r>
    </w:p>
  </w:footnote>
  <w:footnote w:id="39">
    <w:p w14:paraId="439E408E" w14:textId="77777777" w:rsidR="00C17381" w:rsidRPr="009B783C" w:rsidRDefault="00C17381" w:rsidP="003E79FA">
      <w:pPr>
        <w:pStyle w:val="Footer"/>
      </w:pPr>
      <w:r w:rsidRPr="009B783C">
        <w:rPr>
          <w:rStyle w:val="FootnoteReference"/>
          <w:sz w:val="16"/>
          <w:szCs w:val="16"/>
        </w:rPr>
        <w:footnoteRef/>
      </w:r>
      <w:r w:rsidRPr="009B783C">
        <w:t xml:space="preserve"> Ibid.</w:t>
      </w:r>
    </w:p>
  </w:footnote>
  <w:footnote w:id="40">
    <w:p w14:paraId="291F5BE2" w14:textId="125A561C" w:rsidR="00C17381" w:rsidRPr="009B783C" w:rsidRDefault="00C17381" w:rsidP="003E79FA">
      <w:pPr>
        <w:pStyle w:val="Footer"/>
      </w:pPr>
      <w:r w:rsidRPr="009B783C">
        <w:rPr>
          <w:rStyle w:val="FootnoteReference"/>
          <w:sz w:val="16"/>
          <w:szCs w:val="16"/>
        </w:rPr>
        <w:footnoteRef/>
      </w:r>
      <w:r w:rsidRPr="009B783C">
        <w:t xml:space="preserve"> Note that Indigenous status is not available by </w:t>
      </w:r>
      <w:r w:rsidR="00A76B6F" w:rsidRPr="009B783C">
        <w:t>triage</w:t>
      </w:r>
      <w:r w:rsidRPr="009B783C">
        <w:t xml:space="preserve"> category for EDs and thus the comparison of percentages is with all ED attendances.</w:t>
      </w:r>
    </w:p>
  </w:footnote>
  <w:footnote w:id="41">
    <w:p w14:paraId="50E1BA81" w14:textId="77777777" w:rsidR="00012710" w:rsidRPr="009B783C" w:rsidRDefault="00012710" w:rsidP="003A7174">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&lt;EndNote&gt;&lt;Cite&gt;&lt;Author&gt;World Health Organisation&lt;/Author&gt;&lt;Year&gt;2024&lt;/Year&gt;&lt;RecNum&gt;14&lt;/RecNum&gt;&lt;DisplayText&gt;World Health Organisation. (2024). &lt;style face="italic"&gt;Quality of Care&lt;/style&gt;. Retrieved 26 November 2024 from https://www.who.int/health-topics/quality-of-care#tab=tab_1&lt;/DisplayText&gt;&lt;record&gt;&lt;rec-number&gt;14&lt;/rec-number&gt;&lt;foreign-keys&gt;&lt;key app="EN" db-id="dawdzvawp59fxqevpt559rphwt5dfwx2xwa5" timestamp="1732608782" guid="2422a6e7-1d52-44e0-ae3e-760e1d5ece36"&gt;14&lt;/key&gt;&lt;/foreign-keys&gt;&lt;ref-type name="Web Page"&gt;12&lt;/ref-type&gt;&lt;contributors&gt;&lt;authors&gt;&lt;author&gt;World Health Organisation,,&lt;/author&gt;&lt;/authors&gt;&lt;/contributors&gt;&lt;titles&gt;&lt;title&gt;Quality of Care&lt;/title&gt;&lt;/titles&gt;&lt;number&gt;26 November 2024&lt;/number&gt;&lt;dates&gt;&lt;year&gt;2024&lt;/year&gt;&lt;/dates&gt;&lt;urls&gt;&lt;related-urls&gt;&lt;url&gt;https://www.who.int/health-topics/quality-of-care#tab=tab_1&lt;/url&gt;&lt;/related-urls&gt;&lt;/urls&gt;&lt;/record&gt;&lt;/Cite&gt;&lt;/EndNote&gt;</w:instrText>
      </w:r>
      <w:r w:rsidRPr="009B783C">
        <w:fldChar w:fldCharType="separate"/>
      </w:r>
      <w:r w:rsidRPr="009B783C">
        <w:t xml:space="preserve">World Health Organisation. (2024). </w:t>
      </w:r>
      <w:r w:rsidRPr="009B783C">
        <w:rPr>
          <w:i/>
        </w:rPr>
        <w:t>Quality of Care</w:t>
      </w:r>
      <w:r w:rsidRPr="009B783C">
        <w:t>. Retrieved 26 November 2024 from https://www.who.int/health-topics/quality-of-care#tab=tab_1</w:t>
      </w:r>
      <w:r w:rsidRPr="009B783C">
        <w:fldChar w:fldCharType="end"/>
      </w:r>
    </w:p>
  </w:footnote>
  <w:footnote w:id="42">
    <w:p w14:paraId="7EBCC8B7" w14:textId="4155FB44" w:rsidR="00012710" w:rsidRPr="009B783C" w:rsidRDefault="00012710" w:rsidP="003A7174">
      <w:pPr>
        <w:pStyle w:val="Footer"/>
      </w:pPr>
      <w:r w:rsidRPr="009B783C">
        <w:rPr>
          <w:rStyle w:val="FootnoteReference"/>
          <w:sz w:val="16"/>
          <w:szCs w:val="16"/>
        </w:rPr>
        <w:footnoteRef/>
      </w:r>
      <w:r w:rsidR="00B07E10" w:rsidRPr="009B783C">
        <w:t xml:space="preserve"> </w:t>
      </w:r>
      <w:r w:rsidR="00B07E10" w:rsidRPr="009B783C">
        <w:fldChar w:fldCharType="begin">
          <w:fldData xml:space="preserve">PEVuZE5vdGU+PENpdGU+PEF1dGhvcj5CYXJyeTwvQXV0aG9yPjxZZWFyPjIwMDY8L1llYXI+PFJl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</w:fldData>
        </w:fldChar>
      </w:r>
      <w:r w:rsidR="00963C8D" w:rsidRPr="009B783C">
        <w:instrText xml:space="preserve"> ADDIN EN.CITE </w:instrText>
      </w:r>
      <w:r w:rsidR="00963C8D" w:rsidRPr="009B783C">
        <w:fldChar w:fldCharType="begin">
          <w:fldData xml:space="preserve">PEVuZE5vdGU+PENpdGU+PEF1dGhvcj5CYXJyeTwvQXV0aG9yPjxZZWFyPjIwMDY8L1llYXI+PFJl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</w:fldData>
        </w:fldChar>
      </w:r>
      <w:r w:rsidR="00963C8D" w:rsidRPr="009B783C">
        <w:rPr>
          <w:sz w:val="16"/>
          <w:szCs w:val="16"/>
        </w:rPr>
        <w:instrText xml:space="preserve"> ADDIN EN.CITE.DATA </w:instrText>
      </w:r>
      <w:r w:rsidR="00963C8D" w:rsidRPr="009B783C">
        <w:fldChar w:fldCharType="end"/>
      </w:r>
      <w:r w:rsidR="00B07E10" w:rsidRPr="009B783C">
        <w:fldChar w:fldCharType="separate"/>
      </w:r>
      <w:r w:rsidR="00963C8D" w:rsidRPr="009B783C">
        <w:t xml:space="preserve">Barry, D., Melhado, T., Chacko, K., Lee, R. S.-M., Steiner, J., &amp; Kutner, J. (2006). Patient and Physician Perceptions of Timely Access to Care. </w:t>
      </w:r>
      <w:r w:rsidR="00963C8D" w:rsidRPr="009B783C">
        <w:rPr>
          <w:i/>
        </w:rPr>
        <w:t>Journal of General Internal Medicine</w:t>
      </w:r>
      <w:r w:rsidR="00963C8D" w:rsidRPr="009B783C">
        <w:t>,</w:t>
      </w:r>
      <w:r w:rsidR="00963C8D" w:rsidRPr="009B783C">
        <w:rPr>
          <w:i/>
        </w:rPr>
        <w:t xml:space="preserve"> 21</w:t>
      </w:r>
      <w:r w:rsidR="00963C8D" w:rsidRPr="009B783C">
        <w:t xml:space="preserve">(2), 130-133. https://doi.org/10.1111/j.1525-1497.2005.0299.x </w:t>
      </w:r>
      <w:r w:rsidR="00B07E10" w:rsidRPr="009B783C">
        <w:fldChar w:fldCharType="end"/>
      </w:r>
    </w:p>
  </w:footnote>
  <w:footnote w:id="43">
    <w:p w14:paraId="2B6D1D3A" w14:textId="77777777" w:rsidR="00B07E10" w:rsidRPr="009B783C" w:rsidRDefault="00B07E10" w:rsidP="003A7174">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&lt;EndNote&gt;&lt;Cite&gt;&lt;Author&gt;Barry&lt;/Author&gt;&lt;Year&gt;2006&lt;/Year&gt;&lt;RecNum&gt;106&lt;/RecNum&gt;&lt;DisplayText&gt;Ibid.&lt;/DisplayText&gt;&lt;record&gt;&lt;rec-number&gt;106&lt;/rec-number&gt;&lt;foreign-keys&gt;&lt;key app="EN" db-id="dawdzvawp59fxqevpt559rphwt5dfwx2xwa5" timestamp="1733801886" guid="c986a704-99da-48ef-a462-087ecb66dc64"&gt;106&lt;/key&gt;&lt;/foreign-keys&gt;&lt;ref-type name="Journal Article"&gt;17&lt;/ref-type&gt;&lt;contributors&gt;&lt;authors&gt;&lt;author&gt;Barry, Daniel&lt;/author&gt;&lt;author&gt;Melhado, Trisha&lt;/author&gt;&lt;author&gt;Chacko, Karen&lt;/author&gt;&lt;author&gt;Lee, Rita Shi-Ming&lt;/author&gt;&lt;author&gt;Steiner, John&lt;/author&gt;&lt;author&gt;Kutner, Jean&lt;/author&gt;&lt;/authors&gt;&lt;/contributors&gt;&lt;titles&gt;&lt;title&gt;Patient and Physician Perceptions of Timely Access to Care&lt;/title&gt;&lt;secondary-title&gt;Journal of General Internal Medicine&lt;/secondary-title&gt;&lt;/titles&gt;&lt;periodical&gt;&lt;full-title&gt;Journal of General Internal Medicine&lt;/full-title&gt;&lt;/periodical&gt;&lt;pages&gt;130-133&lt;/pages&gt;&lt;volume&gt;21&lt;/volume&gt;&lt;number&gt;2&lt;/number&gt;&lt;dates&gt;&lt;year&gt;2006&lt;/year&gt;&lt;/dates&gt;&lt;urls&gt;&lt;/urls&gt;&lt;electronic-resource-num&gt;10.1111/j.1525-1497.2005.0299.x&lt;/electronic-resource-num&gt;&lt;/record&gt;&lt;/Cite&gt;&lt;/EndNote&gt;</w:instrText>
      </w:r>
      <w:r w:rsidRPr="009B783C">
        <w:fldChar w:fldCharType="separate"/>
      </w:r>
      <w:r w:rsidRPr="009B783C">
        <w:t>Ibid.</w:t>
      </w:r>
      <w:r w:rsidRPr="009B783C">
        <w:fldChar w:fldCharType="end"/>
      </w:r>
    </w:p>
  </w:footnote>
  <w:footnote w:id="44">
    <w:p w14:paraId="14070095" w14:textId="77777777" w:rsidR="00B07E10" w:rsidRPr="009B783C" w:rsidRDefault="00B07E10" w:rsidP="003A7174">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&lt;EndNote&gt;&lt;Cite&gt;&lt;Author&gt;Australasian College of Emergency Medicine&lt;/Author&gt;&lt;Year&gt;2024&lt;/Year&gt;&lt;RecNum&gt;107&lt;/RecNum&gt;&lt;DisplayText&gt;Australasian College of Emergency Medicine. (2024). &lt;style face="italic"&gt;Triage&lt;/style&gt;. Retrieved 21 November from https://acem.org.au/Content-Sources/Advancing-Emergency-Medicine/Better-Outcomes-for-Patients/Triage&lt;/DisplayText&gt;&lt;record&gt;&lt;rec-number&gt;107&lt;/rec-number&gt;&lt;foreign-keys&gt;&lt;key app="EN" db-id="dawdzvawp59fxqevpt559rphwt5dfwx2xwa5" timestamp="1733802063" guid="33d8e118-aaef-4e71-8121-fbe5add8883a"&gt;107&lt;/key&gt;&lt;/foreign-keys&gt;&lt;ref-type name="Web Page"&gt;12&lt;/ref-type&gt;&lt;contributors&gt;&lt;authors&gt;&lt;author&gt;Australasian College of Emergency Medicine,,&lt;/author&gt;&lt;/authors&gt;&lt;/contributors&gt;&lt;titles&gt;&lt;title&gt;Triage&lt;/title&gt;&lt;/titles&gt;&lt;volume&gt;2024&lt;/volume&gt;&lt;number&gt;21 November&lt;/number&gt;&lt;dates&gt;&lt;year&gt;2024&lt;/year&gt;&lt;/dates&gt;&lt;urls&gt;&lt;related-urls&gt;&lt;url&gt;https://acem.org.au/Content-Sources/Advancing-Emergency-Medicine/Better-Outcomes-for-Patients/Triage&lt;/url&gt;&lt;/related-urls&gt;&lt;/urls&gt;&lt;/record&gt;&lt;/Cite&gt;&lt;/EndNote&gt;</w:instrText>
      </w:r>
      <w:r w:rsidRPr="009B783C">
        <w:fldChar w:fldCharType="separate"/>
      </w:r>
      <w:r w:rsidRPr="009B783C">
        <w:t xml:space="preserve">Australasian College of Emergency Medicine. (2024). </w:t>
      </w:r>
      <w:r w:rsidRPr="009B783C">
        <w:rPr>
          <w:i/>
        </w:rPr>
        <w:t>Triage</w:t>
      </w:r>
      <w:r w:rsidRPr="009B783C">
        <w:t>. Retrieved 21 November from https://acem.org.au/Content-Sources/Advancing-Emergency-Medicine/Better-Outcomes-for-Patients/Triage</w:t>
      </w:r>
      <w:r w:rsidRPr="009B783C">
        <w:fldChar w:fldCharType="end"/>
      </w:r>
    </w:p>
  </w:footnote>
  <w:footnote w:id="45">
    <w:p w14:paraId="30F49971" w14:textId="102A89ED" w:rsidR="001303AE" w:rsidRPr="009B783C" w:rsidRDefault="001303AE" w:rsidP="003A7174">
      <w:pPr>
        <w:pStyle w:val="Footer"/>
      </w:pPr>
      <w:r w:rsidRPr="009B783C">
        <w:rPr>
          <w:rStyle w:val="FootnoteReference"/>
          <w:sz w:val="16"/>
          <w:szCs w:val="16"/>
        </w:rPr>
        <w:footnoteRef/>
      </w:r>
      <w:r w:rsidRPr="009B783C">
        <w:t xml:space="preserve"> </w:t>
      </w:r>
      <w:r w:rsidR="00857810" w:rsidRPr="009B783C">
        <w:fldChar w:fldCharType="begin"/>
      </w:r>
      <w:r w:rsidR="00857810" w:rsidRPr="009B783C">
        <w:instrText xml:space="preserve"> ADDIN EN.CITE &lt;EndNote&gt;&lt;Cite&gt;&lt;Author&gt;Australasian College of Emergency Medicine&lt;/Author&gt;&lt;Year&gt;2024&lt;/Year&gt;&lt;RecNum&gt;107&lt;/RecNum&gt;&lt;DisplayText&gt;Ibid.&lt;/DisplayText&gt;&lt;record&gt;&lt;rec-number&gt;107&lt;/rec-number&gt;&lt;foreign-keys&gt;&lt;key app="EN" db-id="dawdzvawp59fxqevpt559rphwt5dfwx2xwa5" timestamp="1733802063" guid="33d8e118-aaef-4e71-8121-fbe5add8883a"&gt;107&lt;/key&gt;&lt;/foreign-keys&gt;&lt;ref-type name="Web Page"&gt;12&lt;/ref-type&gt;&lt;contributors&gt;&lt;authors&gt;&lt;author&gt;Australasian College of Emergency Medicine,,&lt;/author&gt;&lt;/authors&gt;&lt;/contributors&gt;&lt;titles&gt;&lt;title&gt;Triage&lt;/title&gt;&lt;/titles&gt;&lt;volume&gt;2024&lt;/volume&gt;&lt;number&gt;21 November&lt;/number&gt;&lt;dates&gt;&lt;year&gt;2024&lt;/year&gt;&lt;/dates&gt;&lt;urls&gt;&lt;related-urls&gt;&lt;url&gt;https://acem.org.au/Content-Sources/Advancing-Emergency-Medicine/Better-Outcomes-for-Patients/Triage&lt;/url&gt;&lt;/related-urls&gt;&lt;/urls&gt;&lt;/record&gt;&lt;/Cite&gt;&lt;/EndNote&gt;</w:instrText>
      </w:r>
      <w:r w:rsidR="00857810" w:rsidRPr="009B783C">
        <w:fldChar w:fldCharType="separate"/>
      </w:r>
      <w:r w:rsidR="00857810" w:rsidRPr="009B783C">
        <w:t>Ibid.</w:t>
      </w:r>
      <w:r w:rsidR="00857810" w:rsidRPr="009B783C">
        <w:fldChar w:fldCharType="end"/>
      </w:r>
    </w:p>
  </w:footnote>
  <w:footnote w:id="46">
    <w:p w14:paraId="6BAE04AE" w14:textId="204F3E4C" w:rsidR="00012710" w:rsidRPr="009B783C" w:rsidRDefault="00012710" w:rsidP="00C84FF6">
      <w:pPr>
        <w:pStyle w:val="Footer"/>
      </w:pPr>
      <w:r w:rsidRPr="009B783C">
        <w:rPr>
          <w:rStyle w:val="FootnoteReference"/>
          <w:sz w:val="16"/>
          <w:szCs w:val="16"/>
        </w:rPr>
        <w:footnoteRef/>
      </w:r>
      <w:r w:rsidR="00B07E10" w:rsidRPr="009B783C">
        <w:t xml:space="preserve"> </w:t>
      </w:r>
      <w:r w:rsidR="00B07E10" w:rsidRPr="009B783C">
        <w:fldChar w:fldCharType="begin"/>
      </w:r>
      <w:r w:rsidR="00857810" w:rsidRPr="009B783C">
        <w:instrText xml:space="preserve"> ADDIN EN.CITE &lt;EndNote&gt;&lt;Cite&gt;&lt;Author&gt;Australian Bureau of Statistics&lt;/Author&gt;&lt;Year&gt;2024&lt;/Year&gt;&lt;RecNum&gt;108&lt;/RecNum&gt;&lt;DisplayText&gt;Australian Bureau of Statistics. (2024). &lt;style face="italic"&gt;Patient Experiences&lt;/style&gt;. Retrieved 21 November from https://www.abs.gov.au/statistics/health/health-services/patient-experiences/latest-release#waiting-times&lt;/DisplayText&gt;&lt;record&gt;&lt;rec-number&gt;108&lt;/rec-number&gt;&lt;foreign-keys&gt;&lt;key app="EN" db-id="dawdzvawp59fxqevpt559rphwt5dfwx2xwa5" timestamp="1733802218" guid="85d7f301-fbdc-43bd-9cdc-cb1dc2264d15"&gt;108&lt;/key&gt;&lt;/foreign-keys&gt;&lt;ref-type name="Web Page"&gt;12&lt;/ref-type&gt;&lt;contributors&gt;&lt;authors&gt;&lt;author&gt;Australian Bureau of Statistics,,&lt;/author&gt;&lt;/authors&gt;&lt;/contributors&gt;&lt;titles&gt;&lt;title&gt;Patient Experiences&lt;/title&gt;&lt;/titles&gt;&lt;volume&gt;2024&lt;/volume&gt;&lt;number&gt;21 November&lt;/number&gt;&lt;dates&gt;&lt;year&gt;2024&lt;/year&gt;&lt;/dates&gt;&lt;urls&gt;&lt;related-urls&gt;&lt;url&gt;https://www.abs.gov.au/statistics/health/health-services/patient-experiences/latest-release#waiting-times&lt;/url&gt;&lt;/related-urls&gt;&lt;/urls&gt;&lt;/record&gt;&lt;/Cite&gt;&lt;/EndNote&gt;</w:instrText>
      </w:r>
      <w:r w:rsidR="00B07E10" w:rsidRPr="009B783C">
        <w:fldChar w:fldCharType="separate"/>
      </w:r>
      <w:r w:rsidR="00B07E10" w:rsidRPr="009B783C">
        <w:t xml:space="preserve">Australian Bureau of Statistics. (2024). </w:t>
      </w:r>
      <w:r w:rsidR="00B07E10" w:rsidRPr="009B783C">
        <w:rPr>
          <w:i/>
        </w:rPr>
        <w:t>Patient Experiences</w:t>
      </w:r>
      <w:r w:rsidR="00B07E10" w:rsidRPr="009B783C">
        <w:t>. Retrieved 21 November from https://www.abs.gov.au/statistics/health/health-services/patient-experiences/latest-release#waiting-times</w:t>
      </w:r>
      <w:r w:rsidR="00B07E10" w:rsidRPr="009B783C">
        <w:fldChar w:fldCharType="end"/>
      </w:r>
    </w:p>
  </w:footnote>
  <w:footnote w:id="47">
    <w:p w14:paraId="546CE858" w14:textId="4D12957F" w:rsidR="00B07E10" w:rsidRPr="009B783C" w:rsidRDefault="00B07E10" w:rsidP="00C84FF6">
      <w:pPr>
        <w:pStyle w:val="Footer"/>
      </w:pPr>
      <w:r w:rsidRPr="009B783C">
        <w:rPr>
          <w:rStyle w:val="FootnoteReference"/>
          <w:sz w:val="16"/>
          <w:szCs w:val="16"/>
        </w:rPr>
        <w:footnoteRef/>
      </w:r>
      <w:r w:rsidRPr="009B783C">
        <w:t xml:space="preserve"> </w:t>
      </w:r>
      <w:r w:rsidRPr="009B783C">
        <w:fldChar w:fldCharType="begin"/>
      </w:r>
      <w:r w:rsidR="005B610E" w:rsidRPr="009B783C">
        <w:instrText xml:space="preserve"> ADDIN EN.CITE &lt;EndNote&gt;&lt;Cite ExcludeYear="1"&gt;&lt;Author&gt;Australian Institute of Health and Welfare&lt;/Author&gt;&lt;Year&gt;2023&lt;/Year&gt;&lt;RecNum&gt;4&lt;/RecNum&gt;&lt;DisplayText&gt;Australian Institute of Health and Welfare. (2023b). &lt;style face="italic"&gt;Emergency department care&lt;/style&gt;. https://www.aihw.gov.au/reports-data/myhospitals/sectors/emergency-department-care&lt;/DisplayText&gt;&lt;record&gt;&lt;rec-number&gt;4&lt;/rec-number&gt;&lt;foreign-keys&gt;&lt;key app="EN" db-id="dawdzvawp59fxqevpt559rphwt5dfwx2xwa5" timestamp="1728696282" guid="3259798a-d924-4e06-a03c-134d70b11770"&gt;4&lt;/key&gt;&lt;/foreign-keys&gt;&lt;ref-type name="Report"&gt;27&lt;/ref-type&gt;&lt;contributors&gt;&lt;authors&gt;&lt;author&gt;Australian Institute of Health and Welfare,,&lt;/author&gt;&lt;/authors&gt;&lt;/contributors&gt;&lt;titles&gt;&lt;title&gt;Emergency department care&lt;/title&gt;&lt;/titles&gt;&lt;dates&gt;&lt;year&gt;2023&lt;/year&gt;&lt;/dates&gt;&lt;urls&gt;&lt;related-urls&gt;&lt;url&gt;https://www.aihw.gov.au/reports-data/myhospitals/sectors/emergency-department-care&lt;/url&gt;&lt;/related-urls&gt;&lt;/urls&gt;&lt;/record&gt;&lt;/Cite&gt;&lt;/EndNote&gt;</w:instrText>
      </w:r>
      <w:r w:rsidRPr="009B783C">
        <w:fldChar w:fldCharType="separate"/>
      </w:r>
      <w:r w:rsidR="005B610E" w:rsidRPr="009B783C">
        <w:t xml:space="preserve">Australian Institute of Health and Welfare. (2023b). </w:t>
      </w:r>
      <w:r w:rsidR="005B610E" w:rsidRPr="009B783C">
        <w:rPr>
          <w:i/>
        </w:rPr>
        <w:t>Emergency department care</w:t>
      </w:r>
      <w:r w:rsidR="005B610E" w:rsidRPr="009B783C">
        <w:t>. https://www.aihw.gov.au/reports-data/myhospitals/sectors/emergency-department-care</w:t>
      </w:r>
      <w:r w:rsidRPr="009B783C">
        <w:fldChar w:fldCharType="end"/>
      </w:r>
    </w:p>
  </w:footnote>
  <w:footnote w:id="48">
    <w:p w14:paraId="4400D2EA" w14:textId="2EA63628" w:rsidR="00B07E10" w:rsidRPr="009B783C" w:rsidRDefault="00B07E10" w:rsidP="00C84FF6">
      <w:pPr>
        <w:pStyle w:val="Footer"/>
      </w:pPr>
      <w:r w:rsidRPr="009B783C">
        <w:rPr>
          <w:rStyle w:val="FootnoteReference"/>
          <w:sz w:val="16"/>
          <w:szCs w:val="16"/>
        </w:rPr>
        <w:footnoteRef/>
      </w:r>
      <w:r w:rsidRPr="009B783C">
        <w:t xml:space="preserve"> </w:t>
      </w:r>
      <w:r w:rsidR="00D6786A" w:rsidRPr="009B783C">
        <w:t>Emergency department stay</w:t>
      </w:r>
      <w:r w:rsidR="00BD5286" w:rsidRPr="009B783C">
        <w:t xml:space="preserve"> – </w:t>
      </w:r>
      <w:r w:rsidR="00D6786A" w:rsidRPr="009B783C">
        <w:t>waiting time</w:t>
      </w:r>
      <w:r w:rsidRPr="009B783C">
        <w:t>, total minutes NNNNN, see https://meteor.aihw.gov.au/content/746119</w:t>
      </w:r>
    </w:p>
  </w:footnote>
  <w:footnote w:id="49">
    <w:p w14:paraId="1B29BDBB" w14:textId="36391F67" w:rsidR="00E93F94" w:rsidRPr="009B783C" w:rsidRDefault="00E93F94" w:rsidP="00C84FF6">
      <w:pPr>
        <w:pStyle w:val="Footer"/>
      </w:pPr>
      <w:r w:rsidRPr="009B783C">
        <w:rPr>
          <w:rStyle w:val="FootnoteReference"/>
        </w:rPr>
        <w:footnoteRef/>
      </w:r>
      <w:r w:rsidR="0095419A" w:rsidRPr="009B783C">
        <w:rPr>
          <w:vertAlign w:val="superscript"/>
        </w:rPr>
        <w:t xml:space="preserve"> </w:t>
      </w:r>
      <w:r w:rsidR="0095419A" w:rsidRPr="009B783C">
        <w:fldChar w:fldCharType="begin"/>
      </w:r>
      <w:r w:rsidR="00857810" w:rsidRPr="009B783C">
        <w:instrText xml:space="preserve"> ADDIN EN.CITE &lt;EndNote&gt;&lt;Cite&gt;&lt;Author&gt;World Health Organisation&lt;/Author&gt;&lt;Year&gt;2024&lt;/Year&gt;&lt;RecNum&gt;14&lt;/RecNum&gt;&lt;DisplayText&gt;World Health Organisation. (2024). &lt;style face="italic"&gt;Quality of Care&lt;/style&gt;. Retrieved 26 November 2024 from https://www.who.int/health-topics/quality-of-care#tab=tab_1&lt;/DisplayText&gt;&lt;record&gt;&lt;rec-number&gt;14&lt;/rec-number&gt;&lt;foreign-keys&gt;&lt;key app="EN" db-id="dawdzvawp59fxqevpt559rphwt5dfwx2xwa5" timestamp="1732608782" guid="2422a6e7-1d52-44e0-ae3e-760e1d5ece36"&gt;14&lt;/key&gt;&lt;/foreign-keys&gt;&lt;ref-type name="Web Page"&gt;12&lt;/ref-type&gt;&lt;contributors&gt;&lt;authors&gt;&lt;author&gt;World Health Organisation,,&lt;/author&gt;&lt;/authors&gt;&lt;/contributors&gt;&lt;titles&gt;&lt;title&gt;Quality of Care&lt;/title&gt;&lt;/titles&gt;&lt;number&gt;26 November 2024&lt;/number&gt;&lt;dates&gt;&lt;year&gt;2024&lt;/year&gt;&lt;/dates&gt;&lt;urls&gt;&lt;related-urls&gt;&lt;url&gt;https://www.who.int/health-topics/quality-of-care#tab=tab_1&lt;/url&gt;&lt;/related-urls&gt;&lt;/urls&gt;&lt;/record&gt;&lt;/Cite&gt;&lt;/EndNote&gt;</w:instrText>
      </w:r>
      <w:r w:rsidR="0095419A" w:rsidRPr="009B783C">
        <w:fldChar w:fldCharType="separate"/>
      </w:r>
      <w:r w:rsidR="0095419A" w:rsidRPr="009B783C">
        <w:t>World Health Organisation. (2024). Quality of Care. Retrieved 26 November 2024 from https://www.who.int/health-topics/quality-of-care#tab=tab_1</w:t>
      </w:r>
      <w:r w:rsidR="0095419A" w:rsidRPr="009B783C">
        <w:fldChar w:fldCharType="end"/>
      </w:r>
    </w:p>
  </w:footnote>
  <w:footnote w:id="50">
    <w:p w14:paraId="2B60731F" w14:textId="7A87F47F" w:rsidR="00E93F94" w:rsidRPr="009B783C" w:rsidRDefault="00E93F94" w:rsidP="00C84FF6">
      <w:pPr>
        <w:pStyle w:val="Footer"/>
      </w:pPr>
      <w:r w:rsidRPr="009B783C">
        <w:rPr>
          <w:rStyle w:val="FootnoteReference"/>
        </w:rPr>
        <w:footnoteRef/>
      </w:r>
      <w:r w:rsidR="0095419A" w:rsidRPr="009B783C">
        <w:t xml:space="preserve"> </w:t>
      </w:r>
      <w:r w:rsidR="0095419A" w:rsidRPr="009B783C">
        <w:fldChar w:fldCharType="begin"/>
      </w:r>
      <w:r w:rsidR="00857810" w:rsidRPr="009B783C">
        <w:instrText xml:space="preserve"> ADDIN EN.CITE &lt;EndNote&gt;&lt;Cite&gt;&lt;Author&gt;Institute of Medicine (US) Committee on Quality of Health Care in America&lt;/Author&gt;&lt;Year&gt;2001&lt;/Year&gt;&lt;RecNum&gt;15&lt;/RecNum&gt;&lt;DisplayText&gt;Institute of Medicine (US) Committee on Quality of Health Care in America. (2001). &lt;style face="italic"&gt;Crossing the Quality Chasm: A New Health System for the 21st Century&lt;/style&gt;. National Academies Press (US). &lt;/DisplayText&gt;&lt;record&gt;&lt;rec-number&gt;15&lt;/rec-number&gt;&lt;foreign-keys&gt;&lt;key app="EN" db-id="dawdzvawp59fxqevpt559rphwt5dfwx2xwa5" timestamp="1732609604" guid="eadfa3af-883a-4a45-94b9-5c5f137930bb"&gt;15&lt;/key&gt;&lt;/foreign-keys&gt;&lt;ref-type name="Book"&gt;6&lt;/ref-type&gt;&lt;contributors&gt;&lt;authors&gt;&lt;author&gt;Institute of Medicine (US) Committee on Quality of Health Care in America,,&lt;/author&gt;&lt;/authors&gt;&lt;/contributors&gt;&lt;titles&gt;&lt;title&gt;Crossing the Quality Chasm: A New Health System for the 21st Century&lt;/title&gt;&lt;/titles&gt;&lt;dates&gt;&lt;year&gt;2001&lt;/year&gt;&lt;/dates&gt;&lt;pub-location&gt;Washington (DC)&lt;/pub-location&gt;&lt;publisher&gt;National Academies Press (US)&lt;/publisher&gt;&lt;urls&gt;&lt;/urls&gt;&lt;/record&gt;&lt;/Cite&gt;&lt;/EndNote&gt;</w:instrText>
      </w:r>
      <w:r w:rsidR="0095419A" w:rsidRPr="009B783C">
        <w:fldChar w:fldCharType="separate"/>
      </w:r>
      <w:r w:rsidR="0095419A" w:rsidRPr="009B783C">
        <w:t xml:space="preserve">Institute of Medicine (US) Committee on Quality of Health Care in America. (2001). Crossing the Quality Chasm: A New Health System for the 21st Century. National Academies Press (US). </w:t>
      </w:r>
      <w:r w:rsidR="0095419A" w:rsidRPr="009B783C">
        <w:fldChar w:fldCharType="end"/>
      </w:r>
    </w:p>
  </w:footnote>
  <w:footnote w:id="51">
    <w:p w14:paraId="2E2D2AFA" w14:textId="59833C60" w:rsidR="0095419A" w:rsidRPr="009B783C" w:rsidRDefault="00E93F94" w:rsidP="00C84FF6">
      <w:pPr>
        <w:pStyle w:val="Footer"/>
      </w:pPr>
      <w:r w:rsidRPr="009B783C">
        <w:rPr>
          <w:rStyle w:val="FootnoteReference"/>
        </w:rPr>
        <w:footnoteRef/>
      </w:r>
      <w:r w:rsidR="0095419A" w:rsidRPr="009B783C">
        <w:rPr>
          <w:vertAlign w:val="superscript"/>
        </w:rPr>
        <w:t xml:space="preserve"> </w:t>
      </w:r>
      <w:r w:rsidR="0095419A" w:rsidRPr="009B783C">
        <w:fldChar w:fldCharType="begin"/>
      </w:r>
      <w:r w:rsidR="00857810" w:rsidRPr="009B783C">
        <w:instrText xml:space="preserve"> ADDIN EN.CITE &lt;EndNote&gt;&lt;Cite&gt;&lt;Author&gt;Australian Commission on Safety and Quality in Health Care&lt;/Author&gt;&lt;Year&gt;2011&lt;/Year&gt;&lt;RecNum&gt;19&lt;/RecNum&gt;&lt;DisplayText&gt;Australian Commission on Safety and Quality in Health Care. (2011). &lt;style face="italic"&gt;Improving quality and safety through partnerships with patients&amp;#xD;and consumers&lt;/style&gt;. https://www.safetyandquality.gov.au/sites/default/files/migrated/PCC_Paper_August.pdf&lt;/DisplayText&gt;&lt;record&gt;&lt;rec-number&gt;19&lt;/rec-number&gt;&lt;foreign-keys&gt;&lt;key app="EN" db-id="dawdzvawp59fxqevpt559rphwt5dfwx2xwa5" timestamp="1732774424" guid="ddc596c1-3b94-4672-9567-63947adafd2d"&gt;19&lt;/key&gt;&lt;/foreign-keys&gt;&lt;ref-type name="Report"&gt;27&lt;/ref-type&gt;&lt;contributors&gt;&lt;authors&gt;&lt;author&gt;Australian Commission on Safety and Quality in Health Care,,&lt;/author&gt;&lt;/authors&gt;&lt;/contributors&gt;&lt;titles&gt;&lt;title&gt;Improving quality and safety through partnerships with patients&amp;#xD;and consumers&lt;/title&gt;&lt;/titles&gt;&lt;dates&gt;&lt;year&gt;2011&lt;/year&gt;&lt;/dates&gt;&lt;urls&gt;&lt;related-urls&gt;&lt;url&gt;https://www.safetyandquality.gov.au/sites/default/files/migrated/PCC_Paper_August.pdf&lt;/url&gt;&lt;/related-urls&gt;&lt;/urls&gt;&lt;/record&gt;&lt;/Cite&gt;&lt;/EndNote&gt;</w:instrText>
      </w:r>
      <w:r w:rsidR="0095419A" w:rsidRPr="009B783C">
        <w:fldChar w:fldCharType="separate"/>
      </w:r>
      <w:r w:rsidR="0095419A" w:rsidRPr="009B783C">
        <w:t>Australian Commission on Safety and Quality in Health Care. (2011). Improving quality and safety through partnerships with patients</w:t>
      </w:r>
    </w:p>
    <w:p w14:paraId="15D693F0" w14:textId="77777777" w:rsidR="00E93F94" w:rsidRPr="009B783C" w:rsidRDefault="0095419A" w:rsidP="00C84FF6">
      <w:pPr>
        <w:pStyle w:val="Footer"/>
      </w:pPr>
      <w:r w:rsidRPr="009B783C">
        <w:t>and consumers. https://www.safetyandquality.gov.au/sites/default/files/migrated/PCC_Paper_August.pdf</w:t>
      </w:r>
      <w:r w:rsidRPr="009B783C">
        <w:fldChar w:fldCharType="end"/>
      </w:r>
    </w:p>
  </w:footnote>
  <w:footnote w:id="52">
    <w:p w14:paraId="63F60CDE" w14:textId="66F318FB" w:rsidR="00E93F94" w:rsidRPr="009B783C" w:rsidRDefault="00E93F94" w:rsidP="00C84FF6">
      <w:pPr>
        <w:pStyle w:val="Footer"/>
      </w:pPr>
      <w:r w:rsidRPr="009B783C">
        <w:rPr>
          <w:rStyle w:val="FootnoteReference"/>
        </w:rPr>
        <w:footnoteRef/>
      </w:r>
      <w:r w:rsidR="0095419A" w:rsidRPr="009B783C">
        <w:rPr>
          <w:vertAlign w:val="superscript"/>
        </w:rPr>
        <w:t xml:space="preserve"> </w:t>
      </w:r>
      <w:r w:rsidR="0095419A" w:rsidRPr="009B783C">
        <w:fldChar w:fldCharType="begin"/>
      </w:r>
      <w:r w:rsidR="00857810" w:rsidRPr="009B783C">
        <w:instrText xml:space="preserve"> ADDIN EN.CITE &lt;EndNote&gt;&lt;Cite&gt;&lt;Author&gt;Department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0095419A" w:rsidRPr="009B783C">
        <w:fldChar w:fldCharType="separate"/>
      </w:r>
      <w:r w:rsidR="0095419A" w:rsidRPr="009B783C">
        <w:t xml:space="preserve">Department of Health and Aged Care. (2022). Operational Guidance for Urgent Care Clinics. </w:t>
      </w:r>
      <w:r w:rsidR="0095419A" w:rsidRPr="009B783C">
        <w:fldChar w:fldCharType="end"/>
      </w:r>
    </w:p>
  </w:footnote>
  <w:footnote w:id="53">
    <w:p w14:paraId="715880B4" w14:textId="11229EBA" w:rsidR="00E93F94" w:rsidRPr="009B783C" w:rsidRDefault="00E93F94" w:rsidP="00C84FF6">
      <w:pPr>
        <w:pStyle w:val="Footer"/>
      </w:pPr>
      <w:r w:rsidRPr="009B783C">
        <w:rPr>
          <w:rStyle w:val="FootnoteReference"/>
        </w:rPr>
        <w:footnoteRef/>
      </w:r>
      <w:r w:rsidR="0095419A" w:rsidRPr="009B783C">
        <w:t xml:space="preserve"> </w:t>
      </w:r>
      <w:r w:rsidR="0095419A" w:rsidRPr="009B783C">
        <w:fldChar w:fldCharType="begin"/>
      </w:r>
      <w:r w:rsidR="00857810" w:rsidRPr="009B783C">
        <w:instrText xml:space="preserve"> ADDIN EN.CITE &lt;EndNote&gt;&lt;Cite&gt;&lt;Author&gt;Department of Health and Aged Care&lt;/Author&gt;&lt;Year&gt;2022&lt;/Year&gt;&lt;RecNum&gt;3&lt;/RecNum&gt;&lt;DisplayText&gt;Ibid.&lt;/DisplayText&gt;&lt;record&gt;&lt;rec-number&gt;3&lt;/rec-number&gt;&lt;foreign-keys&gt;&lt;key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0095419A" w:rsidRPr="009B783C">
        <w:fldChar w:fldCharType="separate"/>
      </w:r>
      <w:r w:rsidR="0095419A" w:rsidRPr="009B783C">
        <w:t>Ibid.</w:t>
      </w:r>
      <w:r w:rsidR="0095419A" w:rsidRPr="009B783C">
        <w:fldChar w:fldCharType="end"/>
      </w:r>
    </w:p>
  </w:footnote>
  <w:footnote w:id="54">
    <w:p w14:paraId="6B4E7458" w14:textId="782D3E2F" w:rsidR="00E93F94" w:rsidRPr="009B783C" w:rsidRDefault="00E93F94" w:rsidP="00C84FF6">
      <w:pPr>
        <w:pStyle w:val="Footer"/>
      </w:pPr>
      <w:r w:rsidRPr="009B783C">
        <w:rPr>
          <w:rStyle w:val="FootnoteReference"/>
          <w:sz w:val="16"/>
          <w:szCs w:val="16"/>
        </w:rPr>
        <w:footnoteRef/>
      </w:r>
      <w:r w:rsidR="0095419A" w:rsidRPr="009B783C">
        <w:t xml:space="preserve"> </w:t>
      </w:r>
      <w:r w:rsidR="00857810" w:rsidRPr="009B783C">
        <w:fldChar w:fldCharType="begin"/>
      </w:r>
      <w:r w:rsidR="00857810" w:rsidRPr="009B783C">
        <w:instrText xml:space="preserve"> ADDIN EN.CITE &lt;EndNote&gt;&lt;Cite&gt;&lt;Author&gt;Department of Health and Aged Care&lt;/Author&gt;&lt;Year&gt;2022&lt;/Year&gt;&lt;RecNum&gt;3&lt;/RecNum&gt;&lt;DisplayText&gt;Ibid.&lt;/DisplayText&gt;&lt;record&gt;&lt;rec-number&gt;3&lt;/rec-number&gt;&lt;foreign-keys&gt;&lt;key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00857810" w:rsidRPr="009B783C">
        <w:fldChar w:fldCharType="separate"/>
      </w:r>
      <w:r w:rsidR="00857810" w:rsidRPr="009B783C">
        <w:t>Ibid.</w:t>
      </w:r>
      <w:r w:rsidR="00857810" w:rsidRPr="009B783C">
        <w:fldChar w:fldCharType="end"/>
      </w:r>
    </w:p>
  </w:footnote>
  <w:footnote w:id="55">
    <w:p w14:paraId="5FDCA39A" w14:textId="0079B849" w:rsidR="0095419A" w:rsidRPr="009B783C" w:rsidRDefault="0095419A" w:rsidP="00C84FF6">
      <w:pPr>
        <w:pStyle w:val="Footer"/>
      </w:pPr>
      <w:r w:rsidRPr="009B783C">
        <w:rPr>
          <w:rStyle w:val="FootnoteReference"/>
          <w:sz w:val="16"/>
          <w:szCs w:val="16"/>
        </w:rPr>
        <w:footnoteRef/>
      </w:r>
      <w:r w:rsidRPr="009B783C">
        <w:t xml:space="preserve"> </w:t>
      </w:r>
      <w:r w:rsidRPr="009B783C">
        <w:fldChar w:fldCharType="begin"/>
      </w:r>
      <w:r w:rsidR="005B610E" w:rsidRPr="009B783C">
        <w:instrText xml:space="preserve"> ADDIN EN.CITE &lt;EndNote&gt;&lt;Cite ExcludeYear="1"&gt;&lt;Author&gt;Australian Institute of Health and Welfare&lt;/Author&gt;&lt;Year&gt;2023&lt;/Year&gt;&lt;RecNum&gt;4&lt;/RecNum&gt;&lt;DisplayText&gt;Australian Institute of Health and Welfare. (2023b). &lt;style face="italic"&gt;Emergency department care&lt;/style&gt;. https://www.aihw.gov.au/reports-data/myhospitals/sectors/emergency-department-care&lt;/DisplayText&gt;&lt;record&gt;&lt;rec-number&gt;4&lt;/rec-number&gt;&lt;foreign-keys&gt;&lt;key app="EN" db-id="dawdzvawp59fxqevpt559rphwt5dfwx2xwa5" timestamp="1728696282" guid="3259798a-d924-4e06-a03c-134d70b11770"&gt;4&lt;/key&gt;&lt;/foreign-keys&gt;&lt;ref-type name="Report"&gt;27&lt;/ref-type&gt;&lt;contributors&gt;&lt;authors&gt;&lt;author&gt;Australian Institute of Health and Welfare,,&lt;/author&gt;&lt;/authors&gt;&lt;/contributors&gt;&lt;titles&gt;&lt;title&gt;Emergency department care&lt;/title&gt;&lt;/titles&gt;&lt;dates&gt;&lt;year&gt;2023&lt;/year&gt;&lt;/dates&gt;&lt;urls&gt;&lt;related-urls&gt;&lt;url&gt;https://www.aihw.gov.au/reports-data/myhospitals/sectors/emergency-department-care&lt;/url&gt;&lt;/related-urls&gt;&lt;/urls&gt;&lt;/record&gt;&lt;/Cite&gt;&lt;/EndNote&gt;</w:instrText>
      </w:r>
      <w:r w:rsidRPr="009B783C">
        <w:fldChar w:fldCharType="separate"/>
      </w:r>
      <w:r w:rsidR="005B610E" w:rsidRPr="009B783C">
        <w:t xml:space="preserve">Australian Institute of Health and Welfare. (2023b). </w:t>
      </w:r>
      <w:r w:rsidR="005B610E" w:rsidRPr="009B783C">
        <w:rPr>
          <w:i/>
        </w:rPr>
        <w:t>Emergency department care</w:t>
      </w:r>
      <w:r w:rsidR="005B610E" w:rsidRPr="009B783C">
        <w:t>. https://www.aihw.gov.au/reports-data/myhospitals/sectors/emergency-department-care</w:t>
      </w:r>
      <w:r w:rsidRPr="009B783C">
        <w:fldChar w:fldCharType="end"/>
      </w:r>
    </w:p>
  </w:footnote>
  <w:footnote w:id="56">
    <w:p w14:paraId="2E7D2336" w14:textId="702EA385" w:rsidR="0095419A" w:rsidRPr="009B783C" w:rsidRDefault="0095419A" w:rsidP="00C84FF6">
      <w:pPr>
        <w:pStyle w:val="Footer"/>
      </w:pPr>
      <w:r w:rsidRPr="009B783C">
        <w:rPr>
          <w:rStyle w:val="FootnoteReference"/>
          <w:sz w:val="16"/>
          <w:szCs w:val="16"/>
        </w:rPr>
        <w:footnoteRef/>
      </w:r>
      <w:r w:rsidRPr="009B783C">
        <w:t xml:space="preserve"> Indigenous status is not stated/recorded for 21 per cent of records in the Medicare UCC data, compared with only 0.8 per cent in the ED data. Removing these records, the percentage of Medicare UCC patients identifying as Aboriginal and/or Torres Strait Islander is closer to the percentage for EDs (</w:t>
      </w:r>
      <w:r w:rsidR="003643AE" w:rsidRPr="009B783C">
        <w:t>8</w:t>
      </w:r>
      <w:r w:rsidRPr="009B783C">
        <w:t xml:space="preserve"> per cent). Note that this is not a mandatory piece of information provided during a consultation, so may be higher than presented in the data.</w:t>
      </w:r>
    </w:p>
  </w:footnote>
  <w:footnote w:id="57">
    <w:p w14:paraId="1D67B724" w14:textId="0975B921" w:rsidR="00E93F94" w:rsidRPr="009B783C" w:rsidRDefault="00E93F94" w:rsidP="00C84FF6">
      <w:pPr>
        <w:pStyle w:val="Footer"/>
      </w:pPr>
      <w:r w:rsidRPr="009B783C">
        <w:rPr>
          <w:rStyle w:val="FootnoteReference"/>
          <w:sz w:val="16"/>
          <w:szCs w:val="16"/>
        </w:rPr>
        <w:footnoteRef/>
      </w:r>
      <w:r w:rsidR="0095419A" w:rsidRPr="009B783C">
        <w:t xml:space="preserve"> </w:t>
      </w:r>
      <w:r w:rsidR="0095419A" w:rsidRPr="009B783C">
        <w:fldChar w:fldCharType="begin"/>
      </w:r>
      <w:r w:rsidR="005B610E" w:rsidRPr="009B783C">
        <w:instrText xml:space="preserve"> ADDIN EN.CITE &lt;EndNote&gt;&lt;Cite&gt;&lt;Author&gt;Australian Institute of Health and Welfare&lt;/Author&gt;&lt;Year&gt;2024&lt;/Year&gt;&lt;RecNum&gt;22&lt;/RecNum&gt;&lt;DisplayText&gt;Australian Institute of Health and Welfare. (2024b). &lt;style face="italic"&gt;Culturally and Linguistically Diverse Australians&lt;/style&gt;. Retrieved 1 December from https://www.aihw.gov.au/reports-data/population-groups/cald-australians/overview&lt;/DisplayText&gt;&lt;record&gt;&lt;rec-number&gt;22&lt;/rec-number&gt;&lt;foreign-keys&gt;&lt;key app="EN" db-id="dawdzvawp59fxqevpt559rphwt5dfwx2xwa5" timestamp="1732973293" guid="b962a25b-3741-4a48-9de2-af379bc250fe"&gt;22&lt;/key&gt;&lt;/foreign-keys&gt;&lt;ref-type name="Web Page"&gt;12&lt;/ref-type&gt;&lt;contributors&gt;&lt;authors&gt;&lt;author&gt;Australian Institute of Health and Welfare,,&lt;/author&gt;&lt;/authors&gt;&lt;/contributors&gt;&lt;titles&gt;&lt;title&gt;Culturally and Linguistically Diverse Australians&lt;/title&gt;&lt;/titles&gt;&lt;volume&gt;2024&lt;/volume&gt;&lt;number&gt;1 December&lt;/number&gt;&lt;dates&gt;&lt;year&gt;2024&lt;/year&gt;&lt;/dates&gt;&lt;urls&gt;&lt;related-urls&gt;&lt;url&gt;https://www.aihw.gov.au/reports-data/population-groups/cald-australians/overview&lt;/url&gt;&lt;/related-urls&gt;&lt;/urls&gt;&lt;/record&gt;&lt;/Cite&gt;&lt;/EndNote&gt;</w:instrText>
      </w:r>
      <w:r w:rsidR="0095419A" w:rsidRPr="009B783C">
        <w:fldChar w:fldCharType="separate"/>
      </w:r>
      <w:r w:rsidR="005B610E" w:rsidRPr="009B783C">
        <w:t xml:space="preserve">Australian Institute of Health and Welfare. (2024b). </w:t>
      </w:r>
      <w:r w:rsidR="005B610E" w:rsidRPr="009B783C">
        <w:rPr>
          <w:i/>
        </w:rPr>
        <w:t>Culturally and Linguistically Diverse Australians</w:t>
      </w:r>
      <w:r w:rsidR="005B610E" w:rsidRPr="009B783C">
        <w:t>. Retrieved 1 December from https://www.aihw.gov.au/reports-data/population-groups/cald-australians/overview</w:t>
      </w:r>
      <w:r w:rsidR="0095419A" w:rsidRPr="009B783C">
        <w:fldChar w:fldCharType="end"/>
      </w:r>
    </w:p>
  </w:footnote>
  <w:footnote w:id="58">
    <w:p w14:paraId="2EE9920F" w14:textId="47410C14" w:rsidR="00E93F94" w:rsidRPr="009B783C" w:rsidRDefault="00E93F94" w:rsidP="00C84FF6">
      <w:pPr>
        <w:pStyle w:val="Footer"/>
        <w:rPr>
          <w:lang w:eastAsia="en-AU"/>
        </w:rPr>
      </w:pPr>
      <w:r w:rsidRPr="009B783C">
        <w:rPr>
          <w:rStyle w:val="FootnoteReference"/>
          <w:sz w:val="16"/>
          <w:szCs w:val="16"/>
        </w:rPr>
        <w:footnoteRef/>
      </w:r>
      <w:r w:rsidRPr="009B783C">
        <w:t xml:space="preserve"> </w:t>
      </w:r>
      <w:r w:rsidR="00B27382" w:rsidRPr="009B783C">
        <w:rPr>
          <w:lang w:eastAsia="en-AU"/>
        </w:rPr>
        <w:t>“</w:t>
      </w:r>
      <w:r w:rsidR="0095419A" w:rsidRPr="009B783C">
        <w:rPr>
          <w:lang w:eastAsia="en-AU"/>
        </w:rPr>
        <w:t>Ethnicity</w:t>
      </w:r>
      <w:r w:rsidR="00B27382" w:rsidRPr="009B783C">
        <w:rPr>
          <w:lang w:eastAsia="en-AU"/>
        </w:rPr>
        <w:t>”</w:t>
      </w:r>
      <w:r w:rsidRPr="009B783C">
        <w:rPr>
          <w:lang w:eastAsia="en-AU"/>
        </w:rPr>
        <w:t xml:space="preserve"> refers to the shared identity or similar of a group of people </w:t>
      </w:r>
      <w:r w:rsidRPr="009B783C">
        <w:rPr>
          <w:lang w:eastAsia="en-AU"/>
        </w:rPr>
        <w:t xml:space="preserve">on the basis of one of more distinguishing characteristics. These include: a long-shared history, cultural tradition, common geographic origin, common language, common literature, common religion, being a minority, being racially conspicuous. </w:t>
      </w:r>
      <w:r w:rsidR="00857810" w:rsidRPr="009B783C">
        <w:rPr>
          <w:lang w:eastAsia="en-AU"/>
        </w:rPr>
        <w:fldChar w:fldCharType="begin"/>
      </w:r>
      <w:r w:rsidR="00857810" w:rsidRPr="009B783C">
        <w:rPr>
          <w:lang w:eastAsia="en-AU"/>
        </w:rPr>
        <w:instrText xml:space="preserve"> ADDIN EN.CITE &lt;EndNote&gt;&lt;Cite&gt;&lt;Author&gt;Australian Bureau of Statistics&lt;/Author&gt;&lt;Year&gt;2019&lt;/Year&gt;&lt;RecNum&gt;25&lt;/RecNum&gt;&lt;DisplayText&gt;Australian Bureau of Statistics. (2019). &lt;style face="italic"&gt;Australian Standard Classification of Cultural and Ethnic Groups (ASCCEG)&lt;/style&gt;. Retrieved 3 December from https://www.abs.gov.au/statistics/classifications/australian-standard-classification-cultural-and-ethnic-groups-ascceg/latest-release&lt;/DisplayText&gt;&lt;record&gt;&lt;rec-number&gt;25&lt;/rec-number&gt;&lt;foreign-keys&gt;&lt;key app="EN" db-id="dawdzvawp59fxqevpt559rphwt5dfwx2xwa5" timestamp="1733182281" guid="931afc27-2193-4a0f-ad20-688b1309f3be"&gt;25&lt;/key&gt;&lt;/foreign-keys&gt;&lt;ref-type name="Web Page"&gt;12&lt;/ref-type&gt;&lt;contributors&gt;&lt;authors&gt;&lt;author&gt;Australian Bureau of Statistics,,&lt;/author&gt;&lt;/authors&gt;&lt;/contributors&gt;&lt;titles&gt;&lt;title&gt;Australian Standard Classification of Cultural and Ethnic Groups (ASCCEG)&lt;/title&gt;&lt;/titles&gt;&lt;volume&gt;2024&lt;/volume&gt;&lt;number&gt;3 December&lt;/number&gt;&lt;dates&gt;&lt;year&gt;2019&lt;/year&gt;&lt;/dates&gt;&lt;urls&gt;&lt;related-urls&gt;&lt;url&gt;https://www.abs.gov.au/statistics/classifications/australian-standard-classification-cultural-and-ethnic-groups-ascceg/latest-release&lt;/url&gt;&lt;/related-urls&gt;&lt;/urls&gt;&lt;/record&gt;&lt;/Cite&gt;&lt;/EndNote&gt;</w:instrText>
      </w:r>
      <w:r w:rsidR="00857810" w:rsidRPr="009B783C">
        <w:rPr>
          <w:lang w:eastAsia="en-AU"/>
        </w:rPr>
        <w:fldChar w:fldCharType="separate"/>
      </w:r>
      <w:r w:rsidR="00857810" w:rsidRPr="009B783C">
        <w:rPr>
          <w:lang w:eastAsia="en-AU"/>
        </w:rPr>
        <w:t xml:space="preserve">Australian Bureau of Statistics. (2019). </w:t>
      </w:r>
      <w:r w:rsidR="00857810" w:rsidRPr="009B783C">
        <w:rPr>
          <w:i/>
          <w:lang w:eastAsia="en-AU"/>
        </w:rPr>
        <w:t>Australian Standard Classification of Cultural and Ethnic Groups (ASCCEG)</w:t>
      </w:r>
      <w:r w:rsidR="00857810" w:rsidRPr="009B783C">
        <w:rPr>
          <w:lang w:eastAsia="en-AU"/>
        </w:rPr>
        <w:t>. Retrieved 3 December from https://www.abs.gov.au/statistics/classifications/australian-standard-classification-cultural-and-ethnic-groups-ascceg/latest-release</w:t>
      </w:r>
      <w:r w:rsidR="00857810" w:rsidRPr="009B783C">
        <w:rPr>
          <w:lang w:eastAsia="en-AU"/>
        </w:rPr>
        <w:fldChar w:fldCharType="end"/>
      </w:r>
    </w:p>
  </w:footnote>
  <w:footnote w:id="59">
    <w:p w14:paraId="519502D8" w14:textId="250B7E98" w:rsidR="00E93F94" w:rsidRPr="009B783C" w:rsidRDefault="00E93F94" w:rsidP="00C84FF6">
      <w:pPr>
        <w:pStyle w:val="Footer"/>
      </w:pPr>
      <w:r w:rsidRPr="009B783C">
        <w:rPr>
          <w:rStyle w:val="FootnoteReference"/>
          <w:sz w:val="16"/>
          <w:szCs w:val="16"/>
        </w:rPr>
        <w:footnoteRef/>
      </w:r>
      <w:r w:rsidR="0095419A" w:rsidRPr="009B783C">
        <w:t xml:space="preserve"> </w:t>
      </w:r>
      <w:r w:rsidR="00857810" w:rsidRPr="009B783C">
        <w:fldChar w:fldCharType="begin"/>
      </w:r>
      <w:r w:rsidR="00857810" w:rsidRPr="009B783C">
        <w:instrText xml:space="preserve"> ADDIN EN.CITE &lt;EndNote&gt;&lt;Cite&gt;&lt;Author&gt;Australian Bureau of Statistics&lt;/Author&gt;&lt;Year&gt;2016&lt;/Year&gt;&lt;RecNum&gt;26&lt;/RecNum&gt;&lt;DisplayText&gt;Australian Bureau of Statistics. (2016). &lt;style face="italic"&gt;Country of Birth Standard&lt;/style&gt;. Retrieved 3 December from https://www.abs.gov.au/statistics/standards/country-birth-standard/latest-release&lt;/DisplayText&gt;&lt;record&gt;&lt;rec-number&gt;26&lt;/rec-number&gt;&lt;foreign-keys&gt;&lt;key app="EN" db-id="dawdzvawp59fxqevpt559rphwt5dfwx2xwa5" timestamp="1733183022" guid="a3220e59-81fe-40fd-8be9-a0f1b3f6c0c9"&gt;26&lt;/key&gt;&lt;/foreign-keys&gt;&lt;ref-type name="Web Page"&gt;12&lt;/ref-type&gt;&lt;contributors&gt;&lt;authors&gt;&lt;author&gt;Australian Bureau of Statistics,,&lt;/author&gt;&lt;/authors&gt;&lt;/contributors&gt;&lt;titles&gt;&lt;title&gt;Country of Birth Standard&lt;/title&gt;&lt;/titles&gt;&lt;volume&gt;2024&lt;/volume&gt;&lt;number&gt;3 December&lt;/number&gt;&lt;dates&gt;&lt;year&gt;2016&lt;/year&gt;&lt;/dates&gt;&lt;urls&gt;&lt;related-urls&gt;&lt;url&gt;https://www.abs.gov.au/statistics/standards/country-birth-standard/latest-release&lt;/url&gt;&lt;/related-urls&gt;&lt;/urls&gt;&lt;/record&gt;&lt;/Cite&gt;&lt;/EndNote&gt;</w:instrText>
      </w:r>
      <w:r w:rsidR="00857810" w:rsidRPr="009B783C">
        <w:fldChar w:fldCharType="separate"/>
      </w:r>
      <w:r w:rsidR="00857810" w:rsidRPr="009B783C">
        <w:t xml:space="preserve">Australian Bureau of Statistics. (2016). </w:t>
      </w:r>
      <w:r w:rsidR="00857810" w:rsidRPr="009B783C">
        <w:rPr>
          <w:i/>
        </w:rPr>
        <w:t>Country of Birth Standard</w:t>
      </w:r>
      <w:r w:rsidR="00857810" w:rsidRPr="009B783C">
        <w:t>. Retrieved 3 December from https://www.abs.gov.au/statistics/standards/country-birth-standard/latest-release</w:t>
      </w:r>
      <w:r w:rsidR="00857810" w:rsidRPr="009B783C">
        <w:fldChar w:fldCharType="end"/>
      </w:r>
    </w:p>
  </w:footnote>
  <w:footnote w:id="60">
    <w:p w14:paraId="5C9AF78D" w14:textId="134EC281" w:rsidR="00E93F94" w:rsidRPr="009B783C" w:rsidRDefault="00E93F94" w:rsidP="00B27382">
      <w:pPr>
        <w:pStyle w:val="Footer"/>
      </w:pPr>
      <w:r w:rsidRPr="009B783C">
        <w:rPr>
          <w:rStyle w:val="FootnoteReference"/>
        </w:rPr>
        <w:footnoteRef/>
      </w:r>
      <w:r w:rsidR="0095419A" w:rsidRPr="009B783C">
        <w:t xml:space="preserve"> </w:t>
      </w:r>
      <w:r w:rsidR="0095419A" w:rsidRPr="009B783C">
        <w:fldChar w:fldCharType="begin"/>
      </w:r>
      <w:r w:rsidR="00857810" w:rsidRPr="009B783C">
        <w:instrText xml:space="preserve"> ADDIN EN.CITE &lt;EndNote&gt;&lt;Cite ExcludeAuth="1" ExcludeYear="1"&gt;&lt;Author&gt;Department of Home Affairs&lt;/Author&gt;&lt;RecNum&gt;1&lt;/RecNum&gt;&lt;DisplayText&gt;Department of Home Affairs. &lt;style face="italic"&gt;Translation and Interpretation Service - Calculate the cost of your booking&lt;/style&gt;. Retrieved 3 October from https://www.tisnational.gov.au/Our-services/Pricing/Cost-calculator&lt;/DisplayText&gt;&lt;record&gt;&lt;rec-number&gt;1&lt;/rec-number&gt;&lt;foreign-keys&gt;&lt;key app="EN" db-id="dawdzvawp59fxqevpt559rphwt5dfwx2xwa5" timestamp="1727929125" guid="f2330b91-335d-4389-b460-83bf44f9c36f"&gt;1&lt;/key&gt;&lt;/foreign-keys&gt;&lt;ref-type name="Web Page"&gt;12&lt;/ref-type&gt;&lt;contributors&gt;&lt;authors&gt;&lt;author&gt;Department of Home Affairs,&lt;/author&gt;&lt;/authors&gt;&lt;/contributors&gt;&lt;titles&gt;&lt;title&gt;Translation and Interpretation Service - Calculate the cost of your booking&lt;/title&gt;&lt;/titles&gt;&lt;volume&gt;2024&lt;/volume&gt;&lt;number&gt;3 October&lt;/number&gt;&lt;dates&gt;&lt;/dates&gt;&lt;urls&gt;&lt;related-urls&gt;&lt;url&gt;https://www.tisnational.gov.au/Our-services/Pricing/Cost-calculator&lt;/url&gt;&lt;/related-urls&gt;&lt;/urls&gt;&lt;/record&gt;&lt;/Cite&gt;&lt;/EndNote&gt;</w:instrText>
      </w:r>
      <w:r w:rsidR="0095419A" w:rsidRPr="009B783C">
        <w:fldChar w:fldCharType="separate"/>
      </w:r>
      <w:r w:rsidR="0095419A" w:rsidRPr="009B783C">
        <w:t xml:space="preserve">Department of Home Affairs. </w:t>
      </w:r>
      <w:r w:rsidR="0095419A" w:rsidRPr="009B783C">
        <w:rPr>
          <w:i/>
        </w:rPr>
        <w:t>Translation and Interpretation Service - Calculate the cost of your booking</w:t>
      </w:r>
      <w:r w:rsidR="0095419A" w:rsidRPr="009B783C">
        <w:t>. Retrieved 3 October from https://www.tisnational.gov.au/Our-services/Pricing/Cost-calculator</w:t>
      </w:r>
      <w:r w:rsidR="0095419A" w:rsidRPr="009B783C">
        <w:fldChar w:fldCharType="end"/>
      </w:r>
    </w:p>
  </w:footnote>
  <w:footnote w:id="61">
    <w:p w14:paraId="4017C952" w14:textId="77777777" w:rsidR="00E93F94" w:rsidRPr="009B783C" w:rsidRDefault="00E93F94" w:rsidP="00B27382">
      <w:pPr>
        <w:pStyle w:val="Footer"/>
      </w:pPr>
      <w:r w:rsidRPr="009B783C">
        <w:rPr>
          <w:rStyle w:val="FootnoteReference"/>
        </w:rPr>
        <w:footnoteRef/>
      </w:r>
      <w:r w:rsidRPr="009B783C">
        <w:t xml:space="preserve"> Approaches to data collection regarding use of interpreters may vary between clinics.</w:t>
      </w:r>
    </w:p>
  </w:footnote>
  <w:footnote w:id="62">
    <w:p w14:paraId="3B6F11B4" w14:textId="77777777" w:rsidR="00B35E0B" w:rsidRPr="009B783C" w:rsidRDefault="00B35E0B" w:rsidP="00E06796">
      <w:pPr>
        <w:pStyle w:val="Footer"/>
        <w:rPr>
          <w:sz w:val="16"/>
          <w:szCs w:val="16"/>
        </w:rPr>
      </w:pPr>
      <w:r w:rsidRPr="009B783C">
        <w:rPr>
          <w:rStyle w:val="FootnoteReference"/>
        </w:rPr>
        <w:footnoteRef/>
      </w:r>
      <w:r w:rsidR="001453C3" w:rsidRPr="009B783C">
        <w:t xml:space="preserve"> </w:t>
      </w:r>
      <w:r w:rsidR="001453C3" w:rsidRPr="009B783C">
        <w:fldChar w:fldCharType="begin"/>
      </w:r>
      <w:r w:rsidR="001453C3" w:rsidRPr="009B783C">
        <w:instrText xml:space="preserve"> ADDIN EN.CITE &lt;EndNote&gt;&lt;Cite&gt;&lt;Author&gt;Agency for Healthcare Research and Quality&lt;/Author&gt;&lt;Year&gt;2024&lt;/Year&gt;&lt;RecNum&gt;109&lt;/RecNum&gt;&lt;DisplayText&gt;Agency for Healthcare Research and Quality. (2024). &lt;style face="italic"&gt;Care Coordination&lt;/style&gt;. Retrieved 21 November from https://www.ahrq.gov/ncepcr/care/coordination.html&lt;/DisplayText&gt;&lt;record&gt;&lt;rec-number&gt;109&lt;/rec-number&gt;&lt;foreign-keys&gt;&lt;key app="EN" db-id="dawdzvawp59fxqevpt559rphwt5dfwx2xwa5" timestamp="1733804388" guid="ee30bee0-df1c-4416-9216-17936a9d20d3"&gt;109&lt;/key&gt;&lt;/foreign-keys&gt;&lt;ref-type name="Web Page"&gt;12&lt;/ref-type&gt;&lt;contributors&gt;&lt;authors&gt;&lt;author&gt;Agency for Healthcare Research and Quality,,&lt;/author&gt;&lt;/authors&gt;&lt;/contributors&gt;&lt;titles&gt;&lt;title&gt;Care Coordination&lt;/title&gt;&lt;/titles&gt;&lt;volume&gt;2024&lt;/volume&gt;&lt;number&gt;21 November&lt;/number&gt;&lt;dates&gt;&lt;year&gt;2024&lt;/year&gt;&lt;/dates&gt;&lt;urls&gt;&lt;related-urls&gt;&lt;url&gt;https://www.ahrq.gov/ncepcr/care/coordination.html&lt;/url&gt;&lt;/related-urls&gt;&lt;/urls&gt;&lt;/record&gt;&lt;/Cite&gt;&lt;/EndNote&gt;</w:instrText>
      </w:r>
      <w:r w:rsidR="001453C3" w:rsidRPr="009B783C">
        <w:fldChar w:fldCharType="separate"/>
      </w:r>
      <w:r w:rsidR="001453C3" w:rsidRPr="009B783C">
        <w:t xml:space="preserve">Agency for Healthcare Research and Quality. (2024). </w:t>
      </w:r>
      <w:r w:rsidR="001453C3" w:rsidRPr="009B783C">
        <w:rPr>
          <w:i/>
        </w:rPr>
        <w:t>Care Coordination</w:t>
      </w:r>
      <w:r w:rsidR="001453C3" w:rsidRPr="009B783C">
        <w:t>. Retrieved 21 November from https://www.ahrq.gov/ncepcr/care/coordination.html</w:t>
      </w:r>
      <w:r w:rsidR="001453C3" w:rsidRPr="009B783C">
        <w:fldChar w:fldCharType="end"/>
      </w:r>
    </w:p>
  </w:footnote>
  <w:footnote w:id="63">
    <w:p w14:paraId="2F0703E7" w14:textId="77777777" w:rsidR="00B35E0B" w:rsidRPr="009B783C" w:rsidRDefault="00B35E0B" w:rsidP="00E06796">
      <w:pPr>
        <w:pStyle w:val="Footer"/>
      </w:pPr>
      <w:r w:rsidRPr="009B783C">
        <w:rPr>
          <w:rStyle w:val="FootnoteReference"/>
        </w:rPr>
        <w:footnoteRef/>
      </w:r>
      <w:r w:rsidRPr="009B783C">
        <w:t xml:space="preserve"> </w:t>
      </w:r>
      <w:bookmarkStart w:id="114" w:name="_Hlk183446732"/>
      <w:r w:rsidRPr="009B783C">
        <w:rPr>
          <w:sz w:val="16"/>
          <w:szCs w:val="16"/>
        </w:rPr>
        <w:fldChar w:fldCharType="begin"/>
      </w:r>
      <w:r w:rsidRPr="009B783C">
        <w:rPr>
          <w:sz w:val="16"/>
          <w:szCs w:val="16"/>
        </w:rPr>
        <w:instrText xml:space="preserve"> ADDIN EN.CITE &lt;EndNote&gt;&lt;Cite&gt;&lt;Author&gt;Department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rPr>
          <w:sz w:val="16"/>
          <w:szCs w:val="16"/>
        </w:rPr>
        <w:fldChar w:fldCharType="separate"/>
      </w:r>
      <w:r w:rsidRPr="009B783C">
        <w:rPr>
          <w:sz w:val="16"/>
          <w:szCs w:val="16"/>
        </w:rPr>
        <w:t xml:space="preserve">Department of Health and Aged Care. (2022). </w:t>
      </w:r>
      <w:r w:rsidRPr="009B783C">
        <w:rPr>
          <w:i/>
          <w:sz w:val="16"/>
          <w:szCs w:val="16"/>
        </w:rPr>
        <w:t>Operational Guidance for Urgent Care Clinics</w:t>
      </w:r>
      <w:r w:rsidRPr="009B783C">
        <w:rPr>
          <w:sz w:val="16"/>
          <w:szCs w:val="16"/>
        </w:rPr>
        <w:t xml:space="preserve">. </w:t>
      </w:r>
      <w:r w:rsidRPr="009B783C">
        <w:rPr>
          <w:sz w:val="16"/>
          <w:szCs w:val="16"/>
        </w:rPr>
        <w:fldChar w:fldCharType="end"/>
      </w:r>
      <w:bookmarkEnd w:id="114"/>
    </w:p>
  </w:footnote>
  <w:footnote w:id="64">
    <w:p w14:paraId="3B2D82C5" w14:textId="77777777" w:rsidR="00B35E0B" w:rsidRPr="009B783C" w:rsidRDefault="00B35E0B" w:rsidP="00E06796">
      <w:pPr>
        <w:pStyle w:val="Footer"/>
        <w:rPr>
          <w:sz w:val="16"/>
          <w:szCs w:val="16"/>
        </w:rPr>
      </w:pPr>
      <w:r w:rsidRPr="009B783C">
        <w:rPr>
          <w:rStyle w:val="FootnoteReference"/>
          <w:sz w:val="16"/>
          <w:szCs w:val="16"/>
        </w:rPr>
        <w:footnoteRef/>
      </w:r>
      <w:r w:rsidRPr="009B783C">
        <w:rPr>
          <w:sz w:val="16"/>
          <w:szCs w:val="16"/>
        </w:rPr>
        <w:t xml:space="preserve"> </w:t>
      </w:r>
      <w:r w:rsidRPr="009B783C">
        <w:rPr>
          <w:sz w:val="16"/>
          <w:szCs w:val="16"/>
        </w:rPr>
        <w:fldChar w:fldCharType="begin"/>
      </w:r>
      <w:r w:rsidRPr="009B783C">
        <w:rPr>
          <w:sz w:val="16"/>
          <w:szCs w:val="16"/>
        </w:rPr>
        <w:instrText xml:space="preserve"> ADDIN EN.CITE &lt;EndNote&gt;&lt;Cite&gt;&lt;Author&gt;Department of Health and Aged Care&lt;/Author&gt;&lt;Year&gt;2022&lt;/Year&gt;&lt;RecNum&gt;3&lt;/RecNum&gt;&lt;DisplayText&gt;Ibid.&lt;/DisplayText&gt;&lt;record&gt;&lt;rec-number&gt;3&lt;/rec-number&gt;&lt;foreign-keys&gt;&lt;key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rPr>
          <w:sz w:val="16"/>
          <w:szCs w:val="16"/>
        </w:rPr>
        <w:fldChar w:fldCharType="separate"/>
      </w:r>
      <w:r w:rsidRPr="009B783C">
        <w:rPr>
          <w:sz w:val="16"/>
          <w:szCs w:val="16"/>
        </w:rPr>
        <w:t>Ibid.</w:t>
      </w:r>
      <w:r w:rsidRPr="009B783C">
        <w:rPr>
          <w:sz w:val="16"/>
          <w:szCs w:val="16"/>
        </w:rPr>
        <w:fldChar w:fldCharType="end"/>
      </w:r>
    </w:p>
  </w:footnote>
  <w:footnote w:id="65">
    <w:p w14:paraId="5BFE8ED7" w14:textId="2F7BA578" w:rsidR="00B35E0B" w:rsidRPr="009B783C" w:rsidRDefault="00B35E0B" w:rsidP="00E06796">
      <w:pPr>
        <w:pStyle w:val="Footer"/>
      </w:pPr>
      <w:r w:rsidRPr="009B783C">
        <w:rPr>
          <w:rStyle w:val="FootnoteReference"/>
        </w:rPr>
        <w:footnoteRef/>
      </w:r>
      <w:r w:rsidRPr="009B783C">
        <w:t xml:space="preserve"> Though it is noted that lack of system notifications </w:t>
      </w:r>
      <w:r w:rsidR="00102FFA" w:rsidRPr="009B783C">
        <w:t>does</w:t>
      </w:r>
      <w:r w:rsidR="00E06796" w:rsidRPr="009B783C">
        <w:t xml:space="preserve"> </w:t>
      </w:r>
      <w:r w:rsidR="00102FFA" w:rsidRPr="009B783C">
        <w:t>n</w:t>
      </w:r>
      <w:r w:rsidR="00E06796" w:rsidRPr="009B783C">
        <w:t>o</w:t>
      </w:r>
      <w:r w:rsidR="00102FFA" w:rsidRPr="009B783C">
        <w:t>t</w:t>
      </w:r>
      <w:r w:rsidRPr="009B783C">
        <w:t xml:space="preserve"> negate other benefits of discharge summaries being accessible on the MyHR system to a broader range of providers.</w:t>
      </w:r>
    </w:p>
  </w:footnote>
  <w:footnote w:id="66">
    <w:p w14:paraId="4FBAAEB0" w14:textId="77777777" w:rsidR="00B35E0B" w:rsidRPr="009B783C" w:rsidRDefault="00B35E0B" w:rsidP="00E06796">
      <w:pPr>
        <w:pStyle w:val="Footer"/>
      </w:pPr>
      <w:r w:rsidRPr="009B783C">
        <w:rPr>
          <w:rStyle w:val="FootnoteReference"/>
          <w:sz w:val="16"/>
          <w:szCs w:val="16"/>
        </w:rPr>
        <w:footnoteRef/>
      </w:r>
      <w:r w:rsidR="001453C3" w:rsidRPr="009B783C">
        <w:t xml:space="preserve"> </w:t>
      </w:r>
      <w:r w:rsidR="001453C3" w:rsidRPr="009B783C">
        <w:fldChar w:fldCharType="begin"/>
      </w:r>
      <w:r w:rsidR="001453C3" w:rsidRPr="009B783C">
        <w:instrText xml:space="preserve"> ADDIN EN.CITE &lt;EndNote&gt;&lt;Cite&gt;&lt;Author&gt;Royal Australian College of General Practitioners&lt;/Author&gt;&lt;Year&gt;2021&lt;/Year&gt;&lt;RecNum&gt;110&lt;/RecNum&gt;&lt;DisplayText&gt;Royal Australian College of General Practitioners. (2021). &lt;style face="italic"&gt;Safe and effective electronic transfer of information to and from general practice&lt;/style&gt;. Retrieved 21 November from https://www.racgp.org.au/advocacy/position-statements/view-all-position-statements/clinical-and-practice-management/safe-and-effective-electronic-transfer#&lt;/DisplayText&gt;&lt;record&gt;&lt;rec-number&gt;110&lt;/rec-number&gt;&lt;foreign-keys&gt;&lt;key app="EN" db-id="dawdzvawp59fxqevpt559rphwt5dfwx2xwa5" timestamp="1733804487" guid="ba53e4eb-01d1-4f5b-adf2-b1508e1a5767"&gt;110&lt;/key&gt;&lt;/foreign-keys&gt;&lt;ref-type name="Web Page"&gt;12&lt;/ref-type&gt;&lt;contributors&gt;&lt;authors&gt;&lt;author&gt;Royal Australian College of General Practitioners,,&lt;/author&gt;&lt;/authors&gt;&lt;/contributors&gt;&lt;titles&gt;&lt;title&gt;Safe and effective electronic transfer of information to and from general practice&lt;/title&gt;&lt;/titles&gt;&lt;volume&gt;2024&lt;/volume&gt;&lt;number&gt;21 November&lt;/number&gt;&lt;dates&gt;&lt;year&gt;2021&lt;/year&gt;&lt;/dates&gt;&lt;urls&gt;&lt;related-urls&gt;&lt;url&gt;https://www.racgp.org.au/advocacy/position-statements/view-all-position-statements/clinical-and-practice-management/safe-and-effective-electronic-transfer#&lt;/url&gt;&lt;/related-urls&gt;&lt;/urls&gt;&lt;/record&gt;&lt;/Cite&gt;&lt;/EndNote&gt;</w:instrText>
      </w:r>
      <w:r w:rsidR="001453C3" w:rsidRPr="009B783C">
        <w:fldChar w:fldCharType="separate"/>
      </w:r>
      <w:r w:rsidR="001453C3" w:rsidRPr="009B783C">
        <w:t xml:space="preserve">Royal Australian College of General Practitioners. (2021). </w:t>
      </w:r>
      <w:r w:rsidR="001453C3" w:rsidRPr="009B783C">
        <w:rPr>
          <w:i/>
        </w:rPr>
        <w:t>Safe and effective electronic transfer of information to and from general practice</w:t>
      </w:r>
      <w:r w:rsidR="001453C3" w:rsidRPr="009B783C">
        <w:t>. Retrieved 21 November from https://www.racgp.org.au/advocacy/position-statements/view-all-position-statements/clinical-and-practice-management/safe-and-effective-electronic-transfer#</w:t>
      </w:r>
      <w:r w:rsidR="001453C3" w:rsidRPr="009B783C">
        <w:fldChar w:fldCharType="end"/>
      </w:r>
    </w:p>
  </w:footnote>
  <w:footnote w:id="67">
    <w:p w14:paraId="09AF4E0C" w14:textId="77777777" w:rsidR="00B35E0B" w:rsidRPr="009B783C" w:rsidRDefault="00B35E0B" w:rsidP="00E06796">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fldChar w:fldCharType="separate"/>
      </w:r>
      <w:r w:rsidRPr="009B783C">
        <w:t xml:space="preserve">Department of Health and Aged Care. (2022). </w:t>
      </w:r>
      <w:r w:rsidRPr="009B783C">
        <w:rPr>
          <w:i/>
        </w:rPr>
        <w:t>Operational Guidance for Urgent Care Clinics</w:t>
      </w:r>
      <w:r w:rsidRPr="009B783C">
        <w:t xml:space="preserve">. </w:t>
      </w:r>
      <w:r w:rsidRPr="009B783C">
        <w:fldChar w:fldCharType="end"/>
      </w:r>
    </w:p>
  </w:footnote>
  <w:footnote w:id="68">
    <w:p w14:paraId="2551C594" w14:textId="77777777" w:rsidR="00102FFA" w:rsidRPr="009B783C" w:rsidRDefault="00102FFA" w:rsidP="00E06796">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&lt;EndNote&gt;&lt;Cite&gt;&lt;Author&gt;Swerissen&lt;/Author&gt;&lt;Year&gt;2018&lt;/Year&gt;&lt;RecNum&gt;111&lt;/RecNum&gt;&lt;DisplayText&gt;Swerissen, H., &amp;amp; Duckett, S. (2018). &lt;style face="italic"&gt;Mapping primary care in Australia&lt;/style&gt;. https://grattan.edu.au/wp-content/uploads/2018/07/906-Mapping-primary-care.pdf&lt;/DisplayText&gt;&lt;record&gt;&lt;rec-number&gt;111&lt;/rec-number&gt;&lt;foreign-keys&gt;&lt;key app="EN" db-id="dawdzvawp59fxqevpt559rphwt5dfwx2xwa5" timestamp="1733804670" guid="b57a9d7f-90a1-493b-bcb4-b1167f7daed1"&gt;111&lt;/key&gt;&lt;/foreign-keys&gt;&lt;ref-type name="Report"&gt;27&lt;/ref-type&gt;&lt;contributors&gt;&lt;authors&gt;&lt;author&gt;Swerissen, H&lt;/author&gt;&lt;author&gt;Duckett, S&lt;/author&gt;&lt;/authors&gt;&lt;/contributors&gt;&lt;titles&gt;&lt;title&gt;Mapping primary care in Australia&lt;/title&gt;&lt;/titles&gt;&lt;dates&gt;&lt;year&gt;2018&lt;/year&gt;&lt;/dates&gt;&lt;publisher&gt;Grattan Institute&lt;/publisher&gt;&lt;urls&gt;&lt;related-urls&gt;&lt;url&gt;https://grattan.edu.au/wp-content/uploads/2018/07/906-Mapping-primary-care.pdf&lt;/url&gt;&lt;/related-urls&gt;&lt;/urls&gt;&lt;/record&gt;&lt;/Cite&gt;&lt;/EndNote&gt;</w:instrText>
      </w:r>
      <w:r w:rsidRPr="009B783C">
        <w:fldChar w:fldCharType="separate"/>
      </w:r>
      <w:r w:rsidRPr="009B783C">
        <w:t xml:space="preserve">Swerissen, H., &amp; Duckett, S. (2018). </w:t>
      </w:r>
      <w:r w:rsidRPr="009B783C">
        <w:rPr>
          <w:i/>
        </w:rPr>
        <w:t>Mapping primary care in Australia</w:t>
      </w:r>
      <w:r w:rsidRPr="009B783C">
        <w:t>. https://grattan.edu.au/wp-content/uploads/2018/07/906-Mapping-primary-care.pdf</w:t>
      </w:r>
      <w:r w:rsidRPr="009B783C">
        <w:fldChar w:fldCharType="end"/>
      </w:r>
    </w:p>
  </w:footnote>
  <w:footnote w:id="69">
    <w:p w14:paraId="0B0A8C5B" w14:textId="1FE2C4BE" w:rsidR="004D1025" w:rsidRPr="009B783C" w:rsidRDefault="004D1025" w:rsidP="007A31CC">
      <w:pPr>
        <w:pStyle w:val="Footer"/>
        <w:rPr>
          <w:highlight w:val="green"/>
        </w:rPr>
      </w:pPr>
      <w:r w:rsidRPr="009B783C">
        <w:rPr>
          <w:rStyle w:val="FootnoteReference"/>
          <w:sz w:val="16"/>
          <w:szCs w:val="16"/>
        </w:rPr>
        <w:footnoteRef/>
      </w:r>
      <w:r w:rsidR="005B610E" w:rsidRPr="009B783C">
        <w:fldChar w:fldCharType="begin"/>
      </w:r>
      <w:r w:rsidR="005B610E" w:rsidRPr="009B783C">
        <w:instrText xml:space="preserve"> ADDIN EN.CITE &lt;EndNote&gt;&lt;Cite&gt;&lt;Author&gt;Australian Institute of Health and Welfare&lt;/Author&gt;&lt;Year&gt;2024&lt;/Year&gt;&lt;RecNum&gt;117&lt;/RecNum&gt;&lt;DisplayText&gt;Australian Institute of Health and Welfare. (2024a). &lt;style face="italic"&gt;Admitted patients&lt;/style&gt;. Retrieved 1 December from https://www.aihw.gov.au/reports-data/myhospitals/sectors/admitted-patients&lt;/DisplayText&gt;&lt;record&gt;&lt;rec-number&gt;117&lt;/rec-number&gt;&lt;foreign-keys&gt;&lt;key app="EN" db-id="dawdzvawp59fxqevpt559rphwt5dfwx2xwa5" timestamp="1734210093" guid="0683ee72-ae88-4f81-bca0-4ea461b8476b"&gt;117&lt;/key&gt;&lt;/foreign-keys&gt;&lt;ref-type name="Web Page"&gt;12&lt;/ref-type&gt;&lt;contributors&gt;&lt;authors&gt;&lt;author&gt;Australian Institute of Health and Welfare,,&lt;/author&gt;&lt;/authors&gt;&lt;/contributors&gt;&lt;titles&gt;&lt;title&gt;Admitted patients&lt;/title&gt;&lt;/titles&gt;&lt;volume&gt;2024&lt;/volume&gt;&lt;number&gt;1 December&lt;/number&gt;&lt;dates&gt;&lt;year&gt;2024&lt;/year&gt;&lt;/dates&gt;&lt;urls&gt;&lt;related-urls&gt;&lt;url&gt;https://www.aihw.gov.au/reports-data/myhospitals/sectors/admitted-patients&lt;/url&gt;&lt;/related-urls&gt;&lt;/urls&gt;&lt;/record&gt;&lt;/Cite&gt;&lt;/EndNote&gt;</w:instrText>
      </w:r>
      <w:r w:rsidR="005B610E" w:rsidRPr="009B783C">
        <w:fldChar w:fldCharType="separate"/>
      </w:r>
      <w:r w:rsidR="005B610E" w:rsidRPr="009B783C">
        <w:t xml:space="preserve">Australian Institute of Health and Welfare. (2024a). </w:t>
      </w:r>
      <w:r w:rsidR="005B610E" w:rsidRPr="009B783C">
        <w:rPr>
          <w:i/>
        </w:rPr>
        <w:t>Admitted patients</w:t>
      </w:r>
      <w:r w:rsidR="005B610E" w:rsidRPr="009B783C">
        <w:t>. Retrieved 1 December from https://www.aihw.gov.au/reports-data/myhospitals/sectors/admitted-patients</w:t>
      </w:r>
      <w:r w:rsidR="005B610E" w:rsidRPr="009B783C">
        <w:fldChar w:fldCharType="end"/>
      </w:r>
      <w:r w:rsidRPr="009B783C">
        <w:t xml:space="preserve"> </w:t>
      </w:r>
    </w:p>
  </w:footnote>
  <w:footnote w:id="70">
    <w:p w14:paraId="1021E46D" w14:textId="77777777" w:rsidR="00295870" w:rsidRPr="009B783C" w:rsidRDefault="00295870" w:rsidP="007A31CC">
      <w:pPr>
        <w:pStyle w:val="Footer"/>
      </w:pPr>
      <w:r w:rsidRPr="009B783C">
        <w:rPr>
          <w:rStyle w:val="FootnoteReference"/>
        </w:rPr>
        <w:footnoteRef/>
      </w:r>
      <w:r w:rsidRPr="009B783C">
        <w:t xml:space="preserve"> Carer Gateway. Who are carers? 2024. Accessed 9 December 2024. </w:t>
      </w:r>
    </w:p>
  </w:footnote>
  <w:footnote w:id="71">
    <w:p w14:paraId="2B4BBFE7" w14:textId="77777777" w:rsidR="009B4F6A" w:rsidRPr="009B783C" w:rsidRDefault="009B4F6A" w:rsidP="007A31CC">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&lt;EndNote&gt;&lt;Cite&gt;&lt;Author&gt;Doyle&lt;/Author&gt;&lt;Year&gt;2013&lt;/Year&gt;&lt;RecNum&gt;8&lt;/RecNum&gt;&lt;DisplayText&gt;Doyle, C., Lennox, L., &amp;amp; Bell, D. (2013). A systematic review of evidence on the links between patient experience and clinical safety and effectiveness. &lt;style face="italic"&gt;BMJ Open&lt;/style&gt;,&lt;style face="italic"&gt; 3&lt;/style&gt;(1), e001570. https://doi.org/10.1136/bmjopen-2012-001570 &lt;/DisplayText&gt;&lt;record&gt;&lt;rec-number&gt;8&lt;/rec-number&gt;&lt;foreign-keys&gt;&lt;key app="EN" db-id="dawdzvawp59fxqevpt559rphwt5dfwx2xwa5" timestamp="1732308790" guid="a42bbb73-625f-42cf-9ca3-ad5c140dca7a"&gt;8&lt;/key&gt;&lt;/foreign-keys&gt;&lt;ref-type name="Journal Article"&gt;17&lt;/ref-type&gt;&lt;contributors&gt;&lt;authors&gt;&lt;author&gt;Doyle, Cathal&lt;/author&gt;&lt;author&gt;Lennox, Laura&lt;/author&gt;&lt;author&gt;Bell, Derek&lt;/author&gt;&lt;/authors&gt;&lt;/contributors&gt;&lt;titles&gt;&lt;title&gt;A systematic review of evidence on the links between patient experience and clinical safety and effectiveness&lt;/title&gt;&lt;secondary-title&gt;BMJ Open&lt;/secondary-title&gt;&lt;/titles&gt;&lt;periodical&gt;&lt;full-title&gt;BMJ Open&lt;/full-title&gt;&lt;/periodical&gt;&lt;pages&gt;e001570&lt;/pages&gt;&lt;volume&gt;3&lt;/volume&gt;&lt;number&gt;1&lt;/number&gt;&lt;dates&gt;&lt;year&gt;2013&lt;/year&gt;&lt;/dates&gt;&lt;urls&gt;&lt;related-urls&gt;&lt;url&gt;https://bmjopen.bmj.com/content/bmjopen/3/1/e001570.full.pdf&lt;/url&gt;&lt;/related-urls&gt;&lt;/urls&gt;&lt;electronic-resource-num&gt;10.1136/bmjopen-2012-001570&lt;/electronic-resource-num&gt;&lt;/record&gt;&lt;/Cite&gt;&lt;/EndNote&gt;</w:instrText>
      </w:r>
      <w:r w:rsidRPr="009B783C">
        <w:fldChar w:fldCharType="separate"/>
      </w:r>
      <w:r w:rsidRPr="009B783C">
        <w:t xml:space="preserve">Doyle, C., Lennox, L., &amp; Bell, D. (2013). A systematic review of evidence on the links between patient experience and clinical safety and effectiveness. </w:t>
      </w:r>
      <w:r w:rsidRPr="009B783C">
        <w:rPr>
          <w:i/>
        </w:rPr>
        <w:t>BMJ Open</w:t>
      </w:r>
      <w:r w:rsidRPr="009B783C">
        <w:t>,</w:t>
      </w:r>
      <w:r w:rsidRPr="009B783C">
        <w:rPr>
          <w:i/>
        </w:rPr>
        <w:t xml:space="preserve"> 3</w:t>
      </w:r>
      <w:r w:rsidRPr="009B783C">
        <w:t xml:space="preserve">(1), e001570. https://doi.org/10.1136/bmjopen-2012-001570 </w:t>
      </w:r>
      <w:r w:rsidRPr="009B783C">
        <w:fldChar w:fldCharType="end"/>
      </w:r>
    </w:p>
  </w:footnote>
  <w:footnote w:id="72">
    <w:p w14:paraId="140DC901" w14:textId="77777777" w:rsidR="009B4F6A" w:rsidRPr="009B783C" w:rsidRDefault="009B4F6A" w:rsidP="007A31CC">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&lt;EndNote&gt;&lt;Cite&gt;&lt;Author&gt;ZEST Health Strategies&lt;/Author&gt;&lt;Year&gt;2023&lt;/Year&gt;&lt;RecNum&gt;9&lt;/RecNum&gt;&lt;DisplayText&gt;ZEST Health Strategies. (2023). &lt;style face="italic"&gt;Patient experience measurement in primary health care&lt;/style&gt;. Australian Commission on Safety and Quality in Health Care. https://www.safetyandquality.gov.au/sites/default/files/2023-07/literature_review_on_patient_experience_in_primary_health_care_-_april_-_2023.pdf&lt;/DisplayText&gt;&lt;record&gt;&lt;rec-number&gt;9&lt;/rec-number&gt;&lt;foreign-keys&gt;&lt;key app="EN" db-id="dawdzvawp59fxqevpt559rphwt5dfwx2xwa5" timestamp="1732309446" guid="4513af50-2a16-46da-9b53-c0a2ca3f8f6d"&gt;9&lt;/key&gt;&lt;/foreign-keys&gt;&lt;ref-type name="Report"&gt;27&lt;/ref-type&gt;&lt;contributors&gt;&lt;authors&gt;&lt;author&gt;ZEST Health Strategies,,&lt;/author&gt;&lt;/authors&gt;&lt;tertiary-authors&gt;&lt;author&gt;Australian Commission on Safety and Quality in Health Care,,&lt;/author&gt;&lt;/tertiary-authors&gt;&lt;/contributors&gt;&lt;titles&gt;&lt;title&gt;Patient experience measurement in primary health care&lt;/title&gt;&lt;/titles&gt;&lt;dates&gt;&lt;year&gt;2023&lt;/year&gt;&lt;/dates&gt;&lt;pub-location&gt;Sydney&lt;/pub-location&gt;&lt;urls&gt;&lt;related-urls&gt;&lt;url&gt;https://www.safetyandquality.gov.au/sites/default/files/2023-07/literature_review_on_patient_experience_in_primary_health_care_-_april_-_2023.pdf&lt;/url&gt;&lt;/related-urls&gt;&lt;/urls&gt;&lt;/record&gt;&lt;/Cite&gt;&lt;/EndNote&gt;</w:instrText>
      </w:r>
      <w:r w:rsidRPr="009B783C">
        <w:fldChar w:fldCharType="separate"/>
      </w:r>
      <w:r w:rsidRPr="009B783C">
        <w:t xml:space="preserve">ZEST Health Strategies. (2023). </w:t>
      </w:r>
      <w:r w:rsidRPr="009B783C">
        <w:rPr>
          <w:i/>
        </w:rPr>
        <w:t>Patient experience measurement in primary health care</w:t>
      </w:r>
      <w:r w:rsidRPr="009B783C">
        <w:t>. Australian Commission on Safety and Quality in Health Care. https://www.safetyandquality.gov.au/sites/default/files/2023-07/literature_review_on_patient_experience_in_primary_health_care_-_april_-_2023.pdf</w:t>
      </w:r>
      <w:r w:rsidRPr="009B783C">
        <w:fldChar w:fldCharType="end"/>
      </w:r>
    </w:p>
  </w:footnote>
  <w:footnote w:id="73">
    <w:p w14:paraId="6FE4D4CC" w14:textId="77777777" w:rsidR="009B4F6A" w:rsidRPr="009B783C" w:rsidRDefault="009B4F6A" w:rsidP="007A31CC">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&lt;EndNote&gt;&lt;Cite&gt;&lt;Author&gt;Australian Bureau of Statistics&lt;/Author&gt;&lt;Year&gt;2024&lt;/Year&gt;&lt;RecNum&gt;108&lt;/RecNum&gt;&lt;DisplayText&gt;Australian Bureau of Statistics. (2024). &lt;style face="italic"&gt;Patient Experiences&lt;/style&gt;. Retrieved 21 November from https://www.abs.gov.au/statistics/health/health-services/patient-experiences/latest-release#waiting-times&lt;/DisplayText&gt;&lt;record&gt;&lt;rec-number&gt;108&lt;/rec-number&gt;&lt;foreign-keys&gt;&lt;key app="EN" db-id="dawdzvawp59fxqevpt559rphwt5dfwx2xwa5" timestamp="1733802218" guid="85d7f301-fbdc-43bd-9cdc-cb1dc2264d15"&gt;108&lt;/key&gt;&lt;/foreign-keys&gt;&lt;ref-type name="Web Page"&gt;12&lt;/ref-type&gt;&lt;contributors&gt;&lt;authors&gt;&lt;author&gt;Australian Bureau of Statistics,,&lt;/author&gt;&lt;/authors&gt;&lt;/contributors&gt;&lt;titles&gt;&lt;title&gt;Patient Experiences&lt;/title&gt;&lt;/titles&gt;&lt;volume&gt;2024&lt;/volume&gt;&lt;number&gt;21 November&lt;/number&gt;&lt;dates&gt;&lt;year&gt;2024&lt;/year&gt;&lt;/dates&gt;&lt;urls&gt;&lt;related-urls&gt;&lt;url&gt;https://www.abs.gov.au/statistics/health/health-services/patient-experiences/latest-release#waiting-times&lt;/url&gt;&lt;/related-urls&gt;&lt;/urls&gt;&lt;/record&gt;&lt;/Cite&gt;&lt;/EndNote&gt;</w:instrText>
      </w:r>
      <w:r w:rsidRPr="009B783C">
        <w:fldChar w:fldCharType="separate"/>
      </w:r>
      <w:r w:rsidRPr="009B783C">
        <w:t xml:space="preserve">Australian Bureau of Statistics. (2024). </w:t>
      </w:r>
      <w:r w:rsidRPr="009B783C">
        <w:rPr>
          <w:i/>
        </w:rPr>
        <w:t>Patient Experiences</w:t>
      </w:r>
      <w:r w:rsidRPr="009B783C">
        <w:t>. Retrieved 21 November from https://www.abs.gov.au/statistics/health/health-services/patient-experiences/latest-release#waiting-times</w:t>
      </w:r>
      <w:r w:rsidRPr="009B783C">
        <w:fldChar w:fldCharType="end"/>
      </w:r>
    </w:p>
  </w:footnote>
  <w:footnote w:id="74">
    <w:p w14:paraId="799C8FBD" w14:textId="77777777" w:rsidR="0088603C" w:rsidRPr="009B783C" w:rsidRDefault="0088603C" w:rsidP="0088603C">
      <w:pPr>
        <w:pStyle w:val="Footer"/>
      </w:pPr>
      <w:r w:rsidRPr="009B783C">
        <w:rPr>
          <w:rStyle w:val="FootnoteReference"/>
          <w:sz w:val="16"/>
          <w:szCs w:val="16"/>
        </w:rPr>
        <w:footnoteRef/>
      </w:r>
      <w:r w:rsidRPr="009B783C">
        <w:t xml:space="preserve"> </w:t>
      </w:r>
      <w:r w:rsidRPr="009B783C">
        <w:fldChar w:fldCharType="begin"/>
      </w:r>
      <w:r w:rsidRPr="009B783C">
        <w:instrText xml:space="preserve"> ADDIN EN.CITE &lt;EndNote&gt;&lt;Cite&gt;&lt;Author&gt;Australian Bureau of Statistics&lt;/Author&gt;&lt;Year&gt;2024&lt;/Year&gt;&lt;RecNum&gt;108&lt;/RecNum&gt;&lt;DisplayText&gt;Australian Bureau of Statistics. (2024). &lt;style face="italic"&gt;Patient Experiences&lt;/style&gt;. Retrieved 21 November from https://www.abs.gov.au/statistics/health/health-services/patient-experiences/latest-release#waiting-times&lt;/DisplayText&gt;&lt;record&gt;&lt;rec-number&gt;108&lt;/rec-number&gt;&lt;foreign-keys&gt;&lt;key app="EN" db-id="dawdzvawp59fxqevpt559rphwt5dfwx2xwa5" timestamp="1733802218" guid="85d7f301-fbdc-43bd-9cdc-cb1dc2264d15"&gt;108&lt;/key&gt;&lt;/foreign-keys&gt;&lt;ref-type name="Web Page"&gt;12&lt;/ref-type&gt;&lt;contributors&gt;&lt;authors&gt;&lt;author&gt;Australian Bureau of Statistics,,&lt;/author&gt;&lt;/authors&gt;&lt;/contributors&gt;&lt;titles&gt;&lt;title&gt;Patient Experiences&lt;/title&gt;&lt;/titles&gt;&lt;volume&gt;2024&lt;/volume&gt;&lt;number&gt;21 November&lt;/number&gt;&lt;dates&gt;&lt;year&gt;2024&lt;/year&gt;&lt;/dates&gt;&lt;urls&gt;&lt;related-urls&gt;&lt;url&gt;https://www.abs.gov.au/statistics/health/health-services/patient-experiences/latest-release#waiting-times&lt;/url&gt;&lt;/related-urls&gt;&lt;/urls&gt;&lt;/record&gt;&lt;/Cite&gt;&lt;/EndNote&gt;</w:instrText>
      </w:r>
      <w:r w:rsidRPr="009B783C">
        <w:fldChar w:fldCharType="separate"/>
      </w:r>
      <w:r w:rsidRPr="009B783C">
        <w:t xml:space="preserve">Australian Bureau of Statistics. (2024). </w:t>
      </w:r>
      <w:r w:rsidRPr="009B783C">
        <w:rPr>
          <w:i/>
        </w:rPr>
        <w:t>Patient Experiences</w:t>
      </w:r>
      <w:r w:rsidRPr="009B783C">
        <w:t>. Retrieved 21 November from https://www.abs.gov.au/statistics/health/health-services/patient-experiences/latest-release#waiting-times</w:t>
      </w:r>
      <w:r w:rsidRPr="009B783C">
        <w:fldChar w:fldCharType="end"/>
      </w:r>
    </w:p>
  </w:footnote>
  <w:footnote w:id="75">
    <w:p w14:paraId="3B11E68C" w14:textId="77777777" w:rsidR="009B4F6A" w:rsidRPr="009B783C" w:rsidRDefault="009B4F6A" w:rsidP="007A31CC">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fldChar w:fldCharType="separate"/>
      </w:r>
      <w:r w:rsidRPr="009B783C">
        <w:t xml:space="preserve">Department of Health and Aged Care. (2022). </w:t>
      </w:r>
      <w:r w:rsidRPr="009B783C">
        <w:rPr>
          <w:i/>
        </w:rPr>
        <w:t>Operational Guidance for Urgent Care Clinics</w:t>
      </w:r>
      <w:r w:rsidRPr="009B783C">
        <w:t xml:space="preserve">. </w:t>
      </w:r>
      <w:r w:rsidRPr="009B783C">
        <w:fldChar w:fldCharType="end"/>
      </w:r>
    </w:p>
  </w:footnote>
  <w:footnote w:id="76">
    <w:p w14:paraId="74A554BE" w14:textId="36837C18" w:rsidR="0075138F" w:rsidRPr="009B783C" w:rsidRDefault="0075138F" w:rsidP="0031172E">
      <w:pPr>
        <w:pStyle w:val="Footer"/>
      </w:pPr>
      <w:r w:rsidRPr="009B783C">
        <w:rPr>
          <w:rStyle w:val="FootnoteReference"/>
          <w:sz w:val="14"/>
          <w:szCs w:val="14"/>
        </w:rPr>
        <w:footnoteRef/>
      </w:r>
      <w:r w:rsidRPr="009B783C">
        <w:t xml:space="preserve"> The National Council of Primary Care Doctors represents the interests of general practice and primary care in Australia, comprising leaders from the Australian Medical Association, RACGP, Rural Doctors Association of Australia, Australian College of Rural and Remote Medicine, General Practice Supervisors Australia, General Practice Registrars Australia and Australian Indigenous Doctors Association.</w:t>
      </w:r>
    </w:p>
  </w:footnote>
  <w:footnote w:id="77">
    <w:p w14:paraId="05B0EBD9" w14:textId="77777777" w:rsidR="0075138F" w:rsidRPr="009B783C" w:rsidRDefault="0075138F" w:rsidP="0031172E">
      <w:pPr>
        <w:pStyle w:val="Footer"/>
      </w:pPr>
      <w:r w:rsidRPr="009B783C">
        <w:rPr>
          <w:rStyle w:val="FootnoteReference"/>
          <w:sz w:val="14"/>
          <w:szCs w:val="14"/>
        </w:rPr>
        <w:footnoteRef/>
      </w:r>
      <w:r w:rsidRPr="009B783C">
        <w:t xml:space="preserve"> </w:t>
      </w:r>
      <w:r w:rsidRPr="009B783C">
        <w:fldChar w:fldCharType="begin"/>
      </w:r>
      <w:r w:rsidRPr="009B783C">
        <w:instrText xml:space="preserve"> ADDIN EN.CITE &lt;EndNote&gt;&lt;Cite&gt;&lt;Author&gt;National Council of Primary Care Doctors&lt;/Author&gt;&lt;Year&gt;2024&lt;/Year&gt;&lt;RecNum&gt;13&lt;/RecNum&gt;&lt;DisplayText&gt;National Council of Primary Care Doctors. (2024). &lt;style face="italic"&gt;Urgent Care Centres Position Statement&lt;/style&gt; &lt;/DisplayText&gt;&lt;record&gt;&lt;rec-number&gt;13&lt;/rec-number&gt;&lt;foreign-keys&gt;&lt;key app="EN" db-id="dawdzvawp59fxqevpt559rphwt5dfwx2xwa5" timestamp="1732539022" guid="c3b032e6-c5d1-47aa-932e-a97071950057"&gt;13&lt;/key&gt;&lt;/foreign-keys&gt;&lt;ref-type name="Press Release"&gt;63&lt;/ref-type&gt;&lt;contributors&gt;&lt;authors&gt;&lt;author&gt;National Council of Primary Care Doctors,,&lt;/author&gt;&lt;/authors&gt;&lt;/contributors&gt;&lt;titles&gt;&lt;title&gt;Urgent Care Centres Position Statement&lt;/title&gt;&lt;/titles&gt;&lt;dates&gt;&lt;year&gt;2024&lt;/year&gt;&lt;/dates&gt;&lt;urls&gt;&lt;/urls&gt;&lt;/record&gt;&lt;/Cite&gt;&lt;/EndNote&gt;</w:instrText>
      </w:r>
      <w:r w:rsidRPr="009B783C">
        <w:fldChar w:fldCharType="separate"/>
      </w:r>
      <w:r w:rsidRPr="009B783C">
        <w:t xml:space="preserve">National Council of Primary Care Doctors. (2024). </w:t>
      </w:r>
      <w:r w:rsidRPr="009B783C">
        <w:rPr>
          <w:i/>
        </w:rPr>
        <w:t>Urgent Care Centres Position Statement</w:t>
      </w:r>
      <w:r w:rsidRPr="009B783C">
        <w:t xml:space="preserve"> </w:t>
      </w:r>
      <w:r w:rsidRPr="009B783C">
        <w:fldChar w:fldCharType="end"/>
      </w:r>
    </w:p>
  </w:footnote>
  <w:footnote w:id="78">
    <w:p w14:paraId="241492BC" w14:textId="0CED3036" w:rsidR="008E04CE" w:rsidRPr="009B783C" w:rsidRDefault="008E04CE" w:rsidP="0031172E">
      <w:pPr>
        <w:pStyle w:val="Footer"/>
      </w:pPr>
      <w:r w:rsidRPr="009B783C">
        <w:rPr>
          <w:rStyle w:val="FootnoteReference"/>
          <w:sz w:val="14"/>
          <w:szCs w:val="14"/>
        </w:rPr>
        <w:footnoteRef/>
      </w:r>
      <w:r w:rsidRPr="009B783C">
        <w:t xml:space="preserve"> </w:t>
      </w:r>
      <w:r w:rsidRPr="009B783C">
        <w:fldChar w:fldCharType="begin"/>
      </w:r>
      <w:r w:rsidR="00963C8D" w:rsidRPr="009B783C">
        <w:instrText xml:space="preserve"> ADDIN EN.CITE &lt;EndNote&gt;&lt;Cite&gt;&lt;Author&gt;Healthed&lt;/Author&gt;&lt;Year&gt;2024&lt;/Year&gt;&lt;RecNum&gt;39&lt;/RecNum&gt;&lt;DisplayText&gt;Healthed. (2024). &lt;style face="italic"&gt;Shock poll: Most GPs support urgent care clinics&lt;/style&gt;. Retrieved 5 December from https://www.healthed.com.au/clinical_articles/most-gps-support-urgent-care-clinics-poll/&lt;/DisplayText&gt;&lt;record&gt;&lt;rec-number&gt;39&lt;/rec-number&gt;&lt;foreign-keys&gt;&lt;key app="EN" db-id="dawdzvawp59fxqevpt559rphwt5dfwx2xwa5" timestamp="1733377481" guid="b20586fc-c15c-40df-8503-79b9962a7fba"&gt;39&lt;/key&gt;&lt;/foreign-keys&gt;&lt;ref-type name="Web Page"&gt;12&lt;/ref-type&gt;&lt;contributors&gt;&lt;authors&gt;&lt;author&gt;Healthed&lt;/author&gt;&lt;/authors&gt;&lt;/contributors&gt;&lt;titles&gt;&lt;title&gt;Shock poll: Most GPs support urgent care clinics&lt;/title&gt;&lt;/titles&gt;&lt;volume&gt;2024&lt;/volume&gt;&lt;number&gt;5 December&lt;/number&gt;&lt;dates&gt;&lt;year&gt;2024&lt;/year&gt;&lt;/dates&gt;&lt;urls&gt;&lt;related-urls&gt;&lt;url&gt;https://www.healthed.com.au/clinical_articles/most-gps-support-urgent-care-clinics-poll/&lt;/url&gt;&lt;/related-urls&gt;&lt;/urls&gt;&lt;/record&gt;&lt;/Cite&gt;&lt;/EndNote&gt;</w:instrText>
      </w:r>
      <w:r w:rsidRPr="009B783C">
        <w:fldChar w:fldCharType="separate"/>
      </w:r>
      <w:r w:rsidRPr="009B783C">
        <w:t xml:space="preserve">Healthed. (2024). </w:t>
      </w:r>
      <w:r w:rsidRPr="009B783C">
        <w:rPr>
          <w:i/>
        </w:rPr>
        <w:t>Shock poll: Most GPs support urgent care clinics</w:t>
      </w:r>
      <w:r w:rsidRPr="009B783C">
        <w:t>. Retrieved 5 December from https://www.healthed.com.au/clinical_articles/most-gps-support-urgent-care-clinics-poll/</w:t>
      </w:r>
      <w:r w:rsidRPr="009B783C">
        <w:fldChar w:fldCharType="end"/>
      </w:r>
    </w:p>
  </w:footnote>
  <w:footnote w:id="79">
    <w:p w14:paraId="206DEC19" w14:textId="79AFC22F" w:rsidR="004562B2" w:rsidRPr="009B783C" w:rsidRDefault="004562B2" w:rsidP="003E79FA">
      <w:pPr>
        <w:pStyle w:val="Footer"/>
        <w:rPr>
          <w:szCs w:val="15"/>
        </w:rPr>
      </w:pPr>
      <w:r w:rsidRPr="009B783C">
        <w:rPr>
          <w:rStyle w:val="FootnoteReference"/>
          <w:szCs w:val="15"/>
        </w:rPr>
        <w:footnoteRef/>
      </w:r>
      <w:r w:rsidRPr="009B783C">
        <w:rPr>
          <w:szCs w:val="15"/>
        </w:rPr>
        <w:t xml:space="preserve"> Department of Health. A better </w:t>
      </w:r>
      <w:r w:rsidRPr="009B783C">
        <w:rPr>
          <w:szCs w:val="15"/>
        </w:rPr>
        <w:t xml:space="preserve">after hours system. 2024. </w:t>
      </w:r>
      <w:r w:rsidR="000174CA" w:rsidRPr="009B783C">
        <w:rPr>
          <w:szCs w:val="15"/>
        </w:rPr>
        <w:t>https://www.health.gov.au/our-work/after-hours-review#:~:text=The%20After%20Hours%20Review%20investigated,improvements%20and%20longer%2Dterm%20reform.</w:t>
      </w:r>
    </w:p>
  </w:footnote>
  <w:footnote w:id="80">
    <w:p w14:paraId="3407433D" w14:textId="77777777" w:rsidR="004562B2" w:rsidRPr="009B783C" w:rsidRDefault="004562B2" w:rsidP="003E79FA">
      <w:pPr>
        <w:pStyle w:val="Footer"/>
        <w:rPr>
          <w:szCs w:val="15"/>
        </w:rPr>
      </w:pPr>
      <w:r w:rsidRPr="009B783C">
        <w:rPr>
          <w:rStyle w:val="FootnoteReference"/>
          <w:szCs w:val="15"/>
        </w:rPr>
        <w:footnoteRef/>
      </w:r>
      <w:r w:rsidRPr="009B783C">
        <w:rPr>
          <w:szCs w:val="15"/>
        </w:rPr>
        <w:t xml:space="preserve"> </w:t>
      </w:r>
      <w:r w:rsidRPr="009B783C">
        <w:rPr>
          <w:szCs w:val="15"/>
        </w:rPr>
        <w:fldChar w:fldCharType="begin"/>
      </w:r>
      <w:r w:rsidRPr="009B783C">
        <w:rPr>
          <w:szCs w:val="15"/>
        </w:rPr>
        <w:instrText xml:space="preserve"> ADDIN EN.CITE &lt;EndNote&gt;&lt;Cite&gt;&lt;Author&gt;Department of Health and Aged Care&lt;/Author&gt;&lt;Year&gt;2024&lt;/Year&gt;&lt;RecNum&gt;10&lt;/RecNum&gt;&lt;DisplayText&gt;Department of Health and Aged Care. (2024). &lt;style face="italic"&gt;Supply and Demand Study - General Practitioners in Australia&lt;/style&gt;. &lt;/DisplayText&gt;&lt;record&gt;&lt;rec-number&gt;10&lt;/rec-number&gt;&lt;foreign-keys&gt;&lt;key app="EN" db-id="dawdzvawp59fxqevpt559rphwt5dfwx2xwa5" timestamp="1732532023" guid="86329a09-2336-4af8-8197-9a697dac73c2"&gt;10&lt;/key&gt;&lt;/foreign-keys&gt;&lt;ref-type name="Report"&gt;27&lt;/ref-type&gt;&lt;contributors&gt;&lt;authors&gt;&lt;author&gt;Department of Health and Aged Care,,&lt;/author&gt;&lt;/authors&gt;&lt;/contributors&gt;&lt;titles&gt;&lt;title&gt;Supply and Demand Study - General Practitioners in Australia&lt;/title&gt;&lt;/titles&gt;&lt;dates&gt;&lt;year&gt;2024&lt;/year&gt;&lt;/dates&gt;&lt;urls&gt;&lt;/urls&gt;&lt;/record&gt;&lt;/Cite&gt;&lt;/EndNote&gt;</w:instrText>
      </w:r>
      <w:r w:rsidRPr="009B783C">
        <w:rPr>
          <w:szCs w:val="15"/>
        </w:rPr>
        <w:fldChar w:fldCharType="separate"/>
      </w:r>
      <w:r w:rsidRPr="009B783C">
        <w:rPr>
          <w:szCs w:val="15"/>
        </w:rPr>
        <w:t xml:space="preserve">Department of Health and Aged Care. (2024). </w:t>
      </w:r>
      <w:r w:rsidRPr="009B783C">
        <w:rPr>
          <w:i/>
          <w:szCs w:val="15"/>
        </w:rPr>
        <w:t>Supply and Demand Study - General Practitioners in Australia</w:t>
      </w:r>
      <w:r w:rsidRPr="009B783C">
        <w:rPr>
          <w:szCs w:val="15"/>
        </w:rPr>
        <w:t xml:space="preserve">. </w:t>
      </w:r>
      <w:r w:rsidRPr="009B783C">
        <w:rPr>
          <w:szCs w:val="15"/>
        </w:rPr>
        <w:fldChar w:fldCharType="end"/>
      </w:r>
    </w:p>
  </w:footnote>
  <w:footnote w:id="81">
    <w:p w14:paraId="186338BC" w14:textId="77777777" w:rsidR="0075138F" w:rsidRPr="009B783C" w:rsidRDefault="0075138F" w:rsidP="00804A7A">
      <w:pPr>
        <w:pStyle w:val="Footer"/>
      </w:pPr>
      <w:r w:rsidRPr="009B783C">
        <w:rPr>
          <w:rStyle w:val="FootnoteReference"/>
        </w:rPr>
        <w:footnoteRef/>
      </w:r>
      <w:r w:rsidRPr="009B783C">
        <w:t xml:space="preserve"> Unless specifically exempt.</w:t>
      </w:r>
    </w:p>
  </w:footnote>
  <w:footnote w:id="82">
    <w:p w14:paraId="2363F935" w14:textId="77777777" w:rsidR="0075138F" w:rsidRPr="009B783C" w:rsidRDefault="0075138F" w:rsidP="003E79FA">
      <w:pPr>
        <w:pStyle w:val="Footer"/>
      </w:pPr>
      <w:r w:rsidRPr="009B783C">
        <w:rPr>
          <w:rStyle w:val="FootnoteReference"/>
          <w:szCs w:val="15"/>
        </w:rPr>
        <w:footnoteRef/>
      </w:r>
      <w:r w:rsidRPr="009B783C">
        <w:t xml:space="preserve"> </w:t>
      </w:r>
      <w:r w:rsidRPr="009B783C">
        <w:fldChar w:fldCharType="begin"/>
      </w:r>
      <w:r w:rsidRPr="009B783C">
        <w:instrText xml:space="preserve"> ADDIN EN.CITE &lt;EndNote&gt;&lt;Cite&gt;&lt;Author&gt;Department of Health and Aged Care&lt;/Author&gt;&lt;Year&gt;2022&lt;/Year&gt;&lt;RecNum&gt;3&lt;/RecNum&gt;&lt;DisplayText&gt;Department of Health and Aged Care. (2022). &lt;style face="italic"&gt;Operational Guidance for Urgent Care Clinics&lt;/style&gt;. &lt;/DisplayText&gt;&lt;record&gt;&lt;rec-number&gt;3&lt;/rec-number&gt;&lt;foreign-keys&gt;&lt;key app="EN" db-id="dawdzvawp59fxqevpt559rphwt5dfwx2xwa5" timestamp="1728521548" guid="4d9ef49a-d094-4e57-9a02-9fb1c1c9ca8b"&gt;3&lt;/key&gt;&lt;/foreign-keys&gt;&lt;ref-type name="Government Document"&gt;46&lt;/ref-type&gt;&lt;contributors&gt;&lt;authors&gt;&lt;author&gt;Department of Health and Aged Care,,&lt;/author&gt;&lt;/authors&gt;&lt;/contributors&gt;&lt;titles&gt;&lt;title&gt;Operational Guidance for Urgent Care Clinics&lt;/title&gt;&lt;/titles&gt;&lt;dates&gt;&lt;year&gt;2022&lt;/year&gt;&lt;/dates&gt;&lt;urls&gt;&lt;/urls&gt;&lt;/record&gt;&lt;/Cite&gt;&lt;/EndNote&gt;</w:instrText>
      </w:r>
      <w:r w:rsidRPr="009B783C">
        <w:fldChar w:fldCharType="separate"/>
      </w:r>
      <w:r w:rsidRPr="009B783C">
        <w:t xml:space="preserve">Department of Health and Aged Care. (2022). </w:t>
      </w:r>
      <w:r w:rsidRPr="009B783C">
        <w:rPr>
          <w:i/>
        </w:rPr>
        <w:t>Operational Guidance for Urgent Care Clinics</w:t>
      </w:r>
      <w:r w:rsidRPr="009B783C">
        <w:t xml:space="preserve">. </w:t>
      </w:r>
      <w:r w:rsidRPr="009B783C">
        <w:fldChar w:fldCharType="end"/>
      </w:r>
    </w:p>
  </w:footnote>
  <w:footnote w:id="83">
    <w:p w14:paraId="61695E07" w14:textId="77777777" w:rsidR="00F12E03" w:rsidRPr="009B783C" w:rsidRDefault="00F12E03" w:rsidP="003E79FA">
      <w:pPr>
        <w:pStyle w:val="Footer"/>
      </w:pPr>
      <w:r w:rsidRPr="009B783C">
        <w:rPr>
          <w:rStyle w:val="FootnoteReference"/>
          <w:sz w:val="14"/>
          <w:szCs w:val="14"/>
        </w:rPr>
        <w:footnoteRef/>
      </w:r>
      <w:r w:rsidRPr="009B783C">
        <w:t xml:space="preserve"> Telehealth items are not within the scope of the Medicare UCC program based on the current commitments of the Australian Government. To be eligible for most GP telehealth services, the GP is required to have an established clinical relationship with the patient, meaning that a patient must have had a face-to-face consultation with the GP (or another practitioner at the same practice) in the 12-months prior to their telehealth consultation.</w:t>
      </w:r>
    </w:p>
  </w:footnote>
  <w:footnote w:id="84">
    <w:p w14:paraId="6807BE1D" w14:textId="77777777" w:rsidR="00793770" w:rsidRPr="009B783C" w:rsidRDefault="00793770" w:rsidP="003E79FA">
      <w:pPr>
        <w:pStyle w:val="Footer"/>
      </w:pPr>
      <w:r w:rsidRPr="009B783C">
        <w:rPr>
          <w:rStyle w:val="FootnoteReference"/>
          <w:sz w:val="14"/>
          <w:szCs w:val="14"/>
        </w:rPr>
        <w:footnoteRef/>
      </w:r>
      <w:r w:rsidRPr="009B783C">
        <w:t xml:space="preserve"> </w:t>
      </w:r>
      <w:r w:rsidRPr="009B783C">
        <w:fldChar w:fldCharType="begin"/>
      </w:r>
      <w:r w:rsidRPr="009B783C">
        <w:instrText xml:space="preserve"> ADDIN EN.CITE &lt;EndNote&gt;&lt;Cite&gt;&lt;Author&gt;Gardiner&lt;/Author&gt;&lt;Year&gt;2016&lt;/Year&gt;&lt;RecNum&gt;12&lt;/RecNum&gt;&lt;DisplayText&gt;Gardiner, F., &amp;amp; Zhai, S. (2016). Are all after-hours diagnostic imaging appropriate? An Australian Emergency Department pilot study. &lt;style face="italic"&gt;Annals of Medicine and Surgery&lt;/style&gt;,&lt;style face="italic"&gt; 12&lt;/style&gt;, 75-78. &lt;/DisplayText&gt;&lt;record&gt;&lt;rec-number&gt;12&lt;/rec-number&gt;&lt;foreign-keys&gt;&lt;key app="EN" db-id="dawdzvawp59fxqevpt559rphwt5dfwx2xwa5" timestamp="1732537007" guid="b47fd318-ed21-468a-a69b-068c3f4dcf07"&gt;12&lt;/key&gt;&lt;/foreign-keys&gt;&lt;ref-type name="Journal Article"&gt;17&lt;/ref-type&gt;&lt;contributors&gt;&lt;authors&gt;&lt;author&gt;Gardiner, FW&lt;/author&gt;&lt;author&gt;Zhai, S&lt;/author&gt;&lt;/authors&gt;&lt;/contributors&gt;&lt;titles&gt;&lt;title&gt;Are all after-hours diagnostic imaging appropriate? An Australian Emergency Department pilot study.&lt;/title&gt;&lt;secondary-title&gt;Annals of Medicine and Surgery&lt;/secondary-title&gt;&lt;/titles&gt;&lt;periodical&gt;&lt;full-title&gt;Annals of Medicine and Surgery&lt;/full-title&gt;&lt;/periodical&gt;&lt;pages&gt;75-78&lt;/pages&gt;&lt;volume&gt;12&lt;/volume&gt;&lt;dates&gt;&lt;year&gt;2016&lt;/year&gt;&lt;/dates&gt;&lt;urls&gt;&lt;/urls&gt;&lt;/record&gt;&lt;/Cite&gt;&lt;/EndNote&gt;</w:instrText>
      </w:r>
      <w:r w:rsidRPr="009B783C">
        <w:fldChar w:fldCharType="separate"/>
      </w:r>
      <w:r w:rsidRPr="009B783C">
        <w:t xml:space="preserve">Gardiner, F., &amp; Zhai, S. (2016). Are all after-hours diagnostic imaging appropriate? An Australian Emergency Department pilot study. </w:t>
      </w:r>
      <w:r w:rsidRPr="009B783C">
        <w:rPr>
          <w:i/>
        </w:rPr>
        <w:t>Annals of Medicine and Surgery</w:t>
      </w:r>
      <w:r w:rsidRPr="009B783C">
        <w:t>,</w:t>
      </w:r>
      <w:r w:rsidRPr="009B783C">
        <w:rPr>
          <w:i/>
        </w:rPr>
        <w:t xml:space="preserve"> 12</w:t>
      </w:r>
      <w:r w:rsidRPr="009B783C">
        <w:t xml:space="preserve">, 75-78. </w:t>
      </w:r>
      <w:r w:rsidRPr="009B783C">
        <w:fldChar w:fldCharType="end"/>
      </w:r>
    </w:p>
  </w:footnote>
  <w:footnote w:id="85">
    <w:p w14:paraId="3A696A45" w14:textId="3F01C297" w:rsidR="00380347" w:rsidRPr="009B783C" w:rsidRDefault="00380347" w:rsidP="00804A7A">
      <w:pPr>
        <w:pStyle w:val="Footer"/>
      </w:pPr>
      <w:r w:rsidRPr="009B783C">
        <w:rPr>
          <w:rStyle w:val="FootnoteReference"/>
          <w:sz w:val="16"/>
          <w:szCs w:val="16"/>
        </w:rPr>
        <w:footnoteRef/>
      </w:r>
      <w:r w:rsidRPr="009B783C">
        <w:t xml:space="preserve"> After hours is defined as presentation time before 8</w:t>
      </w:r>
      <w:r w:rsidR="00BA24B9" w:rsidRPr="009B783C">
        <w:t xml:space="preserve">:00 </w:t>
      </w:r>
      <w:r w:rsidRPr="009B783C">
        <w:t>am or after 6</w:t>
      </w:r>
      <w:r w:rsidR="00BA24B9" w:rsidRPr="009B783C">
        <w:t xml:space="preserve">:00 </w:t>
      </w:r>
      <w:r w:rsidRPr="009B783C">
        <w:t>pm Monday to Friday, before 8</w:t>
      </w:r>
      <w:r w:rsidR="00BA24B9" w:rsidRPr="009B783C">
        <w:t xml:space="preserve">:00 </w:t>
      </w:r>
      <w:r w:rsidRPr="009B783C">
        <w:t>am or after 12</w:t>
      </w:r>
      <w:r w:rsidR="00BA24B9" w:rsidRPr="009B783C">
        <w:t xml:space="preserve">:00 </w:t>
      </w:r>
      <w:r w:rsidRPr="009B783C">
        <w:t xml:space="preserve">pm Saturday, any time Sunday or Public Holidays. </w:t>
      </w:r>
      <w:r w:rsidRPr="009B783C">
        <w:fldChar w:fldCharType="begin"/>
      </w:r>
      <w:r w:rsidR="00963C8D" w:rsidRPr="009B783C">
        <w:instrText xml:space="preserve"> ADDIN EN.CITE &lt;EndNote&gt;&lt;Cite&gt;&lt;Author&gt;Australian Government Department of Health and Aged Care&lt;/Author&gt;&lt;Year&gt;2024&lt;/Year&gt;&lt;RecNum&gt;115&lt;/RecNum&gt;&lt;DisplayText&gt;Australian Government Department of Health and Aged Care. (2024b). &lt;style face="italic"&gt;MBS Online: Medicare Benefits Schedule - Associated Notes After Hours Attendances&lt;/style&gt;. Retrieved 21 November from https://www9.health.gov.au/mbs/fullDisplay.cfm?type=item&amp;amp;q=599&amp;amp;qt=item&lt;/DisplayText&gt;&lt;record&gt;&lt;rec-number&gt;115&lt;/rec-number&gt;&lt;foreign-keys&gt;&lt;key app="EN" db-id="dawdzvawp59fxqevpt559rphwt5dfwx2xwa5" timestamp="1733870849" guid="ea2530e9-65d3-48f6-a5d0-947a9489fd1d"&gt;115&lt;/key&gt;&lt;/foreign-keys&gt;&lt;ref-type name="Web Page"&gt;12&lt;/ref-type&gt;&lt;contributors&gt;&lt;authors&gt;&lt;author&gt;Australian Government Department of Health and Aged Care,,&lt;/author&gt;&lt;/authors&gt;&lt;/contributors&gt;&lt;titles&gt;&lt;title&gt;MBS Online: Medicare Benefits Schedule - Associated Notes After Hours Attendances&lt;/title&gt;&lt;/titles&gt;&lt;volume&gt;2024&lt;/volume&gt;&lt;number&gt;21 November&lt;/number&gt;&lt;dates&gt;&lt;year&gt;2024&lt;/year&gt;&lt;/dates&gt;&lt;urls&gt;&lt;related-urls&gt;&lt;url&gt;https://www9.health.gov.au/mbs/fullDisplay.cfm?type=item&amp;amp;q=599&amp;amp;qt=item&lt;/url&gt;&lt;/related-urls&gt;&lt;/urls&gt;&lt;/record&gt;&lt;/Cite&gt;&lt;/EndNote&gt;</w:instrText>
      </w:r>
      <w:r w:rsidRPr="009B783C">
        <w:fldChar w:fldCharType="separate"/>
      </w:r>
      <w:r w:rsidR="00963C8D" w:rsidRPr="009B783C">
        <w:t xml:space="preserve">Australian Government Department of Health and Aged Care. (2024b). </w:t>
      </w:r>
      <w:r w:rsidR="00963C8D" w:rsidRPr="009B783C">
        <w:rPr>
          <w:i/>
        </w:rPr>
        <w:t>MBS Online: Medicare Benefits Schedule - Associated Notes After Hours Attendances</w:t>
      </w:r>
      <w:r w:rsidR="00963C8D" w:rsidRPr="009B783C">
        <w:t>. Retrieved 21 November from https://www9.health.gov.au/mbs/fullDisplay.cfm?type=item&amp;q=599&amp;qt=item</w:t>
      </w:r>
      <w:r w:rsidRPr="009B783C">
        <w:fldChar w:fldCharType="end"/>
      </w:r>
    </w:p>
  </w:footnote>
  <w:footnote w:id="86">
    <w:p w14:paraId="32C53E6D" w14:textId="77777777" w:rsidR="003E6A4A" w:rsidRPr="009B783C" w:rsidRDefault="003E6A4A" w:rsidP="00A62910">
      <w:pPr>
        <w:pStyle w:val="Footer"/>
      </w:pPr>
      <w:r w:rsidRPr="009B783C">
        <w:rPr>
          <w:rStyle w:val="FootnoteReference"/>
          <w:szCs w:val="15"/>
        </w:rPr>
        <w:footnoteRef/>
      </w:r>
      <w:r w:rsidRPr="009B783C">
        <w:t xml:space="preserve"> Note limitations of publicly available data from states and territories for assessing the impact of the Medicare UCC program:</w:t>
      </w:r>
    </w:p>
    <w:p w14:paraId="53F8AC85" w14:textId="4F6D35A4" w:rsidR="003E6A4A" w:rsidRPr="009B783C" w:rsidRDefault="003E6A4A" w:rsidP="00A62910">
      <w:pPr>
        <w:pStyle w:val="Footer"/>
      </w:pPr>
      <w:r w:rsidRPr="009B783C">
        <w:t xml:space="preserve">This data considers triage </w:t>
      </w:r>
      <w:r w:rsidR="00BF54EE" w:rsidRPr="009B783C">
        <w:t>four</w:t>
      </w:r>
      <w:r w:rsidRPr="009B783C">
        <w:t xml:space="preserve"> and triage </w:t>
      </w:r>
      <w:r w:rsidR="00BF54EE" w:rsidRPr="009B783C">
        <w:t>five</w:t>
      </w:r>
      <w:r w:rsidRPr="009B783C">
        <w:t xml:space="preserve"> presentations to ED, but granular reporting of urgent care equivalent presentations according to the National Healthcare Agreement indicator definition described </w:t>
      </w:r>
      <w:r w:rsidR="008065BB" w:rsidRPr="009B783C">
        <w:t xml:space="preserve">in section </w:t>
      </w:r>
      <w:r w:rsidR="008065BB" w:rsidRPr="009B783C">
        <w:fldChar w:fldCharType="begin"/>
      </w:r>
      <w:r w:rsidR="008065BB" w:rsidRPr="009B783C">
        <w:instrText xml:space="preserve"> REF _Ref188966978 \r \h </w:instrText>
      </w:r>
      <w:r w:rsidR="008065BB" w:rsidRPr="009B783C">
        <w:fldChar w:fldCharType="separate"/>
      </w:r>
      <w:r w:rsidR="008065BB" w:rsidRPr="009B783C">
        <w:t>1.2</w:t>
      </w:r>
      <w:r w:rsidR="008065BB" w:rsidRPr="009B783C">
        <w:fldChar w:fldCharType="end"/>
      </w:r>
      <w:r w:rsidRPr="009B783C">
        <w:t xml:space="preserve">, is not available. </w:t>
      </w:r>
    </w:p>
    <w:p w14:paraId="2DE378D3" w14:textId="2BAFC2F3" w:rsidR="003E6A4A" w:rsidRPr="009B783C" w:rsidRDefault="003E6A4A" w:rsidP="000701E3">
      <w:pPr>
        <w:pStyle w:val="Footer"/>
      </w:pPr>
      <w:r w:rsidRPr="009B783C">
        <w:t>The evaluators are unable to combine data from different states and territories as different definitions and reporting methods are used across states and territories. Published data from ACT</w:t>
      </w:r>
      <w:r w:rsidR="00145594" w:rsidRPr="009B783C">
        <w:t xml:space="preserve"> and</w:t>
      </w:r>
      <w:r w:rsidRPr="009B783C">
        <w:t xml:space="preserve"> NT </w:t>
      </w:r>
      <w:r w:rsidR="00145594" w:rsidRPr="009B783C">
        <w:t>Health Department</w:t>
      </w:r>
      <w:r w:rsidR="006558EA" w:rsidRPr="009B783C">
        <w:t>s</w:t>
      </w:r>
      <w:r w:rsidR="00145594" w:rsidRPr="009B783C">
        <w:t xml:space="preserve"> were</w:t>
      </w:r>
      <w:r w:rsidRPr="009B783C">
        <w:t xml:space="preserve"> not available (at the time of writing this report) across the period being used by evaluators to estimate impact based on trends before and after the Medicare UCCs opened.</w:t>
      </w:r>
      <w:r w:rsidR="008A611A" w:rsidRPr="009B783C">
        <w:t xml:space="preserve"> </w:t>
      </w:r>
    </w:p>
    <w:p w14:paraId="0A9EFEA9" w14:textId="6D3C7A0F" w:rsidR="003E6A4A" w:rsidRPr="009B783C" w:rsidRDefault="003E6A4A" w:rsidP="000701E3">
      <w:pPr>
        <w:pStyle w:val="Footer"/>
      </w:pPr>
      <w:r w:rsidRPr="009B783C">
        <w:t xml:space="preserve">Most states and territories provide more granular partner hospital data directly to the Department under data sharing agreements, </w:t>
      </w:r>
      <w:r w:rsidR="00A61FDA" w:rsidRPr="009B783C">
        <w:t>h</w:t>
      </w:r>
      <w:r w:rsidRPr="009B783C">
        <w:t xml:space="preserve">owever, data prior to Medicare UCC implementation is not provided through these agreements, which is required to estimate the impact of the program. </w:t>
      </w:r>
    </w:p>
  </w:footnote>
  <w:footnote w:id="87">
    <w:p w14:paraId="7F9B54FA" w14:textId="4D328543" w:rsidR="005E336A" w:rsidRPr="009B783C" w:rsidRDefault="005E336A" w:rsidP="000701E3">
      <w:pPr>
        <w:pStyle w:val="Footer"/>
      </w:pPr>
      <w:r w:rsidRPr="009B783C">
        <w:rPr>
          <w:rStyle w:val="FootnoteReference"/>
        </w:rPr>
        <w:footnoteRef/>
      </w:r>
      <w:r w:rsidRPr="009B783C">
        <w:t xml:space="preserve"> </w:t>
      </w:r>
      <w:r w:rsidR="00CD1CD4" w:rsidRPr="009B783C">
        <w:fldChar w:fldCharType="begin"/>
      </w:r>
      <w:r w:rsidR="006D2623" w:rsidRPr="009B783C">
        <w:instrText xml:space="preserve"> ADDIN EN.CITE &lt;EndNote&gt;&lt;Cite&gt;&lt;Author&gt;Australian Institute of Health and Welfare&lt;/Author&gt;&lt;Year&gt;2023-24&lt;/Year&gt;&lt;RecNum&gt;120&lt;/RecNum&gt;&lt;DisplayText&gt;Australian Institute of Health and Welfare. (2023-24). &lt;style face="italic"&gt;Emergency department care 2023-24 data tables&lt;/style&gt;. https://www.aihw.gov.au/reports-data/myhospitals/sectors/emergency-department-care%23more-data, Tasmanian Government Department of Health. (2024). &lt;style face="italic"&gt;Emergency department - presentations&lt;/style&gt;. Retrieved 21 November from https://www.health.tas.gov.au/health-system-dashboard/monthly/emergency-department&lt;/DisplayText&gt;&lt;record&gt;&lt;rec-number&gt;120&lt;/rec-number&gt;&lt;foreign-keys&gt;&lt;key app="EN" db-id="dawdzvawp59fxqevpt559rphwt5dfwx2xwa5" timestamp="1734409041" guid="e439ea74-ef40-44c0-b9d5-3b530ee71505"&gt;120&lt;/key&gt;&lt;/foreign-keys&gt;&lt;ref-type name="Report"&gt;27&lt;/ref-type&gt;&lt;contributors&gt;&lt;authors&gt;&lt;author&gt;Australian Institute of Health and Welfare,,&lt;/author&gt;&lt;/authors&gt;&lt;/contributors&gt;&lt;titles&gt;&lt;title&gt;Emergency department care 2023-24 data tables&lt;/title&gt;&lt;/titles&gt;&lt;dates&gt;&lt;year&gt;2023-24&lt;/year&gt;&lt;/dates&gt;&lt;urls&gt;&lt;related-urls&gt;&lt;url&gt;https://www.aihw.gov.au/reports-data/myhospitals/sectors/emergency-department-care%23more-data&lt;/url&gt;&lt;/related-urls&gt;&lt;/urls&gt;&lt;/record&gt;&lt;/Cite&gt;&lt;Cite&gt;&lt;Author&gt;Tasmanian Government Department of Health&lt;/Author&gt;&lt;Year&gt;2024&lt;/Year&gt;&lt;RecNum&gt;121&lt;/RecNum&gt;&lt;record&gt;&lt;rec-number&gt;121&lt;/rec-number&gt;&lt;foreign-keys&gt;&lt;key app="EN" db-id="dawdzvawp59fxqevpt559rphwt5dfwx2xwa5" timestamp="1734411920" guid="ae6ee94e-b4d3-44fc-97ae-46430e481677"&gt;121&lt;/key&gt;&lt;/foreign-keys&gt;&lt;ref-type name="Web Page"&gt;12&lt;/ref-type&gt;&lt;contributors&gt;&lt;authors&gt;&lt;author&gt;Tasmanian Government Department of Health,,&lt;/author&gt;&lt;/authors&gt;&lt;/contributors&gt;&lt;titles&gt;&lt;title&gt;Emergency department - presentations&lt;/title&gt;&lt;/titles&gt;&lt;volume&gt;2024&lt;/volume&gt;&lt;number&gt;21 November&lt;/number&gt;&lt;dates&gt;&lt;year&gt;2024&lt;/year&gt;&lt;/dates&gt;&lt;urls&gt;&lt;related-urls&gt;&lt;url&gt;https://www.health.tas.gov.au/health-system-dashboard/monthly/emergency-department&lt;/url&gt;&lt;/related-urls&gt;&lt;/urls&gt;&lt;/record&gt;&lt;/Cite&gt;&lt;/EndNote&gt;</w:instrText>
      </w:r>
      <w:r w:rsidR="00CD1CD4" w:rsidRPr="009B783C">
        <w:fldChar w:fldCharType="separate"/>
      </w:r>
      <w:r w:rsidR="006D2623" w:rsidRPr="009B783C">
        <w:t xml:space="preserve">Australian Institute of Health and Welfare. (2023-24). </w:t>
      </w:r>
      <w:r w:rsidR="006D2623" w:rsidRPr="009B783C">
        <w:rPr>
          <w:i/>
        </w:rPr>
        <w:t>Emergency department care 2023-24 data tables</w:t>
      </w:r>
      <w:r w:rsidR="006D2623" w:rsidRPr="009B783C">
        <w:t xml:space="preserve">. https://www.aihw.gov.au/reports-data/myhospitals/sectors/emergency-department-care%23more-data, Tasmanian Government Department of Health. (2024). </w:t>
      </w:r>
      <w:r w:rsidR="006D2623" w:rsidRPr="009B783C">
        <w:rPr>
          <w:i/>
        </w:rPr>
        <w:t>Emergency department - presentations</w:t>
      </w:r>
      <w:r w:rsidR="006D2623" w:rsidRPr="009B783C">
        <w:t>. Retrieved 21 November from https://www.health.tas.gov.au/health-system-dashboard/monthly/emergency-department</w:t>
      </w:r>
      <w:r w:rsidR="00CD1CD4" w:rsidRPr="009B783C">
        <w:fldChar w:fldCharType="end"/>
      </w:r>
    </w:p>
  </w:footnote>
  <w:footnote w:id="88">
    <w:p w14:paraId="6CB7F49A" w14:textId="77777777" w:rsidR="005060B8" w:rsidRPr="009B783C" w:rsidRDefault="005060B8" w:rsidP="005060B8">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&lt;EndNote&gt;&lt;Cite&gt;&lt;Author&gt;NSW Bureau of Health Information&lt;/Author&gt;&lt;Year&gt;2024&lt;/Year&gt;&lt;RecNum&gt;101&lt;/RecNum&gt;&lt;DisplayText&gt;NSW Bureau of Health Information. (2024). &lt;style face="italic"&gt;Data portal&lt;/style&gt;. Retrieved 3 December from https://www.bhi.nsw.gov.au/data-portal&lt;/DisplayText&gt;&lt;record&gt;&lt;rec-number&gt;101&lt;/rec-number&gt;&lt;foreign-keys&gt;&lt;key app="EN" db-id="dawdzvawp59fxqevpt559rphwt5dfwx2xwa5" timestamp="1733772398" guid="a023a0c9-a15c-4f0b-bdb3-1d63dcfa7383"&gt;101&lt;/key&gt;&lt;/foreign-keys&gt;&lt;ref-type name="Web Page"&gt;12&lt;/ref-type&gt;&lt;contributors&gt;&lt;authors&gt;&lt;author&gt;NSW Bureau of Health Information,,&lt;/author&gt;&lt;/authors&gt;&lt;/contributors&gt;&lt;titles&gt;&lt;title&gt;Data portal&lt;/title&gt;&lt;/titles&gt;&lt;volume&gt;2024&lt;/volume&gt;&lt;number&gt;3 December&lt;/number&gt;&lt;dates&gt;&lt;year&gt;2024&lt;/year&gt;&lt;/dates&gt;&lt;urls&gt;&lt;related-urls&gt;&lt;url&gt;https://www.bhi.nsw.gov.au/data-portal&lt;/url&gt;&lt;/related-urls&gt;&lt;/urls&gt;&lt;/record&gt;&lt;/Cite&gt;&lt;/EndNote&gt;</w:instrText>
      </w:r>
      <w:r w:rsidRPr="009B783C">
        <w:fldChar w:fldCharType="separate"/>
      </w:r>
      <w:r w:rsidRPr="009B783C">
        <w:t xml:space="preserve">NSW Bureau of Health Information. (2024). </w:t>
      </w:r>
      <w:r w:rsidRPr="009B783C">
        <w:rPr>
          <w:i/>
        </w:rPr>
        <w:t>Data portal</w:t>
      </w:r>
      <w:r w:rsidRPr="009B783C">
        <w:t>. Retrieved 3 December from https://www.bhi.nsw.gov.au/data-portal</w:t>
      </w:r>
      <w:r w:rsidRPr="009B783C">
        <w:fldChar w:fldCharType="end"/>
      </w:r>
    </w:p>
  </w:footnote>
  <w:footnote w:id="89">
    <w:p w14:paraId="682FB1DA" w14:textId="77777777" w:rsidR="005060B8" w:rsidRPr="009B783C" w:rsidRDefault="005060B8" w:rsidP="005060B8">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&lt;EndNote&gt;&lt;Cite&gt;&lt;Author&gt;Victorian Agency for Health Information&lt;/Author&gt;&lt;Year&gt;2024&lt;/Year&gt;&lt;RecNum&gt;102&lt;/RecNum&gt;&lt;DisplayText&gt;Victorian Agency for Health Information. (2024). &lt;style face="italic"&gt;Reports&lt;/style&gt;. Retrieved 3 December from https://vahi.vic.gov.au/reports&lt;/DisplayText&gt;&lt;record&gt;&lt;rec-number&gt;102&lt;/rec-number&gt;&lt;foreign-keys&gt;&lt;key app="EN" db-id="dawdzvawp59fxqevpt559rphwt5dfwx2xwa5" timestamp="1733772586" guid="0f9f4f13-ce3a-4f81-aa28-2d3f1947192f"&gt;102&lt;/key&gt;&lt;/foreign-keys&gt;&lt;ref-type name="Web Page"&gt;12&lt;/ref-type&gt;&lt;contributors&gt;&lt;authors&gt;&lt;author&gt;Victorian Agency for Health Information,,&lt;/author&gt;&lt;/authors&gt;&lt;/contributors&gt;&lt;titles&gt;&lt;title&gt;Reports&lt;/title&gt;&lt;/titles&gt;&lt;volume&gt;2024&lt;/volume&gt;&lt;number&gt;3 December&lt;/number&gt;&lt;dates&gt;&lt;year&gt;2024&lt;/year&gt;&lt;/dates&gt;&lt;urls&gt;&lt;related-urls&gt;&lt;url&gt;https://vahi.vic.gov.au/reports&lt;/url&gt;&lt;/related-urls&gt;&lt;/urls&gt;&lt;/record&gt;&lt;/Cite&gt;&lt;/EndNote&gt;</w:instrText>
      </w:r>
      <w:r w:rsidRPr="009B783C">
        <w:fldChar w:fldCharType="separate"/>
      </w:r>
      <w:r w:rsidRPr="009B783C">
        <w:t xml:space="preserve">Victorian Agency for Health Information. (2024). </w:t>
      </w:r>
      <w:r w:rsidRPr="009B783C">
        <w:rPr>
          <w:i/>
        </w:rPr>
        <w:t>Reports</w:t>
      </w:r>
      <w:r w:rsidRPr="009B783C">
        <w:t>. Retrieved 3 December from https://vahi.vic.gov.au/reports</w:t>
      </w:r>
      <w:r w:rsidRPr="009B783C">
        <w:fldChar w:fldCharType="end"/>
      </w:r>
    </w:p>
  </w:footnote>
  <w:footnote w:id="90">
    <w:p w14:paraId="08C6E66B" w14:textId="77777777" w:rsidR="005060B8" w:rsidRPr="009B783C" w:rsidRDefault="005060B8" w:rsidP="005060B8">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&lt;EndNote&gt;&lt;Cite&gt;&lt;Author&gt;Queensland Government&lt;/Author&gt;&lt;Year&gt;2024&lt;/Year&gt;&lt;RecNum&gt;103&lt;/RecNum&gt;&lt;DisplayText&gt;Queensland Government. (2024). &lt;style face="italic"&gt;Emergency departments - quarterly report&lt;/style&gt;. Retrieved 3 December from https://www.data.qld.gov.au/dataset/emergency-departments-quarterly-data&lt;/DisplayText&gt;&lt;record&gt;&lt;rec-number&gt;103&lt;/rec-number&gt;&lt;foreign-keys&gt;&lt;key app="EN" db-id="dawdzvawp59fxqevpt559rphwt5dfwx2xwa5" timestamp="1733772722" guid="bacdf62c-e117-4092-be75-54308fed8306"&gt;103&lt;/key&gt;&lt;/foreign-keys&gt;&lt;ref-type name="Web Page"&gt;12&lt;/ref-type&gt;&lt;contributors&gt;&lt;authors&gt;&lt;author&gt;Queensland Government,,&lt;/author&gt;&lt;/authors&gt;&lt;/contributors&gt;&lt;titles&gt;&lt;title&gt;Emergency departments - quarterly report&lt;/title&gt;&lt;/titles&gt;&lt;volume&gt;2024&lt;/volume&gt;&lt;number&gt;3 December&lt;/number&gt;&lt;dates&gt;&lt;year&gt;2024&lt;/year&gt;&lt;/dates&gt;&lt;urls&gt;&lt;related-urls&gt;&lt;url&gt;https://www.data.qld.gov.au/dataset/emergency-departments-quarterly-data&lt;/url&gt;&lt;/related-urls&gt;&lt;/urls&gt;&lt;/record&gt;&lt;/Cite&gt;&lt;/EndNote&gt;</w:instrText>
      </w:r>
      <w:r w:rsidRPr="009B783C">
        <w:fldChar w:fldCharType="separate"/>
      </w:r>
      <w:r w:rsidRPr="009B783C">
        <w:t xml:space="preserve">Queensland Government. (2024). </w:t>
      </w:r>
      <w:r w:rsidRPr="009B783C">
        <w:rPr>
          <w:i/>
        </w:rPr>
        <w:t>Emergency departments - quarterly report</w:t>
      </w:r>
      <w:r w:rsidRPr="009B783C">
        <w:t>. Retrieved 3 December from https://www.data.qld.gov.au/dataset/emergency-departments-quarterly-data</w:t>
      </w:r>
      <w:r w:rsidRPr="009B783C">
        <w:fldChar w:fldCharType="end"/>
      </w:r>
    </w:p>
  </w:footnote>
  <w:footnote w:id="91">
    <w:p w14:paraId="518251C4" w14:textId="77777777" w:rsidR="005060B8" w:rsidRPr="009B783C" w:rsidRDefault="005060B8" w:rsidP="003E79FA">
      <w:pPr>
        <w:pStyle w:val="Footer"/>
      </w:pPr>
      <w:r w:rsidRPr="009B783C">
        <w:rPr>
          <w:rStyle w:val="FootnoteReference"/>
          <w:szCs w:val="15"/>
        </w:rPr>
        <w:footnoteRef/>
      </w:r>
      <w:r w:rsidRPr="009B783C">
        <w:t xml:space="preserve"> </w:t>
      </w:r>
      <w:r w:rsidRPr="009B783C">
        <w:fldChar w:fldCharType="begin"/>
      </w:r>
      <w:r w:rsidRPr="009B783C">
        <w:instrText xml:space="preserve"> ADDIN EN.CITE &lt;EndNote&gt;&lt;Cite&gt;&lt;Author&gt;Tasmanian Government Department of Health&lt;/Author&gt;&lt;Year&gt;2024&lt;/Year&gt;&lt;RecNum&gt;121&lt;/RecNum&gt;&lt;DisplayText&gt;Tasmanian Government Department of Health. (2024). &lt;style face="italic"&gt;Emergency department - presentations&lt;/style&gt;. Retrieved 21 November from https://www.health.tas.gov.au/health-system-dashboard/monthly/emergency-department&lt;/DisplayText&gt;&lt;record&gt;&lt;rec-number&gt;121&lt;/rec-number&gt;&lt;foreign-keys&gt;&lt;key app="EN" db-id="dawdzvawp59fxqevpt559rphwt5dfwx2xwa5" timestamp="1734411920" guid="ae6ee94e-b4d3-44fc-97ae-46430e481677"&gt;121&lt;/key&gt;&lt;/foreign-keys&gt;&lt;ref-type name="Web Page"&gt;12&lt;/ref-type&gt;&lt;contributors&gt;&lt;authors&gt;&lt;author&gt;Tasmanian Government Department of Health,,&lt;/author&gt;&lt;/authors&gt;&lt;/contributors&gt;&lt;titles&gt;&lt;title&gt;Emergency department - presentations&lt;/title&gt;&lt;/titles&gt;&lt;volume&gt;2024&lt;/volume&gt;&lt;number&gt;21 November&lt;/number&gt;&lt;dates&gt;&lt;year&gt;2024&lt;/year&gt;&lt;/dates&gt;&lt;urls&gt;&lt;related-urls&gt;&lt;url&gt;https://www.health.tas.gov.au/health-system-dashboard/monthly/emergency-department&lt;/url&gt;&lt;/related-urls&gt;&lt;/urls&gt;&lt;/record&gt;&lt;/Cite&gt;&lt;/EndNote&gt;</w:instrText>
      </w:r>
      <w:r w:rsidRPr="009B783C">
        <w:fldChar w:fldCharType="separate"/>
      </w:r>
      <w:r w:rsidRPr="009B783C">
        <w:t xml:space="preserve">Tasmanian Government Department of Health. (2024). </w:t>
      </w:r>
      <w:r w:rsidRPr="009B783C">
        <w:rPr>
          <w:i/>
        </w:rPr>
        <w:t>Emergency department - presentations</w:t>
      </w:r>
      <w:r w:rsidRPr="009B783C">
        <w:t>. Retrieved 21 November from https://www.health.tas.gov.au/health-system-dashboard/monthly/emergency-department</w:t>
      </w:r>
      <w:r w:rsidRPr="009B783C">
        <w:fldChar w:fldCharType="end"/>
      </w:r>
    </w:p>
  </w:footnote>
  <w:footnote w:id="92">
    <w:p w14:paraId="4DBFC0B2" w14:textId="77777777" w:rsidR="00E463F1" w:rsidRPr="009B783C" w:rsidRDefault="00E463F1" w:rsidP="00E463F1">
      <w:pPr>
        <w:pStyle w:val="Footer"/>
      </w:pPr>
      <w:r w:rsidRPr="009B783C">
        <w:rPr>
          <w:rStyle w:val="FootnoteReference"/>
        </w:rPr>
        <w:footnoteRef/>
      </w:r>
      <w:r w:rsidRPr="009B783C">
        <w:t xml:space="preserve"> </w:t>
      </w:r>
      <w:r w:rsidRPr="009B783C">
        <w:fldChar w:fldCharType="begin"/>
      </w:r>
      <w:r w:rsidRPr="009B783C">
        <w:instrText xml:space="preserve"> ADDIN EN.CITE &lt;EndNote&gt;&lt;Cite&gt;&lt;Author&gt;Australian Centre for Disease Control&lt;/Author&gt;&lt;Year&gt;2024&lt;/Year&gt;&lt;RecNum&gt;20&lt;/RecNum&gt;&lt;DisplayText&gt;Australian Centre for Disease Control. (2024). &lt;style face="italic"&gt;Australian Respitatory Surveillance Report&lt;/style&gt;. Department of Health and Aged Care. https://www.health.gov.au/sites/default/files/2024-10/australian-respiratory-surveillance-report-15-7-october-2024-to-20-october-2024_0.pdf&lt;/DisplayText&gt;&lt;record&gt;&lt;rec-number&gt;20&lt;/rec-number&gt;&lt;foreign-keys&gt;&lt;key app="EN" db-id="dawdzvawp59fxqevpt559rphwt5dfwx2xwa5" timestamp="1732859218" guid="98dbc453-3af8-4df9-9ea2-07f4be0cf2d7"&gt;20&lt;/key&gt;&lt;/foreign-keys&gt;&lt;ref-type name="Report"&gt;27&lt;/ref-type&gt;&lt;contributors&gt;&lt;authors&gt;&lt;author&gt;Australian Centre for Disease Control,,&lt;/author&gt;&lt;/authors&gt;&lt;tertiary-authors&gt;&lt;author&gt;Department of Health and Aged Care,,&lt;/author&gt;&lt;/tertiary-authors&gt;&lt;/contributors&gt;&lt;titles&gt;&lt;title&gt;Australian Respitatory Surveillance Report&lt;/title&gt;&lt;/titles&gt;&lt;volume&gt;15&lt;/volume&gt;&lt;dates&gt;&lt;year&gt;2024&lt;/year&gt;&lt;/dates&gt;&lt;urls&gt;&lt;related-urls&gt;&lt;url&gt;https://www.health.gov.au/sites/default/files/2024-10/australian-respiratory-surveillance-report-15-7-october-2024-to-20-october-2024_0.pdf&lt;/url&gt;&lt;/related-urls&gt;&lt;/urls&gt;&lt;/record&gt;&lt;/Cite&gt;&lt;/EndNote&gt;</w:instrText>
      </w:r>
      <w:r w:rsidRPr="009B783C">
        <w:fldChar w:fldCharType="separate"/>
      </w:r>
      <w:r w:rsidRPr="009B783C">
        <w:t xml:space="preserve">Australian Centre for Disease Control. (2024). </w:t>
      </w:r>
      <w:r w:rsidRPr="009B783C">
        <w:rPr>
          <w:i/>
        </w:rPr>
        <w:t>Australian Respitatory Surveillance Report</w:t>
      </w:r>
      <w:r w:rsidRPr="009B783C">
        <w:t>. Department of Health and Aged Care. https://www.health.gov.au/sites/default/files/2024-10/australian-respiratory-surveillance-report-15-7-october-2024-to-20-october-2024_0.pdf</w:t>
      </w:r>
      <w:r w:rsidRPr="009B783C">
        <w:fldChar w:fldCharType="end"/>
      </w:r>
    </w:p>
  </w:footnote>
  <w:footnote w:id="93">
    <w:p w14:paraId="41944873" w14:textId="77777777" w:rsidR="00682200" w:rsidRPr="009B783C" w:rsidRDefault="00682200" w:rsidP="00682200">
      <w:pPr>
        <w:pStyle w:val="Footer"/>
      </w:pPr>
      <w:r w:rsidRPr="009B783C">
        <w:rPr>
          <w:rStyle w:val="FootnoteReference"/>
        </w:rPr>
        <w:footnoteRef/>
      </w:r>
      <w:r w:rsidRPr="009B783C">
        <w:t xml:space="preserve"> Although this variable is intended to be collected by asking patients </w:t>
      </w:r>
      <w:r w:rsidRPr="009B783C">
        <w:rPr>
          <w:i/>
        </w:rPr>
        <w:t>where they would have gone or sought advice from</w:t>
      </w:r>
      <w:r w:rsidRPr="009B783C">
        <w:t xml:space="preserve"> if a Medicare UCC was not available, some commissioners reported that clinic staff sometimes make this assessment on behalf of the patient.</w:t>
      </w:r>
    </w:p>
  </w:footnote>
  <w:footnote w:id="94">
    <w:p w14:paraId="58F04E1B" w14:textId="3FB7F731" w:rsidR="0098687F" w:rsidRPr="009B783C" w:rsidRDefault="0098687F" w:rsidP="00804A7A">
      <w:pPr>
        <w:pStyle w:val="Footer"/>
      </w:pPr>
      <w:r w:rsidRPr="009B783C">
        <w:rPr>
          <w:rStyle w:val="FootnoteReference"/>
          <w:sz w:val="16"/>
          <w:szCs w:val="16"/>
        </w:rPr>
        <w:footnoteRef/>
      </w:r>
      <w:r w:rsidRPr="009B783C">
        <w:t xml:space="preserve"> Impressions are defined as the number of times that an advert appears on screen. </w:t>
      </w:r>
      <w:r w:rsidRPr="009B783C">
        <w:fldChar w:fldCharType="begin"/>
      </w:r>
      <w:r w:rsidR="00857810" w:rsidRPr="009B783C">
        <w:instrText xml:space="preserve"> ADDIN EN.CITE &lt;EndNote&gt;&lt;Cite&gt;&lt;Author&gt;Meta&lt;/Author&gt;&lt;Year&gt;2024&lt;/Year&gt;&lt;RecNum&gt;21&lt;/RecNum&gt;&lt;DisplayText&gt;Meta. (2024). &lt;style face="italic"&gt;Business Help Centre: Impressions&lt;/style&gt;. https://www.facebook.com/business/help/675615482516035?locale=en_GB&lt;/DisplayText&gt;&lt;record&gt;&lt;rec-number&gt;21&lt;/rec-number&gt;&lt;foreign-keys&gt;&lt;key app="EN" db-id="dawdzvawp59fxqevpt559rphwt5dfwx2xwa5" timestamp="1732946024" guid="f028b520-ef13-4fb0-b823-beacf2e8638e"&gt;21&lt;/key&gt;&lt;/foreign-keys&gt;&lt;ref-type name="Web Page"&gt;12&lt;/ref-type&gt;&lt;contributors&gt;&lt;authors&gt;&lt;author&gt;Meta&lt;/author&gt;&lt;/authors&gt;&lt;/contributors&gt;&lt;titles&gt;&lt;title&gt;Business Help Centre: Impressions&lt;/title&gt;&lt;/titles&gt;&lt;dates&gt;&lt;year&gt;2024&lt;/year&gt;&lt;/dates&gt;&lt;urls&gt;&lt;related-urls&gt;&lt;url&gt;https://www.facebook.com/business/help/675615482516035?locale=en_GB&lt;/url&gt;&lt;/related-urls&gt;&lt;/urls&gt;&lt;/record&gt;&lt;/Cite&gt;&lt;/EndNote&gt;</w:instrText>
      </w:r>
      <w:r w:rsidRPr="009B783C">
        <w:fldChar w:fldCharType="separate"/>
      </w:r>
      <w:r w:rsidRPr="009B783C">
        <w:t xml:space="preserve">Meta. (2024). </w:t>
      </w:r>
      <w:r w:rsidRPr="009B783C">
        <w:rPr>
          <w:i/>
        </w:rPr>
        <w:t>Business Help Centre: Impressions</w:t>
      </w:r>
      <w:r w:rsidRPr="009B783C">
        <w:t>. https://www.facebook.com/business/help/675615482516035?locale=en_GB</w:t>
      </w:r>
      <w:r w:rsidRPr="009B783C">
        <w:fldChar w:fldCharType="end"/>
      </w:r>
    </w:p>
  </w:footnote>
  <w:footnote w:id="95">
    <w:p w14:paraId="64F82855" w14:textId="77777777" w:rsidR="0098687F" w:rsidRPr="009B783C" w:rsidRDefault="0098687F" w:rsidP="00804A7A">
      <w:pPr>
        <w:pStyle w:val="Footer"/>
      </w:pPr>
      <w:r w:rsidRPr="009B783C">
        <w:rPr>
          <w:rStyle w:val="FootnoteReference"/>
          <w:sz w:val="16"/>
          <w:szCs w:val="16"/>
        </w:rPr>
        <w:footnoteRef/>
      </w:r>
      <w:r w:rsidRPr="009B783C">
        <w:t xml:space="preserve"> Department of Health. </w:t>
      </w:r>
      <w:hyperlink r:id="rId2" w:anchor=":~:text=The%20After%20Hours%20Review%20investigated,improvements%20and%20longer%2Dterm%20reform." w:history="1">
        <w:r w:rsidRPr="009B783C">
          <w:rPr>
            <w:rStyle w:val="Hyperlink"/>
            <w:sz w:val="16"/>
            <w:szCs w:val="16"/>
          </w:rPr>
          <w:t xml:space="preserve">A better </w:t>
        </w:r>
        <w:r w:rsidRPr="009B783C">
          <w:rPr>
            <w:rStyle w:val="Hyperlink"/>
            <w:sz w:val="16"/>
            <w:szCs w:val="16"/>
          </w:rPr>
          <w:t>after hours system</w:t>
        </w:r>
      </w:hyperlink>
      <w:r w:rsidRPr="009B783C">
        <w:t xml:space="preserve">. 2024. </w:t>
      </w:r>
    </w:p>
  </w:footnote>
  <w:footnote w:id="96">
    <w:p w14:paraId="4964E338" w14:textId="77777777" w:rsidR="005B4C79" w:rsidRPr="009B783C" w:rsidRDefault="005B4C79" w:rsidP="00804A7A">
      <w:pPr>
        <w:pStyle w:val="Footer"/>
      </w:pPr>
      <w:r w:rsidRPr="009B783C">
        <w:rPr>
          <w:rStyle w:val="FootnoteReference"/>
          <w:sz w:val="16"/>
          <w:szCs w:val="11"/>
        </w:rPr>
        <w:footnoteRef/>
      </w:r>
      <w:r w:rsidRPr="009B783C">
        <w:t xml:space="preserve"> Agency for Healthcare Research and Quality. (2024). Care Coordination. https://www.ahrq.gov/ncepcr/care/coordination.html</w:t>
      </w:r>
    </w:p>
  </w:footnote>
  <w:footnote w:id="97">
    <w:p w14:paraId="3E6DB81B" w14:textId="7FD64049" w:rsidR="005B4C79" w:rsidRPr="009B783C" w:rsidRDefault="005B4C79" w:rsidP="00804A7A">
      <w:pPr>
        <w:pStyle w:val="Footer"/>
      </w:pPr>
      <w:r w:rsidRPr="009B783C">
        <w:rPr>
          <w:rStyle w:val="FootnoteReference"/>
          <w:sz w:val="16"/>
          <w:szCs w:val="11"/>
        </w:rPr>
        <w:footnoteRef/>
      </w:r>
      <w:r w:rsidR="0082526D" w:rsidRPr="009B783C">
        <w:t xml:space="preserve"> </w:t>
      </w:r>
      <w:r w:rsidR="00D147CF" w:rsidRPr="009B783C">
        <w:fldChar w:fldCharType="begin"/>
      </w:r>
      <w:r w:rsidR="00963C8D" w:rsidRPr="009B783C">
        <w:instrText xml:space="preserve"> ADDIN EN.CITE &lt;EndNote&gt;&lt;Cite&gt;&lt;Author&gt;NSW Agency for Clinical Innovation&lt;/Author&gt;&lt;Year&gt;2024&lt;/Year&gt;&lt;RecNum&gt;119&lt;/RecNum&gt;&lt;DisplayText&gt;NSW Agency for Clinical Innovation. (2024). &lt;style face="italic"&gt;Care Coordination&lt;/style&gt;. Retrieved 29 November from https://aci.health.nsw.gov.au/projects/consumer-enablement/how-to-support-enablement/care-coordination&lt;/DisplayText&gt;&lt;record&gt;&lt;rec-number&gt;119&lt;/rec-number&gt;&lt;foreign-keys&gt;&lt;key app="EN" db-id="dawdzvawp59fxqevpt559rphwt5dfwx2xwa5" timestamp="1734304912" guid="9c75da9c-6831-411d-bac1-cf302590e228"&gt;119&lt;/key&gt;&lt;/foreign-keys&gt;&lt;ref-type name="Web Page"&gt;12&lt;/ref-type&gt;&lt;contributors&gt;&lt;authors&gt;&lt;author&gt;NSW Agency for Clinical Innovation,,&lt;/author&gt;&lt;/authors&gt;&lt;/contributors&gt;&lt;titles&gt;&lt;title&gt;Care Coordination&lt;/title&gt;&lt;/titles&gt;&lt;volume&gt;2024&lt;/volume&gt;&lt;number&gt;29 November&lt;/number&gt;&lt;dates&gt;&lt;year&gt;2024&lt;/year&gt;&lt;/dates&gt;&lt;urls&gt;&lt;related-urls&gt;&lt;url&gt;https://aci.health.nsw.gov.au/projects/consumer-enablement/how-to-support-enablement/care-coordination&lt;/url&gt;&lt;/related-urls&gt;&lt;/urls&gt;&lt;/record&gt;&lt;/Cite&gt;&lt;/EndNote&gt;</w:instrText>
      </w:r>
      <w:r w:rsidR="00D147CF" w:rsidRPr="009B783C">
        <w:fldChar w:fldCharType="separate"/>
      </w:r>
      <w:r w:rsidR="00D147CF" w:rsidRPr="009B783C">
        <w:t xml:space="preserve">NSW Agency for Clinical Innovation. (2024). </w:t>
      </w:r>
      <w:r w:rsidR="00D147CF" w:rsidRPr="009B783C">
        <w:rPr>
          <w:i/>
        </w:rPr>
        <w:t>Care Coordination</w:t>
      </w:r>
      <w:r w:rsidR="00D147CF" w:rsidRPr="009B783C">
        <w:t>. Retrieved 29 November from https://aci.health.nsw.gov.au/projects/consumer-enablement/how-to-support-enablement/care-coordination</w:t>
      </w:r>
      <w:r w:rsidR="00D147CF" w:rsidRPr="009B783C">
        <w:fldChar w:fldCharType="end"/>
      </w:r>
    </w:p>
  </w:footnote>
  <w:footnote w:id="98">
    <w:p w14:paraId="123CB8B5" w14:textId="520F1FB9" w:rsidR="005B4C79" w:rsidRPr="009B783C" w:rsidRDefault="005B4C79" w:rsidP="00804A7A">
      <w:pPr>
        <w:pStyle w:val="Footer"/>
      </w:pPr>
      <w:r w:rsidRPr="009B783C">
        <w:rPr>
          <w:rStyle w:val="FootnoteReference"/>
          <w:sz w:val="16"/>
          <w:szCs w:val="11"/>
        </w:rPr>
        <w:footnoteRef/>
      </w:r>
      <w:r w:rsidR="0082526D" w:rsidRPr="009B783C">
        <w:t xml:space="preserve"> </w:t>
      </w:r>
      <w:r w:rsidR="005B610E" w:rsidRPr="009B783C">
        <w:fldChar w:fldCharType="begin"/>
      </w:r>
      <w:r w:rsidR="00963C8D" w:rsidRPr="009B783C">
        <w:instrText xml:space="preserve"> ADDIN EN.CITE &lt;EndNote&gt;&lt;Cite&gt;&lt;Author&gt;Australian Institute of Health and Welfare&lt;/Author&gt;&lt;Year&gt;2023&lt;/Year&gt;&lt;RecNum&gt;118&lt;/RecNum&gt;&lt;DisplayText&gt;Australian Institute of Health and Welfare. (2023a). &lt;style face="italic"&gt;Coordination of health care&lt;/style&gt;. Retrieved 29 November from https://www.aihw.gov.au/reports-data/health-welfare-overview/health-care-quality-performance/coordination-of-health-care&lt;/DisplayText&gt;&lt;record&gt;&lt;rec-number&gt;118&lt;/rec-number&gt;&lt;foreign-keys&gt;&lt;key app="EN" db-id="dawdzvawp59fxqevpt559rphwt5dfwx2xwa5" timestamp="1734304793" guid="03885e39-652b-4cf1-887a-b1aca243a904"&gt;118&lt;/key&gt;&lt;/foreign-keys&gt;&lt;ref-type name="Web Page"&gt;12&lt;/ref-type&gt;&lt;contributors&gt;&lt;authors&gt;&lt;author&gt;Australian Institute of Health and Welfare,,&lt;/author&gt;&lt;/authors&gt;&lt;/contributors&gt;&lt;titles&gt;&lt;title&gt;Coordination of health care&lt;/title&gt;&lt;/titles&gt;&lt;volume&gt;2024&lt;/volume&gt;&lt;number&gt;29 November&lt;/number&gt;&lt;dates&gt;&lt;year&gt;2023&lt;/year&gt;&lt;/dates&gt;&lt;urls&gt;&lt;related-urls&gt;&lt;url&gt;https://www.aihw.gov.au/reports-data/health-welfare-overview/health-care-quality-performance/coordination-of-health-care&lt;/url&gt;&lt;/related-urls&gt;&lt;/urls&gt;&lt;/record&gt;&lt;/Cite&gt;&lt;/EndNote&gt;</w:instrText>
      </w:r>
      <w:r w:rsidR="005B610E" w:rsidRPr="009B783C">
        <w:fldChar w:fldCharType="separate"/>
      </w:r>
      <w:r w:rsidR="005B610E" w:rsidRPr="009B783C">
        <w:t xml:space="preserve">Australian Institute of Health and Welfare. (2023a). </w:t>
      </w:r>
      <w:r w:rsidR="005B610E" w:rsidRPr="009B783C">
        <w:rPr>
          <w:i/>
        </w:rPr>
        <w:t>Coordination of health care</w:t>
      </w:r>
      <w:r w:rsidR="005B610E" w:rsidRPr="009B783C">
        <w:t>. Retrieved 29 November from https://www.aihw.gov.au/reports-data/health-welfare-overview/health-care-quality-performance/coordination-of-health-care</w:t>
      </w:r>
      <w:r w:rsidR="005B610E" w:rsidRPr="009B783C">
        <w:fldChar w:fldCharType="end"/>
      </w:r>
    </w:p>
  </w:footnote>
  <w:footnote w:id="99">
    <w:p w14:paraId="6003D24F" w14:textId="77777777" w:rsidR="00B34D2C" w:rsidRPr="009B783C" w:rsidRDefault="00B34D2C" w:rsidP="003E79FA">
      <w:pPr>
        <w:pStyle w:val="Footer"/>
      </w:pPr>
      <w:r w:rsidRPr="009B783C">
        <w:rPr>
          <w:rStyle w:val="FootnoteReference"/>
          <w:szCs w:val="15"/>
        </w:rPr>
        <w:footnoteRef/>
      </w:r>
      <w:r w:rsidRPr="009B783C">
        <w:t xml:space="preserve"> Independent Health and Aged Care Pricing Authority (IHACPA), 2023. </w:t>
      </w:r>
      <w:r w:rsidRPr="009B783C">
        <w:rPr>
          <w:i/>
        </w:rPr>
        <w:t>National Efficient Price Determination 2023–24. For Australian public hospital services</w:t>
      </w:r>
      <w:r w:rsidRPr="009B783C">
        <w:t>. Appendix L – Price weights for emergency department patients – AECC V1.0.</w:t>
      </w:r>
    </w:p>
  </w:footnote>
  <w:footnote w:id="100">
    <w:p w14:paraId="0DA7F84B" w14:textId="77777777" w:rsidR="00B34D2C" w:rsidRPr="009B783C" w:rsidRDefault="00B34D2C" w:rsidP="003E79FA">
      <w:pPr>
        <w:pStyle w:val="Footer"/>
      </w:pPr>
      <w:r w:rsidRPr="009B783C">
        <w:rPr>
          <w:rStyle w:val="FootnoteReference"/>
          <w:szCs w:val="15"/>
        </w:rPr>
        <w:footnoteRef/>
      </w:r>
      <w:r w:rsidRPr="009B783C">
        <w:t xml:space="preserve"> Independent Health and Aged Care Pricing Authority (IHACPA), 2024. </w:t>
      </w:r>
      <w:r w:rsidRPr="009B783C">
        <w:rPr>
          <w:i/>
        </w:rPr>
        <w:t>National Efficient Price Determination 2024–25. For Australian public hospital services</w:t>
      </w:r>
      <w:r w:rsidRPr="009B783C">
        <w:t>. Appendix L – Price weights for emergency department patients – AECC V1.0.</w:t>
      </w:r>
    </w:p>
  </w:footnote>
  <w:footnote w:id="101">
    <w:p w14:paraId="37BA8ECC" w14:textId="77777777" w:rsidR="00966047" w:rsidRPr="009B783C" w:rsidRDefault="00966047" w:rsidP="00804A7A">
      <w:pPr>
        <w:pStyle w:val="Footer"/>
      </w:pPr>
      <w:r w:rsidRPr="009B783C">
        <w:rPr>
          <w:rStyle w:val="FootnoteReference"/>
          <w:sz w:val="16"/>
          <w:szCs w:val="16"/>
        </w:rPr>
        <w:footnoteRef/>
      </w:r>
      <w:r w:rsidRPr="009B783C">
        <w:t xml:space="preserve"> Australian Bureau of Statistics. (2021). </w:t>
      </w:r>
      <w:r w:rsidRPr="009B783C">
        <w:rPr>
          <w:i/>
        </w:rPr>
        <w:t>Socio-Economic Indexes for Areas (SEIFA)</w:t>
      </w:r>
      <w:r w:rsidRPr="009B783C">
        <w:t>, Australia. ABS. https://www.abs.gov.au/statistics/people/people-and-communities/socio-economic-indexes-areas-seifa-australia/latest-release.</w:t>
      </w:r>
    </w:p>
  </w:footnote>
  <w:footnote w:id="102">
    <w:p w14:paraId="0B0506AD" w14:textId="37B49686" w:rsidR="00966047" w:rsidRPr="009B783C" w:rsidRDefault="00966047" w:rsidP="00966047">
      <w:pPr>
        <w:pStyle w:val="Footer"/>
      </w:pPr>
      <w:r w:rsidRPr="009B783C">
        <w:rPr>
          <w:rStyle w:val="FootnoteReference"/>
        </w:rPr>
        <w:footnoteRef/>
      </w:r>
      <w:r w:rsidR="007C06D6" w:rsidRPr="009B783C">
        <w:t xml:space="preserve"> </w:t>
      </w:r>
      <w:r w:rsidR="007C06D6" w:rsidRPr="009B783C">
        <w:fldChar w:fldCharType="begin"/>
      </w:r>
      <w:r w:rsidR="005B610E" w:rsidRPr="009B783C">
        <w:instrText xml:space="preserve"> ADDIN EN.CITE &lt;EndNote&gt;&lt;Cite&gt;&lt;Author&gt;Australian Institute of Health and Welfare&lt;/Author&gt;&lt;Year&gt;2023&lt;/Year&gt;&lt;RecNum&gt;37&lt;/RecNum&gt;&lt;DisplayText&gt;Australian Institute of Health and Welfare. (2023c). &lt;style face="italic"&gt;National Healthcare Agreement: PI 19–Selected potentially avoidable GP-type presentations to emergency departments, 2022&lt;/style&gt;. https://meteor.aihw.gov.au/content/740847&lt;/DisplayText&gt;&lt;record&gt;&lt;rec-number&gt;37&lt;/rec-number&gt;&lt;foreign-keys&gt;&lt;key app="EN" db-id="dawdzvawp59fxqevpt559rphwt5dfwx2xwa5" timestamp="1733268708" guid="813327ff-0aee-4837-b423-4c8c46f03e0a"&gt;37&lt;/key&gt;&lt;/foreign-keys&gt;&lt;ref-type name="Report"&gt;27&lt;/ref-type&gt;&lt;contributors&gt;&lt;authors&gt;&lt;author&gt;Australian Institute of Health and Welfare,&lt;/author&gt;&lt;/authors&gt;&lt;/contributors&gt;&lt;titles&gt;&lt;title&gt;National Healthcare Agreement: PI 19–Selected potentially avoidable GP-type presentations to emergency departments, 2022&lt;/title&gt;&lt;/titles&gt;&lt;dates&gt;&lt;year&gt;2023&lt;/year&gt;&lt;/dates&gt;&lt;urls&gt;&lt;related-urls&gt;&lt;url&gt;https://meteor.aihw.gov.au/content/740847&lt;/url&gt;&lt;/related-urls&gt;&lt;/urls&gt;&lt;/record&gt;&lt;/Cite&gt;&lt;/EndNote&gt;</w:instrText>
      </w:r>
      <w:r w:rsidR="007C06D6" w:rsidRPr="009B783C">
        <w:fldChar w:fldCharType="separate"/>
      </w:r>
      <w:r w:rsidR="005B610E" w:rsidRPr="009B783C">
        <w:t xml:space="preserve">Australian Institute of Health and Welfare. (2023c). </w:t>
      </w:r>
      <w:r w:rsidR="005B610E" w:rsidRPr="009B783C">
        <w:rPr>
          <w:i/>
        </w:rPr>
        <w:t>National Healthcare Agreement: PI 19–Selected potentially avoidable GP-type presentations to emergency departments, 2022</w:t>
      </w:r>
      <w:r w:rsidR="005B610E" w:rsidRPr="009B783C">
        <w:t>. https://meteor.aihw.gov.au/content/740847</w:t>
      </w:r>
      <w:r w:rsidR="007C06D6" w:rsidRPr="009B783C">
        <w:fldChar w:fldCharType="end"/>
      </w:r>
    </w:p>
  </w:footnote>
  <w:footnote w:id="103">
    <w:p w14:paraId="5ADDC7CE" w14:textId="6B99F167" w:rsidR="00966047" w:rsidRPr="009B783C" w:rsidRDefault="00966047" w:rsidP="00804A7A">
      <w:pPr>
        <w:pStyle w:val="Footer"/>
      </w:pPr>
      <w:r w:rsidRPr="009B783C">
        <w:rPr>
          <w:rStyle w:val="FootnoteReference"/>
          <w:sz w:val="16"/>
          <w:szCs w:val="16"/>
        </w:rPr>
        <w:footnoteRef/>
      </w:r>
      <w:r w:rsidR="007C06D6" w:rsidRPr="009B783C">
        <w:t xml:space="preserve"> </w:t>
      </w:r>
      <w:r w:rsidR="007C06D6" w:rsidRPr="009B783C">
        <w:fldChar w:fldCharType="begin"/>
      </w:r>
      <w:r w:rsidR="005B610E" w:rsidRPr="009B783C">
        <w:instrText xml:space="preserve"> ADDIN EN.CITE &lt;EndNote&gt;&lt;Cite ExcludeYear="1"&gt;&lt;Author&gt;Australian Institute of Health and Welfare&lt;/Author&gt;&lt;Year&gt;2023&lt;/Year&gt;&lt;RecNum&gt;4&lt;/RecNum&gt;&lt;DisplayText&gt;Australian Institute of Health and Welfare. (2023b). &lt;style face="italic"&gt;Emergency department care&lt;/style&gt;. https://www.aihw.gov.au/reports-data/myhospitals/sectors/emergency-department-care&lt;/DisplayText&gt;&lt;record&gt;&lt;rec-number&gt;4&lt;/rec-number&gt;&lt;foreign-keys&gt;&lt;key app="EN" db-id="dawdzvawp59fxqevpt559rphwt5dfwx2xwa5" timestamp="1728696282" guid="3259798a-d924-4e06-a03c-134d70b11770"&gt;4&lt;/key&gt;&lt;/foreign-keys&gt;&lt;ref-type name="Report"&gt;27&lt;/ref-type&gt;&lt;contributors&gt;&lt;authors&gt;&lt;author&gt;Australian Institute of Health and Welfare,,&lt;/author&gt;&lt;/authors&gt;&lt;/contributors&gt;&lt;titles&gt;&lt;title&gt;Emergency department care&lt;/title&gt;&lt;/titles&gt;&lt;dates&gt;&lt;year&gt;2023&lt;/year&gt;&lt;/dates&gt;&lt;urls&gt;&lt;related-urls&gt;&lt;url&gt;https://www.aihw.gov.au/reports-data/myhospitals/sectors/emergency-department-care&lt;/url&gt;&lt;/related-urls&gt;&lt;/urls&gt;&lt;/record&gt;&lt;/Cite&gt;&lt;/EndNote&gt;</w:instrText>
      </w:r>
      <w:r w:rsidR="007C06D6" w:rsidRPr="009B783C">
        <w:fldChar w:fldCharType="separate"/>
      </w:r>
      <w:r w:rsidR="005B610E" w:rsidRPr="009B783C">
        <w:t xml:space="preserve">Australian Institute of Health and Welfare. (2023b). </w:t>
      </w:r>
      <w:r w:rsidR="005B610E" w:rsidRPr="009B783C">
        <w:rPr>
          <w:i/>
        </w:rPr>
        <w:t>Emergency department care</w:t>
      </w:r>
      <w:r w:rsidR="005B610E" w:rsidRPr="009B783C">
        <w:t>. https://www.aihw.gov.au/reports-data/myhospitals/sectors/emergency-department-care</w:t>
      </w:r>
      <w:r w:rsidR="007C06D6" w:rsidRPr="009B783C">
        <w:fldChar w:fldCharType="end"/>
      </w:r>
    </w:p>
  </w:footnote>
  <w:footnote w:id="104">
    <w:p w14:paraId="6A69A884" w14:textId="44238D61" w:rsidR="00054C2A" w:rsidRPr="009B783C" w:rsidRDefault="00054C2A" w:rsidP="003E79FA">
      <w:pPr>
        <w:pStyle w:val="Footer"/>
      </w:pPr>
      <w:r w:rsidRPr="009B783C">
        <w:rPr>
          <w:rStyle w:val="FootnoteReference"/>
          <w:szCs w:val="15"/>
        </w:rPr>
        <w:footnoteRef/>
      </w:r>
      <w:r w:rsidRPr="009B783C">
        <w:t xml:space="preserve"> Independent Health and Aged Care Pricing Authority (IHACPA), 2023. </w:t>
      </w:r>
      <w:r w:rsidRPr="009B783C">
        <w:rPr>
          <w:i/>
        </w:rPr>
        <w:t>National Efficient Price Determination 2023</w:t>
      </w:r>
      <w:r w:rsidR="00E515ED" w:rsidRPr="009B783C">
        <w:rPr>
          <w:i/>
          <w:iCs/>
        </w:rPr>
        <w:t>-</w:t>
      </w:r>
      <w:r w:rsidRPr="009B783C">
        <w:rPr>
          <w:i/>
        </w:rPr>
        <w:t>24. For Australian public hospital services</w:t>
      </w:r>
      <w:r w:rsidRPr="009B783C">
        <w:t>. Appendix L – Price weights for emergency department patients – AECC V1.0.</w:t>
      </w:r>
    </w:p>
  </w:footnote>
  <w:footnote w:id="105">
    <w:p w14:paraId="7272B2EE" w14:textId="22F3ACDD" w:rsidR="00054C2A" w:rsidRPr="009B783C" w:rsidRDefault="00054C2A" w:rsidP="003E79FA">
      <w:pPr>
        <w:pStyle w:val="Footer"/>
      </w:pPr>
      <w:r w:rsidRPr="009B783C">
        <w:rPr>
          <w:rStyle w:val="FootnoteReference"/>
          <w:szCs w:val="15"/>
        </w:rPr>
        <w:footnoteRef/>
      </w:r>
      <w:r w:rsidRPr="009B783C">
        <w:t xml:space="preserve"> Independent Health and Aged Care Pricing Authority (IHACPA), 2024. </w:t>
      </w:r>
      <w:r w:rsidRPr="009B783C">
        <w:rPr>
          <w:i/>
        </w:rPr>
        <w:t>National Efficient Price Determination 2024</w:t>
      </w:r>
      <w:r w:rsidR="00E515ED" w:rsidRPr="009B783C">
        <w:rPr>
          <w:i/>
          <w:iCs/>
        </w:rPr>
        <w:t>-</w:t>
      </w:r>
      <w:r w:rsidRPr="009B783C">
        <w:rPr>
          <w:i/>
        </w:rPr>
        <w:t>25. For Australian public hospital services</w:t>
      </w:r>
      <w:r w:rsidRPr="009B783C">
        <w:t>. Appendix L – Price weights for emergency department patients – AECC V1.0.</w:t>
      </w:r>
    </w:p>
  </w:footnote>
  <w:footnote w:id="106">
    <w:p w14:paraId="378E921A" w14:textId="77777777" w:rsidR="00631AB2" w:rsidRPr="009B783C" w:rsidRDefault="00631AB2" w:rsidP="003E79FA">
      <w:pPr>
        <w:pStyle w:val="Footer"/>
      </w:pPr>
      <w:r w:rsidRPr="009B783C">
        <w:rPr>
          <w:rStyle w:val="FootnoteReference"/>
          <w:szCs w:val="15"/>
        </w:rPr>
        <w:footnoteRef/>
      </w:r>
      <w:r w:rsidRPr="009B783C">
        <w:t xml:space="preserve"> </w:t>
      </w:r>
      <w:r w:rsidRPr="009B783C">
        <w:fldChar w:fldCharType="begin"/>
      </w:r>
      <w:r w:rsidRPr="009B783C">
        <w:instrText xml:space="preserve"> ADDIN EN.CITE &lt;EndNote&gt;&lt;Cite&gt;&lt;Author&gt;Australian Institute of Health and Welfare&lt;/Author&gt;&lt;Year&gt;2023-24&lt;/Year&gt;&lt;RecNum&gt;120&lt;/RecNum&gt;&lt;DisplayText&gt;Australian Institute of Health and Welfare. (2023-24). &lt;style face="italic"&gt;Emergency department care 2023-24 data tables&lt;/style&gt;. https://www.aihw.gov.au/reports-data/myhospitals/sectors/emergency-department-care%23more-data&lt;/DisplayText&gt;&lt;record&gt;&lt;rec-number&gt;120&lt;/rec-number&gt;&lt;foreign-keys&gt;&lt;key app="EN" db-id="dawdzvawp59fxqevpt559rphwt5dfwx2xwa5" timestamp="1734409041" guid="e439ea74-ef40-44c0-b9d5-3b530ee71505"&gt;120&lt;/key&gt;&lt;/foreign-keys&gt;&lt;ref-type name="Report"&gt;27&lt;/ref-type&gt;&lt;contributors&gt;&lt;authors&gt;&lt;author&gt;Australian Institute of Health and Welfare,,&lt;/author&gt;&lt;/authors&gt;&lt;/contributors&gt;&lt;titles&gt;&lt;title&gt;Emergency department care 2023-24 data tables&lt;/title&gt;&lt;/titles&gt;&lt;dates&gt;&lt;year&gt;2023-24&lt;/year&gt;&lt;/dates&gt;&lt;urls&gt;&lt;related-urls&gt;&lt;url&gt;https://www.aihw.gov.au/reports-data/myhospitals/sectors/emergency-department-care%23more-data&lt;/url&gt;&lt;/related-urls&gt;&lt;/urls&gt;&lt;/record&gt;&lt;/Cite&gt;&lt;/EndNote&gt;</w:instrText>
      </w:r>
      <w:r w:rsidRPr="009B783C">
        <w:fldChar w:fldCharType="separate"/>
      </w:r>
      <w:r w:rsidRPr="009B783C">
        <w:t xml:space="preserve">Australian Institute of Health and Welfare. (2023-24). </w:t>
      </w:r>
      <w:r w:rsidRPr="009B783C">
        <w:rPr>
          <w:i/>
        </w:rPr>
        <w:t>Emergency department care 2023-24 data tables</w:t>
      </w:r>
      <w:r w:rsidRPr="009B783C">
        <w:t>. https://www.aihw.gov.au/reports-data/myhospitals/sectors/emergency-department-care%23more-data</w:t>
      </w:r>
      <w:r w:rsidRPr="009B783C">
        <w:fldChar w:fldCharType="end"/>
      </w:r>
    </w:p>
  </w:footnote>
  <w:footnote w:id="107">
    <w:p w14:paraId="4F831780" w14:textId="793B5FF7" w:rsidR="007E0260" w:rsidRPr="00B855E7" w:rsidRDefault="007E0260" w:rsidP="003E79FA">
      <w:pPr>
        <w:pStyle w:val="Footer"/>
      </w:pPr>
      <w:r w:rsidRPr="009B783C">
        <w:rPr>
          <w:rStyle w:val="FootnoteReference"/>
          <w:szCs w:val="15"/>
        </w:rPr>
        <w:footnoteRef/>
      </w:r>
      <w:r w:rsidRPr="009B783C">
        <w:t xml:space="preserve"> Seen on time is defined as clinical treatment commenced within 60 minutes for triage category four and 120 minutes for triage category </w:t>
      </w:r>
      <w:r w:rsidR="00C67945" w:rsidRPr="009B783C">
        <w:t>five</w:t>
      </w:r>
      <w:r w:rsidRPr="009B783C">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2FBBC" w14:textId="6437CB9F" w:rsidR="00865A27" w:rsidRPr="009B783C" w:rsidRDefault="00865A27">
    <w:r w:rsidRPr="009B783C">
      <w:rPr>
        <w:noProof/>
        <w:sz w:val="20"/>
        <w:szCs w:val="20"/>
        <w:lang w:eastAsia="en-AU"/>
      </w:rPr>
      <w:drawing>
        <wp:anchor distT="0" distB="0" distL="114300" distR="114300" simplePos="0" relativeHeight="251658240" behindDoc="0" locked="0" layoutInCell="1" allowOverlap="1" wp14:anchorId="22433DE5" wp14:editId="7CB5A1CC">
          <wp:simplePos x="0" y="0"/>
          <wp:positionH relativeFrom="page">
            <wp:posOffset>3337</wp:posOffset>
          </wp:positionH>
          <wp:positionV relativeFrom="page">
            <wp:posOffset>-6985</wp:posOffset>
          </wp:positionV>
          <wp:extent cx="7559749" cy="116958"/>
          <wp:effectExtent l="0" t="0" r="0" b="0"/>
          <wp:wrapNone/>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Picture 20">
                    <a:extLst>
                      <a:ext uri="{C183D7F6-B498-43B3-948B-1728B52AA6E4}">
                        <adec:decorative xmlns:adec="http://schemas.microsoft.com/office/drawing/2017/decorative" val="1"/>
                      </a:ext>
                    </a:extLst>
                  </pic:cNvPr>
                  <pic:cNvPicPr preferRelativeResize="0"/>
                </pic:nvPicPr>
                <pic:blipFill>
                  <a:blip r:embed="rId1" cstate="print">
                    <a:extLst>
                      <a:ext uri="{28A0092B-C50C-407E-A947-70E740481C1C}">
                        <a14:useLocalDpi xmlns:a14="http://schemas.microsoft.com/office/drawing/2010/main" val="0"/>
                      </a:ext>
                    </a:extLst>
                  </a:blip>
                  <a:stretch>
                    <a:fillRect/>
                  </a:stretch>
                </pic:blipFill>
                <pic:spPr>
                  <a:xfrm>
                    <a:off x="0" y="0"/>
                    <a:ext cx="7559749" cy="116958"/>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393969" w14:textId="43C26184" w:rsidR="00865A27" w:rsidRPr="009B783C" w:rsidRDefault="00865A27">
    <w:pPr>
      <w:tabs>
        <w:tab w:val="left" w:pos="1758"/>
      </w:tabs>
    </w:pPr>
    <w:r w:rsidRPr="009B783C">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D05D2" w14:textId="4019D2E0" w:rsidR="00FE68FB" w:rsidRPr="009B783C" w:rsidRDefault="00FE68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DA4C7" w14:textId="39BBAB53" w:rsidR="00FD1812" w:rsidRPr="009B783C" w:rsidRDefault="000C18CE" w:rsidP="000C42B0">
    <w:pPr>
      <w:pStyle w:val="Header"/>
    </w:pPr>
    <w:r w:rsidRPr="009B783C">
      <w:rPr>
        <w:noProof/>
        <w:lang w:eastAsia="en-AU"/>
      </w:rPr>
      <w:drawing>
        <wp:anchor distT="0" distB="0" distL="114300" distR="114300" simplePos="0" relativeHeight="251657216" behindDoc="1" locked="0" layoutInCell="1" allowOverlap="1" wp14:anchorId="0A344A38" wp14:editId="3EAB4901">
          <wp:simplePos x="0" y="0"/>
          <wp:positionH relativeFrom="page">
            <wp:posOffset>-22909</wp:posOffset>
          </wp:positionH>
          <wp:positionV relativeFrom="page">
            <wp:posOffset>7034</wp:posOffset>
          </wp:positionV>
          <wp:extent cx="10908000" cy="115200"/>
          <wp:effectExtent l="0" t="0" r="0" b="0"/>
          <wp:wrapNone/>
          <wp:docPr id="1837250106" name="Picture 183725010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1837250106" name="Picture 183725010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08000" cy="115200"/>
                  </a:xfrm>
                  <a:prstGeom prst="rect">
                    <a:avLst/>
                  </a:prstGeom>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a:noFill/>
                  </a:ln>
                  <a:effectLst/>
                </pic:spPr>
              </pic:pic>
            </a:graphicData>
          </a:graphic>
          <wp14:sizeRelH relativeFrom="margin">
            <wp14:pctWidth>0</wp14:pctWidth>
          </wp14:sizeRelH>
          <wp14:sizeRelV relativeFrom="margin">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47491" w14:textId="4B8B7524" w:rsidR="00FE68FB" w:rsidRPr="009B783C" w:rsidRDefault="00FE68F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F1BBA" w14:textId="29B9D67E" w:rsidR="00FE68FB" w:rsidRPr="009B783C" w:rsidRDefault="00FE68F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BD21C" w14:textId="6FA861B9" w:rsidR="00FE68FB" w:rsidRPr="009B783C" w:rsidRDefault="00FE68F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79D9B" w14:textId="00E122EC" w:rsidR="00363BC2" w:rsidRPr="009B783C" w:rsidRDefault="00000000">
    <w:pPr>
      <w:pStyle w:val="Header"/>
    </w:pPr>
    <w:r>
      <w:pict w14:anchorId="47BFA2E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3" type="#_x0000_t136" style="position:absolute;margin-left:0;margin-top:0;width:550.8pt;height:78.65pt;rotation:315;z-index:-251657216;mso-position-horizontal:center;mso-position-horizontal-relative:margin;mso-position-vertical:center;mso-position-vertical-relative:margin" o:allowincell="f" fillcolor="silver" stroked="f">
          <v:fill opacity=".5"/>
          <v:textpath style="font-family:&quot;Segoe UI&quot;;font-size:1pt" string="DRAFT CONFIDENTIAL"/>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6AC89B" w14:textId="595B941E" w:rsidR="00363BC2" w:rsidRPr="009B783C" w:rsidRDefault="00363B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D0E49"/>
    <w:multiLevelType w:val="hybridMultilevel"/>
    <w:tmpl w:val="56D81B34"/>
    <w:lvl w:ilvl="0" w:tplc="0E6A46FA">
      <w:start w:val="1"/>
      <w:numFmt w:val="decimal"/>
      <w:lvlText w:val="%1."/>
      <w:lvlJc w:val="left"/>
      <w:pPr>
        <w:ind w:left="1020" w:hanging="360"/>
      </w:pPr>
    </w:lvl>
    <w:lvl w:ilvl="1" w:tplc="61DA4A6E">
      <w:start w:val="1"/>
      <w:numFmt w:val="decimal"/>
      <w:lvlText w:val="%2."/>
      <w:lvlJc w:val="left"/>
      <w:pPr>
        <w:ind w:left="1020" w:hanging="360"/>
      </w:pPr>
    </w:lvl>
    <w:lvl w:ilvl="2" w:tplc="EA0ED500">
      <w:start w:val="1"/>
      <w:numFmt w:val="decimal"/>
      <w:lvlText w:val="%3."/>
      <w:lvlJc w:val="left"/>
      <w:pPr>
        <w:ind w:left="1020" w:hanging="360"/>
      </w:pPr>
    </w:lvl>
    <w:lvl w:ilvl="3" w:tplc="17F67AA6">
      <w:start w:val="1"/>
      <w:numFmt w:val="decimal"/>
      <w:lvlText w:val="%4."/>
      <w:lvlJc w:val="left"/>
      <w:pPr>
        <w:ind w:left="1020" w:hanging="360"/>
      </w:pPr>
    </w:lvl>
    <w:lvl w:ilvl="4" w:tplc="907448EC">
      <w:start w:val="1"/>
      <w:numFmt w:val="decimal"/>
      <w:lvlText w:val="%5."/>
      <w:lvlJc w:val="left"/>
      <w:pPr>
        <w:ind w:left="1020" w:hanging="360"/>
      </w:pPr>
    </w:lvl>
    <w:lvl w:ilvl="5" w:tplc="E11CA83E">
      <w:start w:val="1"/>
      <w:numFmt w:val="decimal"/>
      <w:lvlText w:val="%6."/>
      <w:lvlJc w:val="left"/>
      <w:pPr>
        <w:ind w:left="1020" w:hanging="360"/>
      </w:pPr>
    </w:lvl>
    <w:lvl w:ilvl="6" w:tplc="E422AFE6">
      <w:start w:val="1"/>
      <w:numFmt w:val="decimal"/>
      <w:lvlText w:val="%7."/>
      <w:lvlJc w:val="left"/>
      <w:pPr>
        <w:ind w:left="1020" w:hanging="360"/>
      </w:pPr>
    </w:lvl>
    <w:lvl w:ilvl="7" w:tplc="81B2F01A">
      <w:start w:val="1"/>
      <w:numFmt w:val="decimal"/>
      <w:lvlText w:val="%8."/>
      <w:lvlJc w:val="left"/>
      <w:pPr>
        <w:ind w:left="1020" w:hanging="360"/>
      </w:pPr>
    </w:lvl>
    <w:lvl w:ilvl="8" w:tplc="A10A85B4">
      <w:start w:val="1"/>
      <w:numFmt w:val="decimal"/>
      <w:lvlText w:val="%9."/>
      <w:lvlJc w:val="left"/>
      <w:pPr>
        <w:ind w:left="1020" w:hanging="360"/>
      </w:pPr>
    </w:lvl>
  </w:abstractNum>
  <w:abstractNum w:abstractNumId="1" w15:restartNumberingAfterBreak="0">
    <w:nsid w:val="05007B8F"/>
    <w:multiLevelType w:val="multilevel"/>
    <w:tmpl w:val="9CD6342C"/>
    <w:styleLink w:val="TableexpListnumberedmultilevel"/>
    <w:lvl w:ilvl="0">
      <w:start w:val="1"/>
      <w:numFmt w:val="decimal"/>
      <w:lvlText w:val="%1."/>
      <w:lvlJc w:val="left"/>
      <w:pPr>
        <w:ind w:left="227" w:hanging="227"/>
      </w:pPr>
      <w:rPr>
        <w:rFonts w:ascii="Segoe UI" w:hAnsi="Segoe UI" w:hint="default"/>
        <w:b w:val="0"/>
        <w:i w:val="0"/>
        <w:sz w:val="16"/>
      </w:rPr>
    </w:lvl>
    <w:lvl w:ilvl="1">
      <w:start w:val="1"/>
      <w:numFmt w:val="lowerLetter"/>
      <w:lvlText w:val="%2."/>
      <w:lvlJc w:val="left"/>
      <w:pPr>
        <w:ind w:left="454" w:hanging="227"/>
      </w:pPr>
      <w:rPr>
        <w:rFonts w:ascii="Segoe UI" w:hAnsi="Segoe UI" w:hint="default"/>
        <w:sz w:val="16"/>
      </w:rPr>
    </w:lvl>
    <w:lvl w:ilvl="2">
      <w:start w:val="1"/>
      <w:numFmt w:val="lowerRoman"/>
      <w:lvlText w:val="%3."/>
      <w:lvlJc w:val="left"/>
      <w:pPr>
        <w:ind w:left="680" w:hanging="226"/>
      </w:pPr>
      <w:rPr>
        <w:rFonts w:ascii="Segoe UI" w:hAnsi="Segoe UI" w:hint="default"/>
        <w:sz w:val="16"/>
      </w:rPr>
    </w:lvl>
    <w:lvl w:ilvl="3">
      <w:start w:val="1"/>
      <w:numFmt w:val="decimal"/>
      <w:lvlText w:val="%4."/>
      <w:lvlJc w:val="left"/>
      <w:pPr>
        <w:ind w:left="5180" w:hanging="360"/>
      </w:pPr>
      <w:rPr>
        <w:rFonts w:hint="default"/>
      </w:rPr>
    </w:lvl>
    <w:lvl w:ilvl="4">
      <w:start w:val="1"/>
      <w:numFmt w:val="lowerLetter"/>
      <w:lvlText w:val="%5."/>
      <w:lvlJc w:val="left"/>
      <w:pPr>
        <w:ind w:left="5900" w:hanging="360"/>
      </w:pPr>
      <w:rPr>
        <w:rFonts w:hint="default"/>
      </w:rPr>
    </w:lvl>
    <w:lvl w:ilvl="5">
      <w:start w:val="1"/>
      <w:numFmt w:val="lowerRoman"/>
      <w:lvlText w:val="%6."/>
      <w:lvlJc w:val="right"/>
      <w:pPr>
        <w:ind w:left="6620" w:hanging="180"/>
      </w:pPr>
      <w:rPr>
        <w:rFonts w:hint="default"/>
      </w:rPr>
    </w:lvl>
    <w:lvl w:ilvl="6">
      <w:start w:val="1"/>
      <w:numFmt w:val="decimal"/>
      <w:lvlText w:val="%7."/>
      <w:lvlJc w:val="left"/>
      <w:pPr>
        <w:ind w:left="7340" w:hanging="360"/>
      </w:pPr>
      <w:rPr>
        <w:rFonts w:hint="default"/>
      </w:rPr>
    </w:lvl>
    <w:lvl w:ilvl="7">
      <w:start w:val="1"/>
      <w:numFmt w:val="lowerLetter"/>
      <w:lvlText w:val="%8."/>
      <w:lvlJc w:val="left"/>
      <w:pPr>
        <w:ind w:left="8060" w:hanging="360"/>
      </w:pPr>
      <w:rPr>
        <w:rFonts w:hint="default"/>
      </w:rPr>
    </w:lvl>
    <w:lvl w:ilvl="8">
      <w:start w:val="1"/>
      <w:numFmt w:val="lowerRoman"/>
      <w:lvlText w:val="%9."/>
      <w:lvlJc w:val="right"/>
      <w:pPr>
        <w:ind w:left="8780" w:hanging="180"/>
      </w:pPr>
      <w:rPr>
        <w:rFonts w:hint="default"/>
      </w:rPr>
    </w:lvl>
  </w:abstractNum>
  <w:abstractNum w:abstractNumId="2" w15:restartNumberingAfterBreak="0">
    <w:nsid w:val="088A47FD"/>
    <w:multiLevelType w:val="hybridMultilevel"/>
    <w:tmpl w:val="F5C2CBB2"/>
    <w:lvl w:ilvl="0" w:tplc="22487896">
      <w:start w:val="1"/>
      <w:numFmt w:val="decimal"/>
      <w:lvlText w:val="%1."/>
      <w:lvlJc w:val="left"/>
      <w:pPr>
        <w:ind w:left="720" w:hanging="360"/>
      </w:pPr>
    </w:lvl>
    <w:lvl w:ilvl="1" w:tplc="ACE6A994">
      <w:start w:val="1"/>
      <w:numFmt w:val="decimal"/>
      <w:lvlText w:val="%2."/>
      <w:lvlJc w:val="left"/>
      <w:pPr>
        <w:ind w:left="720" w:hanging="360"/>
      </w:pPr>
    </w:lvl>
    <w:lvl w:ilvl="2" w:tplc="36AA9FFC">
      <w:start w:val="1"/>
      <w:numFmt w:val="decimal"/>
      <w:lvlText w:val="%3."/>
      <w:lvlJc w:val="left"/>
      <w:pPr>
        <w:ind w:left="720" w:hanging="360"/>
      </w:pPr>
    </w:lvl>
    <w:lvl w:ilvl="3" w:tplc="1320F2AC">
      <w:start w:val="1"/>
      <w:numFmt w:val="decimal"/>
      <w:lvlText w:val="%4."/>
      <w:lvlJc w:val="left"/>
      <w:pPr>
        <w:ind w:left="720" w:hanging="360"/>
      </w:pPr>
    </w:lvl>
    <w:lvl w:ilvl="4" w:tplc="6118353E">
      <w:start w:val="1"/>
      <w:numFmt w:val="decimal"/>
      <w:lvlText w:val="%5."/>
      <w:lvlJc w:val="left"/>
      <w:pPr>
        <w:ind w:left="720" w:hanging="360"/>
      </w:pPr>
    </w:lvl>
    <w:lvl w:ilvl="5" w:tplc="DC60E776">
      <w:start w:val="1"/>
      <w:numFmt w:val="decimal"/>
      <w:lvlText w:val="%6."/>
      <w:lvlJc w:val="left"/>
      <w:pPr>
        <w:ind w:left="720" w:hanging="360"/>
      </w:pPr>
    </w:lvl>
    <w:lvl w:ilvl="6" w:tplc="537C3F72">
      <w:start w:val="1"/>
      <w:numFmt w:val="decimal"/>
      <w:lvlText w:val="%7."/>
      <w:lvlJc w:val="left"/>
      <w:pPr>
        <w:ind w:left="720" w:hanging="360"/>
      </w:pPr>
    </w:lvl>
    <w:lvl w:ilvl="7" w:tplc="8C0ACC22">
      <w:start w:val="1"/>
      <w:numFmt w:val="decimal"/>
      <w:lvlText w:val="%8."/>
      <w:lvlJc w:val="left"/>
      <w:pPr>
        <w:ind w:left="720" w:hanging="360"/>
      </w:pPr>
    </w:lvl>
    <w:lvl w:ilvl="8" w:tplc="CCF6A8D0">
      <w:start w:val="1"/>
      <w:numFmt w:val="decimal"/>
      <w:lvlText w:val="%9."/>
      <w:lvlJc w:val="left"/>
      <w:pPr>
        <w:ind w:left="720" w:hanging="360"/>
      </w:pPr>
    </w:lvl>
  </w:abstractNum>
  <w:abstractNum w:abstractNumId="3" w15:restartNumberingAfterBreak="0">
    <w:nsid w:val="089A31A2"/>
    <w:multiLevelType w:val="multilevel"/>
    <w:tmpl w:val="A004518A"/>
    <w:lvl w:ilvl="0">
      <w:start w:val="1"/>
      <w:numFmt w:val="decimal"/>
      <w:pStyle w:val="Heading1"/>
      <w:lvlText w:val="%1"/>
      <w:lvlJc w:val="left"/>
      <w:pPr>
        <w:ind w:left="360" w:hanging="360"/>
      </w:pPr>
      <w:rPr>
        <w:rFonts w:ascii="Segoe UI" w:hAnsi="Segoe UI" w:hint="default"/>
        <w:b/>
        <w:i w:val="0"/>
        <w:sz w:val="36"/>
        <w:szCs w:val="96"/>
      </w:rPr>
    </w:lvl>
    <w:lvl w:ilvl="1">
      <w:start w:val="1"/>
      <w:numFmt w:val="decimal"/>
      <w:pStyle w:val="Heading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 w15:restartNumberingAfterBreak="0">
    <w:nsid w:val="0E102AE4"/>
    <w:multiLevelType w:val="hybridMultilevel"/>
    <w:tmpl w:val="3CD087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0E2EF9"/>
    <w:multiLevelType w:val="hybridMultilevel"/>
    <w:tmpl w:val="A132758A"/>
    <w:lvl w:ilvl="0" w:tplc="D408B966">
      <w:start w:val="1"/>
      <w:numFmt w:val="bullet"/>
      <w:pStyle w:val="TableExp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625D8B"/>
    <w:multiLevelType w:val="hybridMultilevel"/>
    <w:tmpl w:val="7F160F24"/>
    <w:lvl w:ilvl="0" w:tplc="608E9972">
      <w:start w:val="1"/>
      <w:numFmt w:val="decimal"/>
      <w:pStyle w:val="Listnumbered"/>
      <w:lvlText w:val="%1."/>
      <w:lvlJc w:val="left"/>
      <w:pPr>
        <w:ind w:left="397" w:hanging="397"/>
      </w:pPr>
      <w:rPr>
        <w:rFonts w:hint="default"/>
      </w:rPr>
    </w:lvl>
    <w:lvl w:ilvl="1" w:tplc="0C090019">
      <w:start w:val="1"/>
      <w:numFmt w:val="lowerLetter"/>
      <w:lvlText w:val="%2."/>
      <w:lvlJc w:val="left"/>
      <w:pPr>
        <w:ind w:left="794" w:hanging="397"/>
      </w:pPr>
      <w:rPr>
        <w:rFonts w:hint="default"/>
      </w:rPr>
    </w:lvl>
    <w:lvl w:ilvl="2" w:tplc="0C09001B">
      <w:start w:val="1"/>
      <w:numFmt w:val="lowerRoman"/>
      <w:lvlText w:val="%3."/>
      <w:lvlJc w:val="right"/>
      <w:pPr>
        <w:ind w:left="1247" w:hanging="340"/>
      </w:pPr>
      <w:rPr>
        <w:rFonts w:hint="default"/>
      </w:rPr>
    </w:lvl>
    <w:lvl w:ilvl="3" w:tplc="0C09000F">
      <w:start w:val="1"/>
      <w:numFmt w:val="decimal"/>
      <w:lvlText w:val="%4."/>
      <w:lvlJc w:val="left"/>
      <w:pPr>
        <w:ind w:left="2880" w:hanging="360"/>
      </w:pPr>
    </w:lvl>
    <w:lvl w:ilvl="4" w:tplc="9CA035A8">
      <w:numFmt w:val="bullet"/>
      <w:lvlText w:val="•"/>
      <w:lvlJc w:val="left"/>
      <w:pPr>
        <w:ind w:left="3600" w:hanging="360"/>
      </w:pPr>
      <w:rPr>
        <w:rFonts w:ascii="Segoe UI" w:eastAsiaTheme="minorHAnsi" w:hAnsi="Segoe UI" w:cs="Segoe UI" w:hint="default"/>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5E6E6E"/>
    <w:multiLevelType w:val="hybridMultilevel"/>
    <w:tmpl w:val="6D363A64"/>
    <w:lvl w:ilvl="0" w:tplc="0C09001B">
      <w:start w:val="1"/>
      <w:numFmt w:val="lowerRoman"/>
      <w:lvlText w:val="%1."/>
      <w:lvlJc w:val="right"/>
      <w:pPr>
        <w:ind w:left="1117" w:hanging="360"/>
      </w:pPr>
    </w:lvl>
    <w:lvl w:ilvl="1" w:tplc="0C090019">
      <w:start w:val="1"/>
      <w:numFmt w:val="lowerLetter"/>
      <w:lvlText w:val="%2."/>
      <w:lvlJc w:val="left"/>
      <w:pPr>
        <w:ind w:left="1837" w:hanging="360"/>
      </w:pPr>
    </w:lvl>
    <w:lvl w:ilvl="2" w:tplc="0C09001B">
      <w:start w:val="1"/>
      <w:numFmt w:val="lowerRoman"/>
      <w:lvlText w:val="%3."/>
      <w:lvlJc w:val="right"/>
      <w:pPr>
        <w:ind w:left="2557" w:hanging="180"/>
      </w:pPr>
    </w:lvl>
    <w:lvl w:ilvl="3" w:tplc="0C09000F">
      <w:start w:val="1"/>
      <w:numFmt w:val="decimal"/>
      <w:lvlText w:val="%4."/>
      <w:lvlJc w:val="left"/>
      <w:pPr>
        <w:ind w:left="3277" w:hanging="360"/>
      </w:pPr>
    </w:lvl>
    <w:lvl w:ilvl="4" w:tplc="0C090019">
      <w:start w:val="1"/>
      <w:numFmt w:val="lowerLetter"/>
      <w:lvlText w:val="%5."/>
      <w:lvlJc w:val="left"/>
      <w:pPr>
        <w:ind w:left="3997" w:hanging="360"/>
      </w:pPr>
    </w:lvl>
    <w:lvl w:ilvl="5" w:tplc="0C09001B" w:tentative="1">
      <w:start w:val="1"/>
      <w:numFmt w:val="lowerRoman"/>
      <w:lvlText w:val="%6."/>
      <w:lvlJc w:val="right"/>
      <w:pPr>
        <w:ind w:left="4717" w:hanging="180"/>
      </w:pPr>
    </w:lvl>
    <w:lvl w:ilvl="6" w:tplc="0C09000F" w:tentative="1">
      <w:start w:val="1"/>
      <w:numFmt w:val="decimal"/>
      <w:lvlText w:val="%7."/>
      <w:lvlJc w:val="left"/>
      <w:pPr>
        <w:ind w:left="5437" w:hanging="360"/>
      </w:pPr>
    </w:lvl>
    <w:lvl w:ilvl="7" w:tplc="0C090019" w:tentative="1">
      <w:start w:val="1"/>
      <w:numFmt w:val="lowerLetter"/>
      <w:lvlText w:val="%8."/>
      <w:lvlJc w:val="left"/>
      <w:pPr>
        <w:ind w:left="6157" w:hanging="360"/>
      </w:pPr>
    </w:lvl>
    <w:lvl w:ilvl="8" w:tplc="0C09001B" w:tentative="1">
      <w:start w:val="1"/>
      <w:numFmt w:val="lowerRoman"/>
      <w:lvlText w:val="%9."/>
      <w:lvlJc w:val="right"/>
      <w:pPr>
        <w:ind w:left="6877" w:hanging="180"/>
      </w:pPr>
    </w:lvl>
  </w:abstractNum>
  <w:abstractNum w:abstractNumId="8" w15:restartNumberingAfterBreak="0">
    <w:nsid w:val="19DF436D"/>
    <w:multiLevelType w:val="multilevel"/>
    <w:tmpl w:val="010C6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AA13D2D"/>
    <w:multiLevelType w:val="multilevel"/>
    <w:tmpl w:val="F2D8D162"/>
    <w:styleLink w:val="Listnumberedmultilevel"/>
    <w:lvl w:ilvl="0">
      <w:start w:val="1"/>
      <w:numFmt w:val="decimal"/>
      <w:lvlText w:val="%1."/>
      <w:lvlJc w:val="left"/>
      <w:pPr>
        <w:ind w:left="340" w:hanging="340"/>
      </w:pPr>
      <w:rPr>
        <w:rFonts w:ascii="Segoe UI" w:hAnsi="Segoe UI" w:hint="default"/>
        <w:b w:val="0"/>
        <w:i w:val="0"/>
        <w:sz w:val="19"/>
      </w:rPr>
    </w:lvl>
    <w:lvl w:ilvl="1">
      <w:start w:val="1"/>
      <w:numFmt w:val="lowerLetter"/>
      <w:lvlText w:val="%2."/>
      <w:lvlJc w:val="left"/>
      <w:pPr>
        <w:ind w:left="680" w:hanging="340"/>
      </w:pPr>
      <w:rPr>
        <w:rFonts w:ascii="Segoe UI" w:hAnsi="Segoe UI" w:hint="default"/>
        <w:sz w:val="20"/>
      </w:rPr>
    </w:lvl>
    <w:lvl w:ilvl="2">
      <w:start w:val="1"/>
      <w:numFmt w:val="lowerRoman"/>
      <w:lvlText w:val="%3."/>
      <w:lvlJc w:val="left"/>
      <w:pPr>
        <w:ind w:left="1021" w:hanging="341"/>
      </w:pPr>
      <w:rPr>
        <w:rFonts w:ascii="Segoe UI" w:hAnsi="Segoe UI" w:hint="default"/>
        <w:sz w:val="19"/>
      </w:rPr>
    </w:lvl>
    <w:lvl w:ilvl="3">
      <w:start w:val="1"/>
      <w:numFmt w:val="decimal"/>
      <w:lvlText w:val="(%4)"/>
      <w:lvlJc w:val="left"/>
      <w:pPr>
        <w:ind w:left="288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left"/>
      <w:pPr>
        <w:ind w:left="3600" w:hanging="36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320" w:hanging="360"/>
      </w:pPr>
      <w:rPr>
        <w:rFonts w:hint="default"/>
      </w:rPr>
    </w:lvl>
    <w:lvl w:ilvl="8">
      <w:start w:val="1"/>
      <w:numFmt w:val="lowerRoman"/>
      <w:lvlText w:val="%9."/>
      <w:lvlJc w:val="left"/>
      <w:pPr>
        <w:ind w:left="4680" w:hanging="360"/>
      </w:pPr>
      <w:rPr>
        <w:rFonts w:hint="default"/>
      </w:rPr>
    </w:lvl>
  </w:abstractNum>
  <w:abstractNum w:abstractNumId="10" w15:restartNumberingAfterBreak="0">
    <w:nsid w:val="1BA256E2"/>
    <w:multiLevelType w:val="hybridMultilevel"/>
    <w:tmpl w:val="E6B41BEA"/>
    <w:lvl w:ilvl="0" w:tplc="AD78522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EB06F2D"/>
    <w:multiLevelType w:val="multilevel"/>
    <w:tmpl w:val="C212BD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0C4337F"/>
    <w:multiLevelType w:val="hybridMultilevel"/>
    <w:tmpl w:val="9F5033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201DBBB"/>
    <w:multiLevelType w:val="hybridMultilevel"/>
    <w:tmpl w:val="FFFFFFFF"/>
    <w:lvl w:ilvl="0" w:tplc="1B6EA2A8">
      <w:start w:val="1"/>
      <w:numFmt w:val="bullet"/>
      <w:lvlText w:val=""/>
      <w:lvlJc w:val="left"/>
      <w:pPr>
        <w:ind w:left="720" w:hanging="360"/>
      </w:pPr>
      <w:rPr>
        <w:rFonts w:ascii="Symbol" w:hAnsi="Symbol" w:hint="default"/>
      </w:rPr>
    </w:lvl>
    <w:lvl w:ilvl="1" w:tplc="9CC0F8EE">
      <w:start w:val="1"/>
      <w:numFmt w:val="bullet"/>
      <w:lvlText w:val="o"/>
      <w:lvlJc w:val="left"/>
      <w:pPr>
        <w:ind w:left="1440" w:hanging="360"/>
      </w:pPr>
      <w:rPr>
        <w:rFonts w:ascii="Courier New" w:hAnsi="Courier New" w:hint="default"/>
      </w:rPr>
    </w:lvl>
    <w:lvl w:ilvl="2" w:tplc="851E61CC">
      <w:start w:val="1"/>
      <w:numFmt w:val="bullet"/>
      <w:lvlText w:val=""/>
      <w:lvlJc w:val="left"/>
      <w:pPr>
        <w:ind w:left="2160" w:hanging="360"/>
      </w:pPr>
      <w:rPr>
        <w:rFonts w:ascii="Wingdings" w:hAnsi="Wingdings" w:hint="default"/>
      </w:rPr>
    </w:lvl>
    <w:lvl w:ilvl="3" w:tplc="2528B4EA">
      <w:start w:val="1"/>
      <w:numFmt w:val="bullet"/>
      <w:lvlText w:val=""/>
      <w:lvlJc w:val="left"/>
      <w:pPr>
        <w:ind w:left="2880" w:hanging="360"/>
      </w:pPr>
      <w:rPr>
        <w:rFonts w:ascii="Symbol" w:hAnsi="Symbol" w:hint="default"/>
      </w:rPr>
    </w:lvl>
    <w:lvl w:ilvl="4" w:tplc="FB988CA0">
      <w:start w:val="1"/>
      <w:numFmt w:val="bullet"/>
      <w:lvlText w:val="o"/>
      <w:lvlJc w:val="left"/>
      <w:pPr>
        <w:ind w:left="3600" w:hanging="360"/>
      </w:pPr>
      <w:rPr>
        <w:rFonts w:ascii="Courier New" w:hAnsi="Courier New" w:hint="default"/>
      </w:rPr>
    </w:lvl>
    <w:lvl w:ilvl="5" w:tplc="75247512">
      <w:start w:val="1"/>
      <w:numFmt w:val="bullet"/>
      <w:lvlText w:val=""/>
      <w:lvlJc w:val="left"/>
      <w:pPr>
        <w:ind w:left="4320" w:hanging="360"/>
      </w:pPr>
      <w:rPr>
        <w:rFonts w:ascii="Wingdings" w:hAnsi="Wingdings" w:hint="default"/>
      </w:rPr>
    </w:lvl>
    <w:lvl w:ilvl="6" w:tplc="B436F97C">
      <w:start w:val="1"/>
      <w:numFmt w:val="bullet"/>
      <w:lvlText w:val=""/>
      <w:lvlJc w:val="left"/>
      <w:pPr>
        <w:ind w:left="5040" w:hanging="360"/>
      </w:pPr>
      <w:rPr>
        <w:rFonts w:ascii="Symbol" w:hAnsi="Symbol" w:hint="default"/>
      </w:rPr>
    </w:lvl>
    <w:lvl w:ilvl="7" w:tplc="CFD6EEDE">
      <w:start w:val="1"/>
      <w:numFmt w:val="bullet"/>
      <w:lvlText w:val="o"/>
      <w:lvlJc w:val="left"/>
      <w:pPr>
        <w:ind w:left="5760" w:hanging="360"/>
      </w:pPr>
      <w:rPr>
        <w:rFonts w:ascii="Courier New" w:hAnsi="Courier New" w:hint="default"/>
      </w:rPr>
    </w:lvl>
    <w:lvl w:ilvl="8" w:tplc="76CA86D4">
      <w:start w:val="1"/>
      <w:numFmt w:val="bullet"/>
      <w:lvlText w:val=""/>
      <w:lvlJc w:val="left"/>
      <w:pPr>
        <w:ind w:left="6480" w:hanging="360"/>
      </w:pPr>
      <w:rPr>
        <w:rFonts w:ascii="Wingdings" w:hAnsi="Wingdings" w:hint="default"/>
      </w:rPr>
    </w:lvl>
  </w:abstractNum>
  <w:abstractNum w:abstractNumId="14" w15:restartNumberingAfterBreak="0">
    <w:nsid w:val="2CF33118"/>
    <w:multiLevelType w:val="hybridMultilevel"/>
    <w:tmpl w:val="3B325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E007A0B"/>
    <w:multiLevelType w:val="hybridMultilevel"/>
    <w:tmpl w:val="BA725E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E04197A"/>
    <w:multiLevelType w:val="hybridMultilevel"/>
    <w:tmpl w:val="0A48D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F673F7B"/>
    <w:multiLevelType w:val="hybridMultilevel"/>
    <w:tmpl w:val="1D06DD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1CD43DA"/>
    <w:multiLevelType w:val="multilevel"/>
    <w:tmpl w:val="AC92CE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307474B"/>
    <w:multiLevelType w:val="hybridMultilevel"/>
    <w:tmpl w:val="756C439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0" w15:restartNumberingAfterBreak="0">
    <w:nsid w:val="376A2698"/>
    <w:multiLevelType w:val="hybridMultilevel"/>
    <w:tmpl w:val="88F80222"/>
    <w:lvl w:ilvl="0" w:tplc="9E3E472C">
      <w:start w:val="1"/>
      <w:numFmt w:val="decimal"/>
      <w:pStyle w:val="TableNListnumbered"/>
      <w:lvlText w:val="%1."/>
      <w:lvlJc w:val="left"/>
      <w:pPr>
        <w:ind w:left="284" w:hanging="284"/>
      </w:pPr>
      <w:rPr>
        <w:rFonts w:hint="default"/>
      </w:rPr>
    </w:lvl>
    <w:lvl w:ilvl="1" w:tplc="0C090019">
      <w:start w:val="1"/>
      <w:numFmt w:val="lowerLetter"/>
      <w:lvlText w:val="%2."/>
      <w:lvlJc w:val="left"/>
      <w:pPr>
        <w:ind w:left="510" w:hanging="283"/>
      </w:pPr>
      <w:rPr>
        <w:rFonts w:hint="default"/>
      </w:rPr>
    </w:lvl>
    <w:lvl w:ilvl="2" w:tplc="0C09001B">
      <w:start w:val="1"/>
      <w:numFmt w:val="lowerRoman"/>
      <w:lvlText w:val="%3."/>
      <w:lvlJc w:val="right"/>
      <w:pPr>
        <w:ind w:left="737" w:hanging="113"/>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9D1413D"/>
    <w:multiLevelType w:val="multilevel"/>
    <w:tmpl w:val="202ED028"/>
    <w:lvl w:ilvl="0">
      <w:start w:val="1"/>
      <w:numFmt w:val="bullet"/>
      <w:pStyle w:val="TableNBullet"/>
      <w:lvlText w:val=""/>
      <w:lvlJc w:val="left"/>
      <w:pPr>
        <w:ind w:left="360" w:hanging="360"/>
      </w:pPr>
      <w:rPr>
        <w:rFonts w:ascii="Symbol" w:hAnsi="Symbol" w:hint="default"/>
      </w:rPr>
    </w:lvl>
    <w:lvl w:ilvl="1">
      <w:start w:val="1"/>
      <w:numFmt w:val="bullet"/>
      <w:lvlText w:val=""/>
      <w:lvlJc w:val="left"/>
      <w:pPr>
        <w:ind w:left="510" w:hanging="226"/>
      </w:pPr>
      <w:rPr>
        <w:rFonts w:ascii="Symbol" w:hAnsi="Symbol" w:hint="default"/>
        <w:color w:val="auto"/>
        <w:position w:val="4"/>
        <w:sz w:val="16"/>
      </w:rPr>
    </w:lvl>
    <w:lvl w:ilvl="2">
      <w:start w:val="1"/>
      <w:numFmt w:val="bullet"/>
      <w:lvlText w:val=""/>
      <w:lvlJc w:val="left"/>
      <w:pPr>
        <w:ind w:left="794" w:hanging="227"/>
      </w:pPr>
      <w:rPr>
        <w:rFonts w:ascii="Symbol" w:hAnsi="Symbol" w:hint="default"/>
        <w:color w:val="auto"/>
        <w:position w:val="4"/>
        <w:sz w:val="16"/>
      </w:rPr>
    </w:lvl>
    <w:lvl w:ilvl="3">
      <w:start w:val="1"/>
      <w:numFmt w:val="bullet"/>
      <w:lvlText w:val=""/>
      <w:lvlJc w:val="left"/>
      <w:pPr>
        <w:ind w:left="680" w:hanging="170"/>
      </w:pPr>
      <w:rPr>
        <w:rFonts w:ascii="Wingdings 2" w:hAnsi="Wingdings 2" w:hint="default"/>
        <w:color w:val="404040" w:themeColor="text1" w:themeTint="BF"/>
        <w:position w:val="4"/>
        <w:sz w:val="10"/>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2" w15:restartNumberingAfterBreak="0">
    <w:nsid w:val="3D510C4B"/>
    <w:multiLevelType w:val="hybridMultilevel"/>
    <w:tmpl w:val="7AEC1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F613996"/>
    <w:multiLevelType w:val="multilevel"/>
    <w:tmpl w:val="BEF406B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4" w15:restartNumberingAfterBreak="0">
    <w:nsid w:val="402A5FAF"/>
    <w:multiLevelType w:val="hybridMultilevel"/>
    <w:tmpl w:val="F4AC01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049709E"/>
    <w:multiLevelType w:val="hybridMultilevel"/>
    <w:tmpl w:val="7A044C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E06E4C"/>
    <w:multiLevelType w:val="multilevel"/>
    <w:tmpl w:val="634233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2520A94"/>
    <w:multiLevelType w:val="hybridMultilevel"/>
    <w:tmpl w:val="6AA80C78"/>
    <w:lvl w:ilvl="0" w:tplc="0C090001">
      <w:start w:val="1"/>
      <w:numFmt w:val="bullet"/>
      <w:lvlText w:val=""/>
      <w:lvlJc w:val="left"/>
      <w:pPr>
        <w:ind w:left="720" w:hanging="360"/>
      </w:pPr>
      <w:rPr>
        <w:rFonts w:ascii="Symbol" w:hAnsi="Symbol" w:hint="default"/>
      </w:rPr>
    </w:lvl>
    <w:lvl w:ilvl="1" w:tplc="A194562C">
      <w:numFmt w:val="bullet"/>
      <w:lvlText w:val="•"/>
      <w:lvlJc w:val="left"/>
      <w:pPr>
        <w:ind w:left="1800" w:hanging="720"/>
      </w:pPr>
      <w:rPr>
        <w:rFonts w:ascii="Segoe UI" w:eastAsiaTheme="minorHAnsi" w:hAnsi="Segoe UI" w:cs="Segoe U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28C2FDF"/>
    <w:multiLevelType w:val="hybridMultilevel"/>
    <w:tmpl w:val="F79E27E0"/>
    <w:lvl w:ilvl="0" w:tplc="370EA3D8">
      <w:start w:val="1"/>
      <w:numFmt w:val="bullet"/>
      <w:pStyle w:val="longformcalloutbullet"/>
      <w:lvlText w:val=""/>
      <w:lvlJc w:val="left"/>
      <w:pPr>
        <w:ind w:left="720" w:hanging="360"/>
      </w:pPr>
      <w:rPr>
        <w:rFonts w:ascii="Symbol" w:hAnsi="Symbol" w:hint="default"/>
        <w:color w:val="00264D" w:themeColor="background2"/>
        <w:sz w:val="1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89D66DA"/>
    <w:multiLevelType w:val="hybridMultilevel"/>
    <w:tmpl w:val="2848CC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AB30710"/>
    <w:multiLevelType w:val="hybridMultilevel"/>
    <w:tmpl w:val="7DA0F9D0"/>
    <w:lvl w:ilvl="0" w:tplc="50924516">
      <w:start w:val="1"/>
      <w:numFmt w:val="decimal"/>
      <w:pStyle w:val="longformcalloutnumber"/>
      <w:lvlText w:val="%1."/>
      <w:lvlJc w:val="left"/>
      <w:pPr>
        <w:ind w:left="720" w:hanging="360"/>
      </w:pPr>
      <w:rPr>
        <w:rFonts w:hint="default"/>
        <w:b w:val="0"/>
        <w:color w:val="00264D" w:themeColor="background2"/>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B3D2157"/>
    <w:multiLevelType w:val="multilevel"/>
    <w:tmpl w:val="310876F2"/>
    <w:lvl w:ilvl="0">
      <w:start w:val="1"/>
      <w:numFmt w:val="decimal"/>
      <w:pStyle w:val="introductionlist"/>
      <w:lvlText w:val="%1."/>
      <w:lvlJc w:val="left"/>
      <w:pPr>
        <w:ind w:left="357" w:hanging="357"/>
      </w:pPr>
      <w:rPr>
        <w:rFonts w:hint="default"/>
        <w:b w:val="0"/>
      </w:rPr>
    </w:lvl>
    <w:lvl w:ilvl="1">
      <w:start w:val="1"/>
      <w:numFmt w:val="lowerLetter"/>
      <w:lvlText w:val="%2."/>
      <w:lvlJc w:val="left"/>
      <w:pPr>
        <w:ind w:left="720" w:hanging="363"/>
      </w:pPr>
      <w:rPr>
        <w:rFonts w:hint="default"/>
      </w:rPr>
    </w:lvl>
    <w:lvl w:ilvl="2">
      <w:start w:val="1"/>
      <w:numFmt w:val="lowerRoman"/>
      <w:lvlText w:val="%3."/>
      <w:lvlJc w:val="right"/>
      <w:pPr>
        <w:ind w:left="1077" w:hanging="357"/>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4B734A8F"/>
    <w:multiLevelType w:val="hybridMultilevel"/>
    <w:tmpl w:val="4E4AC534"/>
    <w:lvl w:ilvl="0" w:tplc="4010FFBA">
      <w:start w:val="1"/>
      <w:numFmt w:val="decimal"/>
      <w:pStyle w:val="TableexpListnumbered"/>
      <w:lvlText w:val="1.%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4BE67BF8"/>
    <w:multiLevelType w:val="hybridMultilevel"/>
    <w:tmpl w:val="51C21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00926A5"/>
    <w:multiLevelType w:val="hybridMultilevel"/>
    <w:tmpl w:val="A3EC25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13D5289"/>
    <w:multiLevelType w:val="hybridMultilevel"/>
    <w:tmpl w:val="30663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4C55940"/>
    <w:multiLevelType w:val="multilevel"/>
    <w:tmpl w:val="D3261AAA"/>
    <w:lvl w:ilvl="0">
      <w:start w:val="1"/>
      <w:numFmt w:val="bullet"/>
      <w:pStyle w:val="intoductionbullet"/>
      <w:lvlText w:val=""/>
      <w:lvlJc w:val="left"/>
      <w:pPr>
        <w:ind w:left="357" w:hanging="357"/>
      </w:pPr>
      <w:rPr>
        <w:rFonts w:ascii="Symbol" w:hAnsi="Symbol" w:hint="default"/>
        <w:color w:val="00264D" w:themeColor="background2"/>
      </w:rPr>
    </w:lvl>
    <w:lvl w:ilvl="1">
      <w:start w:val="1"/>
      <w:numFmt w:val="bullet"/>
      <w:lvlText w:val=""/>
      <w:lvlJc w:val="left"/>
      <w:pPr>
        <w:ind w:left="720" w:hanging="363"/>
      </w:pPr>
      <w:rPr>
        <w:rFonts w:ascii="Symbol" w:hAnsi="Symbol" w:hint="default"/>
        <w:color w:val="00264D" w:themeColor="background2"/>
      </w:rPr>
    </w:lvl>
    <w:lvl w:ilvl="2">
      <w:start w:val="1"/>
      <w:numFmt w:val="bullet"/>
      <w:lvlText w:val=""/>
      <w:lvlJc w:val="left"/>
      <w:pPr>
        <w:ind w:left="1077" w:hanging="357"/>
      </w:pPr>
      <w:rPr>
        <w:rFonts w:ascii="Symbol" w:hAnsi="Symbol" w:hint="default"/>
        <w:color w:val="00264D" w:themeColor="background2"/>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578B4240"/>
    <w:multiLevelType w:val="hybridMultilevel"/>
    <w:tmpl w:val="A1AA6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8B030FE"/>
    <w:multiLevelType w:val="multilevel"/>
    <w:tmpl w:val="A40495DC"/>
    <w:styleLink w:val="TableNListnumberedmultilevel"/>
    <w:lvl w:ilvl="0">
      <w:start w:val="1"/>
      <w:numFmt w:val="decimal"/>
      <w:lvlText w:val="%1."/>
      <w:lvlJc w:val="left"/>
      <w:pPr>
        <w:ind w:left="227" w:hanging="227"/>
      </w:pPr>
      <w:rPr>
        <w:rFonts w:ascii="Segoe UI" w:hAnsi="Segoe UI" w:hint="default"/>
        <w:b w:val="0"/>
        <w:i w:val="0"/>
        <w:sz w:val="17"/>
      </w:rPr>
    </w:lvl>
    <w:lvl w:ilvl="1">
      <w:start w:val="1"/>
      <w:numFmt w:val="lowerLetter"/>
      <w:lvlText w:val="%2."/>
      <w:lvlJc w:val="left"/>
      <w:pPr>
        <w:ind w:left="454" w:hanging="227"/>
      </w:pPr>
      <w:rPr>
        <w:rFonts w:ascii="Segoe UI" w:hAnsi="Segoe UI" w:hint="default"/>
        <w:b w:val="0"/>
        <w:i w:val="0"/>
        <w:sz w:val="17"/>
      </w:rPr>
    </w:lvl>
    <w:lvl w:ilvl="2">
      <w:start w:val="1"/>
      <w:numFmt w:val="lowerRoman"/>
      <w:lvlText w:val="%3."/>
      <w:lvlJc w:val="left"/>
      <w:pPr>
        <w:ind w:left="680" w:hanging="226"/>
      </w:pPr>
      <w:rPr>
        <w:rFonts w:ascii="Segoe UI" w:hAnsi="Segoe UI" w:hint="default"/>
        <w:b w:val="0"/>
        <w:i w:val="0"/>
        <w:sz w:val="17"/>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5A065A0E"/>
    <w:multiLevelType w:val="hybridMultilevel"/>
    <w:tmpl w:val="35DC8796"/>
    <w:lvl w:ilvl="0" w:tplc="0C090001">
      <w:start w:val="1"/>
      <w:numFmt w:val="bullet"/>
      <w:lvlText w:val=""/>
      <w:lvlJc w:val="left"/>
      <w:pPr>
        <w:ind w:left="363" w:hanging="360"/>
      </w:pPr>
      <w:rPr>
        <w:rFonts w:ascii="Symbol" w:hAnsi="Symbol" w:hint="default"/>
      </w:rPr>
    </w:lvl>
    <w:lvl w:ilvl="1" w:tplc="0C090003">
      <w:start w:val="1"/>
      <w:numFmt w:val="bullet"/>
      <w:lvlText w:val="o"/>
      <w:lvlJc w:val="left"/>
      <w:pPr>
        <w:ind w:left="1083" w:hanging="360"/>
      </w:pPr>
      <w:rPr>
        <w:rFonts w:ascii="Courier New" w:hAnsi="Courier New" w:cs="Courier New" w:hint="default"/>
      </w:rPr>
    </w:lvl>
    <w:lvl w:ilvl="2" w:tplc="0C090005">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40" w15:restartNumberingAfterBreak="0">
    <w:nsid w:val="6315671B"/>
    <w:multiLevelType w:val="multilevel"/>
    <w:tmpl w:val="96F4B4DA"/>
    <w:lvl w:ilvl="0">
      <w:start w:val="1"/>
      <w:numFmt w:val="decimal"/>
      <w:lvlText w:val="%1"/>
      <w:lvlJc w:val="left"/>
      <w:pPr>
        <w:ind w:left="360" w:hanging="36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1" w15:restartNumberingAfterBreak="0">
    <w:nsid w:val="6B12512A"/>
    <w:multiLevelType w:val="hybridMultilevel"/>
    <w:tmpl w:val="A0460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1A16EBA"/>
    <w:multiLevelType w:val="multilevel"/>
    <w:tmpl w:val="2D0C9D8E"/>
    <w:lvl w:ilvl="0">
      <w:start w:val="1"/>
      <w:numFmt w:val="upperLetter"/>
      <w:pStyle w:val="xAppendixLevel1"/>
      <w:lvlText w:val="Appendix %1"/>
      <w:lvlJc w:val="left"/>
      <w:pPr>
        <w:ind w:left="2268" w:hanging="2268"/>
      </w:pPr>
      <w:rPr>
        <w:specVanish w:val="0"/>
      </w:rPr>
    </w:lvl>
    <w:lvl w:ilvl="1">
      <w:start w:val="1"/>
      <w:numFmt w:val="decimal"/>
      <w:pStyle w:val="xAppendixLevel2"/>
      <w:lvlText w:val="%1.%2"/>
      <w:lvlJc w:val="left"/>
      <w:pPr>
        <w:ind w:left="993" w:hanging="851"/>
      </w:pPr>
      <w:rPr>
        <w:rFonts w:hint="default"/>
        <w:color w:val="00264D"/>
        <w:sz w:val="34"/>
        <w:szCs w:val="34"/>
      </w:rPr>
    </w:lvl>
    <w:lvl w:ilvl="2">
      <w:start w:val="1"/>
      <w:numFmt w:val="decimal"/>
      <w:pStyle w:val="xAppendixLevel3"/>
      <w:lvlText w:val="%1.%2.%3"/>
      <w:lvlJc w:val="left"/>
      <w:pPr>
        <w:ind w:left="993" w:hanging="851"/>
      </w:pPr>
      <w:rPr>
        <w:rFonts w:hint="default"/>
        <w:color w:val="00264D"/>
        <w:sz w:val="28"/>
        <w:szCs w:val="28"/>
      </w:rPr>
    </w:lvl>
    <w:lvl w:ilvl="3">
      <w:start w:val="1"/>
      <w:numFmt w:val="decimal"/>
      <w:lvlText w:val="(%4)"/>
      <w:lvlJc w:val="left"/>
      <w:pPr>
        <w:ind w:left="1582" w:hanging="360"/>
      </w:pPr>
      <w:rPr>
        <w:rFonts w:hint="default"/>
      </w:rPr>
    </w:lvl>
    <w:lvl w:ilvl="4">
      <w:start w:val="1"/>
      <w:numFmt w:val="lowerLetter"/>
      <w:lvlText w:val="(%5)"/>
      <w:lvlJc w:val="left"/>
      <w:pPr>
        <w:ind w:left="1942" w:hanging="360"/>
      </w:pPr>
      <w:rPr>
        <w:rFonts w:hint="default"/>
      </w:rPr>
    </w:lvl>
    <w:lvl w:ilvl="5">
      <w:start w:val="1"/>
      <w:numFmt w:val="lowerRoman"/>
      <w:lvlText w:val="(%6)"/>
      <w:lvlJc w:val="left"/>
      <w:pPr>
        <w:ind w:left="2302" w:hanging="360"/>
      </w:pPr>
      <w:rPr>
        <w:rFonts w:hint="default"/>
      </w:rPr>
    </w:lvl>
    <w:lvl w:ilvl="6">
      <w:start w:val="1"/>
      <w:numFmt w:val="decimal"/>
      <w:lvlText w:val="%7."/>
      <w:lvlJc w:val="left"/>
      <w:pPr>
        <w:ind w:left="2662" w:hanging="360"/>
      </w:pPr>
      <w:rPr>
        <w:rFonts w:hint="default"/>
      </w:rPr>
    </w:lvl>
    <w:lvl w:ilvl="7">
      <w:start w:val="1"/>
      <w:numFmt w:val="lowerLetter"/>
      <w:lvlText w:val="%8."/>
      <w:lvlJc w:val="left"/>
      <w:pPr>
        <w:ind w:left="3022" w:hanging="360"/>
      </w:pPr>
      <w:rPr>
        <w:rFonts w:hint="default"/>
      </w:rPr>
    </w:lvl>
    <w:lvl w:ilvl="8">
      <w:start w:val="1"/>
      <w:numFmt w:val="lowerRoman"/>
      <w:lvlText w:val="%9."/>
      <w:lvlJc w:val="left"/>
      <w:pPr>
        <w:ind w:left="3382" w:hanging="360"/>
      </w:pPr>
      <w:rPr>
        <w:rFonts w:hint="default"/>
      </w:rPr>
    </w:lvl>
  </w:abstractNum>
  <w:abstractNum w:abstractNumId="43" w15:restartNumberingAfterBreak="0">
    <w:nsid w:val="757425CC"/>
    <w:multiLevelType w:val="hybridMultilevel"/>
    <w:tmpl w:val="6876D39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4" w15:restartNumberingAfterBreak="0">
    <w:nsid w:val="783E447B"/>
    <w:multiLevelType w:val="hybridMultilevel"/>
    <w:tmpl w:val="B2EEFB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78A651DF"/>
    <w:multiLevelType w:val="multilevel"/>
    <w:tmpl w:val="556EE21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79B7218E"/>
    <w:multiLevelType w:val="hybridMultilevel"/>
    <w:tmpl w:val="08642222"/>
    <w:lvl w:ilvl="0" w:tplc="3D506FDA">
      <w:start w:val="1"/>
      <w:numFmt w:val="bullet"/>
      <w:pStyle w:val="Bullet"/>
      <w:lvlText w:val=""/>
      <w:lvlJc w:val="left"/>
      <w:pPr>
        <w:ind w:left="340" w:hanging="340"/>
      </w:pPr>
      <w:rPr>
        <w:rFonts w:ascii="Symbol" w:hAnsi="Symbol" w:hint="default"/>
        <w:sz w:val="16"/>
      </w:rPr>
    </w:lvl>
    <w:lvl w:ilvl="1" w:tplc="0C090003">
      <w:start w:val="1"/>
      <w:numFmt w:val="bullet"/>
      <w:lvlText w:val="o"/>
      <w:lvlJc w:val="left"/>
      <w:pPr>
        <w:ind w:left="1440" w:hanging="360"/>
      </w:pPr>
      <w:rPr>
        <w:rFonts w:ascii="Courier New" w:hAnsi="Courier New" w:cs="Courier New" w:hint="default"/>
      </w:rPr>
    </w:lvl>
    <w:lvl w:ilvl="2" w:tplc="B88EB012">
      <w:start w:val="1"/>
      <w:numFmt w:val="bullet"/>
      <w:lvlText w:val=""/>
      <w:lvlJc w:val="left"/>
      <w:pPr>
        <w:ind w:left="1134" w:hanging="454"/>
      </w:pPr>
      <w:rPr>
        <w:rFonts w:ascii="Symbol" w:hAnsi="Symbol" w:hint="default"/>
        <w:sz w:val="16"/>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A1841A2"/>
    <w:multiLevelType w:val="hybridMultilevel"/>
    <w:tmpl w:val="609244DC"/>
    <w:lvl w:ilvl="0" w:tplc="21D4263A">
      <w:start w:val="1"/>
      <w:numFmt w:val="bullet"/>
      <w:lvlText w:val="•"/>
      <w:lvlJc w:val="left"/>
      <w:pPr>
        <w:tabs>
          <w:tab w:val="num" w:pos="720"/>
        </w:tabs>
        <w:ind w:left="720" w:hanging="360"/>
      </w:pPr>
      <w:rPr>
        <w:rFonts w:ascii="Arial" w:hAnsi="Arial" w:hint="default"/>
      </w:rPr>
    </w:lvl>
    <w:lvl w:ilvl="1" w:tplc="0B3C4458" w:tentative="1">
      <w:start w:val="1"/>
      <w:numFmt w:val="bullet"/>
      <w:lvlText w:val="•"/>
      <w:lvlJc w:val="left"/>
      <w:pPr>
        <w:tabs>
          <w:tab w:val="num" w:pos="1440"/>
        </w:tabs>
        <w:ind w:left="1440" w:hanging="360"/>
      </w:pPr>
      <w:rPr>
        <w:rFonts w:ascii="Arial" w:hAnsi="Arial" w:hint="default"/>
      </w:rPr>
    </w:lvl>
    <w:lvl w:ilvl="2" w:tplc="72C09386" w:tentative="1">
      <w:start w:val="1"/>
      <w:numFmt w:val="bullet"/>
      <w:lvlText w:val="•"/>
      <w:lvlJc w:val="left"/>
      <w:pPr>
        <w:tabs>
          <w:tab w:val="num" w:pos="2160"/>
        </w:tabs>
        <w:ind w:left="2160" w:hanging="360"/>
      </w:pPr>
      <w:rPr>
        <w:rFonts w:ascii="Arial" w:hAnsi="Arial" w:hint="default"/>
      </w:rPr>
    </w:lvl>
    <w:lvl w:ilvl="3" w:tplc="034CD5F2" w:tentative="1">
      <w:start w:val="1"/>
      <w:numFmt w:val="bullet"/>
      <w:lvlText w:val="•"/>
      <w:lvlJc w:val="left"/>
      <w:pPr>
        <w:tabs>
          <w:tab w:val="num" w:pos="2880"/>
        </w:tabs>
        <w:ind w:left="2880" w:hanging="360"/>
      </w:pPr>
      <w:rPr>
        <w:rFonts w:ascii="Arial" w:hAnsi="Arial" w:hint="default"/>
      </w:rPr>
    </w:lvl>
    <w:lvl w:ilvl="4" w:tplc="60809C28" w:tentative="1">
      <w:start w:val="1"/>
      <w:numFmt w:val="bullet"/>
      <w:lvlText w:val="•"/>
      <w:lvlJc w:val="left"/>
      <w:pPr>
        <w:tabs>
          <w:tab w:val="num" w:pos="3600"/>
        </w:tabs>
        <w:ind w:left="3600" w:hanging="360"/>
      </w:pPr>
      <w:rPr>
        <w:rFonts w:ascii="Arial" w:hAnsi="Arial" w:hint="default"/>
      </w:rPr>
    </w:lvl>
    <w:lvl w:ilvl="5" w:tplc="33B0448C" w:tentative="1">
      <w:start w:val="1"/>
      <w:numFmt w:val="bullet"/>
      <w:lvlText w:val="•"/>
      <w:lvlJc w:val="left"/>
      <w:pPr>
        <w:tabs>
          <w:tab w:val="num" w:pos="4320"/>
        </w:tabs>
        <w:ind w:left="4320" w:hanging="360"/>
      </w:pPr>
      <w:rPr>
        <w:rFonts w:ascii="Arial" w:hAnsi="Arial" w:hint="default"/>
      </w:rPr>
    </w:lvl>
    <w:lvl w:ilvl="6" w:tplc="FB6C075A" w:tentative="1">
      <w:start w:val="1"/>
      <w:numFmt w:val="bullet"/>
      <w:lvlText w:val="•"/>
      <w:lvlJc w:val="left"/>
      <w:pPr>
        <w:tabs>
          <w:tab w:val="num" w:pos="5040"/>
        </w:tabs>
        <w:ind w:left="5040" w:hanging="360"/>
      </w:pPr>
      <w:rPr>
        <w:rFonts w:ascii="Arial" w:hAnsi="Arial" w:hint="default"/>
      </w:rPr>
    </w:lvl>
    <w:lvl w:ilvl="7" w:tplc="4A60B2C0" w:tentative="1">
      <w:start w:val="1"/>
      <w:numFmt w:val="bullet"/>
      <w:lvlText w:val="•"/>
      <w:lvlJc w:val="left"/>
      <w:pPr>
        <w:tabs>
          <w:tab w:val="num" w:pos="5760"/>
        </w:tabs>
        <w:ind w:left="5760" w:hanging="360"/>
      </w:pPr>
      <w:rPr>
        <w:rFonts w:ascii="Arial" w:hAnsi="Arial" w:hint="default"/>
      </w:rPr>
    </w:lvl>
    <w:lvl w:ilvl="8" w:tplc="195C4EBC"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7B2A4222"/>
    <w:multiLevelType w:val="hybridMultilevel"/>
    <w:tmpl w:val="A97EC9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9" w15:restartNumberingAfterBreak="0">
    <w:nsid w:val="7C4A7A17"/>
    <w:multiLevelType w:val="hybridMultilevel"/>
    <w:tmpl w:val="FD2AE74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77670265">
    <w:abstractNumId w:val="42"/>
  </w:num>
  <w:num w:numId="2" w16cid:durableId="1149589232">
    <w:abstractNumId w:val="46"/>
  </w:num>
  <w:num w:numId="3" w16cid:durableId="826366527">
    <w:abstractNumId w:val="6"/>
  </w:num>
  <w:num w:numId="4" w16cid:durableId="1390806492">
    <w:abstractNumId w:val="3"/>
  </w:num>
  <w:num w:numId="5" w16cid:durableId="1431777580">
    <w:abstractNumId w:val="20"/>
  </w:num>
  <w:num w:numId="6" w16cid:durableId="212418453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41657261">
    <w:abstractNumId w:val="43"/>
  </w:num>
  <w:num w:numId="8" w16cid:durableId="88236891">
    <w:abstractNumId w:val="9"/>
  </w:num>
  <w:num w:numId="9" w16cid:durableId="1665933901">
    <w:abstractNumId w:val="17"/>
  </w:num>
  <w:num w:numId="10" w16cid:durableId="1664116283">
    <w:abstractNumId w:val="12"/>
  </w:num>
  <w:num w:numId="11" w16cid:durableId="503714739">
    <w:abstractNumId w:val="48"/>
  </w:num>
  <w:num w:numId="12" w16cid:durableId="339508962">
    <w:abstractNumId w:val="45"/>
  </w:num>
  <w:num w:numId="13" w16cid:durableId="1007052962">
    <w:abstractNumId w:val="37"/>
  </w:num>
  <w:num w:numId="14" w16cid:durableId="269820579">
    <w:abstractNumId w:val="44"/>
  </w:num>
  <w:num w:numId="15" w16cid:durableId="1997300607">
    <w:abstractNumId w:val="24"/>
  </w:num>
  <w:num w:numId="16" w16cid:durableId="1788697147">
    <w:abstractNumId w:val="25"/>
  </w:num>
  <w:num w:numId="17" w16cid:durableId="1769305196">
    <w:abstractNumId w:val="15"/>
  </w:num>
  <w:num w:numId="18" w16cid:durableId="1304457947">
    <w:abstractNumId w:val="13"/>
  </w:num>
  <w:num w:numId="19" w16cid:durableId="2076659715">
    <w:abstractNumId w:val="6"/>
    <w:lvlOverride w:ilvl="0">
      <w:startOverride w:val="1"/>
    </w:lvlOverride>
  </w:num>
  <w:num w:numId="20" w16cid:durableId="1498494094">
    <w:abstractNumId w:val="39"/>
  </w:num>
  <w:num w:numId="21" w16cid:durableId="1247305384">
    <w:abstractNumId w:val="40"/>
  </w:num>
  <w:num w:numId="22" w16cid:durableId="1831410687">
    <w:abstractNumId w:val="27"/>
  </w:num>
  <w:num w:numId="23" w16cid:durableId="501816046">
    <w:abstractNumId w:val="6"/>
    <w:lvlOverride w:ilvl="0">
      <w:startOverride w:val="1"/>
    </w:lvlOverride>
  </w:num>
  <w:num w:numId="24" w16cid:durableId="975910784">
    <w:abstractNumId w:val="41"/>
  </w:num>
  <w:num w:numId="25" w16cid:durableId="1997999721">
    <w:abstractNumId w:val="0"/>
  </w:num>
  <w:num w:numId="26" w16cid:durableId="1808626917">
    <w:abstractNumId w:val="2"/>
  </w:num>
  <w:num w:numId="27" w16cid:durableId="1995722332">
    <w:abstractNumId w:val="26"/>
  </w:num>
  <w:num w:numId="28" w16cid:durableId="1830974903">
    <w:abstractNumId w:val="34"/>
  </w:num>
  <w:num w:numId="29" w16cid:durableId="1515995450">
    <w:abstractNumId w:val="49"/>
  </w:num>
  <w:num w:numId="30" w16cid:durableId="1385761542">
    <w:abstractNumId w:val="4"/>
  </w:num>
  <w:num w:numId="31" w16cid:durableId="292560892">
    <w:abstractNumId w:val="19"/>
  </w:num>
  <w:num w:numId="32" w16cid:durableId="1338341222">
    <w:abstractNumId w:val="1"/>
  </w:num>
  <w:num w:numId="33" w16cid:durableId="1966738097">
    <w:abstractNumId w:val="28"/>
  </w:num>
  <w:num w:numId="34" w16cid:durableId="367069479">
    <w:abstractNumId w:val="30"/>
  </w:num>
  <w:num w:numId="35" w16cid:durableId="970592656">
    <w:abstractNumId w:val="31"/>
  </w:num>
  <w:num w:numId="36" w16cid:durableId="1252423066">
    <w:abstractNumId w:val="36"/>
  </w:num>
  <w:num w:numId="37" w16cid:durableId="525365114">
    <w:abstractNumId w:val="5"/>
  </w:num>
  <w:num w:numId="38" w16cid:durableId="499542523">
    <w:abstractNumId w:val="38"/>
  </w:num>
  <w:num w:numId="39" w16cid:durableId="64123582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12018638">
    <w:abstractNumId w:val="35"/>
  </w:num>
  <w:num w:numId="41" w16cid:durableId="280380935">
    <w:abstractNumId w:val="32"/>
  </w:num>
  <w:num w:numId="42" w16cid:durableId="1104232384">
    <w:abstractNumId w:val="32"/>
    <w:lvlOverride w:ilvl="0">
      <w:startOverride w:val="1"/>
    </w:lvlOverride>
  </w:num>
  <w:num w:numId="43" w16cid:durableId="2009366273">
    <w:abstractNumId w:val="3"/>
  </w:num>
  <w:num w:numId="44" w16cid:durableId="913467254">
    <w:abstractNumId w:val="3"/>
  </w:num>
  <w:num w:numId="45" w16cid:durableId="884489924">
    <w:abstractNumId w:val="6"/>
    <w:lvlOverride w:ilvl="0">
      <w:startOverride w:val="1"/>
    </w:lvlOverride>
  </w:num>
  <w:num w:numId="46" w16cid:durableId="2100981093">
    <w:abstractNumId w:val="6"/>
    <w:lvlOverride w:ilvl="0">
      <w:startOverride w:val="1"/>
    </w:lvlOverride>
  </w:num>
  <w:num w:numId="47" w16cid:durableId="778527150">
    <w:abstractNumId w:val="14"/>
  </w:num>
  <w:num w:numId="48" w16cid:durableId="904684114">
    <w:abstractNumId w:val="21"/>
  </w:num>
  <w:num w:numId="49" w16cid:durableId="410205230">
    <w:abstractNumId w:val="6"/>
    <w:lvlOverride w:ilvl="0">
      <w:startOverride w:val="1"/>
    </w:lvlOverride>
  </w:num>
  <w:num w:numId="50" w16cid:durableId="804926619">
    <w:abstractNumId w:val="6"/>
    <w:lvlOverride w:ilvl="0">
      <w:startOverride w:val="1"/>
    </w:lvlOverride>
  </w:num>
  <w:num w:numId="51" w16cid:durableId="1891846042">
    <w:abstractNumId w:val="7"/>
  </w:num>
  <w:num w:numId="52" w16cid:durableId="378631305">
    <w:abstractNumId w:val="6"/>
    <w:lvlOverride w:ilvl="0">
      <w:startOverride w:val="1"/>
    </w:lvlOverride>
  </w:num>
  <w:num w:numId="53" w16cid:durableId="967320332">
    <w:abstractNumId w:val="6"/>
    <w:lvlOverride w:ilvl="0">
      <w:startOverride w:val="1"/>
    </w:lvlOverride>
  </w:num>
  <w:num w:numId="54" w16cid:durableId="371734496">
    <w:abstractNumId w:val="10"/>
  </w:num>
  <w:num w:numId="55" w16cid:durableId="2077819715">
    <w:abstractNumId w:val="6"/>
  </w:num>
  <w:num w:numId="56" w16cid:durableId="647395238">
    <w:abstractNumId w:val="6"/>
    <w:lvlOverride w:ilvl="0">
      <w:startOverride w:val="1"/>
    </w:lvlOverride>
  </w:num>
  <w:num w:numId="57" w16cid:durableId="750659584">
    <w:abstractNumId w:val="22"/>
  </w:num>
  <w:num w:numId="58" w16cid:durableId="1610815490">
    <w:abstractNumId w:val="6"/>
    <w:lvlOverride w:ilvl="0">
      <w:startOverride w:val="1"/>
    </w:lvlOverride>
  </w:num>
  <w:num w:numId="59" w16cid:durableId="2089229175">
    <w:abstractNumId w:val="29"/>
  </w:num>
  <w:num w:numId="60" w16cid:durableId="2061778923">
    <w:abstractNumId w:val="6"/>
    <w:lvlOverride w:ilvl="0">
      <w:startOverride w:val="1"/>
    </w:lvlOverride>
  </w:num>
  <w:num w:numId="61" w16cid:durableId="633682864">
    <w:abstractNumId w:val="6"/>
    <w:lvlOverride w:ilvl="0">
      <w:startOverride w:val="1"/>
    </w:lvlOverride>
  </w:num>
  <w:num w:numId="62" w16cid:durableId="133645076">
    <w:abstractNumId w:val="6"/>
    <w:lvlOverride w:ilvl="0">
      <w:startOverride w:val="1"/>
    </w:lvlOverride>
  </w:num>
  <w:num w:numId="63" w16cid:durableId="1572422731">
    <w:abstractNumId w:val="16"/>
  </w:num>
  <w:num w:numId="64" w16cid:durableId="678196412">
    <w:abstractNumId w:val="11"/>
  </w:num>
  <w:num w:numId="65" w16cid:durableId="1853909379">
    <w:abstractNumId w:val="23"/>
  </w:num>
  <w:num w:numId="66" w16cid:durableId="332072637">
    <w:abstractNumId w:val="18"/>
  </w:num>
  <w:num w:numId="67" w16cid:durableId="730227572">
    <w:abstractNumId w:val="8"/>
  </w:num>
  <w:num w:numId="68" w16cid:durableId="179705473">
    <w:abstractNumId w:val="47"/>
  </w:num>
  <w:num w:numId="69" w16cid:durableId="1418595867">
    <w:abstractNumId w:val="33"/>
  </w:num>
  <w:num w:numId="70" w16cid:durableId="945115753">
    <w:abstractNumId w:val="6"/>
    <w:lvlOverride w:ilvl="0">
      <w:startOverride w:val="1"/>
    </w:lvlOverride>
  </w:num>
  <w:num w:numId="71" w16cid:durableId="105079065">
    <w:abstractNumId w:val="6"/>
    <w:lvlOverride w:ilvl="0">
      <w:startOverride w:val="1"/>
    </w:lvlOverride>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dit="trackedChanges" w:enforcement="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APA 7th&lt;/Style&gt;&lt;LeftDelim&gt;{&lt;/LeftDelim&gt;&lt;RightDelim&gt;}&lt;/RightDelim&gt;&lt;FontName&gt;Segoe UI&lt;/FontName&gt;&lt;FontSize&gt;9&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dawdzvawp59fxqevpt559rphwt5dfwx2xwa5&quot;&gt;My EndNote Library&lt;record-ids&gt;&lt;item&gt;1&lt;/item&gt;&lt;item&gt;3&lt;/item&gt;&lt;item&gt;4&lt;/item&gt;&lt;item&gt;5&lt;/item&gt;&lt;item&gt;6&lt;/item&gt;&lt;item&gt;7&lt;/item&gt;&lt;item&gt;8&lt;/item&gt;&lt;item&gt;9&lt;/item&gt;&lt;item&gt;10&lt;/item&gt;&lt;item&gt;12&lt;/item&gt;&lt;item&gt;13&lt;/item&gt;&lt;item&gt;14&lt;/item&gt;&lt;item&gt;15&lt;/item&gt;&lt;item&gt;19&lt;/item&gt;&lt;item&gt;20&lt;/item&gt;&lt;item&gt;21&lt;/item&gt;&lt;item&gt;22&lt;/item&gt;&lt;item&gt;25&lt;/item&gt;&lt;item&gt;26&lt;/item&gt;&lt;item&gt;31&lt;/item&gt;&lt;item&gt;37&lt;/item&gt;&lt;item&gt;38&lt;/item&gt;&lt;item&gt;39&lt;/item&gt;&lt;item&gt;42&lt;/item&gt;&lt;item&gt;51&lt;/item&gt;&lt;item&gt;100&lt;/item&gt;&lt;item&gt;101&lt;/item&gt;&lt;item&gt;102&lt;/item&gt;&lt;item&gt;103&lt;/item&gt;&lt;item&gt;106&lt;/item&gt;&lt;item&gt;107&lt;/item&gt;&lt;item&gt;108&lt;/item&gt;&lt;item&gt;109&lt;/item&gt;&lt;item&gt;110&lt;/item&gt;&lt;item&gt;111&lt;/item&gt;&lt;item&gt;115&lt;/item&gt;&lt;item&gt;117&lt;/item&gt;&lt;item&gt;118&lt;/item&gt;&lt;item&gt;119&lt;/item&gt;&lt;item&gt;120&lt;/item&gt;&lt;item&gt;121&lt;/item&gt;&lt;/record-ids&gt;&lt;/item&gt;&lt;/Libraries&gt;"/>
  </w:docVars>
  <w:rsids>
    <w:rsidRoot w:val="002D403F"/>
    <w:rsid w:val="00000073"/>
    <w:rsid w:val="0000014D"/>
    <w:rsid w:val="0000023A"/>
    <w:rsid w:val="00000256"/>
    <w:rsid w:val="00000408"/>
    <w:rsid w:val="0000043F"/>
    <w:rsid w:val="00000485"/>
    <w:rsid w:val="000004AE"/>
    <w:rsid w:val="0000055F"/>
    <w:rsid w:val="000006B4"/>
    <w:rsid w:val="000006CB"/>
    <w:rsid w:val="0000072C"/>
    <w:rsid w:val="0000072E"/>
    <w:rsid w:val="000007E7"/>
    <w:rsid w:val="00000802"/>
    <w:rsid w:val="00000809"/>
    <w:rsid w:val="00000825"/>
    <w:rsid w:val="0000086C"/>
    <w:rsid w:val="00000876"/>
    <w:rsid w:val="000009DA"/>
    <w:rsid w:val="00000BDF"/>
    <w:rsid w:val="00000E3F"/>
    <w:rsid w:val="0000100E"/>
    <w:rsid w:val="0000132B"/>
    <w:rsid w:val="00001528"/>
    <w:rsid w:val="00001543"/>
    <w:rsid w:val="00001955"/>
    <w:rsid w:val="00001B0D"/>
    <w:rsid w:val="00001D1C"/>
    <w:rsid w:val="00001D29"/>
    <w:rsid w:val="00001F04"/>
    <w:rsid w:val="00001FB9"/>
    <w:rsid w:val="00002042"/>
    <w:rsid w:val="00002065"/>
    <w:rsid w:val="00002079"/>
    <w:rsid w:val="000021E2"/>
    <w:rsid w:val="00002505"/>
    <w:rsid w:val="000026C5"/>
    <w:rsid w:val="00002762"/>
    <w:rsid w:val="00002816"/>
    <w:rsid w:val="000028DC"/>
    <w:rsid w:val="00002B4C"/>
    <w:rsid w:val="00002C67"/>
    <w:rsid w:val="00002CD0"/>
    <w:rsid w:val="00002E4E"/>
    <w:rsid w:val="00002EA7"/>
    <w:rsid w:val="00003295"/>
    <w:rsid w:val="000033D0"/>
    <w:rsid w:val="00003455"/>
    <w:rsid w:val="00003624"/>
    <w:rsid w:val="00003682"/>
    <w:rsid w:val="0000371E"/>
    <w:rsid w:val="000038B0"/>
    <w:rsid w:val="00003A5C"/>
    <w:rsid w:val="00003BFE"/>
    <w:rsid w:val="00003CC7"/>
    <w:rsid w:val="00003D4A"/>
    <w:rsid w:val="00003DDA"/>
    <w:rsid w:val="00003F3E"/>
    <w:rsid w:val="00003F7D"/>
    <w:rsid w:val="00003FCA"/>
    <w:rsid w:val="00004077"/>
    <w:rsid w:val="0000414C"/>
    <w:rsid w:val="00004182"/>
    <w:rsid w:val="000041CC"/>
    <w:rsid w:val="000043E8"/>
    <w:rsid w:val="00004472"/>
    <w:rsid w:val="000044DA"/>
    <w:rsid w:val="000044E5"/>
    <w:rsid w:val="000045B4"/>
    <w:rsid w:val="000045B5"/>
    <w:rsid w:val="000045C1"/>
    <w:rsid w:val="000047A3"/>
    <w:rsid w:val="0000484E"/>
    <w:rsid w:val="00004A15"/>
    <w:rsid w:val="00004D7A"/>
    <w:rsid w:val="00004D7D"/>
    <w:rsid w:val="00004E54"/>
    <w:rsid w:val="00004EA1"/>
    <w:rsid w:val="00004F9D"/>
    <w:rsid w:val="0000529F"/>
    <w:rsid w:val="000052AF"/>
    <w:rsid w:val="000053C3"/>
    <w:rsid w:val="000054F7"/>
    <w:rsid w:val="00005819"/>
    <w:rsid w:val="00005977"/>
    <w:rsid w:val="000059BF"/>
    <w:rsid w:val="000059FD"/>
    <w:rsid w:val="00005A53"/>
    <w:rsid w:val="00005A99"/>
    <w:rsid w:val="00005A9A"/>
    <w:rsid w:val="00005C56"/>
    <w:rsid w:val="00005C85"/>
    <w:rsid w:val="00005DE1"/>
    <w:rsid w:val="00005DE2"/>
    <w:rsid w:val="00005E36"/>
    <w:rsid w:val="00005EC5"/>
    <w:rsid w:val="00005FFE"/>
    <w:rsid w:val="000060D0"/>
    <w:rsid w:val="00006198"/>
    <w:rsid w:val="000062B0"/>
    <w:rsid w:val="0000636A"/>
    <w:rsid w:val="00006515"/>
    <w:rsid w:val="00006543"/>
    <w:rsid w:val="000065B2"/>
    <w:rsid w:val="000065E7"/>
    <w:rsid w:val="0000660D"/>
    <w:rsid w:val="0000661F"/>
    <w:rsid w:val="0000663F"/>
    <w:rsid w:val="000066DA"/>
    <w:rsid w:val="00006765"/>
    <w:rsid w:val="00006798"/>
    <w:rsid w:val="0000690A"/>
    <w:rsid w:val="000069CA"/>
    <w:rsid w:val="00006A03"/>
    <w:rsid w:val="00006AE2"/>
    <w:rsid w:val="00006AE8"/>
    <w:rsid w:val="00006B21"/>
    <w:rsid w:val="00006C09"/>
    <w:rsid w:val="00006C6B"/>
    <w:rsid w:val="00006DA9"/>
    <w:rsid w:val="00006DD1"/>
    <w:rsid w:val="00006E6C"/>
    <w:rsid w:val="000070DB"/>
    <w:rsid w:val="000070E8"/>
    <w:rsid w:val="00007216"/>
    <w:rsid w:val="00007290"/>
    <w:rsid w:val="00007326"/>
    <w:rsid w:val="0000754E"/>
    <w:rsid w:val="00007822"/>
    <w:rsid w:val="00007931"/>
    <w:rsid w:val="00007992"/>
    <w:rsid w:val="00007A2D"/>
    <w:rsid w:val="00007A74"/>
    <w:rsid w:val="00007AF9"/>
    <w:rsid w:val="00007BB1"/>
    <w:rsid w:val="00007BC3"/>
    <w:rsid w:val="00007C2F"/>
    <w:rsid w:val="00007CD3"/>
    <w:rsid w:val="00007DA0"/>
    <w:rsid w:val="00007DA5"/>
    <w:rsid w:val="00007DAD"/>
    <w:rsid w:val="00007E41"/>
    <w:rsid w:val="00007EA0"/>
    <w:rsid w:val="00010105"/>
    <w:rsid w:val="00010246"/>
    <w:rsid w:val="0001026C"/>
    <w:rsid w:val="00010296"/>
    <w:rsid w:val="0001035F"/>
    <w:rsid w:val="00010625"/>
    <w:rsid w:val="000108E2"/>
    <w:rsid w:val="0001099F"/>
    <w:rsid w:val="00010D39"/>
    <w:rsid w:val="00010D87"/>
    <w:rsid w:val="00010E71"/>
    <w:rsid w:val="00010E87"/>
    <w:rsid w:val="00010E8D"/>
    <w:rsid w:val="00010FF1"/>
    <w:rsid w:val="00011022"/>
    <w:rsid w:val="00011133"/>
    <w:rsid w:val="00011134"/>
    <w:rsid w:val="00011151"/>
    <w:rsid w:val="0001140D"/>
    <w:rsid w:val="00011467"/>
    <w:rsid w:val="0001156C"/>
    <w:rsid w:val="00011603"/>
    <w:rsid w:val="00011615"/>
    <w:rsid w:val="00011700"/>
    <w:rsid w:val="00011822"/>
    <w:rsid w:val="00011832"/>
    <w:rsid w:val="00011852"/>
    <w:rsid w:val="00011936"/>
    <w:rsid w:val="000119A0"/>
    <w:rsid w:val="00011A56"/>
    <w:rsid w:val="00011C68"/>
    <w:rsid w:val="00011CF6"/>
    <w:rsid w:val="00011E29"/>
    <w:rsid w:val="00011EBD"/>
    <w:rsid w:val="00011ED8"/>
    <w:rsid w:val="00012026"/>
    <w:rsid w:val="000120B2"/>
    <w:rsid w:val="00012485"/>
    <w:rsid w:val="000125D8"/>
    <w:rsid w:val="000125DC"/>
    <w:rsid w:val="000125DE"/>
    <w:rsid w:val="00012710"/>
    <w:rsid w:val="00012871"/>
    <w:rsid w:val="000128B1"/>
    <w:rsid w:val="000129C7"/>
    <w:rsid w:val="00012B67"/>
    <w:rsid w:val="00012B8C"/>
    <w:rsid w:val="00012C36"/>
    <w:rsid w:val="00012CC6"/>
    <w:rsid w:val="00012DCD"/>
    <w:rsid w:val="00012E23"/>
    <w:rsid w:val="0001312D"/>
    <w:rsid w:val="00013188"/>
    <w:rsid w:val="00013260"/>
    <w:rsid w:val="00013448"/>
    <w:rsid w:val="00013510"/>
    <w:rsid w:val="000135EA"/>
    <w:rsid w:val="00013613"/>
    <w:rsid w:val="00013749"/>
    <w:rsid w:val="00013783"/>
    <w:rsid w:val="000137E1"/>
    <w:rsid w:val="000137FA"/>
    <w:rsid w:val="0001399B"/>
    <w:rsid w:val="00013B17"/>
    <w:rsid w:val="00013C37"/>
    <w:rsid w:val="00013C4F"/>
    <w:rsid w:val="00013C6D"/>
    <w:rsid w:val="0001434D"/>
    <w:rsid w:val="0001459D"/>
    <w:rsid w:val="000145B8"/>
    <w:rsid w:val="0001469E"/>
    <w:rsid w:val="000146AC"/>
    <w:rsid w:val="000147EC"/>
    <w:rsid w:val="000147F5"/>
    <w:rsid w:val="00014805"/>
    <w:rsid w:val="0001495C"/>
    <w:rsid w:val="00014A3C"/>
    <w:rsid w:val="00014AA3"/>
    <w:rsid w:val="00014C15"/>
    <w:rsid w:val="00014CF7"/>
    <w:rsid w:val="00014D01"/>
    <w:rsid w:val="00014DC8"/>
    <w:rsid w:val="00014E3B"/>
    <w:rsid w:val="00014FBE"/>
    <w:rsid w:val="00014FF8"/>
    <w:rsid w:val="0001517C"/>
    <w:rsid w:val="0001520A"/>
    <w:rsid w:val="00015220"/>
    <w:rsid w:val="00015469"/>
    <w:rsid w:val="000154BA"/>
    <w:rsid w:val="00015522"/>
    <w:rsid w:val="000155B5"/>
    <w:rsid w:val="000156B7"/>
    <w:rsid w:val="000156CB"/>
    <w:rsid w:val="000158A6"/>
    <w:rsid w:val="00015953"/>
    <w:rsid w:val="000159DA"/>
    <w:rsid w:val="00015A54"/>
    <w:rsid w:val="00015A9A"/>
    <w:rsid w:val="00015AEF"/>
    <w:rsid w:val="00015AF4"/>
    <w:rsid w:val="00015B65"/>
    <w:rsid w:val="00015BEC"/>
    <w:rsid w:val="00015C0B"/>
    <w:rsid w:val="00015C1E"/>
    <w:rsid w:val="00015C50"/>
    <w:rsid w:val="00015CAD"/>
    <w:rsid w:val="00015CDF"/>
    <w:rsid w:val="00015DAF"/>
    <w:rsid w:val="00015E49"/>
    <w:rsid w:val="00015E52"/>
    <w:rsid w:val="00015E6A"/>
    <w:rsid w:val="00015F2A"/>
    <w:rsid w:val="00015FBD"/>
    <w:rsid w:val="00016000"/>
    <w:rsid w:val="0001602F"/>
    <w:rsid w:val="0001620D"/>
    <w:rsid w:val="00016244"/>
    <w:rsid w:val="00016252"/>
    <w:rsid w:val="000162FC"/>
    <w:rsid w:val="00016548"/>
    <w:rsid w:val="0001671A"/>
    <w:rsid w:val="00016762"/>
    <w:rsid w:val="0001679B"/>
    <w:rsid w:val="000167C5"/>
    <w:rsid w:val="00016839"/>
    <w:rsid w:val="00016841"/>
    <w:rsid w:val="000168D4"/>
    <w:rsid w:val="0001695B"/>
    <w:rsid w:val="000169F2"/>
    <w:rsid w:val="00016A2C"/>
    <w:rsid w:val="00016B35"/>
    <w:rsid w:val="00016D70"/>
    <w:rsid w:val="00016DDB"/>
    <w:rsid w:val="00016E81"/>
    <w:rsid w:val="00016F50"/>
    <w:rsid w:val="00017055"/>
    <w:rsid w:val="000170B6"/>
    <w:rsid w:val="000171A0"/>
    <w:rsid w:val="0001728B"/>
    <w:rsid w:val="000174CA"/>
    <w:rsid w:val="00017574"/>
    <w:rsid w:val="00017575"/>
    <w:rsid w:val="000176A9"/>
    <w:rsid w:val="00017864"/>
    <w:rsid w:val="00017993"/>
    <w:rsid w:val="00017A68"/>
    <w:rsid w:val="00017BDE"/>
    <w:rsid w:val="00017C2E"/>
    <w:rsid w:val="00017CCD"/>
    <w:rsid w:val="00017E60"/>
    <w:rsid w:val="00017F9D"/>
    <w:rsid w:val="00020201"/>
    <w:rsid w:val="000203DF"/>
    <w:rsid w:val="00020479"/>
    <w:rsid w:val="000208B0"/>
    <w:rsid w:val="000208FB"/>
    <w:rsid w:val="00020995"/>
    <w:rsid w:val="00020A5C"/>
    <w:rsid w:val="00020A61"/>
    <w:rsid w:val="00020A79"/>
    <w:rsid w:val="00020C2F"/>
    <w:rsid w:val="00020C59"/>
    <w:rsid w:val="00020D6E"/>
    <w:rsid w:val="00020EEC"/>
    <w:rsid w:val="00020F1A"/>
    <w:rsid w:val="00021211"/>
    <w:rsid w:val="000212D5"/>
    <w:rsid w:val="00021304"/>
    <w:rsid w:val="0002146D"/>
    <w:rsid w:val="00021542"/>
    <w:rsid w:val="00021892"/>
    <w:rsid w:val="000218EC"/>
    <w:rsid w:val="0002193C"/>
    <w:rsid w:val="00021991"/>
    <w:rsid w:val="000219C5"/>
    <w:rsid w:val="00021A0F"/>
    <w:rsid w:val="00021AA7"/>
    <w:rsid w:val="00021D65"/>
    <w:rsid w:val="00021DEC"/>
    <w:rsid w:val="00021E76"/>
    <w:rsid w:val="00021E96"/>
    <w:rsid w:val="00021EBE"/>
    <w:rsid w:val="0002204E"/>
    <w:rsid w:val="00022260"/>
    <w:rsid w:val="000222A3"/>
    <w:rsid w:val="000222B4"/>
    <w:rsid w:val="000222E5"/>
    <w:rsid w:val="000222F0"/>
    <w:rsid w:val="0002238B"/>
    <w:rsid w:val="00022695"/>
    <w:rsid w:val="0002269B"/>
    <w:rsid w:val="00022764"/>
    <w:rsid w:val="000227A6"/>
    <w:rsid w:val="000227D2"/>
    <w:rsid w:val="000227E6"/>
    <w:rsid w:val="00022829"/>
    <w:rsid w:val="00022866"/>
    <w:rsid w:val="000228DB"/>
    <w:rsid w:val="000229BE"/>
    <w:rsid w:val="00022BA1"/>
    <w:rsid w:val="00022BB5"/>
    <w:rsid w:val="00022CBD"/>
    <w:rsid w:val="00022ED6"/>
    <w:rsid w:val="00022EF3"/>
    <w:rsid w:val="00022F35"/>
    <w:rsid w:val="000231A7"/>
    <w:rsid w:val="00023235"/>
    <w:rsid w:val="000233EB"/>
    <w:rsid w:val="00023496"/>
    <w:rsid w:val="00023590"/>
    <w:rsid w:val="00023722"/>
    <w:rsid w:val="000238E3"/>
    <w:rsid w:val="00023B0F"/>
    <w:rsid w:val="00023B32"/>
    <w:rsid w:val="00023B63"/>
    <w:rsid w:val="00023C55"/>
    <w:rsid w:val="00023D09"/>
    <w:rsid w:val="00023DB2"/>
    <w:rsid w:val="00023EF2"/>
    <w:rsid w:val="00023FFB"/>
    <w:rsid w:val="000240E2"/>
    <w:rsid w:val="0002417B"/>
    <w:rsid w:val="000242F1"/>
    <w:rsid w:val="000245EF"/>
    <w:rsid w:val="0002479E"/>
    <w:rsid w:val="00024897"/>
    <w:rsid w:val="0002489C"/>
    <w:rsid w:val="00024B3B"/>
    <w:rsid w:val="00024C88"/>
    <w:rsid w:val="00024CB6"/>
    <w:rsid w:val="00024CE1"/>
    <w:rsid w:val="00024F70"/>
    <w:rsid w:val="00024FBD"/>
    <w:rsid w:val="000250BA"/>
    <w:rsid w:val="000250E4"/>
    <w:rsid w:val="0002513A"/>
    <w:rsid w:val="000251CB"/>
    <w:rsid w:val="00025238"/>
    <w:rsid w:val="0002528E"/>
    <w:rsid w:val="00025376"/>
    <w:rsid w:val="00025424"/>
    <w:rsid w:val="0002542D"/>
    <w:rsid w:val="0002543E"/>
    <w:rsid w:val="00025484"/>
    <w:rsid w:val="00025495"/>
    <w:rsid w:val="0002549A"/>
    <w:rsid w:val="000254C6"/>
    <w:rsid w:val="000255DE"/>
    <w:rsid w:val="0002562C"/>
    <w:rsid w:val="00025694"/>
    <w:rsid w:val="000256AD"/>
    <w:rsid w:val="000257FA"/>
    <w:rsid w:val="00025868"/>
    <w:rsid w:val="000258ED"/>
    <w:rsid w:val="00025901"/>
    <w:rsid w:val="000259BF"/>
    <w:rsid w:val="00025BC7"/>
    <w:rsid w:val="00025BCA"/>
    <w:rsid w:val="00025C00"/>
    <w:rsid w:val="00025C45"/>
    <w:rsid w:val="00025C63"/>
    <w:rsid w:val="00025D26"/>
    <w:rsid w:val="0002603F"/>
    <w:rsid w:val="000260B4"/>
    <w:rsid w:val="00026107"/>
    <w:rsid w:val="00026111"/>
    <w:rsid w:val="0002618A"/>
    <w:rsid w:val="000261E7"/>
    <w:rsid w:val="0002620A"/>
    <w:rsid w:val="00026271"/>
    <w:rsid w:val="000262FA"/>
    <w:rsid w:val="0002631D"/>
    <w:rsid w:val="0002646E"/>
    <w:rsid w:val="000264AC"/>
    <w:rsid w:val="000265DB"/>
    <w:rsid w:val="00026657"/>
    <w:rsid w:val="000266A3"/>
    <w:rsid w:val="00026701"/>
    <w:rsid w:val="00026711"/>
    <w:rsid w:val="000267A3"/>
    <w:rsid w:val="00026868"/>
    <w:rsid w:val="000268C0"/>
    <w:rsid w:val="00026931"/>
    <w:rsid w:val="00026971"/>
    <w:rsid w:val="00026AAE"/>
    <w:rsid w:val="00026BC2"/>
    <w:rsid w:val="00026C0D"/>
    <w:rsid w:val="00026DE7"/>
    <w:rsid w:val="00026E70"/>
    <w:rsid w:val="00026F29"/>
    <w:rsid w:val="0002703F"/>
    <w:rsid w:val="00027102"/>
    <w:rsid w:val="00027147"/>
    <w:rsid w:val="000272BB"/>
    <w:rsid w:val="000273EB"/>
    <w:rsid w:val="000274F7"/>
    <w:rsid w:val="00027699"/>
    <w:rsid w:val="00027727"/>
    <w:rsid w:val="00027890"/>
    <w:rsid w:val="0002796F"/>
    <w:rsid w:val="00027D71"/>
    <w:rsid w:val="00027DB3"/>
    <w:rsid w:val="00027E78"/>
    <w:rsid w:val="00027F99"/>
    <w:rsid w:val="00030117"/>
    <w:rsid w:val="0003019A"/>
    <w:rsid w:val="000301B7"/>
    <w:rsid w:val="00030208"/>
    <w:rsid w:val="00030443"/>
    <w:rsid w:val="00030619"/>
    <w:rsid w:val="00030874"/>
    <w:rsid w:val="000308EC"/>
    <w:rsid w:val="00030A50"/>
    <w:rsid w:val="00030A5E"/>
    <w:rsid w:val="00030CFC"/>
    <w:rsid w:val="00030D89"/>
    <w:rsid w:val="00030E09"/>
    <w:rsid w:val="00030E47"/>
    <w:rsid w:val="00030E70"/>
    <w:rsid w:val="00030ECE"/>
    <w:rsid w:val="00030F19"/>
    <w:rsid w:val="00030F1C"/>
    <w:rsid w:val="00030F31"/>
    <w:rsid w:val="00030F53"/>
    <w:rsid w:val="00030F57"/>
    <w:rsid w:val="00030FFC"/>
    <w:rsid w:val="0003109F"/>
    <w:rsid w:val="000310AD"/>
    <w:rsid w:val="000310B1"/>
    <w:rsid w:val="000310B9"/>
    <w:rsid w:val="00031204"/>
    <w:rsid w:val="000314A4"/>
    <w:rsid w:val="0003172A"/>
    <w:rsid w:val="0003181F"/>
    <w:rsid w:val="00031824"/>
    <w:rsid w:val="00031828"/>
    <w:rsid w:val="00031936"/>
    <w:rsid w:val="00031985"/>
    <w:rsid w:val="00031A61"/>
    <w:rsid w:val="00031A8F"/>
    <w:rsid w:val="00031C53"/>
    <w:rsid w:val="00031CF0"/>
    <w:rsid w:val="00031DCF"/>
    <w:rsid w:val="00031E1C"/>
    <w:rsid w:val="00031E46"/>
    <w:rsid w:val="00031E6D"/>
    <w:rsid w:val="00031EE9"/>
    <w:rsid w:val="00031F13"/>
    <w:rsid w:val="00031F4B"/>
    <w:rsid w:val="00032058"/>
    <w:rsid w:val="00032072"/>
    <w:rsid w:val="0003207D"/>
    <w:rsid w:val="00032153"/>
    <w:rsid w:val="0003238D"/>
    <w:rsid w:val="000323A2"/>
    <w:rsid w:val="00032440"/>
    <w:rsid w:val="00032507"/>
    <w:rsid w:val="000326C2"/>
    <w:rsid w:val="000326EA"/>
    <w:rsid w:val="0003276B"/>
    <w:rsid w:val="000327EC"/>
    <w:rsid w:val="000327F6"/>
    <w:rsid w:val="000327FF"/>
    <w:rsid w:val="00032820"/>
    <w:rsid w:val="00032B12"/>
    <w:rsid w:val="00032EFC"/>
    <w:rsid w:val="00032F77"/>
    <w:rsid w:val="000330DC"/>
    <w:rsid w:val="0003325F"/>
    <w:rsid w:val="000332A9"/>
    <w:rsid w:val="000332E1"/>
    <w:rsid w:val="00033434"/>
    <w:rsid w:val="000334B5"/>
    <w:rsid w:val="00033517"/>
    <w:rsid w:val="00033628"/>
    <w:rsid w:val="00033685"/>
    <w:rsid w:val="0003393C"/>
    <w:rsid w:val="000339F3"/>
    <w:rsid w:val="00033A43"/>
    <w:rsid w:val="00033A66"/>
    <w:rsid w:val="00033AC8"/>
    <w:rsid w:val="00033AEB"/>
    <w:rsid w:val="00033B0A"/>
    <w:rsid w:val="00033CE2"/>
    <w:rsid w:val="00033D17"/>
    <w:rsid w:val="00033D2C"/>
    <w:rsid w:val="00033D4F"/>
    <w:rsid w:val="00033F4D"/>
    <w:rsid w:val="00033F8A"/>
    <w:rsid w:val="00034036"/>
    <w:rsid w:val="0003419E"/>
    <w:rsid w:val="000341B5"/>
    <w:rsid w:val="000342B9"/>
    <w:rsid w:val="000344C4"/>
    <w:rsid w:val="0003455B"/>
    <w:rsid w:val="000345C3"/>
    <w:rsid w:val="000345E1"/>
    <w:rsid w:val="000346C0"/>
    <w:rsid w:val="00034863"/>
    <w:rsid w:val="000348B3"/>
    <w:rsid w:val="00034997"/>
    <w:rsid w:val="00034999"/>
    <w:rsid w:val="00034A16"/>
    <w:rsid w:val="00034AC6"/>
    <w:rsid w:val="00034B6B"/>
    <w:rsid w:val="00034C0E"/>
    <w:rsid w:val="00034C35"/>
    <w:rsid w:val="00034C45"/>
    <w:rsid w:val="00034D35"/>
    <w:rsid w:val="00034DDF"/>
    <w:rsid w:val="00034EE1"/>
    <w:rsid w:val="00034F68"/>
    <w:rsid w:val="00034FE6"/>
    <w:rsid w:val="000350BA"/>
    <w:rsid w:val="00035100"/>
    <w:rsid w:val="0003523E"/>
    <w:rsid w:val="00035284"/>
    <w:rsid w:val="000352E0"/>
    <w:rsid w:val="0003540C"/>
    <w:rsid w:val="000355C4"/>
    <w:rsid w:val="00035628"/>
    <w:rsid w:val="00035648"/>
    <w:rsid w:val="0003573E"/>
    <w:rsid w:val="00035828"/>
    <w:rsid w:val="00035920"/>
    <w:rsid w:val="00035B21"/>
    <w:rsid w:val="00035BE1"/>
    <w:rsid w:val="00035C27"/>
    <w:rsid w:val="00035CD2"/>
    <w:rsid w:val="00036060"/>
    <w:rsid w:val="00036064"/>
    <w:rsid w:val="000360B9"/>
    <w:rsid w:val="000360DA"/>
    <w:rsid w:val="00036249"/>
    <w:rsid w:val="00036286"/>
    <w:rsid w:val="000363D8"/>
    <w:rsid w:val="000364BC"/>
    <w:rsid w:val="000364E3"/>
    <w:rsid w:val="0003654F"/>
    <w:rsid w:val="0003664C"/>
    <w:rsid w:val="000366EE"/>
    <w:rsid w:val="00036738"/>
    <w:rsid w:val="00036771"/>
    <w:rsid w:val="000367DA"/>
    <w:rsid w:val="0003695E"/>
    <w:rsid w:val="00036A9C"/>
    <w:rsid w:val="00036B6C"/>
    <w:rsid w:val="00036BBF"/>
    <w:rsid w:val="00036D02"/>
    <w:rsid w:val="00036DC6"/>
    <w:rsid w:val="00036DEE"/>
    <w:rsid w:val="00036F0C"/>
    <w:rsid w:val="00037033"/>
    <w:rsid w:val="0003708C"/>
    <w:rsid w:val="000370DE"/>
    <w:rsid w:val="000371B8"/>
    <w:rsid w:val="000372AE"/>
    <w:rsid w:val="00037457"/>
    <w:rsid w:val="00037597"/>
    <w:rsid w:val="0003762D"/>
    <w:rsid w:val="00037ADF"/>
    <w:rsid w:val="00037B30"/>
    <w:rsid w:val="00037BAE"/>
    <w:rsid w:val="00037C03"/>
    <w:rsid w:val="00037C34"/>
    <w:rsid w:val="00037CF2"/>
    <w:rsid w:val="00037F2B"/>
    <w:rsid w:val="0004017E"/>
    <w:rsid w:val="00040259"/>
    <w:rsid w:val="0004030A"/>
    <w:rsid w:val="0004033A"/>
    <w:rsid w:val="000404B2"/>
    <w:rsid w:val="000404D3"/>
    <w:rsid w:val="00040570"/>
    <w:rsid w:val="00040890"/>
    <w:rsid w:val="000409D9"/>
    <w:rsid w:val="00040A1D"/>
    <w:rsid w:val="00040A38"/>
    <w:rsid w:val="00040A69"/>
    <w:rsid w:val="00040ABC"/>
    <w:rsid w:val="00040BB9"/>
    <w:rsid w:val="00040BD5"/>
    <w:rsid w:val="00040C07"/>
    <w:rsid w:val="00040CB0"/>
    <w:rsid w:val="00040E26"/>
    <w:rsid w:val="00040E2A"/>
    <w:rsid w:val="00040E98"/>
    <w:rsid w:val="00040F46"/>
    <w:rsid w:val="00041025"/>
    <w:rsid w:val="0004103A"/>
    <w:rsid w:val="000410A7"/>
    <w:rsid w:val="0004127E"/>
    <w:rsid w:val="00041373"/>
    <w:rsid w:val="00041420"/>
    <w:rsid w:val="00041425"/>
    <w:rsid w:val="000414AE"/>
    <w:rsid w:val="000414E3"/>
    <w:rsid w:val="00041514"/>
    <w:rsid w:val="00041582"/>
    <w:rsid w:val="000417EB"/>
    <w:rsid w:val="00041823"/>
    <w:rsid w:val="00041975"/>
    <w:rsid w:val="00041A76"/>
    <w:rsid w:val="00041B18"/>
    <w:rsid w:val="00041B27"/>
    <w:rsid w:val="00041CFF"/>
    <w:rsid w:val="00041D7F"/>
    <w:rsid w:val="00041D9E"/>
    <w:rsid w:val="00041DDD"/>
    <w:rsid w:val="00041EF2"/>
    <w:rsid w:val="00042037"/>
    <w:rsid w:val="00042067"/>
    <w:rsid w:val="0004207D"/>
    <w:rsid w:val="00042192"/>
    <w:rsid w:val="000421BB"/>
    <w:rsid w:val="0004236C"/>
    <w:rsid w:val="000424B9"/>
    <w:rsid w:val="000426CA"/>
    <w:rsid w:val="000428C7"/>
    <w:rsid w:val="000428FC"/>
    <w:rsid w:val="0004293F"/>
    <w:rsid w:val="00042BA7"/>
    <w:rsid w:val="00042C89"/>
    <w:rsid w:val="00042CC2"/>
    <w:rsid w:val="00042DB8"/>
    <w:rsid w:val="00042ED0"/>
    <w:rsid w:val="0004303F"/>
    <w:rsid w:val="00043295"/>
    <w:rsid w:val="00043373"/>
    <w:rsid w:val="000433CE"/>
    <w:rsid w:val="00043421"/>
    <w:rsid w:val="0004349B"/>
    <w:rsid w:val="00043616"/>
    <w:rsid w:val="00043637"/>
    <w:rsid w:val="000437A5"/>
    <w:rsid w:val="000439D7"/>
    <w:rsid w:val="000439DF"/>
    <w:rsid w:val="000439E9"/>
    <w:rsid w:val="00043D58"/>
    <w:rsid w:val="00043DC4"/>
    <w:rsid w:val="00043EF8"/>
    <w:rsid w:val="00043F99"/>
    <w:rsid w:val="00043FB3"/>
    <w:rsid w:val="00044087"/>
    <w:rsid w:val="00044092"/>
    <w:rsid w:val="00044149"/>
    <w:rsid w:val="0004418F"/>
    <w:rsid w:val="00044302"/>
    <w:rsid w:val="0004434F"/>
    <w:rsid w:val="00044400"/>
    <w:rsid w:val="000444DA"/>
    <w:rsid w:val="00044553"/>
    <w:rsid w:val="000446CF"/>
    <w:rsid w:val="00044720"/>
    <w:rsid w:val="00044732"/>
    <w:rsid w:val="000447E4"/>
    <w:rsid w:val="0004483A"/>
    <w:rsid w:val="0004485B"/>
    <w:rsid w:val="000448B3"/>
    <w:rsid w:val="000448F2"/>
    <w:rsid w:val="0004499C"/>
    <w:rsid w:val="00044B1D"/>
    <w:rsid w:val="00044B32"/>
    <w:rsid w:val="00044BB7"/>
    <w:rsid w:val="00044C00"/>
    <w:rsid w:val="00044C01"/>
    <w:rsid w:val="00044C7D"/>
    <w:rsid w:val="00044CD4"/>
    <w:rsid w:val="00044D22"/>
    <w:rsid w:val="00044E1A"/>
    <w:rsid w:val="00044F67"/>
    <w:rsid w:val="00044FA6"/>
    <w:rsid w:val="00045061"/>
    <w:rsid w:val="00045093"/>
    <w:rsid w:val="000450B8"/>
    <w:rsid w:val="0004526D"/>
    <w:rsid w:val="00045383"/>
    <w:rsid w:val="000453BC"/>
    <w:rsid w:val="000453C2"/>
    <w:rsid w:val="00045496"/>
    <w:rsid w:val="000454AB"/>
    <w:rsid w:val="000454D6"/>
    <w:rsid w:val="00045562"/>
    <w:rsid w:val="0004556F"/>
    <w:rsid w:val="0004559A"/>
    <w:rsid w:val="000455C2"/>
    <w:rsid w:val="000455CC"/>
    <w:rsid w:val="00045641"/>
    <w:rsid w:val="0004564F"/>
    <w:rsid w:val="0004585F"/>
    <w:rsid w:val="00045921"/>
    <w:rsid w:val="0004597E"/>
    <w:rsid w:val="000459D5"/>
    <w:rsid w:val="000459F9"/>
    <w:rsid w:val="00045A6E"/>
    <w:rsid w:val="00045DEF"/>
    <w:rsid w:val="00045F0E"/>
    <w:rsid w:val="00045FF3"/>
    <w:rsid w:val="000461AE"/>
    <w:rsid w:val="000461CE"/>
    <w:rsid w:val="00046281"/>
    <w:rsid w:val="00046311"/>
    <w:rsid w:val="00046365"/>
    <w:rsid w:val="00046529"/>
    <w:rsid w:val="0004663C"/>
    <w:rsid w:val="000466A1"/>
    <w:rsid w:val="00046725"/>
    <w:rsid w:val="000467EC"/>
    <w:rsid w:val="00046937"/>
    <w:rsid w:val="00046951"/>
    <w:rsid w:val="00046ABA"/>
    <w:rsid w:val="00046B72"/>
    <w:rsid w:val="00046CE4"/>
    <w:rsid w:val="00046D41"/>
    <w:rsid w:val="00046DA8"/>
    <w:rsid w:val="00046E12"/>
    <w:rsid w:val="00046EC2"/>
    <w:rsid w:val="00046EC7"/>
    <w:rsid w:val="00046EEC"/>
    <w:rsid w:val="00046F51"/>
    <w:rsid w:val="000470A2"/>
    <w:rsid w:val="000470D7"/>
    <w:rsid w:val="000470E2"/>
    <w:rsid w:val="0004718E"/>
    <w:rsid w:val="00047235"/>
    <w:rsid w:val="00047280"/>
    <w:rsid w:val="0004728C"/>
    <w:rsid w:val="000473F9"/>
    <w:rsid w:val="000475E9"/>
    <w:rsid w:val="00047774"/>
    <w:rsid w:val="0004778A"/>
    <w:rsid w:val="000477F7"/>
    <w:rsid w:val="000479D6"/>
    <w:rsid w:val="00047A20"/>
    <w:rsid w:val="00047B0E"/>
    <w:rsid w:val="00047B79"/>
    <w:rsid w:val="00047C2B"/>
    <w:rsid w:val="00050061"/>
    <w:rsid w:val="000501A3"/>
    <w:rsid w:val="000501AC"/>
    <w:rsid w:val="000501B4"/>
    <w:rsid w:val="000501EB"/>
    <w:rsid w:val="000502DF"/>
    <w:rsid w:val="000503AB"/>
    <w:rsid w:val="00050430"/>
    <w:rsid w:val="00050441"/>
    <w:rsid w:val="000505A2"/>
    <w:rsid w:val="000505F9"/>
    <w:rsid w:val="0005076A"/>
    <w:rsid w:val="00050BEE"/>
    <w:rsid w:val="00050C22"/>
    <w:rsid w:val="00050C65"/>
    <w:rsid w:val="00050C81"/>
    <w:rsid w:val="00050CA1"/>
    <w:rsid w:val="00050CBA"/>
    <w:rsid w:val="00050D57"/>
    <w:rsid w:val="00050D5A"/>
    <w:rsid w:val="00050DA5"/>
    <w:rsid w:val="00050DBC"/>
    <w:rsid w:val="00050E09"/>
    <w:rsid w:val="00050EC7"/>
    <w:rsid w:val="00050F27"/>
    <w:rsid w:val="00050FBA"/>
    <w:rsid w:val="00051060"/>
    <w:rsid w:val="00051317"/>
    <w:rsid w:val="000513CF"/>
    <w:rsid w:val="00051504"/>
    <w:rsid w:val="00051572"/>
    <w:rsid w:val="0005160C"/>
    <w:rsid w:val="00051675"/>
    <w:rsid w:val="0005170C"/>
    <w:rsid w:val="0005173F"/>
    <w:rsid w:val="0005175B"/>
    <w:rsid w:val="0005178B"/>
    <w:rsid w:val="0005189B"/>
    <w:rsid w:val="0005190D"/>
    <w:rsid w:val="00051971"/>
    <w:rsid w:val="00051A88"/>
    <w:rsid w:val="00051ABC"/>
    <w:rsid w:val="00051BB6"/>
    <w:rsid w:val="00051D2D"/>
    <w:rsid w:val="00051D3A"/>
    <w:rsid w:val="00051D8F"/>
    <w:rsid w:val="00051E6E"/>
    <w:rsid w:val="00051FD6"/>
    <w:rsid w:val="000520CD"/>
    <w:rsid w:val="0005236B"/>
    <w:rsid w:val="00052431"/>
    <w:rsid w:val="00052435"/>
    <w:rsid w:val="00052530"/>
    <w:rsid w:val="00052563"/>
    <w:rsid w:val="00052582"/>
    <w:rsid w:val="00052798"/>
    <w:rsid w:val="000528B8"/>
    <w:rsid w:val="00052912"/>
    <w:rsid w:val="00052AE5"/>
    <w:rsid w:val="00052C35"/>
    <w:rsid w:val="00052E33"/>
    <w:rsid w:val="00052E93"/>
    <w:rsid w:val="00052E95"/>
    <w:rsid w:val="0005302F"/>
    <w:rsid w:val="00053050"/>
    <w:rsid w:val="000531B0"/>
    <w:rsid w:val="00053248"/>
    <w:rsid w:val="00053254"/>
    <w:rsid w:val="00053298"/>
    <w:rsid w:val="000533CB"/>
    <w:rsid w:val="0005343A"/>
    <w:rsid w:val="0005365A"/>
    <w:rsid w:val="00053996"/>
    <w:rsid w:val="00053B04"/>
    <w:rsid w:val="00053E4D"/>
    <w:rsid w:val="00053E6B"/>
    <w:rsid w:val="00053EF6"/>
    <w:rsid w:val="00053F48"/>
    <w:rsid w:val="00053FD2"/>
    <w:rsid w:val="00053FEA"/>
    <w:rsid w:val="000540F0"/>
    <w:rsid w:val="00054174"/>
    <w:rsid w:val="000541A5"/>
    <w:rsid w:val="000541C3"/>
    <w:rsid w:val="000542A7"/>
    <w:rsid w:val="00054309"/>
    <w:rsid w:val="00054404"/>
    <w:rsid w:val="00054443"/>
    <w:rsid w:val="0005448D"/>
    <w:rsid w:val="000546DA"/>
    <w:rsid w:val="00054738"/>
    <w:rsid w:val="000547D7"/>
    <w:rsid w:val="000547EE"/>
    <w:rsid w:val="00054A38"/>
    <w:rsid w:val="00054A4F"/>
    <w:rsid w:val="00054A6E"/>
    <w:rsid w:val="00054C29"/>
    <w:rsid w:val="00054C2A"/>
    <w:rsid w:val="00054C48"/>
    <w:rsid w:val="00054C5D"/>
    <w:rsid w:val="00054E2D"/>
    <w:rsid w:val="00054EA1"/>
    <w:rsid w:val="0005508F"/>
    <w:rsid w:val="000550EC"/>
    <w:rsid w:val="0005528C"/>
    <w:rsid w:val="000553F5"/>
    <w:rsid w:val="00055544"/>
    <w:rsid w:val="0005560A"/>
    <w:rsid w:val="000556E2"/>
    <w:rsid w:val="00055888"/>
    <w:rsid w:val="00055890"/>
    <w:rsid w:val="00055897"/>
    <w:rsid w:val="0005589A"/>
    <w:rsid w:val="000558A9"/>
    <w:rsid w:val="00055934"/>
    <w:rsid w:val="00055ABE"/>
    <w:rsid w:val="00055B48"/>
    <w:rsid w:val="00055BB5"/>
    <w:rsid w:val="00055CCC"/>
    <w:rsid w:val="00055EEB"/>
    <w:rsid w:val="00055F21"/>
    <w:rsid w:val="00055FF4"/>
    <w:rsid w:val="00056030"/>
    <w:rsid w:val="00056135"/>
    <w:rsid w:val="0005622A"/>
    <w:rsid w:val="000562B3"/>
    <w:rsid w:val="000562BA"/>
    <w:rsid w:val="000562F7"/>
    <w:rsid w:val="0005630C"/>
    <w:rsid w:val="000563EB"/>
    <w:rsid w:val="000564FA"/>
    <w:rsid w:val="00056525"/>
    <w:rsid w:val="000565DE"/>
    <w:rsid w:val="0005666C"/>
    <w:rsid w:val="0005673D"/>
    <w:rsid w:val="0005675A"/>
    <w:rsid w:val="00056881"/>
    <w:rsid w:val="000568B0"/>
    <w:rsid w:val="00056A3A"/>
    <w:rsid w:val="00056A80"/>
    <w:rsid w:val="00056EE8"/>
    <w:rsid w:val="00056EFC"/>
    <w:rsid w:val="00056FD6"/>
    <w:rsid w:val="0005703C"/>
    <w:rsid w:val="000571C4"/>
    <w:rsid w:val="0005720A"/>
    <w:rsid w:val="000573FB"/>
    <w:rsid w:val="00057473"/>
    <w:rsid w:val="000576C6"/>
    <w:rsid w:val="000578FE"/>
    <w:rsid w:val="0005792C"/>
    <w:rsid w:val="000579CE"/>
    <w:rsid w:val="00057B25"/>
    <w:rsid w:val="00057B47"/>
    <w:rsid w:val="00057C2D"/>
    <w:rsid w:val="00057D27"/>
    <w:rsid w:val="00057DCE"/>
    <w:rsid w:val="00057F19"/>
    <w:rsid w:val="00057F97"/>
    <w:rsid w:val="00060129"/>
    <w:rsid w:val="0006030A"/>
    <w:rsid w:val="00060412"/>
    <w:rsid w:val="00060456"/>
    <w:rsid w:val="00060686"/>
    <w:rsid w:val="00060869"/>
    <w:rsid w:val="00060A1C"/>
    <w:rsid w:val="00060A54"/>
    <w:rsid w:val="00060AAC"/>
    <w:rsid w:val="00060C06"/>
    <w:rsid w:val="00060CD9"/>
    <w:rsid w:val="00060F31"/>
    <w:rsid w:val="00060FBE"/>
    <w:rsid w:val="000610F3"/>
    <w:rsid w:val="0006118B"/>
    <w:rsid w:val="000611E6"/>
    <w:rsid w:val="00061267"/>
    <w:rsid w:val="0006126C"/>
    <w:rsid w:val="0006126F"/>
    <w:rsid w:val="000612AB"/>
    <w:rsid w:val="00061603"/>
    <w:rsid w:val="000616DD"/>
    <w:rsid w:val="00061B23"/>
    <w:rsid w:val="00061BB0"/>
    <w:rsid w:val="00061BB1"/>
    <w:rsid w:val="00061BE7"/>
    <w:rsid w:val="00061CEA"/>
    <w:rsid w:val="00061D8F"/>
    <w:rsid w:val="00061E82"/>
    <w:rsid w:val="00061FA9"/>
    <w:rsid w:val="00062008"/>
    <w:rsid w:val="00062063"/>
    <w:rsid w:val="0006207F"/>
    <w:rsid w:val="00062236"/>
    <w:rsid w:val="00062253"/>
    <w:rsid w:val="00062269"/>
    <w:rsid w:val="00062272"/>
    <w:rsid w:val="000624CC"/>
    <w:rsid w:val="000625AF"/>
    <w:rsid w:val="000625E9"/>
    <w:rsid w:val="0006262E"/>
    <w:rsid w:val="0006271D"/>
    <w:rsid w:val="000628ED"/>
    <w:rsid w:val="00062959"/>
    <w:rsid w:val="00062A85"/>
    <w:rsid w:val="00062A99"/>
    <w:rsid w:val="00062ABE"/>
    <w:rsid w:val="00062B2E"/>
    <w:rsid w:val="00062BBC"/>
    <w:rsid w:val="00062BC8"/>
    <w:rsid w:val="00062C20"/>
    <w:rsid w:val="00062C7F"/>
    <w:rsid w:val="00063077"/>
    <w:rsid w:val="000630DE"/>
    <w:rsid w:val="000630F4"/>
    <w:rsid w:val="00063116"/>
    <w:rsid w:val="0006317B"/>
    <w:rsid w:val="00063499"/>
    <w:rsid w:val="000634AC"/>
    <w:rsid w:val="00063724"/>
    <w:rsid w:val="000639F1"/>
    <w:rsid w:val="00063A47"/>
    <w:rsid w:val="00063B67"/>
    <w:rsid w:val="00063BBF"/>
    <w:rsid w:val="00063BCF"/>
    <w:rsid w:val="00063D43"/>
    <w:rsid w:val="00063E8B"/>
    <w:rsid w:val="00063F33"/>
    <w:rsid w:val="00063F66"/>
    <w:rsid w:val="00063FE5"/>
    <w:rsid w:val="000641BC"/>
    <w:rsid w:val="00064207"/>
    <w:rsid w:val="000642F3"/>
    <w:rsid w:val="00064434"/>
    <w:rsid w:val="0006451C"/>
    <w:rsid w:val="000645B0"/>
    <w:rsid w:val="000646D8"/>
    <w:rsid w:val="0006472C"/>
    <w:rsid w:val="00064855"/>
    <w:rsid w:val="0006495D"/>
    <w:rsid w:val="00064B57"/>
    <w:rsid w:val="00064C83"/>
    <w:rsid w:val="00064D86"/>
    <w:rsid w:val="00064F31"/>
    <w:rsid w:val="00064FB4"/>
    <w:rsid w:val="000651F4"/>
    <w:rsid w:val="00065209"/>
    <w:rsid w:val="0006524A"/>
    <w:rsid w:val="0006526A"/>
    <w:rsid w:val="00065280"/>
    <w:rsid w:val="000652E2"/>
    <w:rsid w:val="000652EB"/>
    <w:rsid w:val="000653C5"/>
    <w:rsid w:val="000653E1"/>
    <w:rsid w:val="0006548F"/>
    <w:rsid w:val="00065519"/>
    <w:rsid w:val="00065565"/>
    <w:rsid w:val="00065614"/>
    <w:rsid w:val="0006575C"/>
    <w:rsid w:val="000657FD"/>
    <w:rsid w:val="0006580D"/>
    <w:rsid w:val="0006582B"/>
    <w:rsid w:val="0006583C"/>
    <w:rsid w:val="00065870"/>
    <w:rsid w:val="000658A1"/>
    <w:rsid w:val="000658AF"/>
    <w:rsid w:val="000658E6"/>
    <w:rsid w:val="0006590B"/>
    <w:rsid w:val="00065958"/>
    <w:rsid w:val="00065AFA"/>
    <w:rsid w:val="00065D0D"/>
    <w:rsid w:val="00065D1C"/>
    <w:rsid w:val="00065FF9"/>
    <w:rsid w:val="00066097"/>
    <w:rsid w:val="000660F8"/>
    <w:rsid w:val="000661C1"/>
    <w:rsid w:val="0006639D"/>
    <w:rsid w:val="00066579"/>
    <w:rsid w:val="0006662E"/>
    <w:rsid w:val="00066775"/>
    <w:rsid w:val="00066839"/>
    <w:rsid w:val="00066AC7"/>
    <w:rsid w:val="00066AE9"/>
    <w:rsid w:val="00066C2D"/>
    <w:rsid w:val="00066C85"/>
    <w:rsid w:val="00066E21"/>
    <w:rsid w:val="00066E3B"/>
    <w:rsid w:val="00066E52"/>
    <w:rsid w:val="00066E7C"/>
    <w:rsid w:val="00066F4A"/>
    <w:rsid w:val="00067023"/>
    <w:rsid w:val="000671D3"/>
    <w:rsid w:val="0006723F"/>
    <w:rsid w:val="000672E6"/>
    <w:rsid w:val="00067415"/>
    <w:rsid w:val="000674E1"/>
    <w:rsid w:val="00067755"/>
    <w:rsid w:val="000677F6"/>
    <w:rsid w:val="00067910"/>
    <w:rsid w:val="0006798A"/>
    <w:rsid w:val="00067A23"/>
    <w:rsid w:val="00067D75"/>
    <w:rsid w:val="00067DD1"/>
    <w:rsid w:val="00067E05"/>
    <w:rsid w:val="00067EDC"/>
    <w:rsid w:val="00067EED"/>
    <w:rsid w:val="00067F4B"/>
    <w:rsid w:val="000700B2"/>
    <w:rsid w:val="00070123"/>
    <w:rsid w:val="0007013E"/>
    <w:rsid w:val="00070183"/>
    <w:rsid w:val="00070186"/>
    <w:rsid w:val="000701C3"/>
    <w:rsid w:val="000701E3"/>
    <w:rsid w:val="00070257"/>
    <w:rsid w:val="000704B9"/>
    <w:rsid w:val="00070509"/>
    <w:rsid w:val="00070579"/>
    <w:rsid w:val="0007058E"/>
    <w:rsid w:val="000705ED"/>
    <w:rsid w:val="00070820"/>
    <w:rsid w:val="00070A9B"/>
    <w:rsid w:val="00070AB5"/>
    <w:rsid w:val="00070C9A"/>
    <w:rsid w:val="00070CE3"/>
    <w:rsid w:val="00070D06"/>
    <w:rsid w:val="00070D42"/>
    <w:rsid w:val="00070DC0"/>
    <w:rsid w:val="00070E7A"/>
    <w:rsid w:val="00070F1C"/>
    <w:rsid w:val="00070F3A"/>
    <w:rsid w:val="00070F58"/>
    <w:rsid w:val="00071052"/>
    <w:rsid w:val="0007124F"/>
    <w:rsid w:val="0007127A"/>
    <w:rsid w:val="00071395"/>
    <w:rsid w:val="0007158C"/>
    <w:rsid w:val="0007161F"/>
    <w:rsid w:val="00071655"/>
    <w:rsid w:val="000716D3"/>
    <w:rsid w:val="000716DB"/>
    <w:rsid w:val="0007175C"/>
    <w:rsid w:val="000717C5"/>
    <w:rsid w:val="00071810"/>
    <w:rsid w:val="000719D8"/>
    <w:rsid w:val="00071A82"/>
    <w:rsid w:val="00071AD4"/>
    <w:rsid w:val="00071B1F"/>
    <w:rsid w:val="00071B97"/>
    <w:rsid w:val="00071C17"/>
    <w:rsid w:val="00071D2D"/>
    <w:rsid w:val="00071D8C"/>
    <w:rsid w:val="00071DFF"/>
    <w:rsid w:val="00071F40"/>
    <w:rsid w:val="00071F55"/>
    <w:rsid w:val="00071F89"/>
    <w:rsid w:val="00072102"/>
    <w:rsid w:val="000721C0"/>
    <w:rsid w:val="0007241B"/>
    <w:rsid w:val="00072668"/>
    <w:rsid w:val="0007274E"/>
    <w:rsid w:val="000728AD"/>
    <w:rsid w:val="00072906"/>
    <w:rsid w:val="00072A39"/>
    <w:rsid w:val="00072A4D"/>
    <w:rsid w:val="00072ACD"/>
    <w:rsid w:val="00072B37"/>
    <w:rsid w:val="00072C66"/>
    <w:rsid w:val="00072D72"/>
    <w:rsid w:val="00072F31"/>
    <w:rsid w:val="00072FFE"/>
    <w:rsid w:val="00073003"/>
    <w:rsid w:val="000731E2"/>
    <w:rsid w:val="00073458"/>
    <w:rsid w:val="00073488"/>
    <w:rsid w:val="000735C0"/>
    <w:rsid w:val="0007360E"/>
    <w:rsid w:val="000737C5"/>
    <w:rsid w:val="00073844"/>
    <w:rsid w:val="00073934"/>
    <w:rsid w:val="00073972"/>
    <w:rsid w:val="000739AF"/>
    <w:rsid w:val="00073AA8"/>
    <w:rsid w:val="00073BE9"/>
    <w:rsid w:val="00073C3D"/>
    <w:rsid w:val="00073C52"/>
    <w:rsid w:val="00073C9D"/>
    <w:rsid w:val="00073CE4"/>
    <w:rsid w:val="00073D3D"/>
    <w:rsid w:val="00073DC5"/>
    <w:rsid w:val="00073E54"/>
    <w:rsid w:val="00073E9E"/>
    <w:rsid w:val="00073FD6"/>
    <w:rsid w:val="00074027"/>
    <w:rsid w:val="000740B9"/>
    <w:rsid w:val="0007411C"/>
    <w:rsid w:val="000741BB"/>
    <w:rsid w:val="00074260"/>
    <w:rsid w:val="000742B9"/>
    <w:rsid w:val="000742CC"/>
    <w:rsid w:val="0007440E"/>
    <w:rsid w:val="000746DA"/>
    <w:rsid w:val="00074715"/>
    <w:rsid w:val="000748B1"/>
    <w:rsid w:val="000748DA"/>
    <w:rsid w:val="00074923"/>
    <w:rsid w:val="000749B5"/>
    <w:rsid w:val="000749D9"/>
    <w:rsid w:val="00074A82"/>
    <w:rsid w:val="00074B06"/>
    <w:rsid w:val="00074B56"/>
    <w:rsid w:val="00074BF5"/>
    <w:rsid w:val="00074C22"/>
    <w:rsid w:val="00074C61"/>
    <w:rsid w:val="00074CBD"/>
    <w:rsid w:val="00074D15"/>
    <w:rsid w:val="00074E9C"/>
    <w:rsid w:val="00074EA8"/>
    <w:rsid w:val="00074F58"/>
    <w:rsid w:val="00074FD7"/>
    <w:rsid w:val="00075125"/>
    <w:rsid w:val="000752B7"/>
    <w:rsid w:val="000752C3"/>
    <w:rsid w:val="00075306"/>
    <w:rsid w:val="000753FD"/>
    <w:rsid w:val="00075439"/>
    <w:rsid w:val="000754BD"/>
    <w:rsid w:val="0007553E"/>
    <w:rsid w:val="000755D6"/>
    <w:rsid w:val="00075762"/>
    <w:rsid w:val="00075779"/>
    <w:rsid w:val="000757B1"/>
    <w:rsid w:val="00075804"/>
    <w:rsid w:val="00075845"/>
    <w:rsid w:val="0007594B"/>
    <w:rsid w:val="0007599D"/>
    <w:rsid w:val="00075A2E"/>
    <w:rsid w:val="00075D2F"/>
    <w:rsid w:val="00075E47"/>
    <w:rsid w:val="00075EF9"/>
    <w:rsid w:val="000760C5"/>
    <w:rsid w:val="000761C9"/>
    <w:rsid w:val="00076306"/>
    <w:rsid w:val="00076320"/>
    <w:rsid w:val="0007632E"/>
    <w:rsid w:val="00076435"/>
    <w:rsid w:val="00076574"/>
    <w:rsid w:val="00076799"/>
    <w:rsid w:val="00076889"/>
    <w:rsid w:val="00076AAD"/>
    <w:rsid w:val="00076ACB"/>
    <w:rsid w:val="00076B15"/>
    <w:rsid w:val="00076BC8"/>
    <w:rsid w:val="00076DD6"/>
    <w:rsid w:val="00076F5F"/>
    <w:rsid w:val="00076F8E"/>
    <w:rsid w:val="00076FD5"/>
    <w:rsid w:val="00077038"/>
    <w:rsid w:val="00077055"/>
    <w:rsid w:val="00077071"/>
    <w:rsid w:val="0007710C"/>
    <w:rsid w:val="000771C6"/>
    <w:rsid w:val="00077249"/>
    <w:rsid w:val="0007727C"/>
    <w:rsid w:val="00077293"/>
    <w:rsid w:val="000772AA"/>
    <w:rsid w:val="00077338"/>
    <w:rsid w:val="000774A1"/>
    <w:rsid w:val="000774D5"/>
    <w:rsid w:val="000774E1"/>
    <w:rsid w:val="000774E8"/>
    <w:rsid w:val="00077694"/>
    <w:rsid w:val="000777AE"/>
    <w:rsid w:val="00077866"/>
    <w:rsid w:val="00077AB7"/>
    <w:rsid w:val="00077AF0"/>
    <w:rsid w:val="00077AFD"/>
    <w:rsid w:val="00077B54"/>
    <w:rsid w:val="00077C18"/>
    <w:rsid w:val="00077D88"/>
    <w:rsid w:val="00077DFB"/>
    <w:rsid w:val="00077F1A"/>
    <w:rsid w:val="00077F51"/>
    <w:rsid w:val="00077F6B"/>
    <w:rsid w:val="00077F72"/>
    <w:rsid w:val="00080000"/>
    <w:rsid w:val="0008010F"/>
    <w:rsid w:val="00080150"/>
    <w:rsid w:val="000801DD"/>
    <w:rsid w:val="000801F7"/>
    <w:rsid w:val="00080397"/>
    <w:rsid w:val="00080449"/>
    <w:rsid w:val="00080614"/>
    <w:rsid w:val="000807CC"/>
    <w:rsid w:val="000807FB"/>
    <w:rsid w:val="00080990"/>
    <w:rsid w:val="00080A33"/>
    <w:rsid w:val="00080B50"/>
    <w:rsid w:val="00080C0E"/>
    <w:rsid w:val="00080C58"/>
    <w:rsid w:val="00080D3B"/>
    <w:rsid w:val="00080D71"/>
    <w:rsid w:val="00080E80"/>
    <w:rsid w:val="00080EC8"/>
    <w:rsid w:val="00080EEC"/>
    <w:rsid w:val="00080EF7"/>
    <w:rsid w:val="00081039"/>
    <w:rsid w:val="00081115"/>
    <w:rsid w:val="00081240"/>
    <w:rsid w:val="00081291"/>
    <w:rsid w:val="00081295"/>
    <w:rsid w:val="0008131E"/>
    <w:rsid w:val="000815E2"/>
    <w:rsid w:val="00081679"/>
    <w:rsid w:val="000816C8"/>
    <w:rsid w:val="000816D8"/>
    <w:rsid w:val="00081854"/>
    <w:rsid w:val="00081C46"/>
    <w:rsid w:val="00081C6B"/>
    <w:rsid w:val="00081D1A"/>
    <w:rsid w:val="00081D52"/>
    <w:rsid w:val="00081D64"/>
    <w:rsid w:val="00081DAF"/>
    <w:rsid w:val="00081E02"/>
    <w:rsid w:val="00081E6C"/>
    <w:rsid w:val="00082001"/>
    <w:rsid w:val="00082120"/>
    <w:rsid w:val="000822DE"/>
    <w:rsid w:val="000822F9"/>
    <w:rsid w:val="00082318"/>
    <w:rsid w:val="000823BE"/>
    <w:rsid w:val="000825B5"/>
    <w:rsid w:val="000826E9"/>
    <w:rsid w:val="0008275B"/>
    <w:rsid w:val="000827AD"/>
    <w:rsid w:val="0008281E"/>
    <w:rsid w:val="00082AAA"/>
    <w:rsid w:val="00082AF5"/>
    <w:rsid w:val="00082BD9"/>
    <w:rsid w:val="00082C63"/>
    <w:rsid w:val="00082ED5"/>
    <w:rsid w:val="00082F6B"/>
    <w:rsid w:val="0008300E"/>
    <w:rsid w:val="000833CA"/>
    <w:rsid w:val="0008345B"/>
    <w:rsid w:val="0008366C"/>
    <w:rsid w:val="000836E9"/>
    <w:rsid w:val="00083831"/>
    <w:rsid w:val="000838B7"/>
    <w:rsid w:val="0008396A"/>
    <w:rsid w:val="00083987"/>
    <w:rsid w:val="00083A06"/>
    <w:rsid w:val="00083B4A"/>
    <w:rsid w:val="00083C77"/>
    <w:rsid w:val="00083ED7"/>
    <w:rsid w:val="00083F0C"/>
    <w:rsid w:val="00084115"/>
    <w:rsid w:val="0008415F"/>
    <w:rsid w:val="0008426B"/>
    <w:rsid w:val="00084284"/>
    <w:rsid w:val="0008428F"/>
    <w:rsid w:val="000843C3"/>
    <w:rsid w:val="0008442E"/>
    <w:rsid w:val="000845C8"/>
    <w:rsid w:val="000845D3"/>
    <w:rsid w:val="0008462D"/>
    <w:rsid w:val="00084708"/>
    <w:rsid w:val="0008475F"/>
    <w:rsid w:val="00084905"/>
    <w:rsid w:val="00084945"/>
    <w:rsid w:val="00084A07"/>
    <w:rsid w:val="00084AF3"/>
    <w:rsid w:val="00084BE9"/>
    <w:rsid w:val="00084FEB"/>
    <w:rsid w:val="00085006"/>
    <w:rsid w:val="00085026"/>
    <w:rsid w:val="00085167"/>
    <w:rsid w:val="00085306"/>
    <w:rsid w:val="0008541A"/>
    <w:rsid w:val="00085488"/>
    <w:rsid w:val="000854F9"/>
    <w:rsid w:val="0008563B"/>
    <w:rsid w:val="000856EB"/>
    <w:rsid w:val="0008572C"/>
    <w:rsid w:val="0008576F"/>
    <w:rsid w:val="00085817"/>
    <w:rsid w:val="0008591B"/>
    <w:rsid w:val="00085945"/>
    <w:rsid w:val="000859E7"/>
    <w:rsid w:val="00085A35"/>
    <w:rsid w:val="00085A58"/>
    <w:rsid w:val="00085A5A"/>
    <w:rsid w:val="00085B3C"/>
    <w:rsid w:val="00085BA8"/>
    <w:rsid w:val="00085C59"/>
    <w:rsid w:val="00085DC8"/>
    <w:rsid w:val="00085E83"/>
    <w:rsid w:val="00085F1B"/>
    <w:rsid w:val="00085FE9"/>
    <w:rsid w:val="00086204"/>
    <w:rsid w:val="00086227"/>
    <w:rsid w:val="0008627B"/>
    <w:rsid w:val="000862B9"/>
    <w:rsid w:val="000864CE"/>
    <w:rsid w:val="000864EE"/>
    <w:rsid w:val="0008658F"/>
    <w:rsid w:val="00086610"/>
    <w:rsid w:val="00086625"/>
    <w:rsid w:val="00086689"/>
    <w:rsid w:val="000866F6"/>
    <w:rsid w:val="00086739"/>
    <w:rsid w:val="0008678C"/>
    <w:rsid w:val="0008687C"/>
    <w:rsid w:val="00086BAE"/>
    <w:rsid w:val="00086BF2"/>
    <w:rsid w:val="00086C09"/>
    <w:rsid w:val="00086DFA"/>
    <w:rsid w:val="00086E32"/>
    <w:rsid w:val="00086EE2"/>
    <w:rsid w:val="0008716A"/>
    <w:rsid w:val="00087435"/>
    <w:rsid w:val="00087582"/>
    <w:rsid w:val="000875F3"/>
    <w:rsid w:val="00087603"/>
    <w:rsid w:val="0008766A"/>
    <w:rsid w:val="0008768D"/>
    <w:rsid w:val="000877B1"/>
    <w:rsid w:val="000877EE"/>
    <w:rsid w:val="000877F4"/>
    <w:rsid w:val="0008785E"/>
    <w:rsid w:val="00087891"/>
    <w:rsid w:val="000878EF"/>
    <w:rsid w:val="00087C47"/>
    <w:rsid w:val="00087C5A"/>
    <w:rsid w:val="00087C9D"/>
    <w:rsid w:val="00087D29"/>
    <w:rsid w:val="00087DC2"/>
    <w:rsid w:val="00087E34"/>
    <w:rsid w:val="00087E6F"/>
    <w:rsid w:val="00087FB8"/>
    <w:rsid w:val="00087FED"/>
    <w:rsid w:val="0009003E"/>
    <w:rsid w:val="00090311"/>
    <w:rsid w:val="0009033B"/>
    <w:rsid w:val="00090531"/>
    <w:rsid w:val="00090581"/>
    <w:rsid w:val="000905E0"/>
    <w:rsid w:val="00090619"/>
    <w:rsid w:val="000907D1"/>
    <w:rsid w:val="000907D8"/>
    <w:rsid w:val="00090849"/>
    <w:rsid w:val="000908B0"/>
    <w:rsid w:val="000908C9"/>
    <w:rsid w:val="0009090C"/>
    <w:rsid w:val="0009096B"/>
    <w:rsid w:val="00090A0F"/>
    <w:rsid w:val="00090A95"/>
    <w:rsid w:val="00090B3E"/>
    <w:rsid w:val="00090BA2"/>
    <w:rsid w:val="00090CD3"/>
    <w:rsid w:val="00090D0D"/>
    <w:rsid w:val="00090D32"/>
    <w:rsid w:val="00090E21"/>
    <w:rsid w:val="00090E65"/>
    <w:rsid w:val="00090EB0"/>
    <w:rsid w:val="00090F9B"/>
    <w:rsid w:val="000910FC"/>
    <w:rsid w:val="0009113D"/>
    <w:rsid w:val="000912C3"/>
    <w:rsid w:val="00091357"/>
    <w:rsid w:val="000913C1"/>
    <w:rsid w:val="00091437"/>
    <w:rsid w:val="00091492"/>
    <w:rsid w:val="000915FA"/>
    <w:rsid w:val="000916A2"/>
    <w:rsid w:val="000917D8"/>
    <w:rsid w:val="0009195F"/>
    <w:rsid w:val="00091975"/>
    <w:rsid w:val="00091BC0"/>
    <w:rsid w:val="00091BF2"/>
    <w:rsid w:val="00091DB3"/>
    <w:rsid w:val="00091EB5"/>
    <w:rsid w:val="00091EE8"/>
    <w:rsid w:val="00091F30"/>
    <w:rsid w:val="00092153"/>
    <w:rsid w:val="000921BF"/>
    <w:rsid w:val="00092267"/>
    <w:rsid w:val="0009236F"/>
    <w:rsid w:val="00092405"/>
    <w:rsid w:val="000924DC"/>
    <w:rsid w:val="00092571"/>
    <w:rsid w:val="0009258B"/>
    <w:rsid w:val="000925FE"/>
    <w:rsid w:val="0009263E"/>
    <w:rsid w:val="00092771"/>
    <w:rsid w:val="00092842"/>
    <w:rsid w:val="000928DF"/>
    <w:rsid w:val="00092948"/>
    <w:rsid w:val="000929F1"/>
    <w:rsid w:val="00092A0B"/>
    <w:rsid w:val="00092A20"/>
    <w:rsid w:val="00092AF2"/>
    <w:rsid w:val="00092D16"/>
    <w:rsid w:val="00092D4E"/>
    <w:rsid w:val="00092DC9"/>
    <w:rsid w:val="00092F1B"/>
    <w:rsid w:val="0009302F"/>
    <w:rsid w:val="00093099"/>
    <w:rsid w:val="00093228"/>
    <w:rsid w:val="00093234"/>
    <w:rsid w:val="0009332E"/>
    <w:rsid w:val="0009340C"/>
    <w:rsid w:val="0009347E"/>
    <w:rsid w:val="00093580"/>
    <w:rsid w:val="00093633"/>
    <w:rsid w:val="000937F6"/>
    <w:rsid w:val="0009385B"/>
    <w:rsid w:val="00093928"/>
    <w:rsid w:val="00093929"/>
    <w:rsid w:val="00093AFF"/>
    <w:rsid w:val="00093B3A"/>
    <w:rsid w:val="00093B44"/>
    <w:rsid w:val="00093BD9"/>
    <w:rsid w:val="00093C07"/>
    <w:rsid w:val="00093C63"/>
    <w:rsid w:val="00093D0E"/>
    <w:rsid w:val="00093DD1"/>
    <w:rsid w:val="00093F59"/>
    <w:rsid w:val="0009402B"/>
    <w:rsid w:val="00094047"/>
    <w:rsid w:val="00094051"/>
    <w:rsid w:val="0009409C"/>
    <w:rsid w:val="00094142"/>
    <w:rsid w:val="00094229"/>
    <w:rsid w:val="0009438E"/>
    <w:rsid w:val="00094453"/>
    <w:rsid w:val="0009454A"/>
    <w:rsid w:val="00094B7A"/>
    <w:rsid w:val="00094C45"/>
    <w:rsid w:val="00094CAB"/>
    <w:rsid w:val="00094EDB"/>
    <w:rsid w:val="00094F2A"/>
    <w:rsid w:val="00094F93"/>
    <w:rsid w:val="00094FD7"/>
    <w:rsid w:val="00095071"/>
    <w:rsid w:val="00095143"/>
    <w:rsid w:val="000951A8"/>
    <w:rsid w:val="00095311"/>
    <w:rsid w:val="00095355"/>
    <w:rsid w:val="0009537B"/>
    <w:rsid w:val="00095395"/>
    <w:rsid w:val="0009544E"/>
    <w:rsid w:val="000954A9"/>
    <w:rsid w:val="00095518"/>
    <w:rsid w:val="0009551E"/>
    <w:rsid w:val="00095616"/>
    <w:rsid w:val="00095658"/>
    <w:rsid w:val="0009568E"/>
    <w:rsid w:val="00095905"/>
    <w:rsid w:val="00095955"/>
    <w:rsid w:val="0009597F"/>
    <w:rsid w:val="000959AE"/>
    <w:rsid w:val="000959E9"/>
    <w:rsid w:val="00095A31"/>
    <w:rsid w:val="00095A4F"/>
    <w:rsid w:val="00095AE0"/>
    <w:rsid w:val="00095D5E"/>
    <w:rsid w:val="00095FB8"/>
    <w:rsid w:val="00095FF9"/>
    <w:rsid w:val="0009604A"/>
    <w:rsid w:val="000960EF"/>
    <w:rsid w:val="00096119"/>
    <w:rsid w:val="00096226"/>
    <w:rsid w:val="0009625A"/>
    <w:rsid w:val="000962DA"/>
    <w:rsid w:val="000962DB"/>
    <w:rsid w:val="000962FB"/>
    <w:rsid w:val="000963A2"/>
    <w:rsid w:val="00096593"/>
    <w:rsid w:val="000966D3"/>
    <w:rsid w:val="0009673F"/>
    <w:rsid w:val="000967D4"/>
    <w:rsid w:val="000968E5"/>
    <w:rsid w:val="00096920"/>
    <w:rsid w:val="0009697D"/>
    <w:rsid w:val="00096B9A"/>
    <w:rsid w:val="00096DBC"/>
    <w:rsid w:val="00096DD6"/>
    <w:rsid w:val="00096E0C"/>
    <w:rsid w:val="00096E1F"/>
    <w:rsid w:val="00096EDB"/>
    <w:rsid w:val="00096F14"/>
    <w:rsid w:val="00096FF6"/>
    <w:rsid w:val="00097039"/>
    <w:rsid w:val="000970DB"/>
    <w:rsid w:val="000970E3"/>
    <w:rsid w:val="000970F6"/>
    <w:rsid w:val="0009714E"/>
    <w:rsid w:val="000971DB"/>
    <w:rsid w:val="000971F5"/>
    <w:rsid w:val="0009724D"/>
    <w:rsid w:val="00097262"/>
    <w:rsid w:val="0009731B"/>
    <w:rsid w:val="00097346"/>
    <w:rsid w:val="000973C6"/>
    <w:rsid w:val="0009741B"/>
    <w:rsid w:val="000975A8"/>
    <w:rsid w:val="00097831"/>
    <w:rsid w:val="00097843"/>
    <w:rsid w:val="00097944"/>
    <w:rsid w:val="000979B8"/>
    <w:rsid w:val="00097BA3"/>
    <w:rsid w:val="00097BB7"/>
    <w:rsid w:val="00097BF8"/>
    <w:rsid w:val="00097C91"/>
    <w:rsid w:val="00097CEC"/>
    <w:rsid w:val="00097D42"/>
    <w:rsid w:val="00097DF9"/>
    <w:rsid w:val="00097E8B"/>
    <w:rsid w:val="000A02B4"/>
    <w:rsid w:val="000A0313"/>
    <w:rsid w:val="000A03C7"/>
    <w:rsid w:val="000A06B4"/>
    <w:rsid w:val="000A0796"/>
    <w:rsid w:val="000A0846"/>
    <w:rsid w:val="000A0A65"/>
    <w:rsid w:val="000A0AB2"/>
    <w:rsid w:val="000A0AC7"/>
    <w:rsid w:val="000A0D3B"/>
    <w:rsid w:val="000A0EE1"/>
    <w:rsid w:val="000A0F13"/>
    <w:rsid w:val="000A0F26"/>
    <w:rsid w:val="000A0F92"/>
    <w:rsid w:val="000A1141"/>
    <w:rsid w:val="000A115B"/>
    <w:rsid w:val="000A1231"/>
    <w:rsid w:val="000A130D"/>
    <w:rsid w:val="000A138F"/>
    <w:rsid w:val="000A1508"/>
    <w:rsid w:val="000A1523"/>
    <w:rsid w:val="000A154B"/>
    <w:rsid w:val="000A156E"/>
    <w:rsid w:val="000A16C0"/>
    <w:rsid w:val="000A172E"/>
    <w:rsid w:val="000A1775"/>
    <w:rsid w:val="000A18E3"/>
    <w:rsid w:val="000A1913"/>
    <w:rsid w:val="000A1943"/>
    <w:rsid w:val="000A1C72"/>
    <w:rsid w:val="000A1CB2"/>
    <w:rsid w:val="000A1D17"/>
    <w:rsid w:val="000A1D6D"/>
    <w:rsid w:val="000A1DF6"/>
    <w:rsid w:val="000A1E31"/>
    <w:rsid w:val="000A1F05"/>
    <w:rsid w:val="000A1F0E"/>
    <w:rsid w:val="000A1FD5"/>
    <w:rsid w:val="000A224C"/>
    <w:rsid w:val="000A23A9"/>
    <w:rsid w:val="000A23B4"/>
    <w:rsid w:val="000A2445"/>
    <w:rsid w:val="000A2536"/>
    <w:rsid w:val="000A2540"/>
    <w:rsid w:val="000A25BE"/>
    <w:rsid w:val="000A2668"/>
    <w:rsid w:val="000A2694"/>
    <w:rsid w:val="000A291C"/>
    <w:rsid w:val="000A295D"/>
    <w:rsid w:val="000A29C8"/>
    <w:rsid w:val="000A29D0"/>
    <w:rsid w:val="000A2AFD"/>
    <w:rsid w:val="000A2B7D"/>
    <w:rsid w:val="000A2B81"/>
    <w:rsid w:val="000A2D0C"/>
    <w:rsid w:val="000A2F9F"/>
    <w:rsid w:val="000A2FB7"/>
    <w:rsid w:val="000A31A6"/>
    <w:rsid w:val="000A32B8"/>
    <w:rsid w:val="000A33CE"/>
    <w:rsid w:val="000A33D1"/>
    <w:rsid w:val="000A3557"/>
    <w:rsid w:val="000A362A"/>
    <w:rsid w:val="000A3720"/>
    <w:rsid w:val="000A3789"/>
    <w:rsid w:val="000A37B0"/>
    <w:rsid w:val="000A3837"/>
    <w:rsid w:val="000A3852"/>
    <w:rsid w:val="000A38C8"/>
    <w:rsid w:val="000A3A39"/>
    <w:rsid w:val="000A3A71"/>
    <w:rsid w:val="000A3AC9"/>
    <w:rsid w:val="000A3B3E"/>
    <w:rsid w:val="000A3C22"/>
    <w:rsid w:val="000A3CD3"/>
    <w:rsid w:val="000A3D2A"/>
    <w:rsid w:val="000A3D86"/>
    <w:rsid w:val="000A3D87"/>
    <w:rsid w:val="000A3DA5"/>
    <w:rsid w:val="000A3F94"/>
    <w:rsid w:val="000A4019"/>
    <w:rsid w:val="000A4055"/>
    <w:rsid w:val="000A408A"/>
    <w:rsid w:val="000A4171"/>
    <w:rsid w:val="000A41B7"/>
    <w:rsid w:val="000A41CE"/>
    <w:rsid w:val="000A420E"/>
    <w:rsid w:val="000A42E3"/>
    <w:rsid w:val="000A42FA"/>
    <w:rsid w:val="000A4336"/>
    <w:rsid w:val="000A437A"/>
    <w:rsid w:val="000A4595"/>
    <w:rsid w:val="000A45A5"/>
    <w:rsid w:val="000A45D8"/>
    <w:rsid w:val="000A47CE"/>
    <w:rsid w:val="000A47E1"/>
    <w:rsid w:val="000A47F7"/>
    <w:rsid w:val="000A4A37"/>
    <w:rsid w:val="000A4AC6"/>
    <w:rsid w:val="000A4C6C"/>
    <w:rsid w:val="000A4C92"/>
    <w:rsid w:val="000A4F60"/>
    <w:rsid w:val="000A5026"/>
    <w:rsid w:val="000A50D2"/>
    <w:rsid w:val="000A50D8"/>
    <w:rsid w:val="000A520F"/>
    <w:rsid w:val="000A53E1"/>
    <w:rsid w:val="000A5464"/>
    <w:rsid w:val="000A54A9"/>
    <w:rsid w:val="000A5590"/>
    <w:rsid w:val="000A55C1"/>
    <w:rsid w:val="000A5645"/>
    <w:rsid w:val="000A5691"/>
    <w:rsid w:val="000A56CC"/>
    <w:rsid w:val="000A57BB"/>
    <w:rsid w:val="000A57F1"/>
    <w:rsid w:val="000A5808"/>
    <w:rsid w:val="000A58A7"/>
    <w:rsid w:val="000A58BD"/>
    <w:rsid w:val="000A58FA"/>
    <w:rsid w:val="000A5B35"/>
    <w:rsid w:val="000A5BBD"/>
    <w:rsid w:val="000A5C46"/>
    <w:rsid w:val="000A5D6B"/>
    <w:rsid w:val="000A5D8E"/>
    <w:rsid w:val="000A5D94"/>
    <w:rsid w:val="000A5E07"/>
    <w:rsid w:val="000A5F53"/>
    <w:rsid w:val="000A6077"/>
    <w:rsid w:val="000A6133"/>
    <w:rsid w:val="000A61DE"/>
    <w:rsid w:val="000A6379"/>
    <w:rsid w:val="000A639D"/>
    <w:rsid w:val="000A651F"/>
    <w:rsid w:val="000A65AA"/>
    <w:rsid w:val="000A67F6"/>
    <w:rsid w:val="000A6893"/>
    <w:rsid w:val="000A6993"/>
    <w:rsid w:val="000A6C78"/>
    <w:rsid w:val="000A6C94"/>
    <w:rsid w:val="000A6CBC"/>
    <w:rsid w:val="000A6E5D"/>
    <w:rsid w:val="000A6EC8"/>
    <w:rsid w:val="000A710D"/>
    <w:rsid w:val="000A718C"/>
    <w:rsid w:val="000A7202"/>
    <w:rsid w:val="000A7329"/>
    <w:rsid w:val="000A7511"/>
    <w:rsid w:val="000A755D"/>
    <w:rsid w:val="000A766A"/>
    <w:rsid w:val="000A785D"/>
    <w:rsid w:val="000A799E"/>
    <w:rsid w:val="000A79CF"/>
    <w:rsid w:val="000A7A0A"/>
    <w:rsid w:val="000A7A31"/>
    <w:rsid w:val="000A7A47"/>
    <w:rsid w:val="000A7AF6"/>
    <w:rsid w:val="000A7AF7"/>
    <w:rsid w:val="000A7C05"/>
    <w:rsid w:val="000A7DB0"/>
    <w:rsid w:val="000B002F"/>
    <w:rsid w:val="000B0074"/>
    <w:rsid w:val="000B0116"/>
    <w:rsid w:val="000B01F0"/>
    <w:rsid w:val="000B023E"/>
    <w:rsid w:val="000B0281"/>
    <w:rsid w:val="000B0294"/>
    <w:rsid w:val="000B0296"/>
    <w:rsid w:val="000B02D0"/>
    <w:rsid w:val="000B03F9"/>
    <w:rsid w:val="000B04CC"/>
    <w:rsid w:val="000B0682"/>
    <w:rsid w:val="000B06DD"/>
    <w:rsid w:val="000B09D9"/>
    <w:rsid w:val="000B0AA7"/>
    <w:rsid w:val="000B0B60"/>
    <w:rsid w:val="000B0C03"/>
    <w:rsid w:val="000B0CA4"/>
    <w:rsid w:val="000B0D1B"/>
    <w:rsid w:val="000B0D5F"/>
    <w:rsid w:val="000B0D9A"/>
    <w:rsid w:val="000B0DAF"/>
    <w:rsid w:val="000B0E57"/>
    <w:rsid w:val="000B0F28"/>
    <w:rsid w:val="000B0F56"/>
    <w:rsid w:val="000B0F57"/>
    <w:rsid w:val="000B1100"/>
    <w:rsid w:val="000B1247"/>
    <w:rsid w:val="000B1274"/>
    <w:rsid w:val="000B1430"/>
    <w:rsid w:val="000B1462"/>
    <w:rsid w:val="000B1747"/>
    <w:rsid w:val="000B187B"/>
    <w:rsid w:val="000B1958"/>
    <w:rsid w:val="000B1A1E"/>
    <w:rsid w:val="000B1ACB"/>
    <w:rsid w:val="000B1C91"/>
    <w:rsid w:val="000B1CCE"/>
    <w:rsid w:val="000B1D11"/>
    <w:rsid w:val="000B1E72"/>
    <w:rsid w:val="000B213F"/>
    <w:rsid w:val="000B2219"/>
    <w:rsid w:val="000B2338"/>
    <w:rsid w:val="000B246B"/>
    <w:rsid w:val="000B2671"/>
    <w:rsid w:val="000B271D"/>
    <w:rsid w:val="000B29E0"/>
    <w:rsid w:val="000B2AE3"/>
    <w:rsid w:val="000B2B32"/>
    <w:rsid w:val="000B2B3D"/>
    <w:rsid w:val="000B2BA2"/>
    <w:rsid w:val="000B2EFF"/>
    <w:rsid w:val="000B2FC8"/>
    <w:rsid w:val="000B303F"/>
    <w:rsid w:val="000B30F6"/>
    <w:rsid w:val="000B312C"/>
    <w:rsid w:val="000B3219"/>
    <w:rsid w:val="000B3273"/>
    <w:rsid w:val="000B3285"/>
    <w:rsid w:val="000B32D2"/>
    <w:rsid w:val="000B33BA"/>
    <w:rsid w:val="000B33D0"/>
    <w:rsid w:val="000B3424"/>
    <w:rsid w:val="000B34C4"/>
    <w:rsid w:val="000B35D6"/>
    <w:rsid w:val="000B378B"/>
    <w:rsid w:val="000B37B1"/>
    <w:rsid w:val="000B37D3"/>
    <w:rsid w:val="000B3829"/>
    <w:rsid w:val="000B3943"/>
    <w:rsid w:val="000B3C11"/>
    <w:rsid w:val="000B3E7C"/>
    <w:rsid w:val="000B3FFE"/>
    <w:rsid w:val="000B40DD"/>
    <w:rsid w:val="000B422C"/>
    <w:rsid w:val="000B424A"/>
    <w:rsid w:val="000B431B"/>
    <w:rsid w:val="000B439C"/>
    <w:rsid w:val="000B4415"/>
    <w:rsid w:val="000B441F"/>
    <w:rsid w:val="000B44A1"/>
    <w:rsid w:val="000B44E0"/>
    <w:rsid w:val="000B45E5"/>
    <w:rsid w:val="000B46B5"/>
    <w:rsid w:val="000B47E0"/>
    <w:rsid w:val="000B47E2"/>
    <w:rsid w:val="000B4934"/>
    <w:rsid w:val="000B4975"/>
    <w:rsid w:val="000B49B5"/>
    <w:rsid w:val="000B4B53"/>
    <w:rsid w:val="000B4BEC"/>
    <w:rsid w:val="000B4C1E"/>
    <w:rsid w:val="000B4CA1"/>
    <w:rsid w:val="000B4EB1"/>
    <w:rsid w:val="000B4F48"/>
    <w:rsid w:val="000B4FCA"/>
    <w:rsid w:val="000B504A"/>
    <w:rsid w:val="000B519D"/>
    <w:rsid w:val="000B5280"/>
    <w:rsid w:val="000B52BF"/>
    <w:rsid w:val="000B5318"/>
    <w:rsid w:val="000B540F"/>
    <w:rsid w:val="000B541B"/>
    <w:rsid w:val="000B5574"/>
    <w:rsid w:val="000B5668"/>
    <w:rsid w:val="000B5776"/>
    <w:rsid w:val="000B585A"/>
    <w:rsid w:val="000B58BF"/>
    <w:rsid w:val="000B59B3"/>
    <w:rsid w:val="000B59FB"/>
    <w:rsid w:val="000B5C53"/>
    <w:rsid w:val="000B5D48"/>
    <w:rsid w:val="000B5DCB"/>
    <w:rsid w:val="000B5E3A"/>
    <w:rsid w:val="000B5E46"/>
    <w:rsid w:val="000B5E5D"/>
    <w:rsid w:val="000B5F8C"/>
    <w:rsid w:val="000B610F"/>
    <w:rsid w:val="000B6164"/>
    <w:rsid w:val="000B6334"/>
    <w:rsid w:val="000B63CA"/>
    <w:rsid w:val="000B63E4"/>
    <w:rsid w:val="000B661D"/>
    <w:rsid w:val="000B66F0"/>
    <w:rsid w:val="000B67A9"/>
    <w:rsid w:val="000B68C4"/>
    <w:rsid w:val="000B691A"/>
    <w:rsid w:val="000B6A0E"/>
    <w:rsid w:val="000B6BD6"/>
    <w:rsid w:val="000B6BDF"/>
    <w:rsid w:val="000B6C3B"/>
    <w:rsid w:val="000B6CD4"/>
    <w:rsid w:val="000B6E77"/>
    <w:rsid w:val="000B6F00"/>
    <w:rsid w:val="000B7065"/>
    <w:rsid w:val="000B70A6"/>
    <w:rsid w:val="000B70C3"/>
    <w:rsid w:val="000B71AD"/>
    <w:rsid w:val="000B733C"/>
    <w:rsid w:val="000B73CD"/>
    <w:rsid w:val="000B74C2"/>
    <w:rsid w:val="000B757A"/>
    <w:rsid w:val="000B7762"/>
    <w:rsid w:val="000B78B6"/>
    <w:rsid w:val="000B78B8"/>
    <w:rsid w:val="000B798A"/>
    <w:rsid w:val="000B7A17"/>
    <w:rsid w:val="000B7AE2"/>
    <w:rsid w:val="000B7E4D"/>
    <w:rsid w:val="000B7ECE"/>
    <w:rsid w:val="000C0061"/>
    <w:rsid w:val="000C02C4"/>
    <w:rsid w:val="000C0553"/>
    <w:rsid w:val="000C055C"/>
    <w:rsid w:val="000C055D"/>
    <w:rsid w:val="000C0696"/>
    <w:rsid w:val="000C071A"/>
    <w:rsid w:val="000C0820"/>
    <w:rsid w:val="000C084C"/>
    <w:rsid w:val="000C08E7"/>
    <w:rsid w:val="000C0934"/>
    <w:rsid w:val="000C0A8B"/>
    <w:rsid w:val="000C0AE4"/>
    <w:rsid w:val="000C0B1C"/>
    <w:rsid w:val="000C0B2D"/>
    <w:rsid w:val="000C0B69"/>
    <w:rsid w:val="000C0C1B"/>
    <w:rsid w:val="000C0C60"/>
    <w:rsid w:val="000C0D5D"/>
    <w:rsid w:val="000C0D9E"/>
    <w:rsid w:val="000C0DA8"/>
    <w:rsid w:val="000C0E3D"/>
    <w:rsid w:val="000C0FD2"/>
    <w:rsid w:val="000C10CC"/>
    <w:rsid w:val="000C1327"/>
    <w:rsid w:val="000C13B9"/>
    <w:rsid w:val="000C1437"/>
    <w:rsid w:val="000C1601"/>
    <w:rsid w:val="000C161C"/>
    <w:rsid w:val="000C16CE"/>
    <w:rsid w:val="000C178F"/>
    <w:rsid w:val="000C18CE"/>
    <w:rsid w:val="000C19FF"/>
    <w:rsid w:val="000C1B99"/>
    <w:rsid w:val="000C1BF7"/>
    <w:rsid w:val="000C1C40"/>
    <w:rsid w:val="000C1C76"/>
    <w:rsid w:val="000C1C79"/>
    <w:rsid w:val="000C1E50"/>
    <w:rsid w:val="000C1F24"/>
    <w:rsid w:val="000C1F37"/>
    <w:rsid w:val="000C1F9D"/>
    <w:rsid w:val="000C1FAF"/>
    <w:rsid w:val="000C20F4"/>
    <w:rsid w:val="000C21A4"/>
    <w:rsid w:val="000C227B"/>
    <w:rsid w:val="000C22F9"/>
    <w:rsid w:val="000C2343"/>
    <w:rsid w:val="000C2395"/>
    <w:rsid w:val="000C2411"/>
    <w:rsid w:val="000C24A0"/>
    <w:rsid w:val="000C252B"/>
    <w:rsid w:val="000C2774"/>
    <w:rsid w:val="000C2783"/>
    <w:rsid w:val="000C28F6"/>
    <w:rsid w:val="000C2A7B"/>
    <w:rsid w:val="000C2AF0"/>
    <w:rsid w:val="000C2C69"/>
    <w:rsid w:val="000C2DF4"/>
    <w:rsid w:val="000C2E10"/>
    <w:rsid w:val="000C2E1B"/>
    <w:rsid w:val="000C2FF5"/>
    <w:rsid w:val="000C3027"/>
    <w:rsid w:val="000C30E5"/>
    <w:rsid w:val="000C317D"/>
    <w:rsid w:val="000C3205"/>
    <w:rsid w:val="000C3421"/>
    <w:rsid w:val="000C343D"/>
    <w:rsid w:val="000C3515"/>
    <w:rsid w:val="000C3583"/>
    <w:rsid w:val="000C3643"/>
    <w:rsid w:val="000C36C1"/>
    <w:rsid w:val="000C3755"/>
    <w:rsid w:val="000C3839"/>
    <w:rsid w:val="000C39C1"/>
    <w:rsid w:val="000C3C57"/>
    <w:rsid w:val="000C3D5B"/>
    <w:rsid w:val="000C3DD1"/>
    <w:rsid w:val="000C3E13"/>
    <w:rsid w:val="000C3E16"/>
    <w:rsid w:val="000C3F59"/>
    <w:rsid w:val="000C405A"/>
    <w:rsid w:val="000C4202"/>
    <w:rsid w:val="000C4238"/>
    <w:rsid w:val="000C42B0"/>
    <w:rsid w:val="000C4307"/>
    <w:rsid w:val="000C47BA"/>
    <w:rsid w:val="000C499E"/>
    <w:rsid w:val="000C49AD"/>
    <w:rsid w:val="000C4A38"/>
    <w:rsid w:val="000C4D4B"/>
    <w:rsid w:val="000C4DF4"/>
    <w:rsid w:val="000C4EC3"/>
    <w:rsid w:val="000C4F77"/>
    <w:rsid w:val="000C5050"/>
    <w:rsid w:val="000C50E3"/>
    <w:rsid w:val="000C51C2"/>
    <w:rsid w:val="000C5212"/>
    <w:rsid w:val="000C52D7"/>
    <w:rsid w:val="000C54E1"/>
    <w:rsid w:val="000C5690"/>
    <w:rsid w:val="000C5700"/>
    <w:rsid w:val="000C587D"/>
    <w:rsid w:val="000C58D3"/>
    <w:rsid w:val="000C5AED"/>
    <w:rsid w:val="000C5B5E"/>
    <w:rsid w:val="000C5BA2"/>
    <w:rsid w:val="000C5BE7"/>
    <w:rsid w:val="000C5C08"/>
    <w:rsid w:val="000C5C7B"/>
    <w:rsid w:val="000C5C96"/>
    <w:rsid w:val="000C5CCC"/>
    <w:rsid w:val="000C5D3A"/>
    <w:rsid w:val="000C5F74"/>
    <w:rsid w:val="000C6041"/>
    <w:rsid w:val="000C6069"/>
    <w:rsid w:val="000C606C"/>
    <w:rsid w:val="000C61A3"/>
    <w:rsid w:val="000C61C8"/>
    <w:rsid w:val="000C6406"/>
    <w:rsid w:val="000C6465"/>
    <w:rsid w:val="000C6623"/>
    <w:rsid w:val="000C6769"/>
    <w:rsid w:val="000C67E4"/>
    <w:rsid w:val="000C6997"/>
    <w:rsid w:val="000C6A4F"/>
    <w:rsid w:val="000C6BCA"/>
    <w:rsid w:val="000C6CF5"/>
    <w:rsid w:val="000C6D2B"/>
    <w:rsid w:val="000C6E82"/>
    <w:rsid w:val="000C7003"/>
    <w:rsid w:val="000C705F"/>
    <w:rsid w:val="000C7187"/>
    <w:rsid w:val="000C71D5"/>
    <w:rsid w:val="000C721A"/>
    <w:rsid w:val="000C7235"/>
    <w:rsid w:val="000C72AF"/>
    <w:rsid w:val="000C7349"/>
    <w:rsid w:val="000C74AA"/>
    <w:rsid w:val="000C74E1"/>
    <w:rsid w:val="000C7629"/>
    <w:rsid w:val="000C7680"/>
    <w:rsid w:val="000C771D"/>
    <w:rsid w:val="000C77DB"/>
    <w:rsid w:val="000C7898"/>
    <w:rsid w:val="000C7970"/>
    <w:rsid w:val="000C7A53"/>
    <w:rsid w:val="000C7B04"/>
    <w:rsid w:val="000C7D74"/>
    <w:rsid w:val="000C7D92"/>
    <w:rsid w:val="000C7DF0"/>
    <w:rsid w:val="000C7F31"/>
    <w:rsid w:val="000C7FC9"/>
    <w:rsid w:val="000D0024"/>
    <w:rsid w:val="000D00F6"/>
    <w:rsid w:val="000D027C"/>
    <w:rsid w:val="000D02C7"/>
    <w:rsid w:val="000D0491"/>
    <w:rsid w:val="000D0555"/>
    <w:rsid w:val="000D07A3"/>
    <w:rsid w:val="000D07A4"/>
    <w:rsid w:val="000D07B6"/>
    <w:rsid w:val="000D0814"/>
    <w:rsid w:val="000D0A94"/>
    <w:rsid w:val="000D0AE7"/>
    <w:rsid w:val="000D0B68"/>
    <w:rsid w:val="000D0BB1"/>
    <w:rsid w:val="000D0C2E"/>
    <w:rsid w:val="000D0CF4"/>
    <w:rsid w:val="000D0CFF"/>
    <w:rsid w:val="000D0E28"/>
    <w:rsid w:val="000D1045"/>
    <w:rsid w:val="000D10CD"/>
    <w:rsid w:val="000D11E7"/>
    <w:rsid w:val="000D134D"/>
    <w:rsid w:val="000D149E"/>
    <w:rsid w:val="000D14AC"/>
    <w:rsid w:val="000D163C"/>
    <w:rsid w:val="000D1897"/>
    <w:rsid w:val="000D190B"/>
    <w:rsid w:val="000D198D"/>
    <w:rsid w:val="000D1A04"/>
    <w:rsid w:val="000D1AF4"/>
    <w:rsid w:val="000D1B6A"/>
    <w:rsid w:val="000D1C2D"/>
    <w:rsid w:val="000D1D54"/>
    <w:rsid w:val="000D1F04"/>
    <w:rsid w:val="000D1F0D"/>
    <w:rsid w:val="000D1FFC"/>
    <w:rsid w:val="000D2021"/>
    <w:rsid w:val="000D2038"/>
    <w:rsid w:val="000D20D1"/>
    <w:rsid w:val="000D22C0"/>
    <w:rsid w:val="000D22FE"/>
    <w:rsid w:val="000D244A"/>
    <w:rsid w:val="000D2462"/>
    <w:rsid w:val="000D297C"/>
    <w:rsid w:val="000D2B52"/>
    <w:rsid w:val="000D2B93"/>
    <w:rsid w:val="000D2B98"/>
    <w:rsid w:val="000D2C03"/>
    <w:rsid w:val="000D2C87"/>
    <w:rsid w:val="000D2CD0"/>
    <w:rsid w:val="000D2D78"/>
    <w:rsid w:val="000D2DB6"/>
    <w:rsid w:val="000D2E4D"/>
    <w:rsid w:val="000D2F0B"/>
    <w:rsid w:val="000D2F12"/>
    <w:rsid w:val="000D3071"/>
    <w:rsid w:val="000D3074"/>
    <w:rsid w:val="000D30F8"/>
    <w:rsid w:val="000D3120"/>
    <w:rsid w:val="000D32F6"/>
    <w:rsid w:val="000D32FF"/>
    <w:rsid w:val="000D336C"/>
    <w:rsid w:val="000D33FC"/>
    <w:rsid w:val="000D3492"/>
    <w:rsid w:val="000D350B"/>
    <w:rsid w:val="000D3591"/>
    <w:rsid w:val="000D3681"/>
    <w:rsid w:val="000D36E5"/>
    <w:rsid w:val="000D3911"/>
    <w:rsid w:val="000D3919"/>
    <w:rsid w:val="000D39CB"/>
    <w:rsid w:val="000D3B0D"/>
    <w:rsid w:val="000D3B1F"/>
    <w:rsid w:val="000D3B97"/>
    <w:rsid w:val="000D3C19"/>
    <w:rsid w:val="000D3F00"/>
    <w:rsid w:val="000D40F6"/>
    <w:rsid w:val="000D4431"/>
    <w:rsid w:val="000D47E6"/>
    <w:rsid w:val="000D498B"/>
    <w:rsid w:val="000D4A51"/>
    <w:rsid w:val="000D4A9D"/>
    <w:rsid w:val="000D4CEB"/>
    <w:rsid w:val="000D4DB0"/>
    <w:rsid w:val="000D4DD4"/>
    <w:rsid w:val="000D4DDE"/>
    <w:rsid w:val="000D4EAE"/>
    <w:rsid w:val="000D4EC5"/>
    <w:rsid w:val="000D4ECE"/>
    <w:rsid w:val="000D4FCC"/>
    <w:rsid w:val="000D5067"/>
    <w:rsid w:val="000D50C7"/>
    <w:rsid w:val="000D5106"/>
    <w:rsid w:val="000D5141"/>
    <w:rsid w:val="000D5200"/>
    <w:rsid w:val="000D5238"/>
    <w:rsid w:val="000D52DE"/>
    <w:rsid w:val="000D5301"/>
    <w:rsid w:val="000D5347"/>
    <w:rsid w:val="000D5505"/>
    <w:rsid w:val="000D553A"/>
    <w:rsid w:val="000D5550"/>
    <w:rsid w:val="000D5746"/>
    <w:rsid w:val="000D57D7"/>
    <w:rsid w:val="000D580D"/>
    <w:rsid w:val="000D58C1"/>
    <w:rsid w:val="000D58F3"/>
    <w:rsid w:val="000D596C"/>
    <w:rsid w:val="000D5A23"/>
    <w:rsid w:val="000D5B4C"/>
    <w:rsid w:val="000D5CA0"/>
    <w:rsid w:val="000D5CA4"/>
    <w:rsid w:val="000D5CE3"/>
    <w:rsid w:val="000D5CF6"/>
    <w:rsid w:val="000D5D7C"/>
    <w:rsid w:val="000D5E10"/>
    <w:rsid w:val="000D5E93"/>
    <w:rsid w:val="000D61CB"/>
    <w:rsid w:val="000D6246"/>
    <w:rsid w:val="000D6514"/>
    <w:rsid w:val="000D660A"/>
    <w:rsid w:val="000D6661"/>
    <w:rsid w:val="000D67F5"/>
    <w:rsid w:val="000D68A4"/>
    <w:rsid w:val="000D69FC"/>
    <w:rsid w:val="000D6A47"/>
    <w:rsid w:val="000D6B01"/>
    <w:rsid w:val="000D6B4E"/>
    <w:rsid w:val="000D6BBD"/>
    <w:rsid w:val="000D6C2B"/>
    <w:rsid w:val="000D6D48"/>
    <w:rsid w:val="000D6D62"/>
    <w:rsid w:val="000D6DD9"/>
    <w:rsid w:val="000D6E2A"/>
    <w:rsid w:val="000D6E6F"/>
    <w:rsid w:val="000D6F74"/>
    <w:rsid w:val="000D6FA4"/>
    <w:rsid w:val="000D6FE1"/>
    <w:rsid w:val="000D7010"/>
    <w:rsid w:val="000D706D"/>
    <w:rsid w:val="000D70F7"/>
    <w:rsid w:val="000D7138"/>
    <w:rsid w:val="000D731C"/>
    <w:rsid w:val="000D73A8"/>
    <w:rsid w:val="000D749D"/>
    <w:rsid w:val="000D77C6"/>
    <w:rsid w:val="000D77D3"/>
    <w:rsid w:val="000D7807"/>
    <w:rsid w:val="000D78FE"/>
    <w:rsid w:val="000D7A82"/>
    <w:rsid w:val="000D7A8E"/>
    <w:rsid w:val="000D7B53"/>
    <w:rsid w:val="000D7B6C"/>
    <w:rsid w:val="000D7C03"/>
    <w:rsid w:val="000D7C52"/>
    <w:rsid w:val="000D7CF6"/>
    <w:rsid w:val="000D7EC0"/>
    <w:rsid w:val="000D7F7A"/>
    <w:rsid w:val="000E0053"/>
    <w:rsid w:val="000E025C"/>
    <w:rsid w:val="000E033E"/>
    <w:rsid w:val="000E043F"/>
    <w:rsid w:val="000E0468"/>
    <w:rsid w:val="000E0568"/>
    <w:rsid w:val="000E063D"/>
    <w:rsid w:val="000E063E"/>
    <w:rsid w:val="000E0716"/>
    <w:rsid w:val="000E076A"/>
    <w:rsid w:val="000E0957"/>
    <w:rsid w:val="000E0988"/>
    <w:rsid w:val="000E0A3A"/>
    <w:rsid w:val="000E0B1E"/>
    <w:rsid w:val="000E0DB3"/>
    <w:rsid w:val="000E0E47"/>
    <w:rsid w:val="000E0EA7"/>
    <w:rsid w:val="000E0F21"/>
    <w:rsid w:val="000E0F99"/>
    <w:rsid w:val="000E0FF1"/>
    <w:rsid w:val="000E1052"/>
    <w:rsid w:val="000E120D"/>
    <w:rsid w:val="000E122D"/>
    <w:rsid w:val="000E127E"/>
    <w:rsid w:val="000E13B7"/>
    <w:rsid w:val="000E13C6"/>
    <w:rsid w:val="000E1467"/>
    <w:rsid w:val="000E1484"/>
    <w:rsid w:val="000E14D9"/>
    <w:rsid w:val="000E154F"/>
    <w:rsid w:val="000E175F"/>
    <w:rsid w:val="000E1829"/>
    <w:rsid w:val="000E1842"/>
    <w:rsid w:val="000E18B6"/>
    <w:rsid w:val="000E18B9"/>
    <w:rsid w:val="000E19F7"/>
    <w:rsid w:val="000E1C87"/>
    <w:rsid w:val="000E1EA8"/>
    <w:rsid w:val="000E1FA2"/>
    <w:rsid w:val="000E1FD8"/>
    <w:rsid w:val="000E2080"/>
    <w:rsid w:val="000E214F"/>
    <w:rsid w:val="000E2231"/>
    <w:rsid w:val="000E2262"/>
    <w:rsid w:val="000E2312"/>
    <w:rsid w:val="000E23AF"/>
    <w:rsid w:val="000E2557"/>
    <w:rsid w:val="000E26BC"/>
    <w:rsid w:val="000E27A2"/>
    <w:rsid w:val="000E27E9"/>
    <w:rsid w:val="000E282D"/>
    <w:rsid w:val="000E2A32"/>
    <w:rsid w:val="000E2AA4"/>
    <w:rsid w:val="000E2B0F"/>
    <w:rsid w:val="000E2BBF"/>
    <w:rsid w:val="000E2BD4"/>
    <w:rsid w:val="000E2CC6"/>
    <w:rsid w:val="000E2D21"/>
    <w:rsid w:val="000E2E62"/>
    <w:rsid w:val="000E2EA5"/>
    <w:rsid w:val="000E2F44"/>
    <w:rsid w:val="000E3000"/>
    <w:rsid w:val="000E308D"/>
    <w:rsid w:val="000E31BE"/>
    <w:rsid w:val="000E320C"/>
    <w:rsid w:val="000E3397"/>
    <w:rsid w:val="000E3400"/>
    <w:rsid w:val="000E36FD"/>
    <w:rsid w:val="000E388E"/>
    <w:rsid w:val="000E38B6"/>
    <w:rsid w:val="000E39C1"/>
    <w:rsid w:val="000E3BD4"/>
    <w:rsid w:val="000E3C77"/>
    <w:rsid w:val="000E3CF8"/>
    <w:rsid w:val="000E3D9C"/>
    <w:rsid w:val="000E3F0E"/>
    <w:rsid w:val="000E3FB5"/>
    <w:rsid w:val="000E3FFE"/>
    <w:rsid w:val="000E4163"/>
    <w:rsid w:val="000E41F8"/>
    <w:rsid w:val="000E420F"/>
    <w:rsid w:val="000E4275"/>
    <w:rsid w:val="000E43B2"/>
    <w:rsid w:val="000E43B4"/>
    <w:rsid w:val="000E447A"/>
    <w:rsid w:val="000E44EA"/>
    <w:rsid w:val="000E4506"/>
    <w:rsid w:val="000E4688"/>
    <w:rsid w:val="000E46CE"/>
    <w:rsid w:val="000E46F1"/>
    <w:rsid w:val="000E474E"/>
    <w:rsid w:val="000E47A8"/>
    <w:rsid w:val="000E4925"/>
    <w:rsid w:val="000E4968"/>
    <w:rsid w:val="000E49AD"/>
    <w:rsid w:val="000E49FA"/>
    <w:rsid w:val="000E4A45"/>
    <w:rsid w:val="000E4ACE"/>
    <w:rsid w:val="000E4AEA"/>
    <w:rsid w:val="000E4B0F"/>
    <w:rsid w:val="000E4C7F"/>
    <w:rsid w:val="000E4DB3"/>
    <w:rsid w:val="000E4DBB"/>
    <w:rsid w:val="000E4DC3"/>
    <w:rsid w:val="000E4E75"/>
    <w:rsid w:val="000E4E89"/>
    <w:rsid w:val="000E4F83"/>
    <w:rsid w:val="000E4F89"/>
    <w:rsid w:val="000E4FEF"/>
    <w:rsid w:val="000E50AA"/>
    <w:rsid w:val="000E5185"/>
    <w:rsid w:val="000E52E8"/>
    <w:rsid w:val="000E5308"/>
    <w:rsid w:val="000E532C"/>
    <w:rsid w:val="000E53B9"/>
    <w:rsid w:val="000E544C"/>
    <w:rsid w:val="000E5783"/>
    <w:rsid w:val="000E5816"/>
    <w:rsid w:val="000E5B74"/>
    <w:rsid w:val="000E5D6F"/>
    <w:rsid w:val="000E5E24"/>
    <w:rsid w:val="000E5E4F"/>
    <w:rsid w:val="000E5E83"/>
    <w:rsid w:val="000E5EAD"/>
    <w:rsid w:val="000E5F11"/>
    <w:rsid w:val="000E61DD"/>
    <w:rsid w:val="000E631A"/>
    <w:rsid w:val="000E639C"/>
    <w:rsid w:val="000E6434"/>
    <w:rsid w:val="000E6487"/>
    <w:rsid w:val="000E650A"/>
    <w:rsid w:val="000E6511"/>
    <w:rsid w:val="000E6596"/>
    <w:rsid w:val="000E6674"/>
    <w:rsid w:val="000E67D1"/>
    <w:rsid w:val="000E681C"/>
    <w:rsid w:val="000E68AA"/>
    <w:rsid w:val="000E6B46"/>
    <w:rsid w:val="000E6E56"/>
    <w:rsid w:val="000E6F47"/>
    <w:rsid w:val="000E6FC1"/>
    <w:rsid w:val="000E6FF7"/>
    <w:rsid w:val="000E70E4"/>
    <w:rsid w:val="000E710C"/>
    <w:rsid w:val="000E7196"/>
    <w:rsid w:val="000E73F5"/>
    <w:rsid w:val="000E7440"/>
    <w:rsid w:val="000E747D"/>
    <w:rsid w:val="000E74A8"/>
    <w:rsid w:val="000E756A"/>
    <w:rsid w:val="000E7701"/>
    <w:rsid w:val="000E772B"/>
    <w:rsid w:val="000E78DA"/>
    <w:rsid w:val="000E792D"/>
    <w:rsid w:val="000E7A2D"/>
    <w:rsid w:val="000E7A42"/>
    <w:rsid w:val="000E7A95"/>
    <w:rsid w:val="000E7B5F"/>
    <w:rsid w:val="000E7B63"/>
    <w:rsid w:val="000E7B88"/>
    <w:rsid w:val="000E7C3F"/>
    <w:rsid w:val="000E7C53"/>
    <w:rsid w:val="000E7CDD"/>
    <w:rsid w:val="000E7E9A"/>
    <w:rsid w:val="000E7EBA"/>
    <w:rsid w:val="000E7F92"/>
    <w:rsid w:val="000E7FF4"/>
    <w:rsid w:val="000F019D"/>
    <w:rsid w:val="000F01A6"/>
    <w:rsid w:val="000F02A9"/>
    <w:rsid w:val="000F02EB"/>
    <w:rsid w:val="000F0338"/>
    <w:rsid w:val="000F033D"/>
    <w:rsid w:val="000F035E"/>
    <w:rsid w:val="000F0408"/>
    <w:rsid w:val="000F053F"/>
    <w:rsid w:val="000F05FB"/>
    <w:rsid w:val="000F078A"/>
    <w:rsid w:val="000F0986"/>
    <w:rsid w:val="000F09B8"/>
    <w:rsid w:val="000F0A5E"/>
    <w:rsid w:val="000F0AB8"/>
    <w:rsid w:val="000F0B11"/>
    <w:rsid w:val="000F0CA3"/>
    <w:rsid w:val="000F0CC4"/>
    <w:rsid w:val="000F0EA8"/>
    <w:rsid w:val="000F0FBD"/>
    <w:rsid w:val="000F10DC"/>
    <w:rsid w:val="000F11C2"/>
    <w:rsid w:val="000F12A7"/>
    <w:rsid w:val="000F135E"/>
    <w:rsid w:val="000F13A2"/>
    <w:rsid w:val="000F1430"/>
    <w:rsid w:val="000F1462"/>
    <w:rsid w:val="000F14EA"/>
    <w:rsid w:val="000F1515"/>
    <w:rsid w:val="000F158D"/>
    <w:rsid w:val="000F1715"/>
    <w:rsid w:val="000F1725"/>
    <w:rsid w:val="000F1750"/>
    <w:rsid w:val="000F192B"/>
    <w:rsid w:val="000F1AAF"/>
    <w:rsid w:val="000F1B03"/>
    <w:rsid w:val="000F1B13"/>
    <w:rsid w:val="000F1B2F"/>
    <w:rsid w:val="000F1C4B"/>
    <w:rsid w:val="000F1D39"/>
    <w:rsid w:val="000F1F71"/>
    <w:rsid w:val="000F1FAD"/>
    <w:rsid w:val="000F203C"/>
    <w:rsid w:val="000F210D"/>
    <w:rsid w:val="000F217B"/>
    <w:rsid w:val="000F263B"/>
    <w:rsid w:val="000F2765"/>
    <w:rsid w:val="000F281E"/>
    <w:rsid w:val="000F287B"/>
    <w:rsid w:val="000F290F"/>
    <w:rsid w:val="000F2971"/>
    <w:rsid w:val="000F29AD"/>
    <w:rsid w:val="000F29ED"/>
    <w:rsid w:val="000F2A6E"/>
    <w:rsid w:val="000F2D23"/>
    <w:rsid w:val="000F2D24"/>
    <w:rsid w:val="000F302A"/>
    <w:rsid w:val="000F313F"/>
    <w:rsid w:val="000F32A5"/>
    <w:rsid w:val="000F32DA"/>
    <w:rsid w:val="000F32DF"/>
    <w:rsid w:val="000F33E4"/>
    <w:rsid w:val="000F33F7"/>
    <w:rsid w:val="000F3435"/>
    <w:rsid w:val="000F3493"/>
    <w:rsid w:val="000F3498"/>
    <w:rsid w:val="000F34AC"/>
    <w:rsid w:val="000F3506"/>
    <w:rsid w:val="000F35F0"/>
    <w:rsid w:val="000F366B"/>
    <w:rsid w:val="000F366D"/>
    <w:rsid w:val="000F36B7"/>
    <w:rsid w:val="000F3705"/>
    <w:rsid w:val="000F379E"/>
    <w:rsid w:val="000F38A8"/>
    <w:rsid w:val="000F3A8A"/>
    <w:rsid w:val="000F3B4F"/>
    <w:rsid w:val="000F3B8F"/>
    <w:rsid w:val="000F3BBB"/>
    <w:rsid w:val="000F3D41"/>
    <w:rsid w:val="000F3DE2"/>
    <w:rsid w:val="000F3E6B"/>
    <w:rsid w:val="000F41A8"/>
    <w:rsid w:val="000F41AB"/>
    <w:rsid w:val="000F422C"/>
    <w:rsid w:val="000F4309"/>
    <w:rsid w:val="000F4356"/>
    <w:rsid w:val="000F4371"/>
    <w:rsid w:val="000F447C"/>
    <w:rsid w:val="000F44C0"/>
    <w:rsid w:val="000F4539"/>
    <w:rsid w:val="000F4545"/>
    <w:rsid w:val="000F4640"/>
    <w:rsid w:val="000F4662"/>
    <w:rsid w:val="000F46E4"/>
    <w:rsid w:val="000F4A6E"/>
    <w:rsid w:val="000F4ACC"/>
    <w:rsid w:val="000F4B0C"/>
    <w:rsid w:val="000F4BD0"/>
    <w:rsid w:val="000F4C43"/>
    <w:rsid w:val="000F4C80"/>
    <w:rsid w:val="000F4CED"/>
    <w:rsid w:val="000F4F28"/>
    <w:rsid w:val="000F4F47"/>
    <w:rsid w:val="000F4F73"/>
    <w:rsid w:val="000F505A"/>
    <w:rsid w:val="000F516D"/>
    <w:rsid w:val="000F5182"/>
    <w:rsid w:val="000F51C7"/>
    <w:rsid w:val="000F5258"/>
    <w:rsid w:val="000F5319"/>
    <w:rsid w:val="000F5346"/>
    <w:rsid w:val="000F545A"/>
    <w:rsid w:val="000F550D"/>
    <w:rsid w:val="000F5531"/>
    <w:rsid w:val="000F55A9"/>
    <w:rsid w:val="000F5630"/>
    <w:rsid w:val="000F5802"/>
    <w:rsid w:val="000F5898"/>
    <w:rsid w:val="000F591B"/>
    <w:rsid w:val="000F5955"/>
    <w:rsid w:val="000F595E"/>
    <w:rsid w:val="000F5998"/>
    <w:rsid w:val="000F59EF"/>
    <w:rsid w:val="000F5A33"/>
    <w:rsid w:val="000F5A37"/>
    <w:rsid w:val="000F5A61"/>
    <w:rsid w:val="000F5BC2"/>
    <w:rsid w:val="000F5C66"/>
    <w:rsid w:val="000F5CCF"/>
    <w:rsid w:val="000F5D2A"/>
    <w:rsid w:val="000F5E4F"/>
    <w:rsid w:val="000F5FB5"/>
    <w:rsid w:val="000F6131"/>
    <w:rsid w:val="000F616D"/>
    <w:rsid w:val="000F6313"/>
    <w:rsid w:val="000F6400"/>
    <w:rsid w:val="000F6592"/>
    <w:rsid w:val="000F6616"/>
    <w:rsid w:val="000F677E"/>
    <w:rsid w:val="000F6793"/>
    <w:rsid w:val="000F6839"/>
    <w:rsid w:val="000F6A7D"/>
    <w:rsid w:val="000F6AA0"/>
    <w:rsid w:val="000F6BD7"/>
    <w:rsid w:val="000F6C17"/>
    <w:rsid w:val="000F6C37"/>
    <w:rsid w:val="000F6CBE"/>
    <w:rsid w:val="000F6D27"/>
    <w:rsid w:val="000F6D7D"/>
    <w:rsid w:val="000F6DCB"/>
    <w:rsid w:val="000F6E6B"/>
    <w:rsid w:val="000F6F4C"/>
    <w:rsid w:val="000F7111"/>
    <w:rsid w:val="000F713B"/>
    <w:rsid w:val="000F7192"/>
    <w:rsid w:val="000F724D"/>
    <w:rsid w:val="000F72B3"/>
    <w:rsid w:val="000F742B"/>
    <w:rsid w:val="000F7638"/>
    <w:rsid w:val="000F7664"/>
    <w:rsid w:val="000F7830"/>
    <w:rsid w:val="000F784F"/>
    <w:rsid w:val="000F7938"/>
    <w:rsid w:val="000F79BC"/>
    <w:rsid w:val="000F7A6D"/>
    <w:rsid w:val="000F7AF3"/>
    <w:rsid w:val="000F7C25"/>
    <w:rsid w:val="000F7DEF"/>
    <w:rsid w:val="000F7E19"/>
    <w:rsid w:val="000F7F66"/>
    <w:rsid w:val="00100060"/>
    <w:rsid w:val="0010006E"/>
    <w:rsid w:val="001002F4"/>
    <w:rsid w:val="00100305"/>
    <w:rsid w:val="001003EE"/>
    <w:rsid w:val="00100492"/>
    <w:rsid w:val="0010052E"/>
    <w:rsid w:val="00100556"/>
    <w:rsid w:val="001005B7"/>
    <w:rsid w:val="00100624"/>
    <w:rsid w:val="001006BD"/>
    <w:rsid w:val="001006D2"/>
    <w:rsid w:val="0010075A"/>
    <w:rsid w:val="00100780"/>
    <w:rsid w:val="00100AF4"/>
    <w:rsid w:val="00100DA7"/>
    <w:rsid w:val="00100EDA"/>
    <w:rsid w:val="00100FF1"/>
    <w:rsid w:val="001010A3"/>
    <w:rsid w:val="001012B5"/>
    <w:rsid w:val="001012BD"/>
    <w:rsid w:val="00101306"/>
    <w:rsid w:val="0010139E"/>
    <w:rsid w:val="001014EE"/>
    <w:rsid w:val="00101520"/>
    <w:rsid w:val="0010159A"/>
    <w:rsid w:val="001016C6"/>
    <w:rsid w:val="001016CF"/>
    <w:rsid w:val="00101914"/>
    <w:rsid w:val="00101961"/>
    <w:rsid w:val="001019B6"/>
    <w:rsid w:val="001019E6"/>
    <w:rsid w:val="001019E8"/>
    <w:rsid w:val="00101A0A"/>
    <w:rsid w:val="00101A1C"/>
    <w:rsid w:val="00101A53"/>
    <w:rsid w:val="00101B64"/>
    <w:rsid w:val="00101BA0"/>
    <w:rsid w:val="00101CBB"/>
    <w:rsid w:val="00101CF2"/>
    <w:rsid w:val="00101DAE"/>
    <w:rsid w:val="00101DB5"/>
    <w:rsid w:val="00101EF2"/>
    <w:rsid w:val="00101FAF"/>
    <w:rsid w:val="00102065"/>
    <w:rsid w:val="001020DE"/>
    <w:rsid w:val="00102122"/>
    <w:rsid w:val="00102459"/>
    <w:rsid w:val="00102534"/>
    <w:rsid w:val="00102569"/>
    <w:rsid w:val="0010257E"/>
    <w:rsid w:val="001025B7"/>
    <w:rsid w:val="001025B9"/>
    <w:rsid w:val="001025D8"/>
    <w:rsid w:val="0010270F"/>
    <w:rsid w:val="00102815"/>
    <w:rsid w:val="0010282C"/>
    <w:rsid w:val="001028BB"/>
    <w:rsid w:val="0010290B"/>
    <w:rsid w:val="00102A7E"/>
    <w:rsid w:val="00102B1C"/>
    <w:rsid w:val="00102B26"/>
    <w:rsid w:val="00102CC3"/>
    <w:rsid w:val="00102D8E"/>
    <w:rsid w:val="00102DE7"/>
    <w:rsid w:val="00102DFF"/>
    <w:rsid w:val="00102E2D"/>
    <w:rsid w:val="00102F93"/>
    <w:rsid w:val="00102FFA"/>
    <w:rsid w:val="001031F7"/>
    <w:rsid w:val="0010325A"/>
    <w:rsid w:val="0010340E"/>
    <w:rsid w:val="00103508"/>
    <w:rsid w:val="0010356F"/>
    <w:rsid w:val="0010397B"/>
    <w:rsid w:val="00103986"/>
    <w:rsid w:val="00103AE1"/>
    <w:rsid w:val="00103B62"/>
    <w:rsid w:val="00103B8F"/>
    <w:rsid w:val="00103D13"/>
    <w:rsid w:val="00103D36"/>
    <w:rsid w:val="00103E07"/>
    <w:rsid w:val="00103FFE"/>
    <w:rsid w:val="001041F6"/>
    <w:rsid w:val="0010455A"/>
    <w:rsid w:val="001045C5"/>
    <w:rsid w:val="0010462B"/>
    <w:rsid w:val="00104682"/>
    <w:rsid w:val="001047B9"/>
    <w:rsid w:val="00104B51"/>
    <w:rsid w:val="00104B63"/>
    <w:rsid w:val="00104B6C"/>
    <w:rsid w:val="00104DAA"/>
    <w:rsid w:val="00104EAF"/>
    <w:rsid w:val="00104EE7"/>
    <w:rsid w:val="00104F5E"/>
    <w:rsid w:val="00105059"/>
    <w:rsid w:val="001051B6"/>
    <w:rsid w:val="001051CE"/>
    <w:rsid w:val="001051E0"/>
    <w:rsid w:val="001051FD"/>
    <w:rsid w:val="00105235"/>
    <w:rsid w:val="001052BD"/>
    <w:rsid w:val="001053AE"/>
    <w:rsid w:val="00105583"/>
    <w:rsid w:val="0010577C"/>
    <w:rsid w:val="001058BF"/>
    <w:rsid w:val="00105B63"/>
    <w:rsid w:val="00105CD2"/>
    <w:rsid w:val="00105CE2"/>
    <w:rsid w:val="00105E6B"/>
    <w:rsid w:val="00105F3B"/>
    <w:rsid w:val="00105F4F"/>
    <w:rsid w:val="00105F97"/>
    <w:rsid w:val="00105F9A"/>
    <w:rsid w:val="00106074"/>
    <w:rsid w:val="001061AF"/>
    <w:rsid w:val="00106291"/>
    <w:rsid w:val="001062AC"/>
    <w:rsid w:val="001063FE"/>
    <w:rsid w:val="001066CD"/>
    <w:rsid w:val="0010673C"/>
    <w:rsid w:val="0010674C"/>
    <w:rsid w:val="00106800"/>
    <w:rsid w:val="00106818"/>
    <w:rsid w:val="0010697C"/>
    <w:rsid w:val="00106B3C"/>
    <w:rsid w:val="00106B44"/>
    <w:rsid w:val="00106C25"/>
    <w:rsid w:val="00106CAA"/>
    <w:rsid w:val="00106D28"/>
    <w:rsid w:val="00106F53"/>
    <w:rsid w:val="00106F5F"/>
    <w:rsid w:val="00107000"/>
    <w:rsid w:val="0010716F"/>
    <w:rsid w:val="001071B3"/>
    <w:rsid w:val="001074D0"/>
    <w:rsid w:val="001075CE"/>
    <w:rsid w:val="001075D4"/>
    <w:rsid w:val="0010774A"/>
    <w:rsid w:val="0010774F"/>
    <w:rsid w:val="00107818"/>
    <w:rsid w:val="00107826"/>
    <w:rsid w:val="00107854"/>
    <w:rsid w:val="001078D8"/>
    <w:rsid w:val="00107986"/>
    <w:rsid w:val="001079ED"/>
    <w:rsid w:val="00107A6E"/>
    <w:rsid w:val="00107A72"/>
    <w:rsid w:val="00107BD1"/>
    <w:rsid w:val="00107C61"/>
    <w:rsid w:val="00107DCE"/>
    <w:rsid w:val="00107F60"/>
    <w:rsid w:val="0011003F"/>
    <w:rsid w:val="001101C5"/>
    <w:rsid w:val="0011020A"/>
    <w:rsid w:val="001102FF"/>
    <w:rsid w:val="00110364"/>
    <w:rsid w:val="00110369"/>
    <w:rsid w:val="001104DA"/>
    <w:rsid w:val="001105C6"/>
    <w:rsid w:val="00110618"/>
    <w:rsid w:val="0011067B"/>
    <w:rsid w:val="0011079A"/>
    <w:rsid w:val="00110846"/>
    <w:rsid w:val="00110956"/>
    <w:rsid w:val="00110A2D"/>
    <w:rsid w:val="00110BC0"/>
    <w:rsid w:val="00110BC2"/>
    <w:rsid w:val="00110BEB"/>
    <w:rsid w:val="00110D27"/>
    <w:rsid w:val="00110D57"/>
    <w:rsid w:val="00111245"/>
    <w:rsid w:val="0011143C"/>
    <w:rsid w:val="001114B7"/>
    <w:rsid w:val="00111769"/>
    <w:rsid w:val="001117F4"/>
    <w:rsid w:val="00111860"/>
    <w:rsid w:val="00111915"/>
    <w:rsid w:val="0011194D"/>
    <w:rsid w:val="00111967"/>
    <w:rsid w:val="00111C5D"/>
    <w:rsid w:val="00111C67"/>
    <w:rsid w:val="00111E1D"/>
    <w:rsid w:val="00111E1F"/>
    <w:rsid w:val="00111E32"/>
    <w:rsid w:val="00111E70"/>
    <w:rsid w:val="00111ED1"/>
    <w:rsid w:val="00111F28"/>
    <w:rsid w:val="001120A9"/>
    <w:rsid w:val="0011211F"/>
    <w:rsid w:val="00112161"/>
    <w:rsid w:val="00112320"/>
    <w:rsid w:val="00112437"/>
    <w:rsid w:val="0011247F"/>
    <w:rsid w:val="00112484"/>
    <w:rsid w:val="00112532"/>
    <w:rsid w:val="00112571"/>
    <w:rsid w:val="0011261F"/>
    <w:rsid w:val="00112719"/>
    <w:rsid w:val="00112841"/>
    <w:rsid w:val="001128EB"/>
    <w:rsid w:val="001129A7"/>
    <w:rsid w:val="00112AF1"/>
    <w:rsid w:val="00112B2B"/>
    <w:rsid w:val="00112BF7"/>
    <w:rsid w:val="00112C32"/>
    <w:rsid w:val="00112C39"/>
    <w:rsid w:val="00112C7E"/>
    <w:rsid w:val="00112D23"/>
    <w:rsid w:val="00112D82"/>
    <w:rsid w:val="00112D92"/>
    <w:rsid w:val="00112DAA"/>
    <w:rsid w:val="00112DDF"/>
    <w:rsid w:val="00112F1B"/>
    <w:rsid w:val="001130CC"/>
    <w:rsid w:val="00113236"/>
    <w:rsid w:val="00113249"/>
    <w:rsid w:val="001132E6"/>
    <w:rsid w:val="00113460"/>
    <w:rsid w:val="001134D2"/>
    <w:rsid w:val="0011352F"/>
    <w:rsid w:val="00113560"/>
    <w:rsid w:val="00113595"/>
    <w:rsid w:val="00113854"/>
    <w:rsid w:val="0011391E"/>
    <w:rsid w:val="00113AAB"/>
    <w:rsid w:val="00113ACD"/>
    <w:rsid w:val="00113B44"/>
    <w:rsid w:val="00113BA2"/>
    <w:rsid w:val="00113BC7"/>
    <w:rsid w:val="00113C04"/>
    <w:rsid w:val="00113D43"/>
    <w:rsid w:val="00113D61"/>
    <w:rsid w:val="00113E1A"/>
    <w:rsid w:val="00113EBC"/>
    <w:rsid w:val="00113F81"/>
    <w:rsid w:val="00113FBE"/>
    <w:rsid w:val="00113FEF"/>
    <w:rsid w:val="00114250"/>
    <w:rsid w:val="001142ED"/>
    <w:rsid w:val="001142FF"/>
    <w:rsid w:val="001143D6"/>
    <w:rsid w:val="0011450B"/>
    <w:rsid w:val="00114516"/>
    <w:rsid w:val="0011455A"/>
    <w:rsid w:val="0011458F"/>
    <w:rsid w:val="0011461C"/>
    <w:rsid w:val="0011464F"/>
    <w:rsid w:val="001146B6"/>
    <w:rsid w:val="001148AE"/>
    <w:rsid w:val="00114A44"/>
    <w:rsid w:val="00114B4A"/>
    <w:rsid w:val="00114C5C"/>
    <w:rsid w:val="00114E55"/>
    <w:rsid w:val="00114FAE"/>
    <w:rsid w:val="00115086"/>
    <w:rsid w:val="001153D8"/>
    <w:rsid w:val="00115496"/>
    <w:rsid w:val="00115556"/>
    <w:rsid w:val="001155A9"/>
    <w:rsid w:val="001155BA"/>
    <w:rsid w:val="00115A55"/>
    <w:rsid w:val="00115AB3"/>
    <w:rsid w:val="00115ADD"/>
    <w:rsid w:val="00115C02"/>
    <w:rsid w:val="00115C7E"/>
    <w:rsid w:val="00115CEE"/>
    <w:rsid w:val="00115D5D"/>
    <w:rsid w:val="00115D82"/>
    <w:rsid w:val="00115DEC"/>
    <w:rsid w:val="00116007"/>
    <w:rsid w:val="00116052"/>
    <w:rsid w:val="001162DC"/>
    <w:rsid w:val="00116486"/>
    <w:rsid w:val="001165E4"/>
    <w:rsid w:val="0011660D"/>
    <w:rsid w:val="00116796"/>
    <w:rsid w:val="0011680D"/>
    <w:rsid w:val="00116889"/>
    <w:rsid w:val="001168D1"/>
    <w:rsid w:val="001168E3"/>
    <w:rsid w:val="00116985"/>
    <w:rsid w:val="001169F8"/>
    <w:rsid w:val="00116B39"/>
    <w:rsid w:val="00116B83"/>
    <w:rsid w:val="00116D14"/>
    <w:rsid w:val="00116D4D"/>
    <w:rsid w:val="00116DD7"/>
    <w:rsid w:val="00116EEC"/>
    <w:rsid w:val="00116FE7"/>
    <w:rsid w:val="001170A6"/>
    <w:rsid w:val="0011729E"/>
    <w:rsid w:val="00117350"/>
    <w:rsid w:val="001173FE"/>
    <w:rsid w:val="00117429"/>
    <w:rsid w:val="00117516"/>
    <w:rsid w:val="00117631"/>
    <w:rsid w:val="00117709"/>
    <w:rsid w:val="0011785F"/>
    <w:rsid w:val="001178B1"/>
    <w:rsid w:val="00117A14"/>
    <w:rsid w:val="00117B9C"/>
    <w:rsid w:val="00117BDB"/>
    <w:rsid w:val="00117DDC"/>
    <w:rsid w:val="00117E7F"/>
    <w:rsid w:val="00117F28"/>
    <w:rsid w:val="001200B0"/>
    <w:rsid w:val="001200CD"/>
    <w:rsid w:val="00120101"/>
    <w:rsid w:val="00120166"/>
    <w:rsid w:val="001201BF"/>
    <w:rsid w:val="0012020B"/>
    <w:rsid w:val="00120261"/>
    <w:rsid w:val="00120287"/>
    <w:rsid w:val="00120377"/>
    <w:rsid w:val="0012042D"/>
    <w:rsid w:val="00120447"/>
    <w:rsid w:val="00120600"/>
    <w:rsid w:val="00120645"/>
    <w:rsid w:val="0012081B"/>
    <w:rsid w:val="00120D01"/>
    <w:rsid w:val="00120D21"/>
    <w:rsid w:val="00120D81"/>
    <w:rsid w:val="00120DFB"/>
    <w:rsid w:val="00120EEC"/>
    <w:rsid w:val="00121081"/>
    <w:rsid w:val="00121196"/>
    <w:rsid w:val="0012135B"/>
    <w:rsid w:val="0012150A"/>
    <w:rsid w:val="0012164C"/>
    <w:rsid w:val="00121671"/>
    <w:rsid w:val="0012168D"/>
    <w:rsid w:val="001216C7"/>
    <w:rsid w:val="00121874"/>
    <w:rsid w:val="001218BA"/>
    <w:rsid w:val="001218DA"/>
    <w:rsid w:val="00121A76"/>
    <w:rsid w:val="00121AEA"/>
    <w:rsid w:val="00121BFB"/>
    <w:rsid w:val="00121C0A"/>
    <w:rsid w:val="00121C69"/>
    <w:rsid w:val="00121CC2"/>
    <w:rsid w:val="00121D49"/>
    <w:rsid w:val="00121DDF"/>
    <w:rsid w:val="00122039"/>
    <w:rsid w:val="00122336"/>
    <w:rsid w:val="00122365"/>
    <w:rsid w:val="00122379"/>
    <w:rsid w:val="00122399"/>
    <w:rsid w:val="00122475"/>
    <w:rsid w:val="00122501"/>
    <w:rsid w:val="0012255E"/>
    <w:rsid w:val="001225F9"/>
    <w:rsid w:val="00122766"/>
    <w:rsid w:val="001229B8"/>
    <w:rsid w:val="00122A7C"/>
    <w:rsid w:val="00122ABB"/>
    <w:rsid w:val="00122D70"/>
    <w:rsid w:val="00122DC5"/>
    <w:rsid w:val="00122E6B"/>
    <w:rsid w:val="00122F79"/>
    <w:rsid w:val="00123132"/>
    <w:rsid w:val="0012313B"/>
    <w:rsid w:val="00123278"/>
    <w:rsid w:val="00123357"/>
    <w:rsid w:val="00123469"/>
    <w:rsid w:val="001238F7"/>
    <w:rsid w:val="001239BB"/>
    <w:rsid w:val="00123A3D"/>
    <w:rsid w:val="00123A51"/>
    <w:rsid w:val="00123C3C"/>
    <w:rsid w:val="00123CC7"/>
    <w:rsid w:val="0012422B"/>
    <w:rsid w:val="0012427D"/>
    <w:rsid w:val="00124393"/>
    <w:rsid w:val="001243FD"/>
    <w:rsid w:val="0012461E"/>
    <w:rsid w:val="001247C3"/>
    <w:rsid w:val="0012487E"/>
    <w:rsid w:val="00124ACC"/>
    <w:rsid w:val="00124AD2"/>
    <w:rsid w:val="00124B3E"/>
    <w:rsid w:val="00124B5A"/>
    <w:rsid w:val="00124B5E"/>
    <w:rsid w:val="00124BDA"/>
    <w:rsid w:val="00124C5E"/>
    <w:rsid w:val="00124DCC"/>
    <w:rsid w:val="00124DF3"/>
    <w:rsid w:val="00124FAB"/>
    <w:rsid w:val="00125195"/>
    <w:rsid w:val="00125209"/>
    <w:rsid w:val="00125225"/>
    <w:rsid w:val="00125443"/>
    <w:rsid w:val="00125539"/>
    <w:rsid w:val="0012564C"/>
    <w:rsid w:val="001256FB"/>
    <w:rsid w:val="001257F3"/>
    <w:rsid w:val="0012581F"/>
    <w:rsid w:val="00125957"/>
    <w:rsid w:val="001259FC"/>
    <w:rsid w:val="00125C83"/>
    <w:rsid w:val="00125CC7"/>
    <w:rsid w:val="00125DEC"/>
    <w:rsid w:val="00125F15"/>
    <w:rsid w:val="00125FBB"/>
    <w:rsid w:val="001260F7"/>
    <w:rsid w:val="0012621D"/>
    <w:rsid w:val="0012633B"/>
    <w:rsid w:val="00126490"/>
    <w:rsid w:val="001264F0"/>
    <w:rsid w:val="0012678D"/>
    <w:rsid w:val="00126B3B"/>
    <w:rsid w:val="00126B59"/>
    <w:rsid w:val="00126C66"/>
    <w:rsid w:val="00126CCB"/>
    <w:rsid w:val="00126D4D"/>
    <w:rsid w:val="00126DD3"/>
    <w:rsid w:val="00126E2D"/>
    <w:rsid w:val="00126F7E"/>
    <w:rsid w:val="00126FAA"/>
    <w:rsid w:val="001270CB"/>
    <w:rsid w:val="0012713B"/>
    <w:rsid w:val="001272A5"/>
    <w:rsid w:val="001272DB"/>
    <w:rsid w:val="001275FE"/>
    <w:rsid w:val="00127781"/>
    <w:rsid w:val="00127A1D"/>
    <w:rsid w:val="00127C1C"/>
    <w:rsid w:val="00127CAD"/>
    <w:rsid w:val="00127CC7"/>
    <w:rsid w:val="00127CD3"/>
    <w:rsid w:val="00127E02"/>
    <w:rsid w:val="00127E23"/>
    <w:rsid w:val="00127E48"/>
    <w:rsid w:val="001300EE"/>
    <w:rsid w:val="00130102"/>
    <w:rsid w:val="0013010B"/>
    <w:rsid w:val="00130167"/>
    <w:rsid w:val="001301BE"/>
    <w:rsid w:val="00130221"/>
    <w:rsid w:val="001303AE"/>
    <w:rsid w:val="001303FD"/>
    <w:rsid w:val="00130475"/>
    <w:rsid w:val="0013051B"/>
    <w:rsid w:val="00130569"/>
    <w:rsid w:val="001305BE"/>
    <w:rsid w:val="001305EA"/>
    <w:rsid w:val="0013062C"/>
    <w:rsid w:val="0013066C"/>
    <w:rsid w:val="001306F7"/>
    <w:rsid w:val="001307B4"/>
    <w:rsid w:val="001308CF"/>
    <w:rsid w:val="0013090D"/>
    <w:rsid w:val="00130A3D"/>
    <w:rsid w:val="00130A47"/>
    <w:rsid w:val="00130CB5"/>
    <w:rsid w:val="00130F7E"/>
    <w:rsid w:val="00130F7F"/>
    <w:rsid w:val="00130FFF"/>
    <w:rsid w:val="001310A6"/>
    <w:rsid w:val="001310FE"/>
    <w:rsid w:val="0013112F"/>
    <w:rsid w:val="001311B8"/>
    <w:rsid w:val="001312CE"/>
    <w:rsid w:val="0013130B"/>
    <w:rsid w:val="0013150D"/>
    <w:rsid w:val="0013156F"/>
    <w:rsid w:val="001316F2"/>
    <w:rsid w:val="0013172A"/>
    <w:rsid w:val="00131746"/>
    <w:rsid w:val="00131919"/>
    <w:rsid w:val="00131A79"/>
    <w:rsid w:val="00131B8D"/>
    <w:rsid w:val="00131C0B"/>
    <w:rsid w:val="00131CF8"/>
    <w:rsid w:val="00131D4F"/>
    <w:rsid w:val="00131DAB"/>
    <w:rsid w:val="00131E2B"/>
    <w:rsid w:val="00131ED8"/>
    <w:rsid w:val="00131FAB"/>
    <w:rsid w:val="00131FF1"/>
    <w:rsid w:val="00132011"/>
    <w:rsid w:val="00132139"/>
    <w:rsid w:val="0013216E"/>
    <w:rsid w:val="00132182"/>
    <w:rsid w:val="001322CC"/>
    <w:rsid w:val="0013235D"/>
    <w:rsid w:val="001323CD"/>
    <w:rsid w:val="0013259B"/>
    <w:rsid w:val="00132668"/>
    <w:rsid w:val="001326E5"/>
    <w:rsid w:val="00132740"/>
    <w:rsid w:val="001329B6"/>
    <w:rsid w:val="00132A9F"/>
    <w:rsid w:val="00132B04"/>
    <w:rsid w:val="00132C16"/>
    <w:rsid w:val="00132CF9"/>
    <w:rsid w:val="00132D64"/>
    <w:rsid w:val="00132F5B"/>
    <w:rsid w:val="00132F5E"/>
    <w:rsid w:val="001333C0"/>
    <w:rsid w:val="00133633"/>
    <w:rsid w:val="00133672"/>
    <w:rsid w:val="001336A9"/>
    <w:rsid w:val="001336E7"/>
    <w:rsid w:val="00133792"/>
    <w:rsid w:val="00133849"/>
    <w:rsid w:val="0013390B"/>
    <w:rsid w:val="0013391E"/>
    <w:rsid w:val="0013398D"/>
    <w:rsid w:val="001339F2"/>
    <w:rsid w:val="001339F6"/>
    <w:rsid w:val="00133A3D"/>
    <w:rsid w:val="00133CDA"/>
    <w:rsid w:val="00133D1B"/>
    <w:rsid w:val="00133F59"/>
    <w:rsid w:val="00133FC2"/>
    <w:rsid w:val="00133FD0"/>
    <w:rsid w:val="00134004"/>
    <w:rsid w:val="001340CD"/>
    <w:rsid w:val="0013415A"/>
    <w:rsid w:val="00134169"/>
    <w:rsid w:val="0013425E"/>
    <w:rsid w:val="0013429E"/>
    <w:rsid w:val="00134340"/>
    <w:rsid w:val="00134379"/>
    <w:rsid w:val="0013442C"/>
    <w:rsid w:val="00134572"/>
    <w:rsid w:val="00134743"/>
    <w:rsid w:val="00134882"/>
    <w:rsid w:val="00134886"/>
    <w:rsid w:val="001349EA"/>
    <w:rsid w:val="00134C42"/>
    <w:rsid w:val="00134C9D"/>
    <w:rsid w:val="00134E41"/>
    <w:rsid w:val="00135004"/>
    <w:rsid w:val="00135197"/>
    <w:rsid w:val="0013526D"/>
    <w:rsid w:val="00135292"/>
    <w:rsid w:val="001353A7"/>
    <w:rsid w:val="0013544A"/>
    <w:rsid w:val="0013545C"/>
    <w:rsid w:val="00135497"/>
    <w:rsid w:val="00135547"/>
    <w:rsid w:val="00135641"/>
    <w:rsid w:val="0013568F"/>
    <w:rsid w:val="0013599D"/>
    <w:rsid w:val="00135AD4"/>
    <w:rsid w:val="00135B81"/>
    <w:rsid w:val="00135BDA"/>
    <w:rsid w:val="00135D3D"/>
    <w:rsid w:val="00135DE8"/>
    <w:rsid w:val="00135FB2"/>
    <w:rsid w:val="00135FD7"/>
    <w:rsid w:val="0013600C"/>
    <w:rsid w:val="00136065"/>
    <w:rsid w:val="001360EA"/>
    <w:rsid w:val="0013620D"/>
    <w:rsid w:val="00136240"/>
    <w:rsid w:val="0013624F"/>
    <w:rsid w:val="001362D4"/>
    <w:rsid w:val="001362DB"/>
    <w:rsid w:val="001362F8"/>
    <w:rsid w:val="001363C1"/>
    <w:rsid w:val="0013649B"/>
    <w:rsid w:val="001364C7"/>
    <w:rsid w:val="001364F7"/>
    <w:rsid w:val="00136561"/>
    <w:rsid w:val="001366C4"/>
    <w:rsid w:val="001366DF"/>
    <w:rsid w:val="00136884"/>
    <w:rsid w:val="001368BD"/>
    <w:rsid w:val="0013694A"/>
    <w:rsid w:val="0013696B"/>
    <w:rsid w:val="001369AE"/>
    <w:rsid w:val="00136ACE"/>
    <w:rsid w:val="00136B82"/>
    <w:rsid w:val="00136C45"/>
    <w:rsid w:val="00136C51"/>
    <w:rsid w:val="00136CDF"/>
    <w:rsid w:val="00136DB1"/>
    <w:rsid w:val="00136E01"/>
    <w:rsid w:val="00136E1E"/>
    <w:rsid w:val="00136E74"/>
    <w:rsid w:val="001371B8"/>
    <w:rsid w:val="00137301"/>
    <w:rsid w:val="00137306"/>
    <w:rsid w:val="0013758A"/>
    <w:rsid w:val="001375C9"/>
    <w:rsid w:val="001376FB"/>
    <w:rsid w:val="001378A1"/>
    <w:rsid w:val="00137AF7"/>
    <w:rsid w:val="00137B15"/>
    <w:rsid w:val="00137DEC"/>
    <w:rsid w:val="00137E51"/>
    <w:rsid w:val="001400E6"/>
    <w:rsid w:val="0014016B"/>
    <w:rsid w:val="001401C5"/>
    <w:rsid w:val="001401DA"/>
    <w:rsid w:val="001402D9"/>
    <w:rsid w:val="00140343"/>
    <w:rsid w:val="00140411"/>
    <w:rsid w:val="00140455"/>
    <w:rsid w:val="0014048D"/>
    <w:rsid w:val="00140499"/>
    <w:rsid w:val="00140520"/>
    <w:rsid w:val="001405B8"/>
    <w:rsid w:val="001405CF"/>
    <w:rsid w:val="0014063B"/>
    <w:rsid w:val="00140726"/>
    <w:rsid w:val="001408A8"/>
    <w:rsid w:val="0014096B"/>
    <w:rsid w:val="00140981"/>
    <w:rsid w:val="0014099F"/>
    <w:rsid w:val="00140A07"/>
    <w:rsid w:val="00140A33"/>
    <w:rsid w:val="00140B1A"/>
    <w:rsid w:val="00140B89"/>
    <w:rsid w:val="00140BBA"/>
    <w:rsid w:val="00140C57"/>
    <w:rsid w:val="00140C6C"/>
    <w:rsid w:val="00140C9E"/>
    <w:rsid w:val="00140C9F"/>
    <w:rsid w:val="00140DEF"/>
    <w:rsid w:val="00140ED6"/>
    <w:rsid w:val="00140EE9"/>
    <w:rsid w:val="00141036"/>
    <w:rsid w:val="00141055"/>
    <w:rsid w:val="00141117"/>
    <w:rsid w:val="001411A0"/>
    <w:rsid w:val="00141395"/>
    <w:rsid w:val="001413BF"/>
    <w:rsid w:val="00141535"/>
    <w:rsid w:val="001415AC"/>
    <w:rsid w:val="00141794"/>
    <w:rsid w:val="001417AC"/>
    <w:rsid w:val="0014180C"/>
    <w:rsid w:val="00141B28"/>
    <w:rsid w:val="00141B3B"/>
    <w:rsid w:val="00141B55"/>
    <w:rsid w:val="00141D97"/>
    <w:rsid w:val="00141E47"/>
    <w:rsid w:val="00141E88"/>
    <w:rsid w:val="00141F08"/>
    <w:rsid w:val="00141F69"/>
    <w:rsid w:val="0014200B"/>
    <w:rsid w:val="001421E6"/>
    <w:rsid w:val="00142410"/>
    <w:rsid w:val="00142414"/>
    <w:rsid w:val="0014241F"/>
    <w:rsid w:val="00142592"/>
    <w:rsid w:val="001426F3"/>
    <w:rsid w:val="0014278A"/>
    <w:rsid w:val="0014280B"/>
    <w:rsid w:val="0014296F"/>
    <w:rsid w:val="00142A63"/>
    <w:rsid w:val="00142B76"/>
    <w:rsid w:val="00142C3B"/>
    <w:rsid w:val="00142D65"/>
    <w:rsid w:val="00143075"/>
    <w:rsid w:val="001432A7"/>
    <w:rsid w:val="00143359"/>
    <w:rsid w:val="001433E4"/>
    <w:rsid w:val="00143475"/>
    <w:rsid w:val="00143479"/>
    <w:rsid w:val="00143534"/>
    <w:rsid w:val="00143577"/>
    <w:rsid w:val="001435BF"/>
    <w:rsid w:val="0014364D"/>
    <w:rsid w:val="0014366F"/>
    <w:rsid w:val="00143682"/>
    <w:rsid w:val="001436AE"/>
    <w:rsid w:val="001437AD"/>
    <w:rsid w:val="00143855"/>
    <w:rsid w:val="001439B0"/>
    <w:rsid w:val="00143A15"/>
    <w:rsid w:val="00143A16"/>
    <w:rsid w:val="00143CED"/>
    <w:rsid w:val="00143D12"/>
    <w:rsid w:val="00143DD1"/>
    <w:rsid w:val="00143F1C"/>
    <w:rsid w:val="001440E9"/>
    <w:rsid w:val="0014423B"/>
    <w:rsid w:val="001442AB"/>
    <w:rsid w:val="0014444E"/>
    <w:rsid w:val="00144482"/>
    <w:rsid w:val="0014451D"/>
    <w:rsid w:val="0014451F"/>
    <w:rsid w:val="00144552"/>
    <w:rsid w:val="00144570"/>
    <w:rsid w:val="001445AD"/>
    <w:rsid w:val="001445D4"/>
    <w:rsid w:val="00144B0B"/>
    <w:rsid w:val="00144CAB"/>
    <w:rsid w:val="00144CDB"/>
    <w:rsid w:val="00144E51"/>
    <w:rsid w:val="00144EF4"/>
    <w:rsid w:val="00144F90"/>
    <w:rsid w:val="00144FFE"/>
    <w:rsid w:val="0014501E"/>
    <w:rsid w:val="00145022"/>
    <w:rsid w:val="00145105"/>
    <w:rsid w:val="00145169"/>
    <w:rsid w:val="001451F8"/>
    <w:rsid w:val="0014525F"/>
    <w:rsid w:val="001453C3"/>
    <w:rsid w:val="00145594"/>
    <w:rsid w:val="00145678"/>
    <w:rsid w:val="001456D3"/>
    <w:rsid w:val="00145721"/>
    <w:rsid w:val="0014580A"/>
    <w:rsid w:val="001458AE"/>
    <w:rsid w:val="00145928"/>
    <w:rsid w:val="001459E6"/>
    <w:rsid w:val="00145B2A"/>
    <w:rsid w:val="00145B2F"/>
    <w:rsid w:val="00145B92"/>
    <w:rsid w:val="00145BA8"/>
    <w:rsid w:val="00145C30"/>
    <w:rsid w:val="00145D3A"/>
    <w:rsid w:val="00145DCC"/>
    <w:rsid w:val="00145E64"/>
    <w:rsid w:val="00145EFF"/>
    <w:rsid w:val="00145F17"/>
    <w:rsid w:val="00146133"/>
    <w:rsid w:val="00146407"/>
    <w:rsid w:val="0014670D"/>
    <w:rsid w:val="0014674A"/>
    <w:rsid w:val="00146857"/>
    <w:rsid w:val="0014687C"/>
    <w:rsid w:val="0014687F"/>
    <w:rsid w:val="001468CD"/>
    <w:rsid w:val="00146966"/>
    <w:rsid w:val="00146A8E"/>
    <w:rsid w:val="00146B6C"/>
    <w:rsid w:val="00146C5B"/>
    <w:rsid w:val="00146D3C"/>
    <w:rsid w:val="00146D81"/>
    <w:rsid w:val="00146DA0"/>
    <w:rsid w:val="00146ECC"/>
    <w:rsid w:val="00146FF9"/>
    <w:rsid w:val="00147020"/>
    <w:rsid w:val="0014702A"/>
    <w:rsid w:val="00147086"/>
    <w:rsid w:val="001470F1"/>
    <w:rsid w:val="001472C3"/>
    <w:rsid w:val="001472CC"/>
    <w:rsid w:val="001472F4"/>
    <w:rsid w:val="00147441"/>
    <w:rsid w:val="00147447"/>
    <w:rsid w:val="0014744A"/>
    <w:rsid w:val="001474AC"/>
    <w:rsid w:val="00147518"/>
    <w:rsid w:val="00147539"/>
    <w:rsid w:val="001475AA"/>
    <w:rsid w:val="001475B7"/>
    <w:rsid w:val="001476C5"/>
    <w:rsid w:val="00147800"/>
    <w:rsid w:val="0014790C"/>
    <w:rsid w:val="00147C16"/>
    <w:rsid w:val="00147CA5"/>
    <w:rsid w:val="00147DC1"/>
    <w:rsid w:val="00147EA9"/>
    <w:rsid w:val="00150040"/>
    <w:rsid w:val="00150150"/>
    <w:rsid w:val="0015033C"/>
    <w:rsid w:val="00150389"/>
    <w:rsid w:val="00150426"/>
    <w:rsid w:val="00150432"/>
    <w:rsid w:val="00150448"/>
    <w:rsid w:val="00150518"/>
    <w:rsid w:val="0015052F"/>
    <w:rsid w:val="0015054E"/>
    <w:rsid w:val="0015077B"/>
    <w:rsid w:val="00150785"/>
    <w:rsid w:val="00150846"/>
    <w:rsid w:val="00150888"/>
    <w:rsid w:val="00150985"/>
    <w:rsid w:val="001509EA"/>
    <w:rsid w:val="00150A45"/>
    <w:rsid w:val="00150AB0"/>
    <w:rsid w:val="00150AB4"/>
    <w:rsid w:val="00150AFD"/>
    <w:rsid w:val="00150C36"/>
    <w:rsid w:val="00150D55"/>
    <w:rsid w:val="00150DF2"/>
    <w:rsid w:val="00150F16"/>
    <w:rsid w:val="00150FAD"/>
    <w:rsid w:val="00150FE4"/>
    <w:rsid w:val="001510AB"/>
    <w:rsid w:val="0015118B"/>
    <w:rsid w:val="0015123D"/>
    <w:rsid w:val="00151286"/>
    <w:rsid w:val="00151384"/>
    <w:rsid w:val="0015146B"/>
    <w:rsid w:val="00151486"/>
    <w:rsid w:val="0015154A"/>
    <w:rsid w:val="0015172E"/>
    <w:rsid w:val="00151742"/>
    <w:rsid w:val="00151A1E"/>
    <w:rsid w:val="00151B3A"/>
    <w:rsid w:val="00151CAD"/>
    <w:rsid w:val="00151D67"/>
    <w:rsid w:val="00151EAB"/>
    <w:rsid w:val="00151EB9"/>
    <w:rsid w:val="00151F3B"/>
    <w:rsid w:val="00151F82"/>
    <w:rsid w:val="00151FD1"/>
    <w:rsid w:val="0015202A"/>
    <w:rsid w:val="001520D5"/>
    <w:rsid w:val="001520E4"/>
    <w:rsid w:val="00152220"/>
    <w:rsid w:val="001522FB"/>
    <w:rsid w:val="001523A5"/>
    <w:rsid w:val="00152476"/>
    <w:rsid w:val="00152553"/>
    <w:rsid w:val="0015265F"/>
    <w:rsid w:val="001526EE"/>
    <w:rsid w:val="0015274A"/>
    <w:rsid w:val="0015279B"/>
    <w:rsid w:val="00152997"/>
    <w:rsid w:val="00152A3F"/>
    <w:rsid w:val="00152D7A"/>
    <w:rsid w:val="00152E71"/>
    <w:rsid w:val="00152F32"/>
    <w:rsid w:val="00152FA1"/>
    <w:rsid w:val="00152FCC"/>
    <w:rsid w:val="001530D9"/>
    <w:rsid w:val="00153145"/>
    <w:rsid w:val="00153306"/>
    <w:rsid w:val="00153336"/>
    <w:rsid w:val="001533AB"/>
    <w:rsid w:val="0015345E"/>
    <w:rsid w:val="001536B0"/>
    <w:rsid w:val="001536CB"/>
    <w:rsid w:val="001537B0"/>
    <w:rsid w:val="00153827"/>
    <w:rsid w:val="0015385D"/>
    <w:rsid w:val="0015398B"/>
    <w:rsid w:val="00153B16"/>
    <w:rsid w:val="00153B65"/>
    <w:rsid w:val="00153D18"/>
    <w:rsid w:val="00153EC6"/>
    <w:rsid w:val="00153F8B"/>
    <w:rsid w:val="00154085"/>
    <w:rsid w:val="0015408B"/>
    <w:rsid w:val="00154120"/>
    <w:rsid w:val="0015429C"/>
    <w:rsid w:val="00154309"/>
    <w:rsid w:val="001543D9"/>
    <w:rsid w:val="00154576"/>
    <w:rsid w:val="001548A5"/>
    <w:rsid w:val="00154914"/>
    <w:rsid w:val="001549AA"/>
    <w:rsid w:val="00154A28"/>
    <w:rsid w:val="00154A54"/>
    <w:rsid w:val="00154A59"/>
    <w:rsid w:val="00154AA8"/>
    <w:rsid w:val="00154AD1"/>
    <w:rsid w:val="00154B14"/>
    <w:rsid w:val="00154B43"/>
    <w:rsid w:val="00154B58"/>
    <w:rsid w:val="00154CFC"/>
    <w:rsid w:val="00154D95"/>
    <w:rsid w:val="00154DC7"/>
    <w:rsid w:val="00154EFF"/>
    <w:rsid w:val="00155057"/>
    <w:rsid w:val="00155165"/>
    <w:rsid w:val="001551C0"/>
    <w:rsid w:val="00155204"/>
    <w:rsid w:val="00155230"/>
    <w:rsid w:val="0015526E"/>
    <w:rsid w:val="00155453"/>
    <w:rsid w:val="00155489"/>
    <w:rsid w:val="00155A1C"/>
    <w:rsid w:val="00155C87"/>
    <w:rsid w:val="00155C92"/>
    <w:rsid w:val="00155CC4"/>
    <w:rsid w:val="00155F35"/>
    <w:rsid w:val="00155FCC"/>
    <w:rsid w:val="0015605E"/>
    <w:rsid w:val="00156150"/>
    <w:rsid w:val="001569A6"/>
    <w:rsid w:val="001569CA"/>
    <w:rsid w:val="00156C42"/>
    <w:rsid w:val="00156CE9"/>
    <w:rsid w:val="00156CF4"/>
    <w:rsid w:val="00156D41"/>
    <w:rsid w:val="00156D77"/>
    <w:rsid w:val="00156D9F"/>
    <w:rsid w:val="00156ECD"/>
    <w:rsid w:val="00156F30"/>
    <w:rsid w:val="00156F97"/>
    <w:rsid w:val="00156FB4"/>
    <w:rsid w:val="00157069"/>
    <w:rsid w:val="00157129"/>
    <w:rsid w:val="00157157"/>
    <w:rsid w:val="001572D4"/>
    <w:rsid w:val="001572EF"/>
    <w:rsid w:val="00157388"/>
    <w:rsid w:val="0015748B"/>
    <w:rsid w:val="00157631"/>
    <w:rsid w:val="001576F5"/>
    <w:rsid w:val="001578F1"/>
    <w:rsid w:val="00157991"/>
    <w:rsid w:val="00157C4F"/>
    <w:rsid w:val="00157C7A"/>
    <w:rsid w:val="00157DA1"/>
    <w:rsid w:val="00160021"/>
    <w:rsid w:val="00160300"/>
    <w:rsid w:val="001603E2"/>
    <w:rsid w:val="00160514"/>
    <w:rsid w:val="0016052B"/>
    <w:rsid w:val="00160622"/>
    <w:rsid w:val="00160815"/>
    <w:rsid w:val="00160998"/>
    <w:rsid w:val="00160B46"/>
    <w:rsid w:val="00160BD6"/>
    <w:rsid w:val="00160CD5"/>
    <w:rsid w:val="00160D0A"/>
    <w:rsid w:val="00160D2A"/>
    <w:rsid w:val="00160D34"/>
    <w:rsid w:val="00160D9F"/>
    <w:rsid w:val="00160E27"/>
    <w:rsid w:val="00160E2F"/>
    <w:rsid w:val="00160E47"/>
    <w:rsid w:val="00160FDC"/>
    <w:rsid w:val="00161052"/>
    <w:rsid w:val="00161059"/>
    <w:rsid w:val="0016131B"/>
    <w:rsid w:val="0016133E"/>
    <w:rsid w:val="001613E7"/>
    <w:rsid w:val="001614D8"/>
    <w:rsid w:val="0016163D"/>
    <w:rsid w:val="001619A1"/>
    <w:rsid w:val="00161B45"/>
    <w:rsid w:val="00161C86"/>
    <w:rsid w:val="00161EF9"/>
    <w:rsid w:val="00161FFE"/>
    <w:rsid w:val="00162020"/>
    <w:rsid w:val="00162151"/>
    <w:rsid w:val="00162185"/>
    <w:rsid w:val="00162268"/>
    <w:rsid w:val="00162468"/>
    <w:rsid w:val="00162492"/>
    <w:rsid w:val="001624AD"/>
    <w:rsid w:val="001624DE"/>
    <w:rsid w:val="00162589"/>
    <w:rsid w:val="0016267C"/>
    <w:rsid w:val="001626C5"/>
    <w:rsid w:val="001627E3"/>
    <w:rsid w:val="00162A95"/>
    <w:rsid w:val="00162AEB"/>
    <w:rsid w:val="00162C2C"/>
    <w:rsid w:val="00162DC3"/>
    <w:rsid w:val="00162EAA"/>
    <w:rsid w:val="00162F3B"/>
    <w:rsid w:val="00162F44"/>
    <w:rsid w:val="00162F4E"/>
    <w:rsid w:val="00162FEF"/>
    <w:rsid w:val="0016301C"/>
    <w:rsid w:val="001630B9"/>
    <w:rsid w:val="001630C6"/>
    <w:rsid w:val="00163195"/>
    <w:rsid w:val="001631CA"/>
    <w:rsid w:val="001633F4"/>
    <w:rsid w:val="00163407"/>
    <w:rsid w:val="00163434"/>
    <w:rsid w:val="001636B2"/>
    <w:rsid w:val="0016377F"/>
    <w:rsid w:val="001637D8"/>
    <w:rsid w:val="001638BC"/>
    <w:rsid w:val="00163937"/>
    <w:rsid w:val="00163A65"/>
    <w:rsid w:val="00163AA0"/>
    <w:rsid w:val="00163AFC"/>
    <w:rsid w:val="00163B3A"/>
    <w:rsid w:val="00163C37"/>
    <w:rsid w:val="00163C90"/>
    <w:rsid w:val="00163D6D"/>
    <w:rsid w:val="00163DCF"/>
    <w:rsid w:val="00163E51"/>
    <w:rsid w:val="00164067"/>
    <w:rsid w:val="001640B2"/>
    <w:rsid w:val="001641C2"/>
    <w:rsid w:val="001641FD"/>
    <w:rsid w:val="00164218"/>
    <w:rsid w:val="001643A3"/>
    <w:rsid w:val="00164414"/>
    <w:rsid w:val="001645BE"/>
    <w:rsid w:val="00164617"/>
    <w:rsid w:val="00164643"/>
    <w:rsid w:val="00164670"/>
    <w:rsid w:val="00164835"/>
    <w:rsid w:val="0016485F"/>
    <w:rsid w:val="00164963"/>
    <w:rsid w:val="00164989"/>
    <w:rsid w:val="00164BB7"/>
    <w:rsid w:val="00164BC4"/>
    <w:rsid w:val="00164BFD"/>
    <w:rsid w:val="00164C02"/>
    <w:rsid w:val="00164C44"/>
    <w:rsid w:val="00164D20"/>
    <w:rsid w:val="00164D77"/>
    <w:rsid w:val="00164E10"/>
    <w:rsid w:val="00164E6E"/>
    <w:rsid w:val="00164FA8"/>
    <w:rsid w:val="0016509D"/>
    <w:rsid w:val="00165378"/>
    <w:rsid w:val="001653F3"/>
    <w:rsid w:val="0016543E"/>
    <w:rsid w:val="0016545D"/>
    <w:rsid w:val="00165499"/>
    <w:rsid w:val="00165526"/>
    <w:rsid w:val="00165735"/>
    <w:rsid w:val="00165764"/>
    <w:rsid w:val="0016580D"/>
    <w:rsid w:val="00165891"/>
    <w:rsid w:val="00165938"/>
    <w:rsid w:val="00165A4F"/>
    <w:rsid w:val="00165A65"/>
    <w:rsid w:val="00165A92"/>
    <w:rsid w:val="00165AFF"/>
    <w:rsid w:val="00165BC3"/>
    <w:rsid w:val="00165DB1"/>
    <w:rsid w:val="00165E85"/>
    <w:rsid w:val="00165FF6"/>
    <w:rsid w:val="0016615D"/>
    <w:rsid w:val="001661B3"/>
    <w:rsid w:val="001661EA"/>
    <w:rsid w:val="0016622B"/>
    <w:rsid w:val="00166267"/>
    <w:rsid w:val="001663E0"/>
    <w:rsid w:val="001664C2"/>
    <w:rsid w:val="001664D2"/>
    <w:rsid w:val="001664DC"/>
    <w:rsid w:val="001666CF"/>
    <w:rsid w:val="00166775"/>
    <w:rsid w:val="001667FB"/>
    <w:rsid w:val="00166988"/>
    <w:rsid w:val="001669A3"/>
    <w:rsid w:val="00166C38"/>
    <w:rsid w:val="00166C96"/>
    <w:rsid w:val="00166CF3"/>
    <w:rsid w:val="00166D95"/>
    <w:rsid w:val="00166DA4"/>
    <w:rsid w:val="00166E58"/>
    <w:rsid w:val="00166E75"/>
    <w:rsid w:val="00166E76"/>
    <w:rsid w:val="0016700E"/>
    <w:rsid w:val="001671BA"/>
    <w:rsid w:val="00167310"/>
    <w:rsid w:val="001673EA"/>
    <w:rsid w:val="001674A2"/>
    <w:rsid w:val="00167533"/>
    <w:rsid w:val="001675C3"/>
    <w:rsid w:val="00167609"/>
    <w:rsid w:val="0016766C"/>
    <w:rsid w:val="001676B4"/>
    <w:rsid w:val="0016778F"/>
    <w:rsid w:val="001677EA"/>
    <w:rsid w:val="00167886"/>
    <w:rsid w:val="00167976"/>
    <w:rsid w:val="001679DB"/>
    <w:rsid w:val="00167A37"/>
    <w:rsid w:val="00167AD4"/>
    <w:rsid w:val="00167B65"/>
    <w:rsid w:val="00167C08"/>
    <w:rsid w:val="00167CB5"/>
    <w:rsid w:val="00167EA7"/>
    <w:rsid w:val="00170028"/>
    <w:rsid w:val="00170124"/>
    <w:rsid w:val="001701BF"/>
    <w:rsid w:val="001701CA"/>
    <w:rsid w:val="0017047B"/>
    <w:rsid w:val="001704B4"/>
    <w:rsid w:val="001704DD"/>
    <w:rsid w:val="001706C9"/>
    <w:rsid w:val="00170808"/>
    <w:rsid w:val="001709B0"/>
    <w:rsid w:val="001709D3"/>
    <w:rsid w:val="00170D15"/>
    <w:rsid w:val="00170DAD"/>
    <w:rsid w:val="00170DC7"/>
    <w:rsid w:val="00170ECA"/>
    <w:rsid w:val="00170F1D"/>
    <w:rsid w:val="0017100B"/>
    <w:rsid w:val="00171105"/>
    <w:rsid w:val="001711E3"/>
    <w:rsid w:val="0017143A"/>
    <w:rsid w:val="0017173A"/>
    <w:rsid w:val="00171811"/>
    <w:rsid w:val="00171815"/>
    <w:rsid w:val="001718D2"/>
    <w:rsid w:val="00171B8E"/>
    <w:rsid w:val="00171B92"/>
    <w:rsid w:val="00171BF3"/>
    <w:rsid w:val="00171C2C"/>
    <w:rsid w:val="00171C48"/>
    <w:rsid w:val="00171E21"/>
    <w:rsid w:val="00171E49"/>
    <w:rsid w:val="00171E77"/>
    <w:rsid w:val="00171F06"/>
    <w:rsid w:val="00171F17"/>
    <w:rsid w:val="00171F52"/>
    <w:rsid w:val="00172097"/>
    <w:rsid w:val="001720A6"/>
    <w:rsid w:val="001721BB"/>
    <w:rsid w:val="001721C7"/>
    <w:rsid w:val="00172313"/>
    <w:rsid w:val="001724D9"/>
    <w:rsid w:val="001726EB"/>
    <w:rsid w:val="001727AA"/>
    <w:rsid w:val="001728C2"/>
    <w:rsid w:val="001729F2"/>
    <w:rsid w:val="00172B0A"/>
    <w:rsid w:val="00172BAB"/>
    <w:rsid w:val="00172EDD"/>
    <w:rsid w:val="00172FB8"/>
    <w:rsid w:val="001731DD"/>
    <w:rsid w:val="00173233"/>
    <w:rsid w:val="001732FE"/>
    <w:rsid w:val="0017353D"/>
    <w:rsid w:val="00173689"/>
    <w:rsid w:val="0017378E"/>
    <w:rsid w:val="001737E1"/>
    <w:rsid w:val="001738CE"/>
    <w:rsid w:val="001738D0"/>
    <w:rsid w:val="001739D7"/>
    <w:rsid w:val="00173AD0"/>
    <w:rsid w:val="00173B8B"/>
    <w:rsid w:val="00173E32"/>
    <w:rsid w:val="001740F5"/>
    <w:rsid w:val="00174108"/>
    <w:rsid w:val="001743AB"/>
    <w:rsid w:val="001745E8"/>
    <w:rsid w:val="00174691"/>
    <w:rsid w:val="001746FA"/>
    <w:rsid w:val="001749C4"/>
    <w:rsid w:val="001749E3"/>
    <w:rsid w:val="00174A0E"/>
    <w:rsid w:val="00174BB0"/>
    <w:rsid w:val="00174C15"/>
    <w:rsid w:val="00174C59"/>
    <w:rsid w:val="00174CBD"/>
    <w:rsid w:val="00174DFA"/>
    <w:rsid w:val="00174E5A"/>
    <w:rsid w:val="00174EB1"/>
    <w:rsid w:val="00174F2C"/>
    <w:rsid w:val="00174F82"/>
    <w:rsid w:val="00174FBE"/>
    <w:rsid w:val="00175174"/>
    <w:rsid w:val="001751FF"/>
    <w:rsid w:val="00175262"/>
    <w:rsid w:val="001752D3"/>
    <w:rsid w:val="00175361"/>
    <w:rsid w:val="00175375"/>
    <w:rsid w:val="00175471"/>
    <w:rsid w:val="001754B6"/>
    <w:rsid w:val="00175683"/>
    <w:rsid w:val="001759A2"/>
    <w:rsid w:val="001759A7"/>
    <w:rsid w:val="00175A9C"/>
    <w:rsid w:val="00175B8D"/>
    <w:rsid w:val="00175D31"/>
    <w:rsid w:val="001760AF"/>
    <w:rsid w:val="001762DE"/>
    <w:rsid w:val="00176307"/>
    <w:rsid w:val="00176333"/>
    <w:rsid w:val="0017660C"/>
    <w:rsid w:val="001766CE"/>
    <w:rsid w:val="001766E9"/>
    <w:rsid w:val="001767D8"/>
    <w:rsid w:val="00176A45"/>
    <w:rsid w:val="00176A6F"/>
    <w:rsid w:val="00176AB0"/>
    <w:rsid w:val="00176AC5"/>
    <w:rsid w:val="00176B3E"/>
    <w:rsid w:val="00176B52"/>
    <w:rsid w:val="00176CDA"/>
    <w:rsid w:val="00176DCA"/>
    <w:rsid w:val="00176E7C"/>
    <w:rsid w:val="00176E89"/>
    <w:rsid w:val="00176F7A"/>
    <w:rsid w:val="00176F93"/>
    <w:rsid w:val="00176FE4"/>
    <w:rsid w:val="0017727E"/>
    <w:rsid w:val="001772B0"/>
    <w:rsid w:val="00177387"/>
    <w:rsid w:val="001774E8"/>
    <w:rsid w:val="0017755D"/>
    <w:rsid w:val="0017765F"/>
    <w:rsid w:val="001776EB"/>
    <w:rsid w:val="00177704"/>
    <w:rsid w:val="0017775C"/>
    <w:rsid w:val="00177915"/>
    <w:rsid w:val="001779BB"/>
    <w:rsid w:val="001779CC"/>
    <w:rsid w:val="00177A0E"/>
    <w:rsid w:val="00177AE4"/>
    <w:rsid w:val="00177AE5"/>
    <w:rsid w:val="00177DB4"/>
    <w:rsid w:val="00177EF6"/>
    <w:rsid w:val="00177F33"/>
    <w:rsid w:val="0018002D"/>
    <w:rsid w:val="001800A6"/>
    <w:rsid w:val="001800AE"/>
    <w:rsid w:val="0018012D"/>
    <w:rsid w:val="00180253"/>
    <w:rsid w:val="0018034F"/>
    <w:rsid w:val="00180517"/>
    <w:rsid w:val="0018066A"/>
    <w:rsid w:val="00180807"/>
    <w:rsid w:val="0018082E"/>
    <w:rsid w:val="00180994"/>
    <w:rsid w:val="00180AC7"/>
    <w:rsid w:val="00180AF8"/>
    <w:rsid w:val="00180B2D"/>
    <w:rsid w:val="00180B47"/>
    <w:rsid w:val="00180B7C"/>
    <w:rsid w:val="00180F31"/>
    <w:rsid w:val="001810F7"/>
    <w:rsid w:val="00181163"/>
    <w:rsid w:val="00181189"/>
    <w:rsid w:val="001811D1"/>
    <w:rsid w:val="00181241"/>
    <w:rsid w:val="00181331"/>
    <w:rsid w:val="001814BA"/>
    <w:rsid w:val="00181623"/>
    <w:rsid w:val="00181640"/>
    <w:rsid w:val="001816F9"/>
    <w:rsid w:val="00181805"/>
    <w:rsid w:val="00181889"/>
    <w:rsid w:val="001818D9"/>
    <w:rsid w:val="001819A7"/>
    <w:rsid w:val="00181B0B"/>
    <w:rsid w:val="00181BA1"/>
    <w:rsid w:val="00181BA7"/>
    <w:rsid w:val="00181CCF"/>
    <w:rsid w:val="00181EFE"/>
    <w:rsid w:val="00182042"/>
    <w:rsid w:val="001820A1"/>
    <w:rsid w:val="00182118"/>
    <w:rsid w:val="001821BA"/>
    <w:rsid w:val="001821F6"/>
    <w:rsid w:val="001822A8"/>
    <w:rsid w:val="00182486"/>
    <w:rsid w:val="00182524"/>
    <w:rsid w:val="0018267A"/>
    <w:rsid w:val="0018282B"/>
    <w:rsid w:val="001829C2"/>
    <w:rsid w:val="00182A34"/>
    <w:rsid w:val="00182A58"/>
    <w:rsid w:val="00182AB9"/>
    <w:rsid w:val="00182D90"/>
    <w:rsid w:val="00182FAE"/>
    <w:rsid w:val="00183056"/>
    <w:rsid w:val="00183365"/>
    <w:rsid w:val="00183401"/>
    <w:rsid w:val="001834D6"/>
    <w:rsid w:val="00183533"/>
    <w:rsid w:val="001835F3"/>
    <w:rsid w:val="00183727"/>
    <w:rsid w:val="0018376B"/>
    <w:rsid w:val="00183834"/>
    <w:rsid w:val="00183984"/>
    <w:rsid w:val="00183996"/>
    <w:rsid w:val="001839A3"/>
    <w:rsid w:val="00183ADE"/>
    <w:rsid w:val="00183F17"/>
    <w:rsid w:val="00183FC6"/>
    <w:rsid w:val="0018417B"/>
    <w:rsid w:val="00184250"/>
    <w:rsid w:val="001843D4"/>
    <w:rsid w:val="00184444"/>
    <w:rsid w:val="001845F4"/>
    <w:rsid w:val="00184704"/>
    <w:rsid w:val="00184707"/>
    <w:rsid w:val="0018474B"/>
    <w:rsid w:val="001847E4"/>
    <w:rsid w:val="0018481D"/>
    <w:rsid w:val="00184854"/>
    <w:rsid w:val="0018486E"/>
    <w:rsid w:val="001848B8"/>
    <w:rsid w:val="001848E5"/>
    <w:rsid w:val="00184999"/>
    <w:rsid w:val="001849A3"/>
    <w:rsid w:val="001849F2"/>
    <w:rsid w:val="00184A08"/>
    <w:rsid w:val="00184A84"/>
    <w:rsid w:val="00184B28"/>
    <w:rsid w:val="00184B99"/>
    <w:rsid w:val="00184BBD"/>
    <w:rsid w:val="00184C14"/>
    <w:rsid w:val="00184D6E"/>
    <w:rsid w:val="00184DD2"/>
    <w:rsid w:val="00184E33"/>
    <w:rsid w:val="00185058"/>
    <w:rsid w:val="00185089"/>
    <w:rsid w:val="001850B1"/>
    <w:rsid w:val="001851F2"/>
    <w:rsid w:val="00185214"/>
    <w:rsid w:val="001855DA"/>
    <w:rsid w:val="00185603"/>
    <w:rsid w:val="0018566C"/>
    <w:rsid w:val="00185778"/>
    <w:rsid w:val="001857BB"/>
    <w:rsid w:val="00185831"/>
    <w:rsid w:val="0018589D"/>
    <w:rsid w:val="00185996"/>
    <w:rsid w:val="00185A36"/>
    <w:rsid w:val="00185A97"/>
    <w:rsid w:val="00185B0C"/>
    <w:rsid w:val="00185BFD"/>
    <w:rsid w:val="00185C9A"/>
    <w:rsid w:val="00185DBA"/>
    <w:rsid w:val="00185E87"/>
    <w:rsid w:val="00185EED"/>
    <w:rsid w:val="00185F20"/>
    <w:rsid w:val="00185F7B"/>
    <w:rsid w:val="00185F8C"/>
    <w:rsid w:val="00185FD7"/>
    <w:rsid w:val="001860F6"/>
    <w:rsid w:val="00186108"/>
    <w:rsid w:val="00186192"/>
    <w:rsid w:val="001861E6"/>
    <w:rsid w:val="001862E2"/>
    <w:rsid w:val="00186406"/>
    <w:rsid w:val="00186420"/>
    <w:rsid w:val="001865BB"/>
    <w:rsid w:val="00186637"/>
    <w:rsid w:val="0018674A"/>
    <w:rsid w:val="0018679C"/>
    <w:rsid w:val="0018690D"/>
    <w:rsid w:val="00186A78"/>
    <w:rsid w:val="00186EBB"/>
    <w:rsid w:val="00186F37"/>
    <w:rsid w:val="001871DE"/>
    <w:rsid w:val="001872F2"/>
    <w:rsid w:val="001873C2"/>
    <w:rsid w:val="001873E4"/>
    <w:rsid w:val="001874CB"/>
    <w:rsid w:val="00187571"/>
    <w:rsid w:val="00187817"/>
    <w:rsid w:val="00187A36"/>
    <w:rsid w:val="00187A72"/>
    <w:rsid w:val="00187A9B"/>
    <w:rsid w:val="00187B8C"/>
    <w:rsid w:val="00187CED"/>
    <w:rsid w:val="00187D21"/>
    <w:rsid w:val="00187DC7"/>
    <w:rsid w:val="00187E32"/>
    <w:rsid w:val="00187FD0"/>
    <w:rsid w:val="001900C6"/>
    <w:rsid w:val="00190112"/>
    <w:rsid w:val="0019028A"/>
    <w:rsid w:val="001902F0"/>
    <w:rsid w:val="001903C2"/>
    <w:rsid w:val="001903CF"/>
    <w:rsid w:val="00190418"/>
    <w:rsid w:val="00190463"/>
    <w:rsid w:val="001904F7"/>
    <w:rsid w:val="00190600"/>
    <w:rsid w:val="0019060F"/>
    <w:rsid w:val="0019074D"/>
    <w:rsid w:val="001907D7"/>
    <w:rsid w:val="001907D8"/>
    <w:rsid w:val="0019086F"/>
    <w:rsid w:val="00190937"/>
    <w:rsid w:val="00190A31"/>
    <w:rsid w:val="00190A70"/>
    <w:rsid w:val="00190A86"/>
    <w:rsid w:val="00190AF9"/>
    <w:rsid w:val="00190B39"/>
    <w:rsid w:val="00190CC9"/>
    <w:rsid w:val="00190D51"/>
    <w:rsid w:val="00190ED0"/>
    <w:rsid w:val="00190FAD"/>
    <w:rsid w:val="001910D3"/>
    <w:rsid w:val="001911FB"/>
    <w:rsid w:val="001912C6"/>
    <w:rsid w:val="001912FA"/>
    <w:rsid w:val="00191359"/>
    <w:rsid w:val="001913C7"/>
    <w:rsid w:val="001914E2"/>
    <w:rsid w:val="001919C0"/>
    <w:rsid w:val="001919EA"/>
    <w:rsid w:val="00191A94"/>
    <w:rsid w:val="00191C83"/>
    <w:rsid w:val="00191D1A"/>
    <w:rsid w:val="00191D34"/>
    <w:rsid w:val="00191D4F"/>
    <w:rsid w:val="00191D77"/>
    <w:rsid w:val="00191ED1"/>
    <w:rsid w:val="00191F10"/>
    <w:rsid w:val="00191F58"/>
    <w:rsid w:val="00191F9D"/>
    <w:rsid w:val="00192090"/>
    <w:rsid w:val="001920AD"/>
    <w:rsid w:val="001920CD"/>
    <w:rsid w:val="00192110"/>
    <w:rsid w:val="0019213B"/>
    <w:rsid w:val="00192142"/>
    <w:rsid w:val="001922AB"/>
    <w:rsid w:val="001922DD"/>
    <w:rsid w:val="0019233A"/>
    <w:rsid w:val="001923E1"/>
    <w:rsid w:val="0019244B"/>
    <w:rsid w:val="001924CD"/>
    <w:rsid w:val="001927CD"/>
    <w:rsid w:val="001928B4"/>
    <w:rsid w:val="001929E3"/>
    <w:rsid w:val="00192A1D"/>
    <w:rsid w:val="00192AA1"/>
    <w:rsid w:val="00192AE5"/>
    <w:rsid w:val="00192AFC"/>
    <w:rsid w:val="00192B94"/>
    <w:rsid w:val="00192CAD"/>
    <w:rsid w:val="00192CC0"/>
    <w:rsid w:val="00192DD9"/>
    <w:rsid w:val="00192FA7"/>
    <w:rsid w:val="00193023"/>
    <w:rsid w:val="00193262"/>
    <w:rsid w:val="0019333C"/>
    <w:rsid w:val="001933DF"/>
    <w:rsid w:val="00193658"/>
    <w:rsid w:val="00193969"/>
    <w:rsid w:val="001939F2"/>
    <w:rsid w:val="00193B27"/>
    <w:rsid w:val="00193C22"/>
    <w:rsid w:val="00193CAF"/>
    <w:rsid w:val="00193D1A"/>
    <w:rsid w:val="00193EED"/>
    <w:rsid w:val="0019413A"/>
    <w:rsid w:val="001941D2"/>
    <w:rsid w:val="001944BA"/>
    <w:rsid w:val="001944C2"/>
    <w:rsid w:val="00194510"/>
    <w:rsid w:val="00194557"/>
    <w:rsid w:val="00194587"/>
    <w:rsid w:val="001947D3"/>
    <w:rsid w:val="00194850"/>
    <w:rsid w:val="001948D2"/>
    <w:rsid w:val="00194A11"/>
    <w:rsid w:val="00194B2C"/>
    <w:rsid w:val="00194D0C"/>
    <w:rsid w:val="00194E87"/>
    <w:rsid w:val="00194E93"/>
    <w:rsid w:val="00194EB6"/>
    <w:rsid w:val="00194F5B"/>
    <w:rsid w:val="00194F9A"/>
    <w:rsid w:val="00194FF1"/>
    <w:rsid w:val="00194FF8"/>
    <w:rsid w:val="00195222"/>
    <w:rsid w:val="0019531D"/>
    <w:rsid w:val="0019549C"/>
    <w:rsid w:val="0019590D"/>
    <w:rsid w:val="001959EF"/>
    <w:rsid w:val="00195BCF"/>
    <w:rsid w:val="00195BFD"/>
    <w:rsid w:val="00195C5C"/>
    <w:rsid w:val="00195F72"/>
    <w:rsid w:val="001960D9"/>
    <w:rsid w:val="001961EC"/>
    <w:rsid w:val="00196346"/>
    <w:rsid w:val="0019634C"/>
    <w:rsid w:val="0019661E"/>
    <w:rsid w:val="00196748"/>
    <w:rsid w:val="0019677C"/>
    <w:rsid w:val="00196794"/>
    <w:rsid w:val="00196816"/>
    <w:rsid w:val="00196905"/>
    <w:rsid w:val="0019691D"/>
    <w:rsid w:val="00196C81"/>
    <w:rsid w:val="00196D1D"/>
    <w:rsid w:val="00196D35"/>
    <w:rsid w:val="00196D39"/>
    <w:rsid w:val="00196E17"/>
    <w:rsid w:val="00196E39"/>
    <w:rsid w:val="00196E9A"/>
    <w:rsid w:val="00196FB6"/>
    <w:rsid w:val="001970A5"/>
    <w:rsid w:val="001970B5"/>
    <w:rsid w:val="00197115"/>
    <w:rsid w:val="0019711F"/>
    <w:rsid w:val="00197307"/>
    <w:rsid w:val="0019733C"/>
    <w:rsid w:val="00197359"/>
    <w:rsid w:val="001975BE"/>
    <w:rsid w:val="001975C2"/>
    <w:rsid w:val="001975EA"/>
    <w:rsid w:val="00197625"/>
    <w:rsid w:val="00197684"/>
    <w:rsid w:val="001977AD"/>
    <w:rsid w:val="00197848"/>
    <w:rsid w:val="0019795D"/>
    <w:rsid w:val="001979B5"/>
    <w:rsid w:val="00197A29"/>
    <w:rsid w:val="00197B5F"/>
    <w:rsid w:val="00197BCD"/>
    <w:rsid w:val="00197D4C"/>
    <w:rsid w:val="001A019D"/>
    <w:rsid w:val="001A01A5"/>
    <w:rsid w:val="001A0212"/>
    <w:rsid w:val="001A024F"/>
    <w:rsid w:val="001A02E1"/>
    <w:rsid w:val="001A02EB"/>
    <w:rsid w:val="001A030D"/>
    <w:rsid w:val="001A043D"/>
    <w:rsid w:val="001A0454"/>
    <w:rsid w:val="001A046B"/>
    <w:rsid w:val="001A048A"/>
    <w:rsid w:val="001A0516"/>
    <w:rsid w:val="001A0618"/>
    <w:rsid w:val="001A0635"/>
    <w:rsid w:val="001A07BE"/>
    <w:rsid w:val="001A09E1"/>
    <w:rsid w:val="001A0AB1"/>
    <w:rsid w:val="001A0B7C"/>
    <w:rsid w:val="001A0BE1"/>
    <w:rsid w:val="001A0D87"/>
    <w:rsid w:val="001A0DAC"/>
    <w:rsid w:val="001A0E86"/>
    <w:rsid w:val="001A0E89"/>
    <w:rsid w:val="001A0FB3"/>
    <w:rsid w:val="001A1068"/>
    <w:rsid w:val="001A1184"/>
    <w:rsid w:val="001A1197"/>
    <w:rsid w:val="001A12F7"/>
    <w:rsid w:val="001A1405"/>
    <w:rsid w:val="001A1440"/>
    <w:rsid w:val="001A1459"/>
    <w:rsid w:val="001A14BD"/>
    <w:rsid w:val="001A15E6"/>
    <w:rsid w:val="001A1648"/>
    <w:rsid w:val="001A1679"/>
    <w:rsid w:val="001A17E5"/>
    <w:rsid w:val="001A1BAA"/>
    <w:rsid w:val="001A1D6B"/>
    <w:rsid w:val="001A1FD2"/>
    <w:rsid w:val="001A209D"/>
    <w:rsid w:val="001A25A1"/>
    <w:rsid w:val="001A25DC"/>
    <w:rsid w:val="001A267E"/>
    <w:rsid w:val="001A2709"/>
    <w:rsid w:val="001A271C"/>
    <w:rsid w:val="001A273E"/>
    <w:rsid w:val="001A2883"/>
    <w:rsid w:val="001A28BD"/>
    <w:rsid w:val="001A2998"/>
    <w:rsid w:val="001A2ACB"/>
    <w:rsid w:val="001A2B46"/>
    <w:rsid w:val="001A2D2E"/>
    <w:rsid w:val="001A2DF4"/>
    <w:rsid w:val="001A2E9F"/>
    <w:rsid w:val="001A2F9D"/>
    <w:rsid w:val="001A2FD8"/>
    <w:rsid w:val="001A2FEB"/>
    <w:rsid w:val="001A30F8"/>
    <w:rsid w:val="001A31A0"/>
    <w:rsid w:val="001A31A9"/>
    <w:rsid w:val="001A31FD"/>
    <w:rsid w:val="001A3250"/>
    <w:rsid w:val="001A3253"/>
    <w:rsid w:val="001A327E"/>
    <w:rsid w:val="001A33C8"/>
    <w:rsid w:val="001A36F0"/>
    <w:rsid w:val="001A37DF"/>
    <w:rsid w:val="001A3848"/>
    <w:rsid w:val="001A394C"/>
    <w:rsid w:val="001A395C"/>
    <w:rsid w:val="001A3968"/>
    <w:rsid w:val="001A3A8A"/>
    <w:rsid w:val="001A3B77"/>
    <w:rsid w:val="001A3E57"/>
    <w:rsid w:val="001A3F17"/>
    <w:rsid w:val="001A4080"/>
    <w:rsid w:val="001A4128"/>
    <w:rsid w:val="001A41D1"/>
    <w:rsid w:val="001A4216"/>
    <w:rsid w:val="001A4276"/>
    <w:rsid w:val="001A427A"/>
    <w:rsid w:val="001A43EF"/>
    <w:rsid w:val="001A4404"/>
    <w:rsid w:val="001A455F"/>
    <w:rsid w:val="001A45C6"/>
    <w:rsid w:val="001A473F"/>
    <w:rsid w:val="001A47A9"/>
    <w:rsid w:val="001A47C5"/>
    <w:rsid w:val="001A47D7"/>
    <w:rsid w:val="001A4981"/>
    <w:rsid w:val="001A4989"/>
    <w:rsid w:val="001A4A0F"/>
    <w:rsid w:val="001A4A2E"/>
    <w:rsid w:val="001A4B16"/>
    <w:rsid w:val="001A4B4D"/>
    <w:rsid w:val="001A4B98"/>
    <w:rsid w:val="001A4BC6"/>
    <w:rsid w:val="001A4E35"/>
    <w:rsid w:val="001A4F3A"/>
    <w:rsid w:val="001A4F5A"/>
    <w:rsid w:val="001A4FBA"/>
    <w:rsid w:val="001A51C3"/>
    <w:rsid w:val="001A52F0"/>
    <w:rsid w:val="001A5361"/>
    <w:rsid w:val="001A53FF"/>
    <w:rsid w:val="001A5486"/>
    <w:rsid w:val="001A54F0"/>
    <w:rsid w:val="001A550B"/>
    <w:rsid w:val="001A560A"/>
    <w:rsid w:val="001A5803"/>
    <w:rsid w:val="001A5850"/>
    <w:rsid w:val="001A5867"/>
    <w:rsid w:val="001A58B9"/>
    <w:rsid w:val="001A59D2"/>
    <w:rsid w:val="001A5C5A"/>
    <w:rsid w:val="001A5D47"/>
    <w:rsid w:val="001A5DB5"/>
    <w:rsid w:val="001A5E1A"/>
    <w:rsid w:val="001A5E64"/>
    <w:rsid w:val="001A5E84"/>
    <w:rsid w:val="001A5ED6"/>
    <w:rsid w:val="001A6022"/>
    <w:rsid w:val="001A6125"/>
    <w:rsid w:val="001A61EB"/>
    <w:rsid w:val="001A620F"/>
    <w:rsid w:val="001A628B"/>
    <w:rsid w:val="001A653C"/>
    <w:rsid w:val="001A6584"/>
    <w:rsid w:val="001A6588"/>
    <w:rsid w:val="001A65E5"/>
    <w:rsid w:val="001A660D"/>
    <w:rsid w:val="001A661E"/>
    <w:rsid w:val="001A66B7"/>
    <w:rsid w:val="001A6772"/>
    <w:rsid w:val="001A6A59"/>
    <w:rsid w:val="001A6AF8"/>
    <w:rsid w:val="001A6B98"/>
    <w:rsid w:val="001A6DD4"/>
    <w:rsid w:val="001A7007"/>
    <w:rsid w:val="001A704B"/>
    <w:rsid w:val="001A7058"/>
    <w:rsid w:val="001A7308"/>
    <w:rsid w:val="001A74D3"/>
    <w:rsid w:val="001A74E1"/>
    <w:rsid w:val="001A76B2"/>
    <w:rsid w:val="001A7861"/>
    <w:rsid w:val="001A7A21"/>
    <w:rsid w:val="001A7A9F"/>
    <w:rsid w:val="001A7D67"/>
    <w:rsid w:val="001A7D6A"/>
    <w:rsid w:val="001A7DAD"/>
    <w:rsid w:val="001A7E3A"/>
    <w:rsid w:val="001A7EE6"/>
    <w:rsid w:val="001A7F65"/>
    <w:rsid w:val="001B00F5"/>
    <w:rsid w:val="001B00FC"/>
    <w:rsid w:val="001B01D6"/>
    <w:rsid w:val="001B03B8"/>
    <w:rsid w:val="001B0408"/>
    <w:rsid w:val="001B0750"/>
    <w:rsid w:val="001B0795"/>
    <w:rsid w:val="001B07CD"/>
    <w:rsid w:val="001B08CF"/>
    <w:rsid w:val="001B091A"/>
    <w:rsid w:val="001B0957"/>
    <w:rsid w:val="001B0B63"/>
    <w:rsid w:val="001B0BCE"/>
    <w:rsid w:val="001B0D52"/>
    <w:rsid w:val="001B1045"/>
    <w:rsid w:val="001B1218"/>
    <w:rsid w:val="001B14CD"/>
    <w:rsid w:val="001B16AA"/>
    <w:rsid w:val="001B1798"/>
    <w:rsid w:val="001B1863"/>
    <w:rsid w:val="001B1936"/>
    <w:rsid w:val="001B1985"/>
    <w:rsid w:val="001B1A55"/>
    <w:rsid w:val="001B1A95"/>
    <w:rsid w:val="001B1B96"/>
    <w:rsid w:val="001B1BF7"/>
    <w:rsid w:val="001B1C56"/>
    <w:rsid w:val="001B1CF2"/>
    <w:rsid w:val="001B1D60"/>
    <w:rsid w:val="001B1F1A"/>
    <w:rsid w:val="001B1F3E"/>
    <w:rsid w:val="001B1F7C"/>
    <w:rsid w:val="001B2001"/>
    <w:rsid w:val="001B2063"/>
    <w:rsid w:val="001B2339"/>
    <w:rsid w:val="001B23A1"/>
    <w:rsid w:val="001B23F4"/>
    <w:rsid w:val="001B23F5"/>
    <w:rsid w:val="001B24B3"/>
    <w:rsid w:val="001B2605"/>
    <w:rsid w:val="001B2B90"/>
    <w:rsid w:val="001B2C69"/>
    <w:rsid w:val="001B2E54"/>
    <w:rsid w:val="001B2E80"/>
    <w:rsid w:val="001B2EFC"/>
    <w:rsid w:val="001B3041"/>
    <w:rsid w:val="001B3186"/>
    <w:rsid w:val="001B31C3"/>
    <w:rsid w:val="001B32EE"/>
    <w:rsid w:val="001B3302"/>
    <w:rsid w:val="001B351F"/>
    <w:rsid w:val="001B3607"/>
    <w:rsid w:val="001B366F"/>
    <w:rsid w:val="001B36DE"/>
    <w:rsid w:val="001B3851"/>
    <w:rsid w:val="001B3892"/>
    <w:rsid w:val="001B3A8F"/>
    <w:rsid w:val="001B3C4B"/>
    <w:rsid w:val="001B3D98"/>
    <w:rsid w:val="001B3E76"/>
    <w:rsid w:val="001B40C5"/>
    <w:rsid w:val="001B415B"/>
    <w:rsid w:val="001B41EC"/>
    <w:rsid w:val="001B41F2"/>
    <w:rsid w:val="001B428D"/>
    <w:rsid w:val="001B4466"/>
    <w:rsid w:val="001B446B"/>
    <w:rsid w:val="001B45F1"/>
    <w:rsid w:val="001B46FA"/>
    <w:rsid w:val="001B47EC"/>
    <w:rsid w:val="001B48FC"/>
    <w:rsid w:val="001B4912"/>
    <w:rsid w:val="001B4A53"/>
    <w:rsid w:val="001B4CD1"/>
    <w:rsid w:val="001B4D5A"/>
    <w:rsid w:val="001B4D5C"/>
    <w:rsid w:val="001B50E9"/>
    <w:rsid w:val="001B51B7"/>
    <w:rsid w:val="001B52A5"/>
    <w:rsid w:val="001B53CC"/>
    <w:rsid w:val="001B5513"/>
    <w:rsid w:val="001B56E1"/>
    <w:rsid w:val="001B5960"/>
    <w:rsid w:val="001B5A51"/>
    <w:rsid w:val="001B5A59"/>
    <w:rsid w:val="001B5AC9"/>
    <w:rsid w:val="001B5BCF"/>
    <w:rsid w:val="001B5EB5"/>
    <w:rsid w:val="001B5F8A"/>
    <w:rsid w:val="001B5FB3"/>
    <w:rsid w:val="001B6034"/>
    <w:rsid w:val="001B616E"/>
    <w:rsid w:val="001B6190"/>
    <w:rsid w:val="001B61B1"/>
    <w:rsid w:val="001B61CF"/>
    <w:rsid w:val="001B6360"/>
    <w:rsid w:val="001B63BB"/>
    <w:rsid w:val="001B6432"/>
    <w:rsid w:val="001B6550"/>
    <w:rsid w:val="001B6591"/>
    <w:rsid w:val="001B6609"/>
    <w:rsid w:val="001B66F8"/>
    <w:rsid w:val="001B6702"/>
    <w:rsid w:val="001B6717"/>
    <w:rsid w:val="001B674B"/>
    <w:rsid w:val="001B67FA"/>
    <w:rsid w:val="001B6815"/>
    <w:rsid w:val="001B6864"/>
    <w:rsid w:val="001B68B5"/>
    <w:rsid w:val="001B692D"/>
    <w:rsid w:val="001B6991"/>
    <w:rsid w:val="001B699F"/>
    <w:rsid w:val="001B69F2"/>
    <w:rsid w:val="001B6BF8"/>
    <w:rsid w:val="001B6F5C"/>
    <w:rsid w:val="001B6F6D"/>
    <w:rsid w:val="001B70E0"/>
    <w:rsid w:val="001B70F7"/>
    <w:rsid w:val="001B724E"/>
    <w:rsid w:val="001B72FF"/>
    <w:rsid w:val="001B73A9"/>
    <w:rsid w:val="001B7409"/>
    <w:rsid w:val="001B744C"/>
    <w:rsid w:val="001B7627"/>
    <w:rsid w:val="001B772B"/>
    <w:rsid w:val="001B779C"/>
    <w:rsid w:val="001B77ED"/>
    <w:rsid w:val="001B790C"/>
    <w:rsid w:val="001B7A99"/>
    <w:rsid w:val="001B7AAD"/>
    <w:rsid w:val="001B7E66"/>
    <w:rsid w:val="001B7F12"/>
    <w:rsid w:val="001B7FC6"/>
    <w:rsid w:val="001C0062"/>
    <w:rsid w:val="001C01D1"/>
    <w:rsid w:val="001C01FF"/>
    <w:rsid w:val="001C0218"/>
    <w:rsid w:val="001C025F"/>
    <w:rsid w:val="001C02A4"/>
    <w:rsid w:val="001C038C"/>
    <w:rsid w:val="001C03B9"/>
    <w:rsid w:val="001C04DD"/>
    <w:rsid w:val="001C04E0"/>
    <w:rsid w:val="001C058C"/>
    <w:rsid w:val="001C07D9"/>
    <w:rsid w:val="001C08BF"/>
    <w:rsid w:val="001C08C7"/>
    <w:rsid w:val="001C09E1"/>
    <w:rsid w:val="001C0A33"/>
    <w:rsid w:val="001C0A9F"/>
    <w:rsid w:val="001C0AC6"/>
    <w:rsid w:val="001C0AEF"/>
    <w:rsid w:val="001C0C0B"/>
    <w:rsid w:val="001C0CCB"/>
    <w:rsid w:val="001C0EEC"/>
    <w:rsid w:val="001C0F00"/>
    <w:rsid w:val="001C101B"/>
    <w:rsid w:val="001C10D3"/>
    <w:rsid w:val="001C1162"/>
    <w:rsid w:val="001C1221"/>
    <w:rsid w:val="001C126C"/>
    <w:rsid w:val="001C1276"/>
    <w:rsid w:val="001C14EA"/>
    <w:rsid w:val="001C15C1"/>
    <w:rsid w:val="001C16D1"/>
    <w:rsid w:val="001C1770"/>
    <w:rsid w:val="001C1879"/>
    <w:rsid w:val="001C1B86"/>
    <w:rsid w:val="001C1B8D"/>
    <w:rsid w:val="001C1C21"/>
    <w:rsid w:val="001C1D28"/>
    <w:rsid w:val="001C20D6"/>
    <w:rsid w:val="001C20F7"/>
    <w:rsid w:val="001C2177"/>
    <w:rsid w:val="001C21E3"/>
    <w:rsid w:val="001C2205"/>
    <w:rsid w:val="001C231E"/>
    <w:rsid w:val="001C238F"/>
    <w:rsid w:val="001C2445"/>
    <w:rsid w:val="001C26F6"/>
    <w:rsid w:val="001C27A6"/>
    <w:rsid w:val="001C296A"/>
    <w:rsid w:val="001C2A01"/>
    <w:rsid w:val="001C2A64"/>
    <w:rsid w:val="001C2AAB"/>
    <w:rsid w:val="001C2C3B"/>
    <w:rsid w:val="001C2D90"/>
    <w:rsid w:val="001C2E8F"/>
    <w:rsid w:val="001C2E96"/>
    <w:rsid w:val="001C3000"/>
    <w:rsid w:val="001C3016"/>
    <w:rsid w:val="001C30AA"/>
    <w:rsid w:val="001C3185"/>
    <w:rsid w:val="001C3291"/>
    <w:rsid w:val="001C32DE"/>
    <w:rsid w:val="001C33C9"/>
    <w:rsid w:val="001C342A"/>
    <w:rsid w:val="001C343D"/>
    <w:rsid w:val="001C3472"/>
    <w:rsid w:val="001C35DD"/>
    <w:rsid w:val="001C368D"/>
    <w:rsid w:val="001C3754"/>
    <w:rsid w:val="001C38E9"/>
    <w:rsid w:val="001C3AD7"/>
    <w:rsid w:val="001C3B39"/>
    <w:rsid w:val="001C3B69"/>
    <w:rsid w:val="001C3C0F"/>
    <w:rsid w:val="001C3D72"/>
    <w:rsid w:val="001C3DF1"/>
    <w:rsid w:val="001C3E3B"/>
    <w:rsid w:val="001C3E43"/>
    <w:rsid w:val="001C3E9E"/>
    <w:rsid w:val="001C3F56"/>
    <w:rsid w:val="001C3FBF"/>
    <w:rsid w:val="001C4272"/>
    <w:rsid w:val="001C42D6"/>
    <w:rsid w:val="001C436E"/>
    <w:rsid w:val="001C4527"/>
    <w:rsid w:val="001C453A"/>
    <w:rsid w:val="001C46C2"/>
    <w:rsid w:val="001C46DF"/>
    <w:rsid w:val="001C4A1A"/>
    <w:rsid w:val="001C4A67"/>
    <w:rsid w:val="001C4BCE"/>
    <w:rsid w:val="001C4C31"/>
    <w:rsid w:val="001C4C94"/>
    <w:rsid w:val="001C4DBE"/>
    <w:rsid w:val="001C4DFB"/>
    <w:rsid w:val="001C4EB5"/>
    <w:rsid w:val="001C4ECC"/>
    <w:rsid w:val="001C4FE8"/>
    <w:rsid w:val="001C514A"/>
    <w:rsid w:val="001C5160"/>
    <w:rsid w:val="001C527E"/>
    <w:rsid w:val="001C52DF"/>
    <w:rsid w:val="001C5392"/>
    <w:rsid w:val="001C5557"/>
    <w:rsid w:val="001C55BE"/>
    <w:rsid w:val="001C565E"/>
    <w:rsid w:val="001C56D6"/>
    <w:rsid w:val="001C56FA"/>
    <w:rsid w:val="001C572C"/>
    <w:rsid w:val="001C57C1"/>
    <w:rsid w:val="001C58EB"/>
    <w:rsid w:val="001C594E"/>
    <w:rsid w:val="001C5A89"/>
    <w:rsid w:val="001C5DA2"/>
    <w:rsid w:val="001C5DD8"/>
    <w:rsid w:val="001C5DF2"/>
    <w:rsid w:val="001C6083"/>
    <w:rsid w:val="001C6255"/>
    <w:rsid w:val="001C6361"/>
    <w:rsid w:val="001C638C"/>
    <w:rsid w:val="001C6398"/>
    <w:rsid w:val="001C642B"/>
    <w:rsid w:val="001C6445"/>
    <w:rsid w:val="001C65E7"/>
    <w:rsid w:val="001C66D2"/>
    <w:rsid w:val="001C66E1"/>
    <w:rsid w:val="001C66EC"/>
    <w:rsid w:val="001C67C0"/>
    <w:rsid w:val="001C6941"/>
    <w:rsid w:val="001C6A1A"/>
    <w:rsid w:val="001C6BA4"/>
    <w:rsid w:val="001C6BBC"/>
    <w:rsid w:val="001C6C26"/>
    <w:rsid w:val="001C6CD7"/>
    <w:rsid w:val="001C6D05"/>
    <w:rsid w:val="001C6DBF"/>
    <w:rsid w:val="001C6DF7"/>
    <w:rsid w:val="001C6E88"/>
    <w:rsid w:val="001C72FC"/>
    <w:rsid w:val="001C745E"/>
    <w:rsid w:val="001C754C"/>
    <w:rsid w:val="001C75A3"/>
    <w:rsid w:val="001C7618"/>
    <w:rsid w:val="001C76A2"/>
    <w:rsid w:val="001C7880"/>
    <w:rsid w:val="001C79C4"/>
    <w:rsid w:val="001C7B05"/>
    <w:rsid w:val="001C7CD8"/>
    <w:rsid w:val="001C7CF2"/>
    <w:rsid w:val="001C7E6A"/>
    <w:rsid w:val="001C7F29"/>
    <w:rsid w:val="001C7F4B"/>
    <w:rsid w:val="001D00C7"/>
    <w:rsid w:val="001D0193"/>
    <w:rsid w:val="001D01D7"/>
    <w:rsid w:val="001D02ED"/>
    <w:rsid w:val="001D06D9"/>
    <w:rsid w:val="001D0884"/>
    <w:rsid w:val="001D089D"/>
    <w:rsid w:val="001D0912"/>
    <w:rsid w:val="001D095D"/>
    <w:rsid w:val="001D0982"/>
    <w:rsid w:val="001D0A0D"/>
    <w:rsid w:val="001D0AED"/>
    <w:rsid w:val="001D0C87"/>
    <w:rsid w:val="001D0DF6"/>
    <w:rsid w:val="001D0E7B"/>
    <w:rsid w:val="001D0EF4"/>
    <w:rsid w:val="001D0F07"/>
    <w:rsid w:val="001D0FE3"/>
    <w:rsid w:val="001D11BF"/>
    <w:rsid w:val="001D12F8"/>
    <w:rsid w:val="001D148E"/>
    <w:rsid w:val="001D15CA"/>
    <w:rsid w:val="001D1654"/>
    <w:rsid w:val="001D16CF"/>
    <w:rsid w:val="001D1716"/>
    <w:rsid w:val="001D171A"/>
    <w:rsid w:val="001D1861"/>
    <w:rsid w:val="001D19C7"/>
    <w:rsid w:val="001D19DF"/>
    <w:rsid w:val="001D1B23"/>
    <w:rsid w:val="001D1B95"/>
    <w:rsid w:val="001D1C58"/>
    <w:rsid w:val="001D1D90"/>
    <w:rsid w:val="001D1E44"/>
    <w:rsid w:val="001D1EA8"/>
    <w:rsid w:val="001D1FF2"/>
    <w:rsid w:val="001D2000"/>
    <w:rsid w:val="001D209B"/>
    <w:rsid w:val="001D21AB"/>
    <w:rsid w:val="001D22B8"/>
    <w:rsid w:val="001D2307"/>
    <w:rsid w:val="001D23DA"/>
    <w:rsid w:val="001D251E"/>
    <w:rsid w:val="001D258F"/>
    <w:rsid w:val="001D25C5"/>
    <w:rsid w:val="001D27AF"/>
    <w:rsid w:val="001D27CF"/>
    <w:rsid w:val="001D2806"/>
    <w:rsid w:val="001D2858"/>
    <w:rsid w:val="001D2B06"/>
    <w:rsid w:val="001D2BD0"/>
    <w:rsid w:val="001D2C04"/>
    <w:rsid w:val="001D2C0E"/>
    <w:rsid w:val="001D2D22"/>
    <w:rsid w:val="001D2DB6"/>
    <w:rsid w:val="001D2E8F"/>
    <w:rsid w:val="001D322E"/>
    <w:rsid w:val="001D323A"/>
    <w:rsid w:val="001D3261"/>
    <w:rsid w:val="001D3264"/>
    <w:rsid w:val="001D327E"/>
    <w:rsid w:val="001D32A7"/>
    <w:rsid w:val="001D3418"/>
    <w:rsid w:val="001D349E"/>
    <w:rsid w:val="001D3529"/>
    <w:rsid w:val="001D3590"/>
    <w:rsid w:val="001D35A6"/>
    <w:rsid w:val="001D35C1"/>
    <w:rsid w:val="001D35FC"/>
    <w:rsid w:val="001D362A"/>
    <w:rsid w:val="001D3675"/>
    <w:rsid w:val="001D3773"/>
    <w:rsid w:val="001D37EC"/>
    <w:rsid w:val="001D3889"/>
    <w:rsid w:val="001D3A62"/>
    <w:rsid w:val="001D3B0A"/>
    <w:rsid w:val="001D3BE0"/>
    <w:rsid w:val="001D416B"/>
    <w:rsid w:val="001D43CF"/>
    <w:rsid w:val="001D43D0"/>
    <w:rsid w:val="001D4465"/>
    <w:rsid w:val="001D44FB"/>
    <w:rsid w:val="001D4552"/>
    <w:rsid w:val="001D466E"/>
    <w:rsid w:val="001D46A8"/>
    <w:rsid w:val="001D46E5"/>
    <w:rsid w:val="001D471B"/>
    <w:rsid w:val="001D47CC"/>
    <w:rsid w:val="001D47E6"/>
    <w:rsid w:val="001D49ED"/>
    <w:rsid w:val="001D4A4F"/>
    <w:rsid w:val="001D4B2E"/>
    <w:rsid w:val="001D4BF6"/>
    <w:rsid w:val="001D4CE4"/>
    <w:rsid w:val="001D4F2A"/>
    <w:rsid w:val="001D5061"/>
    <w:rsid w:val="001D514D"/>
    <w:rsid w:val="001D545B"/>
    <w:rsid w:val="001D552C"/>
    <w:rsid w:val="001D553F"/>
    <w:rsid w:val="001D5558"/>
    <w:rsid w:val="001D5677"/>
    <w:rsid w:val="001D57B1"/>
    <w:rsid w:val="001D5803"/>
    <w:rsid w:val="001D5808"/>
    <w:rsid w:val="001D5845"/>
    <w:rsid w:val="001D5C58"/>
    <w:rsid w:val="001D5D08"/>
    <w:rsid w:val="001D5FBC"/>
    <w:rsid w:val="001D6054"/>
    <w:rsid w:val="001D6184"/>
    <w:rsid w:val="001D6187"/>
    <w:rsid w:val="001D6293"/>
    <w:rsid w:val="001D6308"/>
    <w:rsid w:val="001D635D"/>
    <w:rsid w:val="001D63BB"/>
    <w:rsid w:val="001D64D8"/>
    <w:rsid w:val="001D64F2"/>
    <w:rsid w:val="001D65B0"/>
    <w:rsid w:val="001D6791"/>
    <w:rsid w:val="001D67B3"/>
    <w:rsid w:val="001D67CD"/>
    <w:rsid w:val="001D6B11"/>
    <w:rsid w:val="001D6C00"/>
    <w:rsid w:val="001D6CFD"/>
    <w:rsid w:val="001D6EC1"/>
    <w:rsid w:val="001D6F83"/>
    <w:rsid w:val="001D6FCD"/>
    <w:rsid w:val="001D7222"/>
    <w:rsid w:val="001D7336"/>
    <w:rsid w:val="001D738C"/>
    <w:rsid w:val="001D73F9"/>
    <w:rsid w:val="001D745F"/>
    <w:rsid w:val="001D7497"/>
    <w:rsid w:val="001D7715"/>
    <w:rsid w:val="001D7A37"/>
    <w:rsid w:val="001D7B58"/>
    <w:rsid w:val="001D7CF0"/>
    <w:rsid w:val="001D7D2C"/>
    <w:rsid w:val="001D7DC2"/>
    <w:rsid w:val="001D7EE5"/>
    <w:rsid w:val="001D7EF5"/>
    <w:rsid w:val="001E0168"/>
    <w:rsid w:val="001E018F"/>
    <w:rsid w:val="001E01C4"/>
    <w:rsid w:val="001E0409"/>
    <w:rsid w:val="001E04A6"/>
    <w:rsid w:val="001E04C6"/>
    <w:rsid w:val="001E053A"/>
    <w:rsid w:val="001E0705"/>
    <w:rsid w:val="001E0762"/>
    <w:rsid w:val="001E077A"/>
    <w:rsid w:val="001E0848"/>
    <w:rsid w:val="001E0920"/>
    <w:rsid w:val="001E096F"/>
    <w:rsid w:val="001E09CD"/>
    <w:rsid w:val="001E0B16"/>
    <w:rsid w:val="001E0BE3"/>
    <w:rsid w:val="001E0BF1"/>
    <w:rsid w:val="001E0C2D"/>
    <w:rsid w:val="001E0C45"/>
    <w:rsid w:val="001E0CE6"/>
    <w:rsid w:val="001E0DEA"/>
    <w:rsid w:val="001E0F22"/>
    <w:rsid w:val="001E1029"/>
    <w:rsid w:val="001E1043"/>
    <w:rsid w:val="001E10B7"/>
    <w:rsid w:val="001E1112"/>
    <w:rsid w:val="001E1267"/>
    <w:rsid w:val="001E1651"/>
    <w:rsid w:val="001E167B"/>
    <w:rsid w:val="001E1732"/>
    <w:rsid w:val="001E175E"/>
    <w:rsid w:val="001E18BC"/>
    <w:rsid w:val="001E1A60"/>
    <w:rsid w:val="001E1A9B"/>
    <w:rsid w:val="001E1B1B"/>
    <w:rsid w:val="001E1B65"/>
    <w:rsid w:val="001E1CD9"/>
    <w:rsid w:val="001E1DB7"/>
    <w:rsid w:val="001E1E94"/>
    <w:rsid w:val="001E1F0A"/>
    <w:rsid w:val="001E1FDD"/>
    <w:rsid w:val="001E20DB"/>
    <w:rsid w:val="001E215F"/>
    <w:rsid w:val="001E218B"/>
    <w:rsid w:val="001E2359"/>
    <w:rsid w:val="001E240B"/>
    <w:rsid w:val="001E24BE"/>
    <w:rsid w:val="001E26A0"/>
    <w:rsid w:val="001E26BC"/>
    <w:rsid w:val="001E26D3"/>
    <w:rsid w:val="001E275C"/>
    <w:rsid w:val="001E27AB"/>
    <w:rsid w:val="001E2903"/>
    <w:rsid w:val="001E29DC"/>
    <w:rsid w:val="001E2B8B"/>
    <w:rsid w:val="001E2BA3"/>
    <w:rsid w:val="001E2BD2"/>
    <w:rsid w:val="001E2C0B"/>
    <w:rsid w:val="001E2CDD"/>
    <w:rsid w:val="001E2D0B"/>
    <w:rsid w:val="001E2DD6"/>
    <w:rsid w:val="001E2EC2"/>
    <w:rsid w:val="001E2FB3"/>
    <w:rsid w:val="001E305D"/>
    <w:rsid w:val="001E30CA"/>
    <w:rsid w:val="001E311D"/>
    <w:rsid w:val="001E323F"/>
    <w:rsid w:val="001E32F7"/>
    <w:rsid w:val="001E3306"/>
    <w:rsid w:val="001E3349"/>
    <w:rsid w:val="001E336A"/>
    <w:rsid w:val="001E37F0"/>
    <w:rsid w:val="001E3889"/>
    <w:rsid w:val="001E38B8"/>
    <w:rsid w:val="001E38F2"/>
    <w:rsid w:val="001E39E7"/>
    <w:rsid w:val="001E3B23"/>
    <w:rsid w:val="001E3BC8"/>
    <w:rsid w:val="001E3D38"/>
    <w:rsid w:val="001E3E39"/>
    <w:rsid w:val="001E3F3A"/>
    <w:rsid w:val="001E3F51"/>
    <w:rsid w:val="001E404E"/>
    <w:rsid w:val="001E4143"/>
    <w:rsid w:val="001E41F7"/>
    <w:rsid w:val="001E4516"/>
    <w:rsid w:val="001E45BE"/>
    <w:rsid w:val="001E4645"/>
    <w:rsid w:val="001E471A"/>
    <w:rsid w:val="001E4751"/>
    <w:rsid w:val="001E4835"/>
    <w:rsid w:val="001E489D"/>
    <w:rsid w:val="001E49ED"/>
    <w:rsid w:val="001E4AA3"/>
    <w:rsid w:val="001E4AC7"/>
    <w:rsid w:val="001E4D32"/>
    <w:rsid w:val="001E4D63"/>
    <w:rsid w:val="001E4DA3"/>
    <w:rsid w:val="001E4DCC"/>
    <w:rsid w:val="001E4F00"/>
    <w:rsid w:val="001E4F08"/>
    <w:rsid w:val="001E5258"/>
    <w:rsid w:val="001E5268"/>
    <w:rsid w:val="001E5385"/>
    <w:rsid w:val="001E53D5"/>
    <w:rsid w:val="001E5440"/>
    <w:rsid w:val="001E5490"/>
    <w:rsid w:val="001E589D"/>
    <w:rsid w:val="001E5979"/>
    <w:rsid w:val="001E59BF"/>
    <w:rsid w:val="001E5A04"/>
    <w:rsid w:val="001E5A7D"/>
    <w:rsid w:val="001E5AE0"/>
    <w:rsid w:val="001E5C4B"/>
    <w:rsid w:val="001E5E10"/>
    <w:rsid w:val="001E6070"/>
    <w:rsid w:val="001E6088"/>
    <w:rsid w:val="001E609D"/>
    <w:rsid w:val="001E63F6"/>
    <w:rsid w:val="001E6488"/>
    <w:rsid w:val="001E64C9"/>
    <w:rsid w:val="001E6581"/>
    <w:rsid w:val="001E664E"/>
    <w:rsid w:val="001E679D"/>
    <w:rsid w:val="001E6865"/>
    <w:rsid w:val="001E6B36"/>
    <w:rsid w:val="001E6BBA"/>
    <w:rsid w:val="001E6C71"/>
    <w:rsid w:val="001E6D36"/>
    <w:rsid w:val="001E6E01"/>
    <w:rsid w:val="001E7052"/>
    <w:rsid w:val="001E70BB"/>
    <w:rsid w:val="001E73FD"/>
    <w:rsid w:val="001E7470"/>
    <w:rsid w:val="001E7545"/>
    <w:rsid w:val="001E76F6"/>
    <w:rsid w:val="001E7793"/>
    <w:rsid w:val="001E77A5"/>
    <w:rsid w:val="001E7826"/>
    <w:rsid w:val="001E78F2"/>
    <w:rsid w:val="001E7951"/>
    <w:rsid w:val="001E7A73"/>
    <w:rsid w:val="001E7B4E"/>
    <w:rsid w:val="001E7B68"/>
    <w:rsid w:val="001E7B6B"/>
    <w:rsid w:val="001E7CF8"/>
    <w:rsid w:val="001E7D9A"/>
    <w:rsid w:val="001E7E00"/>
    <w:rsid w:val="001E7F7A"/>
    <w:rsid w:val="001F00A5"/>
    <w:rsid w:val="001F040C"/>
    <w:rsid w:val="001F0503"/>
    <w:rsid w:val="001F06BD"/>
    <w:rsid w:val="001F06E6"/>
    <w:rsid w:val="001F084C"/>
    <w:rsid w:val="001F0982"/>
    <w:rsid w:val="001F0988"/>
    <w:rsid w:val="001F0B24"/>
    <w:rsid w:val="001F0B61"/>
    <w:rsid w:val="001F0CAF"/>
    <w:rsid w:val="001F0CC0"/>
    <w:rsid w:val="001F0CDB"/>
    <w:rsid w:val="001F0D2E"/>
    <w:rsid w:val="001F0E7D"/>
    <w:rsid w:val="001F0FC2"/>
    <w:rsid w:val="001F1097"/>
    <w:rsid w:val="001F126A"/>
    <w:rsid w:val="001F144C"/>
    <w:rsid w:val="001F1490"/>
    <w:rsid w:val="001F1516"/>
    <w:rsid w:val="001F1527"/>
    <w:rsid w:val="001F159F"/>
    <w:rsid w:val="001F167B"/>
    <w:rsid w:val="001F16F5"/>
    <w:rsid w:val="001F171B"/>
    <w:rsid w:val="001F175F"/>
    <w:rsid w:val="001F17DF"/>
    <w:rsid w:val="001F17EA"/>
    <w:rsid w:val="001F182E"/>
    <w:rsid w:val="001F18FD"/>
    <w:rsid w:val="001F1921"/>
    <w:rsid w:val="001F1C17"/>
    <w:rsid w:val="001F1C1B"/>
    <w:rsid w:val="001F1C33"/>
    <w:rsid w:val="001F1E35"/>
    <w:rsid w:val="001F1E82"/>
    <w:rsid w:val="001F1F4C"/>
    <w:rsid w:val="001F1F4E"/>
    <w:rsid w:val="001F1FC4"/>
    <w:rsid w:val="001F2163"/>
    <w:rsid w:val="001F220B"/>
    <w:rsid w:val="001F22E5"/>
    <w:rsid w:val="001F233F"/>
    <w:rsid w:val="001F2487"/>
    <w:rsid w:val="001F24F3"/>
    <w:rsid w:val="001F2680"/>
    <w:rsid w:val="001F270E"/>
    <w:rsid w:val="001F2758"/>
    <w:rsid w:val="001F27F6"/>
    <w:rsid w:val="001F2852"/>
    <w:rsid w:val="001F28D8"/>
    <w:rsid w:val="001F2946"/>
    <w:rsid w:val="001F29E8"/>
    <w:rsid w:val="001F2AF5"/>
    <w:rsid w:val="001F2CA2"/>
    <w:rsid w:val="001F2D9E"/>
    <w:rsid w:val="001F2DC0"/>
    <w:rsid w:val="001F2DE1"/>
    <w:rsid w:val="001F2EE9"/>
    <w:rsid w:val="001F306C"/>
    <w:rsid w:val="001F3212"/>
    <w:rsid w:val="001F35A3"/>
    <w:rsid w:val="001F36DC"/>
    <w:rsid w:val="001F3811"/>
    <w:rsid w:val="001F3877"/>
    <w:rsid w:val="001F392C"/>
    <w:rsid w:val="001F3A01"/>
    <w:rsid w:val="001F3B03"/>
    <w:rsid w:val="001F3B2E"/>
    <w:rsid w:val="001F3CC4"/>
    <w:rsid w:val="001F3D23"/>
    <w:rsid w:val="001F3D8B"/>
    <w:rsid w:val="001F3E06"/>
    <w:rsid w:val="001F3E72"/>
    <w:rsid w:val="001F3EC3"/>
    <w:rsid w:val="001F3F21"/>
    <w:rsid w:val="001F4051"/>
    <w:rsid w:val="001F41EF"/>
    <w:rsid w:val="001F4468"/>
    <w:rsid w:val="001F451F"/>
    <w:rsid w:val="001F4525"/>
    <w:rsid w:val="001F45C9"/>
    <w:rsid w:val="001F4609"/>
    <w:rsid w:val="001F47C5"/>
    <w:rsid w:val="001F489E"/>
    <w:rsid w:val="001F491A"/>
    <w:rsid w:val="001F49E0"/>
    <w:rsid w:val="001F4C7A"/>
    <w:rsid w:val="001F4C8C"/>
    <w:rsid w:val="001F4CC3"/>
    <w:rsid w:val="001F4E7A"/>
    <w:rsid w:val="001F4EC0"/>
    <w:rsid w:val="001F4F9B"/>
    <w:rsid w:val="001F512B"/>
    <w:rsid w:val="001F520A"/>
    <w:rsid w:val="001F5246"/>
    <w:rsid w:val="001F5376"/>
    <w:rsid w:val="001F5464"/>
    <w:rsid w:val="001F5633"/>
    <w:rsid w:val="001F5654"/>
    <w:rsid w:val="001F56D1"/>
    <w:rsid w:val="001F5752"/>
    <w:rsid w:val="001F57DF"/>
    <w:rsid w:val="001F581A"/>
    <w:rsid w:val="001F58E2"/>
    <w:rsid w:val="001F597D"/>
    <w:rsid w:val="001F5C3E"/>
    <w:rsid w:val="001F5CD5"/>
    <w:rsid w:val="001F5D46"/>
    <w:rsid w:val="001F5D4C"/>
    <w:rsid w:val="001F5D80"/>
    <w:rsid w:val="001F5EA3"/>
    <w:rsid w:val="001F5F4B"/>
    <w:rsid w:val="001F60D9"/>
    <w:rsid w:val="001F6103"/>
    <w:rsid w:val="001F6116"/>
    <w:rsid w:val="001F6142"/>
    <w:rsid w:val="001F61AB"/>
    <w:rsid w:val="001F6394"/>
    <w:rsid w:val="001F6411"/>
    <w:rsid w:val="001F64BB"/>
    <w:rsid w:val="001F65E0"/>
    <w:rsid w:val="001F671E"/>
    <w:rsid w:val="001F67E0"/>
    <w:rsid w:val="001F68C3"/>
    <w:rsid w:val="001F69B2"/>
    <w:rsid w:val="001F6D12"/>
    <w:rsid w:val="001F6D21"/>
    <w:rsid w:val="001F6F78"/>
    <w:rsid w:val="001F6F9D"/>
    <w:rsid w:val="001F6FA3"/>
    <w:rsid w:val="001F6FF3"/>
    <w:rsid w:val="001F7104"/>
    <w:rsid w:val="001F7202"/>
    <w:rsid w:val="001F7376"/>
    <w:rsid w:val="001F744A"/>
    <w:rsid w:val="001F748B"/>
    <w:rsid w:val="001F7513"/>
    <w:rsid w:val="001F7620"/>
    <w:rsid w:val="001F7665"/>
    <w:rsid w:val="001F7737"/>
    <w:rsid w:val="001F783E"/>
    <w:rsid w:val="001F7B87"/>
    <w:rsid w:val="001F7D26"/>
    <w:rsid w:val="001F7D91"/>
    <w:rsid w:val="001F7F2C"/>
    <w:rsid w:val="0020000D"/>
    <w:rsid w:val="002001AB"/>
    <w:rsid w:val="002001D7"/>
    <w:rsid w:val="002001DA"/>
    <w:rsid w:val="002002AE"/>
    <w:rsid w:val="002002E5"/>
    <w:rsid w:val="0020030A"/>
    <w:rsid w:val="0020037D"/>
    <w:rsid w:val="0020039A"/>
    <w:rsid w:val="0020041E"/>
    <w:rsid w:val="0020079C"/>
    <w:rsid w:val="0020083D"/>
    <w:rsid w:val="00200904"/>
    <w:rsid w:val="002009DC"/>
    <w:rsid w:val="002009F2"/>
    <w:rsid w:val="002009FA"/>
    <w:rsid w:val="00200AAA"/>
    <w:rsid w:val="00200B11"/>
    <w:rsid w:val="00200CCC"/>
    <w:rsid w:val="00200E3B"/>
    <w:rsid w:val="00200E74"/>
    <w:rsid w:val="00200F9F"/>
    <w:rsid w:val="00200FF9"/>
    <w:rsid w:val="0020100A"/>
    <w:rsid w:val="00201122"/>
    <w:rsid w:val="0020116C"/>
    <w:rsid w:val="00201245"/>
    <w:rsid w:val="00201260"/>
    <w:rsid w:val="0020142E"/>
    <w:rsid w:val="002014DB"/>
    <w:rsid w:val="00201582"/>
    <w:rsid w:val="002016A1"/>
    <w:rsid w:val="002016AE"/>
    <w:rsid w:val="0020198E"/>
    <w:rsid w:val="00201A05"/>
    <w:rsid w:val="00201A17"/>
    <w:rsid w:val="00201AB7"/>
    <w:rsid w:val="00201B63"/>
    <w:rsid w:val="00201D6B"/>
    <w:rsid w:val="00201E86"/>
    <w:rsid w:val="00201EC3"/>
    <w:rsid w:val="0020241C"/>
    <w:rsid w:val="00202497"/>
    <w:rsid w:val="00202579"/>
    <w:rsid w:val="00202717"/>
    <w:rsid w:val="0020292E"/>
    <w:rsid w:val="00202971"/>
    <w:rsid w:val="00202A78"/>
    <w:rsid w:val="00202C3D"/>
    <w:rsid w:val="00202CBF"/>
    <w:rsid w:val="00202F52"/>
    <w:rsid w:val="00202FED"/>
    <w:rsid w:val="0020305F"/>
    <w:rsid w:val="00203189"/>
    <w:rsid w:val="0020323B"/>
    <w:rsid w:val="002032CF"/>
    <w:rsid w:val="0020331F"/>
    <w:rsid w:val="0020338A"/>
    <w:rsid w:val="002033B6"/>
    <w:rsid w:val="00203405"/>
    <w:rsid w:val="00203690"/>
    <w:rsid w:val="00203787"/>
    <w:rsid w:val="0020389F"/>
    <w:rsid w:val="00203921"/>
    <w:rsid w:val="002039B0"/>
    <w:rsid w:val="00203A1D"/>
    <w:rsid w:val="00203A48"/>
    <w:rsid w:val="00203A8E"/>
    <w:rsid w:val="00203B11"/>
    <w:rsid w:val="00203C28"/>
    <w:rsid w:val="00203F88"/>
    <w:rsid w:val="00204135"/>
    <w:rsid w:val="00204188"/>
    <w:rsid w:val="002041A2"/>
    <w:rsid w:val="00204289"/>
    <w:rsid w:val="0020430F"/>
    <w:rsid w:val="002043DB"/>
    <w:rsid w:val="0020445C"/>
    <w:rsid w:val="00204495"/>
    <w:rsid w:val="002044FA"/>
    <w:rsid w:val="002046BA"/>
    <w:rsid w:val="0020475F"/>
    <w:rsid w:val="00204912"/>
    <w:rsid w:val="0020496C"/>
    <w:rsid w:val="0020496F"/>
    <w:rsid w:val="0020497C"/>
    <w:rsid w:val="00204A1B"/>
    <w:rsid w:val="00204A51"/>
    <w:rsid w:val="00204A87"/>
    <w:rsid w:val="00204B58"/>
    <w:rsid w:val="00204BF6"/>
    <w:rsid w:val="00204C1E"/>
    <w:rsid w:val="00204D57"/>
    <w:rsid w:val="00204D5E"/>
    <w:rsid w:val="00204F72"/>
    <w:rsid w:val="00204FE9"/>
    <w:rsid w:val="00205071"/>
    <w:rsid w:val="0020512F"/>
    <w:rsid w:val="00205171"/>
    <w:rsid w:val="002051CD"/>
    <w:rsid w:val="002051D4"/>
    <w:rsid w:val="002051E2"/>
    <w:rsid w:val="0020548D"/>
    <w:rsid w:val="00205584"/>
    <w:rsid w:val="00205585"/>
    <w:rsid w:val="0020558C"/>
    <w:rsid w:val="00205627"/>
    <w:rsid w:val="00205679"/>
    <w:rsid w:val="00205757"/>
    <w:rsid w:val="00205770"/>
    <w:rsid w:val="002057CB"/>
    <w:rsid w:val="00205848"/>
    <w:rsid w:val="00205903"/>
    <w:rsid w:val="00205927"/>
    <w:rsid w:val="00205988"/>
    <w:rsid w:val="00205A41"/>
    <w:rsid w:val="00205B3A"/>
    <w:rsid w:val="00205B98"/>
    <w:rsid w:val="00205FE8"/>
    <w:rsid w:val="0020612E"/>
    <w:rsid w:val="0020614C"/>
    <w:rsid w:val="002061CA"/>
    <w:rsid w:val="002061EF"/>
    <w:rsid w:val="002062B6"/>
    <w:rsid w:val="00206350"/>
    <w:rsid w:val="002063B3"/>
    <w:rsid w:val="002064FC"/>
    <w:rsid w:val="00206526"/>
    <w:rsid w:val="00206538"/>
    <w:rsid w:val="00206592"/>
    <w:rsid w:val="00206636"/>
    <w:rsid w:val="002066E3"/>
    <w:rsid w:val="002066F9"/>
    <w:rsid w:val="00206886"/>
    <w:rsid w:val="00206936"/>
    <w:rsid w:val="00206B79"/>
    <w:rsid w:val="00206B8D"/>
    <w:rsid w:val="00206BF4"/>
    <w:rsid w:val="00206C6B"/>
    <w:rsid w:val="00206C80"/>
    <w:rsid w:val="00206CE1"/>
    <w:rsid w:val="00206DF4"/>
    <w:rsid w:val="00206E70"/>
    <w:rsid w:val="00207084"/>
    <w:rsid w:val="002070AD"/>
    <w:rsid w:val="00207153"/>
    <w:rsid w:val="00207174"/>
    <w:rsid w:val="002072AF"/>
    <w:rsid w:val="002072BF"/>
    <w:rsid w:val="0020731D"/>
    <w:rsid w:val="00207581"/>
    <w:rsid w:val="002075A6"/>
    <w:rsid w:val="002075CE"/>
    <w:rsid w:val="002076B6"/>
    <w:rsid w:val="00207717"/>
    <w:rsid w:val="002077D4"/>
    <w:rsid w:val="002077FE"/>
    <w:rsid w:val="00207847"/>
    <w:rsid w:val="002078FF"/>
    <w:rsid w:val="00207902"/>
    <w:rsid w:val="00207977"/>
    <w:rsid w:val="00207A7F"/>
    <w:rsid w:val="00207AED"/>
    <w:rsid w:val="00207B2C"/>
    <w:rsid w:val="00207CDB"/>
    <w:rsid w:val="00207DD5"/>
    <w:rsid w:val="00207F8F"/>
    <w:rsid w:val="002100D3"/>
    <w:rsid w:val="00210160"/>
    <w:rsid w:val="002101DE"/>
    <w:rsid w:val="0021021C"/>
    <w:rsid w:val="00210300"/>
    <w:rsid w:val="002103D1"/>
    <w:rsid w:val="00210506"/>
    <w:rsid w:val="00210526"/>
    <w:rsid w:val="00210536"/>
    <w:rsid w:val="0021071A"/>
    <w:rsid w:val="00210761"/>
    <w:rsid w:val="002108EF"/>
    <w:rsid w:val="002109D2"/>
    <w:rsid w:val="002109DE"/>
    <w:rsid w:val="00210A05"/>
    <w:rsid w:val="00210A42"/>
    <w:rsid w:val="00210EF3"/>
    <w:rsid w:val="002110C0"/>
    <w:rsid w:val="00211103"/>
    <w:rsid w:val="00211170"/>
    <w:rsid w:val="00211358"/>
    <w:rsid w:val="0021149A"/>
    <w:rsid w:val="002115ED"/>
    <w:rsid w:val="00211638"/>
    <w:rsid w:val="00211650"/>
    <w:rsid w:val="0021165E"/>
    <w:rsid w:val="0021168D"/>
    <w:rsid w:val="0021172B"/>
    <w:rsid w:val="0021187B"/>
    <w:rsid w:val="00211932"/>
    <w:rsid w:val="00211937"/>
    <w:rsid w:val="00211A25"/>
    <w:rsid w:val="00211B35"/>
    <w:rsid w:val="00211B4D"/>
    <w:rsid w:val="00211B67"/>
    <w:rsid w:val="00211BD9"/>
    <w:rsid w:val="00211C3C"/>
    <w:rsid w:val="00211D44"/>
    <w:rsid w:val="00211EC3"/>
    <w:rsid w:val="00211ED6"/>
    <w:rsid w:val="00211F63"/>
    <w:rsid w:val="00211FB5"/>
    <w:rsid w:val="00211FB8"/>
    <w:rsid w:val="00211FF7"/>
    <w:rsid w:val="0021202B"/>
    <w:rsid w:val="00212109"/>
    <w:rsid w:val="00212328"/>
    <w:rsid w:val="00212463"/>
    <w:rsid w:val="00212591"/>
    <w:rsid w:val="00212603"/>
    <w:rsid w:val="002126A4"/>
    <w:rsid w:val="00212731"/>
    <w:rsid w:val="00212735"/>
    <w:rsid w:val="00212845"/>
    <w:rsid w:val="002128D7"/>
    <w:rsid w:val="002129B4"/>
    <w:rsid w:val="002129E5"/>
    <w:rsid w:val="00212A5C"/>
    <w:rsid w:val="00212B35"/>
    <w:rsid w:val="00212C17"/>
    <w:rsid w:val="00212C40"/>
    <w:rsid w:val="00212C65"/>
    <w:rsid w:val="00212D3D"/>
    <w:rsid w:val="00212DA9"/>
    <w:rsid w:val="00212DF5"/>
    <w:rsid w:val="00212EE1"/>
    <w:rsid w:val="00212F35"/>
    <w:rsid w:val="00213059"/>
    <w:rsid w:val="002130F2"/>
    <w:rsid w:val="0021319C"/>
    <w:rsid w:val="002131CF"/>
    <w:rsid w:val="0021322B"/>
    <w:rsid w:val="00213230"/>
    <w:rsid w:val="002135C0"/>
    <w:rsid w:val="00213664"/>
    <w:rsid w:val="002136BC"/>
    <w:rsid w:val="0021370B"/>
    <w:rsid w:val="00213735"/>
    <w:rsid w:val="002137D1"/>
    <w:rsid w:val="002138D3"/>
    <w:rsid w:val="00213B5D"/>
    <w:rsid w:val="00213C4B"/>
    <w:rsid w:val="00213F2E"/>
    <w:rsid w:val="00213F7E"/>
    <w:rsid w:val="0021408D"/>
    <w:rsid w:val="0021409F"/>
    <w:rsid w:val="002140DC"/>
    <w:rsid w:val="00214210"/>
    <w:rsid w:val="0021443E"/>
    <w:rsid w:val="00214A03"/>
    <w:rsid w:val="00214AD1"/>
    <w:rsid w:val="00214B1A"/>
    <w:rsid w:val="00214B30"/>
    <w:rsid w:val="00214B56"/>
    <w:rsid w:val="00214B95"/>
    <w:rsid w:val="00214BFF"/>
    <w:rsid w:val="00214C96"/>
    <w:rsid w:val="00214D4E"/>
    <w:rsid w:val="00214D74"/>
    <w:rsid w:val="00214D80"/>
    <w:rsid w:val="00214E1D"/>
    <w:rsid w:val="00214E38"/>
    <w:rsid w:val="00214EB2"/>
    <w:rsid w:val="00215136"/>
    <w:rsid w:val="0021515B"/>
    <w:rsid w:val="0021516E"/>
    <w:rsid w:val="002153C4"/>
    <w:rsid w:val="00215443"/>
    <w:rsid w:val="00215593"/>
    <w:rsid w:val="002155CD"/>
    <w:rsid w:val="0021561F"/>
    <w:rsid w:val="002156CA"/>
    <w:rsid w:val="0021570A"/>
    <w:rsid w:val="0021571A"/>
    <w:rsid w:val="00215879"/>
    <w:rsid w:val="00215B87"/>
    <w:rsid w:val="00215BE1"/>
    <w:rsid w:val="00215C5F"/>
    <w:rsid w:val="00215D2C"/>
    <w:rsid w:val="00215EA5"/>
    <w:rsid w:val="002161D2"/>
    <w:rsid w:val="0021627C"/>
    <w:rsid w:val="00216290"/>
    <w:rsid w:val="0021636D"/>
    <w:rsid w:val="0021643E"/>
    <w:rsid w:val="002165C5"/>
    <w:rsid w:val="0021668F"/>
    <w:rsid w:val="002166F9"/>
    <w:rsid w:val="00216871"/>
    <w:rsid w:val="002169FB"/>
    <w:rsid w:val="00216A15"/>
    <w:rsid w:val="00216A5D"/>
    <w:rsid w:val="00216A6B"/>
    <w:rsid w:val="00216AFD"/>
    <w:rsid w:val="00216CA7"/>
    <w:rsid w:val="00216CE1"/>
    <w:rsid w:val="00216E4A"/>
    <w:rsid w:val="00216EE4"/>
    <w:rsid w:val="00217004"/>
    <w:rsid w:val="002170F1"/>
    <w:rsid w:val="002171B0"/>
    <w:rsid w:val="00217295"/>
    <w:rsid w:val="00217331"/>
    <w:rsid w:val="00217340"/>
    <w:rsid w:val="00217421"/>
    <w:rsid w:val="0021742C"/>
    <w:rsid w:val="00217525"/>
    <w:rsid w:val="002175CE"/>
    <w:rsid w:val="00217702"/>
    <w:rsid w:val="00217708"/>
    <w:rsid w:val="0021793D"/>
    <w:rsid w:val="00217965"/>
    <w:rsid w:val="00217AC1"/>
    <w:rsid w:val="00217B8B"/>
    <w:rsid w:val="00217CD5"/>
    <w:rsid w:val="00217D9D"/>
    <w:rsid w:val="00217F61"/>
    <w:rsid w:val="00220060"/>
    <w:rsid w:val="00220329"/>
    <w:rsid w:val="0022038C"/>
    <w:rsid w:val="00220669"/>
    <w:rsid w:val="00220737"/>
    <w:rsid w:val="00220783"/>
    <w:rsid w:val="00220839"/>
    <w:rsid w:val="0022088C"/>
    <w:rsid w:val="002208C1"/>
    <w:rsid w:val="002209AD"/>
    <w:rsid w:val="00220A61"/>
    <w:rsid w:val="00220BBA"/>
    <w:rsid w:val="00220C1C"/>
    <w:rsid w:val="00220DBC"/>
    <w:rsid w:val="0022103A"/>
    <w:rsid w:val="0022112A"/>
    <w:rsid w:val="00221311"/>
    <w:rsid w:val="002213D3"/>
    <w:rsid w:val="002214E0"/>
    <w:rsid w:val="002214E2"/>
    <w:rsid w:val="002215C6"/>
    <w:rsid w:val="002215E4"/>
    <w:rsid w:val="002217A3"/>
    <w:rsid w:val="002218B1"/>
    <w:rsid w:val="00221965"/>
    <w:rsid w:val="00221970"/>
    <w:rsid w:val="00221A4F"/>
    <w:rsid w:val="00221C7C"/>
    <w:rsid w:val="00221D0D"/>
    <w:rsid w:val="00221D0F"/>
    <w:rsid w:val="00221E69"/>
    <w:rsid w:val="00222062"/>
    <w:rsid w:val="0022207F"/>
    <w:rsid w:val="002221A4"/>
    <w:rsid w:val="002223C5"/>
    <w:rsid w:val="002223D3"/>
    <w:rsid w:val="002223D5"/>
    <w:rsid w:val="002223F8"/>
    <w:rsid w:val="00222490"/>
    <w:rsid w:val="002224A9"/>
    <w:rsid w:val="00222509"/>
    <w:rsid w:val="00222593"/>
    <w:rsid w:val="002225A4"/>
    <w:rsid w:val="00222600"/>
    <w:rsid w:val="00222729"/>
    <w:rsid w:val="002228A0"/>
    <w:rsid w:val="00222917"/>
    <w:rsid w:val="002229A3"/>
    <w:rsid w:val="002229BC"/>
    <w:rsid w:val="00222A25"/>
    <w:rsid w:val="00222AF6"/>
    <w:rsid w:val="00222CCF"/>
    <w:rsid w:val="00222D75"/>
    <w:rsid w:val="00222F8B"/>
    <w:rsid w:val="00223097"/>
    <w:rsid w:val="00223166"/>
    <w:rsid w:val="002231B5"/>
    <w:rsid w:val="0022322D"/>
    <w:rsid w:val="0022323A"/>
    <w:rsid w:val="00223285"/>
    <w:rsid w:val="002232E0"/>
    <w:rsid w:val="00223397"/>
    <w:rsid w:val="002234EF"/>
    <w:rsid w:val="00223515"/>
    <w:rsid w:val="00223563"/>
    <w:rsid w:val="00223693"/>
    <w:rsid w:val="00223747"/>
    <w:rsid w:val="002238B3"/>
    <w:rsid w:val="002239D4"/>
    <w:rsid w:val="00223ADC"/>
    <w:rsid w:val="00223B11"/>
    <w:rsid w:val="00223B30"/>
    <w:rsid w:val="00223B54"/>
    <w:rsid w:val="00223BD1"/>
    <w:rsid w:val="00223CB2"/>
    <w:rsid w:val="00223EC7"/>
    <w:rsid w:val="00223F05"/>
    <w:rsid w:val="00223F28"/>
    <w:rsid w:val="002240B7"/>
    <w:rsid w:val="00224259"/>
    <w:rsid w:val="00224262"/>
    <w:rsid w:val="00224264"/>
    <w:rsid w:val="0022435D"/>
    <w:rsid w:val="00224384"/>
    <w:rsid w:val="00224477"/>
    <w:rsid w:val="002244AE"/>
    <w:rsid w:val="002244D9"/>
    <w:rsid w:val="002245C6"/>
    <w:rsid w:val="002245D5"/>
    <w:rsid w:val="002245D7"/>
    <w:rsid w:val="002246DA"/>
    <w:rsid w:val="002246F2"/>
    <w:rsid w:val="0022479F"/>
    <w:rsid w:val="002247A5"/>
    <w:rsid w:val="002247E5"/>
    <w:rsid w:val="00224881"/>
    <w:rsid w:val="002249C4"/>
    <w:rsid w:val="00224A5F"/>
    <w:rsid w:val="00224A6C"/>
    <w:rsid w:val="00224AA9"/>
    <w:rsid w:val="00224AD3"/>
    <w:rsid w:val="00224B2F"/>
    <w:rsid w:val="00224C6D"/>
    <w:rsid w:val="00224D1C"/>
    <w:rsid w:val="00224D31"/>
    <w:rsid w:val="00224D8F"/>
    <w:rsid w:val="00224DCC"/>
    <w:rsid w:val="00224EA6"/>
    <w:rsid w:val="00224F5D"/>
    <w:rsid w:val="00224FFA"/>
    <w:rsid w:val="002250AA"/>
    <w:rsid w:val="00225282"/>
    <w:rsid w:val="002252F0"/>
    <w:rsid w:val="00225490"/>
    <w:rsid w:val="002254BA"/>
    <w:rsid w:val="002254C5"/>
    <w:rsid w:val="00225642"/>
    <w:rsid w:val="00225652"/>
    <w:rsid w:val="00225741"/>
    <w:rsid w:val="00225765"/>
    <w:rsid w:val="002258F7"/>
    <w:rsid w:val="00225B58"/>
    <w:rsid w:val="00225D03"/>
    <w:rsid w:val="00226076"/>
    <w:rsid w:val="00226077"/>
    <w:rsid w:val="00226171"/>
    <w:rsid w:val="00226180"/>
    <w:rsid w:val="002261D1"/>
    <w:rsid w:val="002261DB"/>
    <w:rsid w:val="00226291"/>
    <w:rsid w:val="002263F3"/>
    <w:rsid w:val="00226400"/>
    <w:rsid w:val="00226591"/>
    <w:rsid w:val="0022671C"/>
    <w:rsid w:val="0022677B"/>
    <w:rsid w:val="002267B4"/>
    <w:rsid w:val="002267E0"/>
    <w:rsid w:val="002267E4"/>
    <w:rsid w:val="002267F0"/>
    <w:rsid w:val="0022681C"/>
    <w:rsid w:val="0022683D"/>
    <w:rsid w:val="0022695E"/>
    <w:rsid w:val="00226A20"/>
    <w:rsid w:val="00226A2F"/>
    <w:rsid w:val="00226C54"/>
    <w:rsid w:val="00226D86"/>
    <w:rsid w:val="00226DE5"/>
    <w:rsid w:val="00226F3D"/>
    <w:rsid w:val="00226F82"/>
    <w:rsid w:val="00227018"/>
    <w:rsid w:val="002271A8"/>
    <w:rsid w:val="00227268"/>
    <w:rsid w:val="0022727D"/>
    <w:rsid w:val="00227519"/>
    <w:rsid w:val="002275DB"/>
    <w:rsid w:val="0022762E"/>
    <w:rsid w:val="002276B0"/>
    <w:rsid w:val="002276C3"/>
    <w:rsid w:val="002278C8"/>
    <w:rsid w:val="002278D0"/>
    <w:rsid w:val="002278F9"/>
    <w:rsid w:val="00227908"/>
    <w:rsid w:val="00227A7F"/>
    <w:rsid w:val="00227AEF"/>
    <w:rsid w:val="00227B99"/>
    <w:rsid w:val="0023001F"/>
    <w:rsid w:val="002300DB"/>
    <w:rsid w:val="00230135"/>
    <w:rsid w:val="0023017B"/>
    <w:rsid w:val="00230195"/>
    <w:rsid w:val="00230222"/>
    <w:rsid w:val="00230283"/>
    <w:rsid w:val="00230293"/>
    <w:rsid w:val="00230323"/>
    <w:rsid w:val="002303AB"/>
    <w:rsid w:val="002303C7"/>
    <w:rsid w:val="0023053D"/>
    <w:rsid w:val="002307D9"/>
    <w:rsid w:val="002308C4"/>
    <w:rsid w:val="002309CB"/>
    <w:rsid w:val="002309FB"/>
    <w:rsid w:val="002309FF"/>
    <w:rsid w:val="00230C39"/>
    <w:rsid w:val="00230D12"/>
    <w:rsid w:val="00230F11"/>
    <w:rsid w:val="00230F4E"/>
    <w:rsid w:val="002310A5"/>
    <w:rsid w:val="002312C8"/>
    <w:rsid w:val="00231402"/>
    <w:rsid w:val="0023147D"/>
    <w:rsid w:val="002314F0"/>
    <w:rsid w:val="00231724"/>
    <w:rsid w:val="00231790"/>
    <w:rsid w:val="00231961"/>
    <w:rsid w:val="00231965"/>
    <w:rsid w:val="002319A1"/>
    <w:rsid w:val="00231A4B"/>
    <w:rsid w:val="00231A4D"/>
    <w:rsid w:val="00231A74"/>
    <w:rsid w:val="00231B02"/>
    <w:rsid w:val="00231E88"/>
    <w:rsid w:val="00231ED9"/>
    <w:rsid w:val="00231F13"/>
    <w:rsid w:val="00231F53"/>
    <w:rsid w:val="0023207B"/>
    <w:rsid w:val="002320AC"/>
    <w:rsid w:val="002320F2"/>
    <w:rsid w:val="0023222A"/>
    <w:rsid w:val="002322D1"/>
    <w:rsid w:val="0023236F"/>
    <w:rsid w:val="002323CC"/>
    <w:rsid w:val="00232419"/>
    <w:rsid w:val="00232478"/>
    <w:rsid w:val="00232556"/>
    <w:rsid w:val="002325B2"/>
    <w:rsid w:val="00232CBA"/>
    <w:rsid w:val="00232CC0"/>
    <w:rsid w:val="00232E51"/>
    <w:rsid w:val="00232E6C"/>
    <w:rsid w:val="00232F11"/>
    <w:rsid w:val="00232F48"/>
    <w:rsid w:val="00232F5B"/>
    <w:rsid w:val="002330AF"/>
    <w:rsid w:val="00233142"/>
    <w:rsid w:val="0023316F"/>
    <w:rsid w:val="002332A7"/>
    <w:rsid w:val="00233368"/>
    <w:rsid w:val="002333F9"/>
    <w:rsid w:val="0023340F"/>
    <w:rsid w:val="002336BA"/>
    <w:rsid w:val="002336D5"/>
    <w:rsid w:val="0023370E"/>
    <w:rsid w:val="0023372B"/>
    <w:rsid w:val="0023378E"/>
    <w:rsid w:val="00233874"/>
    <w:rsid w:val="0023390D"/>
    <w:rsid w:val="00233924"/>
    <w:rsid w:val="002339DB"/>
    <w:rsid w:val="00233A22"/>
    <w:rsid w:val="00233A56"/>
    <w:rsid w:val="00233A70"/>
    <w:rsid w:val="00233A82"/>
    <w:rsid w:val="00233A8A"/>
    <w:rsid w:val="00233B4F"/>
    <w:rsid w:val="00233BDA"/>
    <w:rsid w:val="00233D4F"/>
    <w:rsid w:val="00233DF2"/>
    <w:rsid w:val="00233E81"/>
    <w:rsid w:val="00234003"/>
    <w:rsid w:val="0023405E"/>
    <w:rsid w:val="00234092"/>
    <w:rsid w:val="002340E0"/>
    <w:rsid w:val="0023426A"/>
    <w:rsid w:val="002342E2"/>
    <w:rsid w:val="0023444F"/>
    <w:rsid w:val="00234483"/>
    <w:rsid w:val="002344D2"/>
    <w:rsid w:val="002344FF"/>
    <w:rsid w:val="00234526"/>
    <w:rsid w:val="002346D3"/>
    <w:rsid w:val="00234803"/>
    <w:rsid w:val="00234806"/>
    <w:rsid w:val="00234823"/>
    <w:rsid w:val="002348A9"/>
    <w:rsid w:val="00234967"/>
    <w:rsid w:val="00234A3B"/>
    <w:rsid w:val="00234CAB"/>
    <w:rsid w:val="00234DFB"/>
    <w:rsid w:val="00234E46"/>
    <w:rsid w:val="00235029"/>
    <w:rsid w:val="002350D9"/>
    <w:rsid w:val="00235114"/>
    <w:rsid w:val="002351FA"/>
    <w:rsid w:val="00235215"/>
    <w:rsid w:val="002353EA"/>
    <w:rsid w:val="00235403"/>
    <w:rsid w:val="002354CB"/>
    <w:rsid w:val="00235669"/>
    <w:rsid w:val="002356A1"/>
    <w:rsid w:val="002356AC"/>
    <w:rsid w:val="002357AB"/>
    <w:rsid w:val="00235817"/>
    <w:rsid w:val="00235839"/>
    <w:rsid w:val="0023586E"/>
    <w:rsid w:val="00235B81"/>
    <w:rsid w:val="00235C18"/>
    <w:rsid w:val="00235C9C"/>
    <w:rsid w:val="00235CDA"/>
    <w:rsid w:val="00235D4C"/>
    <w:rsid w:val="00235D89"/>
    <w:rsid w:val="00235E2F"/>
    <w:rsid w:val="00235E81"/>
    <w:rsid w:val="00235F1F"/>
    <w:rsid w:val="00235F31"/>
    <w:rsid w:val="00235F87"/>
    <w:rsid w:val="00235FA7"/>
    <w:rsid w:val="002360B1"/>
    <w:rsid w:val="00236130"/>
    <w:rsid w:val="0023635A"/>
    <w:rsid w:val="002363AA"/>
    <w:rsid w:val="00236425"/>
    <w:rsid w:val="002364F6"/>
    <w:rsid w:val="00236542"/>
    <w:rsid w:val="00236586"/>
    <w:rsid w:val="002365AB"/>
    <w:rsid w:val="0023662C"/>
    <w:rsid w:val="00236746"/>
    <w:rsid w:val="00236835"/>
    <w:rsid w:val="00236A17"/>
    <w:rsid w:val="00236B0B"/>
    <w:rsid w:val="00236B86"/>
    <w:rsid w:val="00236C04"/>
    <w:rsid w:val="00236DD9"/>
    <w:rsid w:val="00236ED2"/>
    <w:rsid w:val="0023703A"/>
    <w:rsid w:val="002371F7"/>
    <w:rsid w:val="00237269"/>
    <w:rsid w:val="002372AE"/>
    <w:rsid w:val="002372E9"/>
    <w:rsid w:val="00237384"/>
    <w:rsid w:val="00237448"/>
    <w:rsid w:val="00237490"/>
    <w:rsid w:val="002374A2"/>
    <w:rsid w:val="00237699"/>
    <w:rsid w:val="002376F8"/>
    <w:rsid w:val="0023772D"/>
    <w:rsid w:val="00237749"/>
    <w:rsid w:val="002377B5"/>
    <w:rsid w:val="00237827"/>
    <w:rsid w:val="002378A6"/>
    <w:rsid w:val="002378C7"/>
    <w:rsid w:val="002379AB"/>
    <w:rsid w:val="00237A90"/>
    <w:rsid w:val="00237B1F"/>
    <w:rsid w:val="00237B62"/>
    <w:rsid w:val="00237CE2"/>
    <w:rsid w:val="0024005B"/>
    <w:rsid w:val="00240101"/>
    <w:rsid w:val="00240265"/>
    <w:rsid w:val="002402C9"/>
    <w:rsid w:val="0024032B"/>
    <w:rsid w:val="0024037F"/>
    <w:rsid w:val="00240421"/>
    <w:rsid w:val="002404D8"/>
    <w:rsid w:val="002405E5"/>
    <w:rsid w:val="002406EF"/>
    <w:rsid w:val="00240753"/>
    <w:rsid w:val="002407C7"/>
    <w:rsid w:val="00240C2E"/>
    <w:rsid w:val="00240C68"/>
    <w:rsid w:val="00240E2F"/>
    <w:rsid w:val="00240F17"/>
    <w:rsid w:val="00241279"/>
    <w:rsid w:val="002412C8"/>
    <w:rsid w:val="002413B8"/>
    <w:rsid w:val="002413E4"/>
    <w:rsid w:val="0024145C"/>
    <w:rsid w:val="0024152F"/>
    <w:rsid w:val="0024155B"/>
    <w:rsid w:val="0024158B"/>
    <w:rsid w:val="002415C4"/>
    <w:rsid w:val="0024163E"/>
    <w:rsid w:val="0024166D"/>
    <w:rsid w:val="002417EF"/>
    <w:rsid w:val="002419C2"/>
    <w:rsid w:val="00241A1E"/>
    <w:rsid w:val="00241B51"/>
    <w:rsid w:val="00241E7E"/>
    <w:rsid w:val="00241F03"/>
    <w:rsid w:val="00241F05"/>
    <w:rsid w:val="00241F0F"/>
    <w:rsid w:val="00242068"/>
    <w:rsid w:val="0024216A"/>
    <w:rsid w:val="00242321"/>
    <w:rsid w:val="0024233F"/>
    <w:rsid w:val="002423C7"/>
    <w:rsid w:val="0024240A"/>
    <w:rsid w:val="002424E4"/>
    <w:rsid w:val="0024251A"/>
    <w:rsid w:val="0024267D"/>
    <w:rsid w:val="00242693"/>
    <w:rsid w:val="002429CD"/>
    <w:rsid w:val="00242D84"/>
    <w:rsid w:val="00242D8E"/>
    <w:rsid w:val="00242ED0"/>
    <w:rsid w:val="00242EFA"/>
    <w:rsid w:val="00242F35"/>
    <w:rsid w:val="00242FDB"/>
    <w:rsid w:val="002431C1"/>
    <w:rsid w:val="0024332F"/>
    <w:rsid w:val="00243394"/>
    <w:rsid w:val="002433DB"/>
    <w:rsid w:val="002434B6"/>
    <w:rsid w:val="002435ED"/>
    <w:rsid w:val="00243671"/>
    <w:rsid w:val="0024372F"/>
    <w:rsid w:val="00243734"/>
    <w:rsid w:val="0024376A"/>
    <w:rsid w:val="00243833"/>
    <w:rsid w:val="00243971"/>
    <w:rsid w:val="00243A96"/>
    <w:rsid w:val="00243BC5"/>
    <w:rsid w:val="00243BC6"/>
    <w:rsid w:val="00243BD7"/>
    <w:rsid w:val="00243BDB"/>
    <w:rsid w:val="00243C2C"/>
    <w:rsid w:val="00243C59"/>
    <w:rsid w:val="00243C80"/>
    <w:rsid w:val="00243DB7"/>
    <w:rsid w:val="00243DCB"/>
    <w:rsid w:val="00243E90"/>
    <w:rsid w:val="00243EA2"/>
    <w:rsid w:val="00243EB4"/>
    <w:rsid w:val="00243F55"/>
    <w:rsid w:val="00243FBA"/>
    <w:rsid w:val="00243FFC"/>
    <w:rsid w:val="00244011"/>
    <w:rsid w:val="002440B8"/>
    <w:rsid w:val="00244146"/>
    <w:rsid w:val="0024415B"/>
    <w:rsid w:val="0024422C"/>
    <w:rsid w:val="00244357"/>
    <w:rsid w:val="00244415"/>
    <w:rsid w:val="002444C6"/>
    <w:rsid w:val="00244578"/>
    <w:rsid w:val="002446A9"/>
    <w:rsid w:val="002446B9"/>
    <w:rsid w:val="00244718"/>
    <w:rsid w:val="0024495F"/>
    <w:rsid w:val="00244A3F"/>
    <w:rsid w:val="00244ACE"/>
    <w:rsid w:val="00244CA9"/>
    <w:rsid w:val="00244DEC"/>
    <w:rsid w:val="00244E14"/>
    <w:rsid w:val="00244EAB"/>
    <w:rsid w:val="00244F4A"/>
    <w:rsid w:val="00244FC7"/>
    <w:rsid w:val="00245498"/>
    <w:rsid w:val="002455D7"/>
    <w:rsid w:val="00245670"/>
    <w:rsid w:val="002456B3"/>
    <w:rsid w:val="00245714"/>
    <w:rsid w:val="00245752"/>
    <w:rsid w:val="00245A5F"/>
    <w:rsid w:val="00245A8F"/>
    <w:rsid w:val="00245ABA"/>
    <w:rsid w:val="00245C03"/>
    <w:rsid w:val="00245CD9"/>
    <w:rsid w:val="00245E34"/>
    <w:rsid w:val="002460F4"/>
    <w:rsid w:val="00246182"/>
    <w:rsid w:val="00246411"/>
    <w:rsid w:val="00246484"/>
    <w:rsid w:val="0024651A"/>
    <w:rsid w:val="00246522"/>
    <w:rsid w:val="00246560"/>
    <w:rsid w:val="0024671B"/>
    <w:rsid w:val="0024678C"/>
    <w:rsid w:val="00246A1E"/>
    <w:rsid w:val="00246A3F"/>
    <w:rsid w:val="00246B58"/>
    <w:rsid w:val="00246C45"/>
    <w:rsid w:val="00246CE9"/>
    <w:rsid w:val="00246FC3"/>
    <w:rsid w:val="00247167"/>
    <w:rsid w:val="002471A2"/>
    <w:rsid w:val="002471BE"/>
    <w:rsid w:val="002471FC"/>
    <w:rsid w:val="0024725B"/>
    <w:rsid w:val="002472EC"/>
    <w:rsid w:val="00247355"/>
    <w:rsid w:val="0024742F"/>
    <w:rsid w:val="002474AD"/>
    <w:rsid w:val="002474C6"/>
    <w:rsid w:val="002476FC"/>
    <w:rsid w:val="00247720"/>
    <w:rsid w:val="002477EF"/>
    <w:rsid w:val="00247873"/>
    <w:rsid w:val="00247958"/>
    <w:rsid w:val="0024795C"/>
    <w:rsid w:val="00247A4D"/>
    <w:rsid w:val="00247AF9"/>
    <w:rsid w:val="00247BC9"/>
    <w:rsid w:val="00247BCB"/>
    <w:rsid w:val="00247C43"/>
    <w:rsid w:val="00247C82"/>
    <w:rsid w:val="00247D7C"/>
    <w:rsid w:val="00247DBD"/>
    <w:rsid w:val="00250010"/>
    <w:rsid w:val="002500BB"/>
    <w:rsid w:val="002501B3"/>
    <w:rsid w:val="002502D0"/>
    <w:rsid w:val="00250316"/>
    <w:rsid w:val="00250475"/>
    <w:rsid w:val="00250487"/>
    <w:rsid w:val="00250632"/>
    <w:rsid w:val="00250698"/>
    <w:rsid w:val="0025071D"/>
    <w:rsid w:val="00250845"/>
    <w:rsid w:val="00250B03"/>
    <w:rsid w:val="00250B7E"/>
    <w:rsid w:val="00250CC4"/>
    <w:rsid w:val="00250D10"/>
    <w:rsid w:val="00250D47"/>
    <w:rsid w:val="00250D55"/>
    <w:rsid w:val="00250D9C"/>
    <w:rsid w:val="00250DA1"/>
    <w:rsid w:val="00250F10"/>
    <w:rsid w:val="00250F9E"/>
    <w:rsid w:val="00250FE9"/>
    <w:rsid w:val="0025121E"/>
    <w:rsid w:val="00251314"/>
    <w:rsid w:val="0025142C"/>
    <w:rsid w:val="0025169D"/>
    <w:rsid w:val="002516EB"/>
    <w:rsid w:val="00251720"/>
    <w:rsid w:val="00251A1A"/>
    <w:rsid w:val="00251ADB"/>
    <w:rsid w:val="00251B0E"/>
    <w:rsid w:val="00251C52"/>
    <w:rsid w:val="00251D10"/>
    <w:rsid w:val="00251E29"/>
    <w:rsid w:val="00251E31"/>
    <w:rsid w:val="00251E85"/>
    <w:rsid w:val="00251FEF"/>
    <w:rsid w:val="0025218A"/>
    <w:rsid w:val="002521D3"/>
    <w:rsid w:val="0025226C"/>
    <w:rsid w:val="00252294"/>
    <w:rsid w:val="00252354"/>
    <w:rsid w:val="002523A6"/>
    <w:rsid w:val="00252460"/>
    <w:rsid w:val="002524D7"/>
    <w:rsid w:val="0025252D"/>
    <w:rsid w:val="0025268B"/>
    <w:rsid w:val="002526FD"/>
    <w:rsid w:val="0025276D"/>
    <w:rsid w:val="002527A6"/>
    <w:rsid w:val="002529B4"/>
    <w:rsid w:val="002529E3"/>
    <w:rsid w:val="00252A5F"/>
    <w:rsid w:val="00252B3D"/>
    <w:rsid w:val="00252B9E"/>
    <w:rsid w:val="00252BAD"/>
    <w:rsid w:val="00252C18"/>
    <w:rsid w:val="00252C49"/>
    <w:rsid w:val="00252CD0"/>
    <w:rsid w:val="00252CDA"/>
    <w:rsid w:val="00252E99"/>
    <w:rsid w:val="0025304A"/>
    <w:rsid w:val="00253131"/>
    <w:rsid w:val="0025322B"/>
    <w:rsid w:val="00253338"/>
    <w:rsid w:val="002534E4"/>
    <w:rsid w:val="0025353D"/>
    <w:rsid w:val="0025360A"/>
    <w:rsid w:val="00253646"/>
    <w:rsid w:val="00253846"/>
    <w:rsid w:val="0025399A"/>
    <w:rsid w:val="00253A33"/>
    <w:rsid w:val="00253B1E"/>
    <w:rsid w:val="00253B5E"/>
    <w:rsid w:val="00253CC0"/>
    <w:rsid w:val="00253D36"/>
    <w:rsid w:val="00253D92"/>
    <w:rsid w:val="00253E16"/>
    <w:rsid w:val="00253E5B"/>
    <w:rsid w:val="00254050"/>
    <w:rsid w:val="002540DC"/>
    <w:rsid w:val="0025428C"/>
    <w:rsid w:val="002542F1"/>
    <w:rsid w:val="00254468"/>
    <w:rsid w:val="002546A6"/>
    <w:rsid w:val="002547DC"/>
    <w:rsid w:val="0025490E"/>
    <w:rsid w:val="0025499D"/>
    <w:rsid w:val="00254A35"/>
    <w:rsid w:val="00254A77"/>
    <w:rsid w:val="00254D36"/>
    <w:rsid w:val="00254EC1"/>
    <w:rsid w:val="00254F0D"/>
    <w:rsid w:val="00254F16"/>
    <w:rsid w:val="002551B9"/>
    <w:rsid w:val="00255204"/>
    <w:rsid w:val="00255214"/>
    <w:rsid w:val="002553D6"/>
    <w:rsid w:val="00255488"/>
    <w:rsid w:val="002554B3"/>
    <w:rsid w:val="00255576"/>
    <w:rsid w:val="002557B0"/>
    <w:rsid w:val="00255871"/>
    <w:rsid w:val="00255977"/>
    <w:rsid w:val="00255B84"/>
    <w:rsid w:val="00255BCC"/>
    <w:rsid w:val="00255BF0"/>
    <w:rsid w:val="00255CF5"/>
    <w:rsid w:val="00255D46"/>
    <w:rsid w:val="00255F18"/>
    <w:rsid w:val="00255F3A"/>
    <w:rsid w:val="002560D3"/>
    <w:rsid w:val="002561F8"/>
    <w:rsid w:val="00256214"/>
    <w:rsid w:val="00256312"/>
    <w:rsid w:val="00256459"/>
    <w:rsid w:val="0025649B"/>
    <w:rsid w:val="0025652B"/>
    <w:rsid w:val="0025654C"/>
    <w:rsid w:val="002565B3"/>
    <w:rsid w:val="002565C4"/>
    <w:rsid w:val="0025663F"/>
    <w:rsid w:val="00256726"/>
    <w:rsid w:val="002567DF"/>
    <w:rsid w:val="00256897"/>
    <w:rsid w:val="002568EC"/>
    <w:rsid w:val="00256959"/>
    <w:rsid w:val="002569C6"/>
    <w:rsid w:val="002569E2"/>
    <w:rsid w:val="00256B66"/>
    <w:rsid w:val="00256D10"/>
    <w:rsid w:val="00256EE4"/>
    <w:rsid w:val="0025714E"/>
    <w:rsid w:val="0025719A"/>
    <w:rsid w:val="002571F7"/>
    <w:rsid w:val="00257485"/>
    <w:rsid w:val="00257633"/>
    <w:rsid w:val="00257682"/>
    <w:rsid w:val="002576A0"/>
    <w:rsid w:val="002576CE"/>
    <w:rsid w:val="002576D6"/>
    <w:rsid w:val="002576E4"/>
    <w:rsid w:val="002577B3"/>
    <w:rsid w:val="00257949"/>
    <w:rsid w:val="00257A26"/>
    <w:rsid w:val="00257A42"/>
    <w:rsid w:val="00257A4B"/>
    <w:rsid w:val="00257AF2"/>
    <w:rsid w:val="00257B9C"/>
    <w:rsid w:val="00257C24"/>
    <w:rsid w:val="00257C9B"/>
    <w:rsid w:val="00257D03"/>
    <w:rsid w:val="00257DEC"/>
    <w:rsid w:val="00257ECE"/>
    <w:rsid w:val="00257F60"/>
    <w:rsid w:val="00257FE5"/>
    <w:rsid w:val="0026002B"/>
    <w:rsid w:val="00260198"/>
    <w:rsid w:val="0026024C"/>
    <w:rsid w:val="0026034D"/>
    <w:rsid w:val="00260533"/>
    <w:rsid w:val="0026067C"/>
    <w:rsid w:val="002606DF"/>
    <w:rsid w:val="00260952"/>
    <w:rsid w:val="00260A21"/>
    <w:rsid w:val="00260A57"/>
    <w:rsid w:val="00260ADB"/>
    <w:rsid w:val="00260B11"/>
    <w:rsid w:val="00260C1C"/>
    <w:rsid w:val="00260CAC"/>
    <w:rsid w:val="00260D2A"/>
    <w:rsid w:val="00260E53"/>
    <w:rsid w:val="00260EBC"/>
    <w:rsid w:val="0026102B"/>
    <w:rsid w:val="0026109C"/>
    <w:rsid w:val="0026116B"/>
    <w:rsid w:val="00261249"/>
    <w:rsid w:val="00261475"/>
    <w:rsid w:val="0026176E"/>
    <w:rsid w:val="00261810"/>
    <w:rsid w:val="00261A14"/>
    <w:rsid w:val="00261B05"/>
    <w:rsid w:val="00261CB6"/>
    <w:rsid w:val="00261CCD"/>
    <w:rsid w:val="00261D04"/>
    <w:rsid w:val="00261E4D"/>
    <w:rsid w:val="00261EC2"/>
    <w:rsid w:val="002620F9"/>
    <w:rsid w:val="002621FD"/>
    <w:rsid w:val="00262236"/>
    <w:rsid w:val="0026236A"/>
    <w:rsid w:val="00262372"/>
    <w:rsid w:val="00262766"/>
    <w:rsid w:val="002627D6"/>
    <w:rsid w:val="002627D9"/>
    <w:rsid w:val="00262851"/>
    <w:rsid w:val="0026285F"/>
    <w:rsid w:val="0026294B"/>
    <w:rsid w:val="002629A9"/>
    <w:rsid w:val="00262B09"/>
    <w:rsid w:val="00262B23"/>
    <w:rsid w:val="00262B3F"/>
    <w:rsid w:val="00262BD3"/>
    <w:rsid w:val="00262CFB"/>
    <w:rsid w:val="00262D2D"/>
    <w:rsid w:val="00262F9E"/>
    <w:rsid w:val="002630D6"/>
    <w:rsid w:val="0026321D"/>
    <w:rsid w:val="002636CA"/>
    <w:rsid w:val="00263822"/>
    <w:rsid w:val="002638B6"/>
    <w:rsid w:val="00263A19"/>
    <w:rsid w:val="00263A9C"/>
    <w:rsid w:val="00263B7B"/>
    <w:rsid w:val="00263B7F"/>
    <w:rsid w:val="00263C20"/>
    <w:rsid w:val="00263DC3"/>
    <w:rsid w:val="00263E00"/>
    <w:rsid w:val="00263EB0"/>
    <w:rsid w:val="00263F52"/>
    <w:rsid w:val="00263F58"/>
    <w:rsid w:val="00264056"/>
    <w:rsid w:val="00264076"/>
    <w:rsid w:val="0026408B"/>
    <w:rsid w:val="00264115"/>
    <w:rsid w:val="002641A7"/>
    <w:rsid w:val="002641A9"/>
    <w:rsid w:val="0026423F"/>
    <w:rsid w:val="0026435C"/>
    <w:rsid w:val="0026440E"/>
    <w:rsid w:val="002644A2"/>
    <w:rsid w:val="002645BC"/>
    <w:rsid w:val="002647B8"/>
    <w:rsid w:val="002648A9"/>
    <w:rsid w:val="00264AF6"/>
    <w:rsid w:val="00264B85"/>
    <w:rsid w:val="00264BAB"/>
    <w:rsid w:val="00264C59"/>
    <w:rsid w:val="00264CB7"/>
    <w:rsid w:val="00264CCE"/>
    <w:rsid w:val="00264CF6"/>
    <w:rsid w:val="00264EBC"/>
    <w:rsid w:val="00264F6B"/>
    <w:rsid w:val="00264F97"/>
    <w:rsid w:val="00265011"/>
    <w:rsid w:val="00265071"/>
    <w:rsid w:val="0026525A"/>
    <w:rsid w:val="0026557B"/>
    <w:rsid w:val="0026593D"/>
    <w:rsid w:val="0026593E"/>
    <w:rsid w:val="00265A40"/>
    <w:rsid w:val="00265BEE"/>
    <w:rsid w:val="00265C50"/>
    <w:rsid w:val="00265CCE"/>
    <w:rsid w:val="00265DDC"/>
    <w:rsid w:val="00265EB9"/>
    <w:rsid w:val="00265F04"/>
    <w:rsid w:val="00265F08"/>
    <w:rsid w:val="00265FB5"/>
    <w:rsid w:val="00266066"/>
    <w:rsid w:val="0026609F"/>
    <w:rsid w:val="0026616A"/>
    <w:rsid w:val="002661C6"/>
    <w:rsid w:val="00266266"/>
    <w:rsid w:val="002662FB"/>
    <w:rsid w:val="00266363"/>
    <w:rsid w:val="002663F4"/>
    <w:rsid w:val="00266496"/>
    <w:rsid w:val="002664C7"/>
    <w:rsid w:val="002665DF"/>
    <w:rsid w:val="0026661D"/>
    <w:rsid w:val="0026664E"/>
    <w:rsid w:val="00266684"/>
    <w:rsid w:val="00266749"/>
    <w:rsid w:val="0026698D"/>
    <w:rsid w:val="00266A44"/>
    <w:rsid w:val="00266B01"/>
    <w:rsid w:val="00266BEF"/>
    <w:rsid w:val="00266C83"/>
    <w:rsid w:val="00266DF3"/>
    <w:rsid w:val="00266EAD"/>
    <w:rsid w:val="00267068"/>
    <w:rsid w:val="002670A4"/>
    <w:rsid w:val="0026726E"/>
    <w:rsid w:val="00267371"/>
    <w:rsid w:val="00267516"/>
    <w:rsid w:val="0026753B"/>
    <w:rsid w:val="00267843"/>
    <w:rsid w:val="00267BD6"/>
    <w:rsid w:val="00267BDB"/>
    <w:rsid w:val="00267C26"/>
    <w:rsid w:val="00267D18"/>
    <w:rsid w:val="00267DB7"/>
    <w:rsid w:val="00267F5F"/>
    <w:rsid w:val="00267FAC"/>
    <w:rsid w:val="00270010"/>
    <w:rsid w:val="0027025D"/>
    <w:rsid w:val="00270422"/>
    <w:rsid w:val="0027047D"/>
    <w:rsid w:val="0027047F"/>
    <w:rsid w:val="002704A5"/>
    <w:rsid w:val="002704EC"/>
    <w:rsid w:val="002707F6"/>
    <w:rsid w:val="00270852"/>
    <w:rsid w:val="00270953"/>
    <w:rsid w:val="00270967"/>
    <w:rsid w:val="00270CA6"/>
    <w:rsid w:val="00270D86"/>
    <w:rsid w:val="00270E7B"/>
    <w:rsid w:val="00270E88"/>
    <w:rsid w:val="00271198"/>
    <w:rsid w:val="00271290"/>
    <w:rsid w:val="002712D1"/>
    <w:rsid w:val="00271358"/>
    <w:rsid w:val="00271411"/>
    <w:rsid w:val="002717D1"/>
    <w:rsid w:val="002717FD"/>
    <w:rsid w:val="00271858"/>
    <w:rsid w:val="002718F7"/>
    <w:rsid w:val="002719B0"/>
    <w:rsid w:val="002719CE"/>
    <w:rsid w:val="00271B20"/>
    <w:rsid w:val="00271BEF"/>
    <w:rsid w:val="00271C8E"/>
    <w:rsid w:val="00271CBF"/>
    <w:rsid w:val="00271D75"/>
    <w:rsid w:val="00271D87"/>
    <w:rsid w:val="00271D91"/>
    <w:rsid w:val="00271D9E"/>
    <w:rsid w:val="00271DBC"/>
    <w:rsid w:val="00271E71"/>
    <w:rsid w:val="00271E75"/>
    <w:rsid w:val="00272012"/>
    <w:rsid w:val="00272038"/>
    <w:rsid w:val="00272075"/>
    <w:rsid w:val="00272380"/>
    <w:rsid w:val="002723C9"/>
    <w:rsid w:val="00272471"/>
    <w:rsid w:val="002724C5"/>
    <w:rsid w:val="00272525"/>
    <w:rsid w:val="002725DC"/>
    <w:rsid w:val="002726A8"/>
    <w:rsid w:val="002726D6"/>
    <w:rsid w:val="002728E7"/>
    <w:rsid w:val="002729B4"/>
    <w:rsid w:val="00272A67"/>
    <w:rsid w:val="00272ACD"/>
    <w:rsid w:val="00272D00"/>
    <w:rsid w:val="00272D60"/>
    <w:rsid w:val="00272DDB"/>
    <w:rsid w:val="00272F9C"/>
    <w:rsid w:val="0027307A"/>
    <w:rsid w:val="00273216"/>
    <w:rsid w:val="0027323F"/>
    <w:rsid w:val="00273366"/>
    <w:rsid w:val="002733F1"/>
    <w:rsid w:val="00273413"/>
    <w:rsid w:val="00273476"/>
    <w:rsid w:val="00273499"/>
    <w:rsid w:val="00273555"/>
    <w:rsid w:val="00273561"/>
    <w:rsid w:val="00273657"/>
    <w:rsid w:val="00273722"/>
    <w:rsid w:val="002737C9"/>
    <w:rsid w:val="002738F9"/>
    <w:rsid w:val="0027399D"/>
    <w:rsid w:val="00273A26"/>
    <w:rsid w:val="00273B41"/>
    <w:rsid w:val="00273CA0"/>
    <w:rsid w:val="00273DC8"/>
    <w:rsid w:val="00273DE3"/>
    <w:rsid w:val="00273EF1"/>
    <w:rsid w:val="0027430B"/>
    <w:rsid w:val="00274360"/>
    <w:rsid w:val="00274432"/>
    <w:rsid w:val="00274504"/>
    <w:rsid w:val="00274577"/>
    <w:rsid w:val="002745B3"/>
    <w:rsid w:val="0027460B"/>
    <w:rsid w:val="00274656"/>
    <w:rsid w:val="0027469F"/>
    <w:rsid w:val="002747B2"/>
    <w:rsid w:val="00274950"/>
    <w:rsid w:val="00274969"/>
    <w:rsid w:val="00274970"/>
    <w:rsid w:val="002749F8"/>
    <w:rsid w:val="00274A0B"/>
    <w:rsid w:val="00274A10"/>
    <w:rsid w:val="00274A8D"/>
    <w:rsid w:val="00274C04"/>
    <w:rsid w:val="00274C75"/>
    <w:rsid w:val="00274CC2"/>
    <w:rsid w:val="00274E11"/>
    <w:rsid w:val="00274EF5"/>
    <w:rsid w:val="00274FAB"/>
    <w:rsid w:val="00275112"/>
    <w:rsid w:val="002751F8"/>
    <w:rsid w:val="002752BF"/>
    <w:rsid w:val="0027536F"/>
    <w:rsid w:val="00275587"/>
    <w:rsid w:val="002757F7"/>
    <w:rsid w:val="00275BCA"/>
    <w:rsid w:val="00275DDA"/>
    <w:rsid w:val="00275F36"/>
    <w:rsid w:val="002760BC"/>
    <w:rsid w:val="002760DB"/>
    <w:rsid w:val="002760F9"/>
    <w:rsid w:val="00276130"/>
    <w:rsid w:val="00276236"/>
    <w:rsid w:val="00276312"/>
    <w:rsid w:val="0027638D"/>
    <w:rsid w:val="002763D2"/>
    <w:rsid w:val="002763D5"/>
    <w:rsid w:val="00276454"/>
    <w:rsid w:val="002764D7"/>
    <w:rsid w:val="00276582"/>
    <w:rsid w:val="00276617"/>
    <w:rsid w:val="002766A8"/>
    <w:rsid w:val="0027670D"/>
    <w:rsid w:val="002767D8"/>
    <w:rsid w:val="00276CBC"/>
    <w:rsid w:val="00276D34"/>
    <w:rsid w:val="00276E43"/>
    <w:rsid w:val="00276FA2"/>
    <w:rsid w:val="00277124"/>
    <w:rsid w:val="00277147"/>
    <w:rsid w:val="002772A2"/>
    <w:rsid w:val="002773F8"/>
    <w:rsid w:val="00277448"/>
    <w:rsid w:val="002774E8"/>
    <w:rsid w:val="0027764D"/>
    <w:rsid w:val="0027771A"/>
    <w:rsid w:val="0027777B"/>
    <w:rsid w:val="00277A80"/>
    <w:rsid w:val="00277C59"/>
    <w:rsid w:val="00277C89"/>
    <w:rsid w:val="00277D2C"/>
    <w:rsid w:val="00277D2E"/>
    <w:rsid w:val="00277D4A"/>
    <w:rsid w:val="00277DAF"/>
    <w:rsid w:val="00277F3D"/>
    <w:rsid w:val="00277F50"/>
    <w:rsid w:val="00280032"/>
    <w:rsid w:val="0028011C"/>
    <w:rsid w:val="002801D8"/>
    <w:rsid w:val="0028020B"/>
    <w:rsid w:val="002802A1"/>
    <w:rsid w:val="00280470"/>
    <w:rsid w:val="002805A7"/>
    <w:rsid w:val="00280696"/>
    <w:rsid w:val="0028071A"/>
    <w:rsid w:val="00280789"/>
    <w:rsid w:val="00280823"/>
    <w:rsid w:val="00280985"/>
    <w:rsid w:val="00280E82"/>
    <w:rsid w:val="00280E9E"/>
    <w:rsid w:val="00280F4F"/>
    <w:rsid w:val="00280FCD"/>
    <w:rsid w:val="0028108C"/>
    <w:rsid w:val="00281177"/>
    <w:rsid w:val="002811E2"/>
    <w:rsid w:val="00281247"/>
    <w:rsid w:val="0028139B"/>
    <w:rsid w:val="00281418"/>
    <w:rsid w:val="00281471"/>
    <w:rsid w:val="00281591"/>
    <w:rsid w:val="0028166E"/>
    <w:rsid w:val="0028177D"/>
    <w:rsid w:val="002817DA"/>
    <w:rsid w:val="0028191C"/>
    <w:rsid w:val="002819A0"/>
    <w:rsid w:val="00281C3D"/>
    <w:rsid w:val="00281CAA"/>
    <w:rsid w:val="00281E21"/>
    <w:rsid w:val="00281E76"/>
    <w:rsid w:val="00282069"/>
    <w:rsid w:val="00282118"/>
    <w:rsid w:val="0028222C"/>
    <w:rsid w:val="00282262"/>
    <w:rsid w:val="0028235A"/>
    <w:rsid w:val="002823CC"/>
    <w:rsid w:val="002824DA"/>
    <w:rsid w:val="002826A8"/>
    <w:rsid w:val="0028272D"/>
    <w:rsid w:val="00282730"/>
    <w:rsid w:val="0028291F"/>
    <w:rsid w:val="002829BE"/>
    <w:rsid w:val="00282A11"/>
    <w:rsid w:val="00282A1B"/>
    <w:rsid w:val="00282BFD"/>
    <w:rsid w:val="00282C4B"/>
    <w:rsid w:val="00282EAA"/>
    <w:rsid w:val="00282F7B"/>
    <w:rsid w:val="00282FCA"/>
    <w:rsid w:val="002830C7"/>
    <w:rsid w:val="0028320A"/>
    <w:rsid w:val="0028330D"/>
    <w:rsid w:val="002833E7"/>
    <w:rsid w:val="002834ED"/>
    <w:rsid w:val="0028351E"/>
    <w:rsid w:val="0028365A"/>
    <w:rsid w:val="002836D3"/>
    <w:rsid w:val="002837E3"/>
    <w:rsid w:val="00283811"/>
    <w:rsid w:val="00283818"/>
    <w:rsid w:val="00283A4F"/>
    <w:rsid w:val="00283BFA"/>
    <w:rsid w:val="00283C19"/>
    <w:rsid w:val="00283CC9"/>
    <w:rsid w:val="00283D6D"/>
    <w:rsid w:val="00283DBE"/>
    <w:rsid w:val="00283ED3"/>
    <w:rsid w:val="00283EEF"/>
    <w:rsid w:val="00283F15"/>
    <w:rsid w:val="00283F1A"/>
    <w:rsid w:val="00284039"/>
    <w:rsid w:val="00284268"/>
    <w:rsid w:val="0028430C"/>
    <w:rsid w:val="0028435A"/>
    <w:rsid w:val="002843A1"/>
    <w:rsid w:val="002843AB"/>
    <w:rsid w:val="002843DF"/>
    <w:rsid w:val="00284473"/>
    <w:rsid w:val="00284554"/>
    <w:rsid w:val="0028471B"/>
    <w:rsid w:val="00284725"/>
    <w:rsid w:val="00284855"/>
    <w:rsid w:val="002848A3"/>
    <w:rsid w:val="00284989"/>
    <w:rsid w:val="002849DF"/>
    <w:rsid w:val="00284A35"/>
    <w:rsid w:val="00284E28"/>
    <w:rsid w:val="00284E2E"/>
    <w:rsid w:val="00284F01"/>
    <w:rsid w:val="0028507C"/>
    <w:rsid w:val="00285097"/>
    <w:rsid w:val="002850B0"/>
    <w:rsid w:val="00285297"/>
    <w:rsid w:val="002852C0"/>
    <w:rsid w:val="002853D9"/>
    <w:rsid w:val="002853FE"/>
    <w:rsid w:val="00285472"/>
    <w:rsid w:val="0028557C"/>
    <w:rsid w:val="00285703"/>
    <w:rsid w:val="00285872"/>
    <w:rsid w:val="002859D1"/>
    <w:rsid w:val="00285A13"/>
    <w:rsid w:val="00285B63"/>
    <w:rsid w:val="00285C4C"/>
    <w:rsid w:val="00285C58"/>
    <w:rsid w:val="00285C79"/>
    <w:rsid w:val="00285E37"/>
    <w:rsid w:val="00285E68"/>
    <w:rsid w:val="00285E80"/>
    <w:rsid w:val="00285E96"/>
    <w:rsid w:val="00285F1D"/>
    <w:rsid w:val="00286202"/>
    <w:rsid w:val="00286234"/>
    <w:rsid w:val="002862DE"/>
    <w:rsid w:val="0028652B"/>
    <w:rsid w:val="0028654A"/>
    <w:rsid w:val="0028658A"/>
    <w:rsid w:val="002865A5"/>
    <w:rsid w:val="002865E6"/>
    <w:rsid w:val="00286665"/>
    <w:rsid w:val="00286889"/>
    <w:rsid w:val="002868C3"/>
    <w:rsid w:val="00286B50"/>
    <w:rsid w:val="00286BC9"/>
    <w:rsid w:val="00286CBC"/>
    <w:rsid w:val="00286D32"/>
    <w:rsid w:val="00286DBC"/>
    <w:rsid w:val="00286E36"/>
    <w:rsid w:val="00286E60"/>
    <w:rsid w:val="00286F65"/>
    <w:rsid w:val="0028706E"/>
    <w:rsid w:val="0028706F"/>
    <w:rsid w:val="00287198"/>
    <w:rsid w:val="00287270"/>
    <w:rsid w:val="0028729B"/>
    <w:rsid w:val="002873B3"/>
    <w:rsid w:val="00287570"/>
    <w:rsid w:val="0028764B"/>
    <w:rsid w:val="002877B4"/>
    <w:rsid w:val="00287817"/>
    <w:rsid w:val="00287863"/>
    <w:rsid w:val="0028787E"/>
    <w:rsid w:val="002878EA"/>
    <w:rsid w:val="00287937"/>
    <w:rsid w:val="00287AA6"/>
    <w:rsid w:val="00287B7B"/>
    <w:rsid w:val="00287B88"/>
    <w:rsid w:val="00287ED3"/>
    <w:rsid w:val="00287F6C"/>
    <w:rsid w:val="00287FAD"/>
    <w:rsid w:val="00290066"/>
    <w:rsid w:val="00290297"/>
    <w:rsid w:val="002902C5"/>
    <w:rsid w:val="0029032E"/>
    <w:rsid w:val="002903EF"/>
    <w:rsid w:val="00290491"/>
    <w:rsid w:val="002904A2"/>
    <w:rsid w:val="0029069B"/>
    <w:rsid w:val="002907A1"/>
    <w:rsid w:val="00290810"/>
    <w:rsid w:val="00290923"/>
    <w:rsid w:val="00290999"/>
    <w:rsid w:val="00290B05"/>
    <w:rsid w:val="00290C8E"/>
    <w:rsid w:val="00290CDD"/>
    <w:rsid w:val="00290CEC"/>
    <w:rsid w:val="00290CFA"/>
    <w:rsid w:val="00290D3C"/>
    <w:rsid w:val="00290DC8"/>
    <w:rsid w:val="00290E62"/>
    <w:rsid w:val="00290E6F"/>
    <w:rsid w:val="00290F50"/>
    <w:rsid w:val="00290FCD"/>
    <w:rsid w:val="0029112B"/>
    <w:rsid w:val="00291198"/>
    <w:rsid w:val="00291233"/>
    <w:rsid w:val="0029123B"/>
    <w:rsid w:val="00291244"/>
    <w:rsid w:val="00291263"/>
    <w:rsid w:val="002912C0"/>
    <w:rsid w:val="002912EB"/>
    <w:rsid w:val="00291404"/>
    <w:rsid w:val="00291455"/>
    <w:rsid w:val="0029157E"/>
    <w:rsid w:val="00291636"/>
    <w:rsid w:val="00291975"/>
    <w:rsid w:val="00291A87"/>
    <w:rsid w:val="00291C71"/>
    <w:rsid w:val="00291D2D"/>
    <w:rsid w:val="00291DB9"/>
    <w:rsid w:val="00291E77"/>
    <w:rsid w:val="00291ED3"/>
    <w:rsid w:val="00291F53"/>
    <w:rsid w:val="00292031"/>
    <w:rsid w:val="00292039"/>
    <w:rsid w:val="00292111"/>
    <w:rsid w:val="00292182"/>
    <w:rsid w:val="00292188"/>
    <w:rsid w:val="002921BE"/>
    <w:rsid w:val="00292376"/>
    <w:rsid w:val="00292518"/>
    <w:rsid w:val="0029262E"/>
    <w:rsid w:val="002926EF"/>
    <w:rsid w:val="00292786"/>
    <w:rsid w:val="00292841"/>
    <w:rsid w:val="0029297F"/>
    <w:rsid w:val="002929D0"/>
    <w:rsid w:val="00292AC5"/>
    <w:rsid w:val="00292CAA"/>
    <w:rsid w:val="00292CFB"/>
    <w:rsid w:val="00292DD9"/>
    <w:rsid w:val="00292E95"/>
    <w:rsid w:val="002930C9"/>
    <w:rsid w:val="002930F9"/>
    <w:rsid w:val="0029320C"/>
    <w:rsid w:val="002932B4"/>
    <w:rsid w:val="0029338B"/>
    <w:rsid w:val="002934B2"/>
    <w:rsid w:val="00293561"/>
    <w:rsid w:val="00293654"/>
    <w:rsid w:val="002936F6"/>
    <w:rsid w:val="0029372B"/>
    <w:rsid w:val="002937A6"/>
    <w:rsid w:val="002937F2"/>
    <w:rsid w:val="00293AB2"/>
    <w:rsid w:val="00293BA7"/>
    <w:rsid w:val="00293BD7"/>
    <w:rsid w:val="00293CAA"/>
    <w:rsid w:val="00293D19"/>
    <w:rsid w:val="00293D76"/>
    <w:rsid w:val="00293EF6"/>
    <w:rsid w:val="002940DE"/>
    <w:rsid w:val="00294131"/>
    <w:rsid w:val="00294135"/>
    <w:rsid w:val="002943A9"/>
    <w:rsid w:val="002944F1"/>
    <w:rsid w:val="00294570"/>
    <w:rsid w:val="002945C3"/>
    <w:rsid w:val="00294661"/>
    <w:rsid w:val="00294721"/>
    <w:rsid w:val="00294774"/>
    <w:rsid w:val="0029489C"/>
    <w:rsid w:val="002948CC"/>
    <w:rsid w:val="00294944"/>
    <w:rsid w:val="002949FD"/>
    <w:rsid w:val="00294BF6"/>
    <w:rsid w:val="00294C5A"/>
    <w:rsid w:val="00294C7F"/>
    <w:rsid w:val="00294CE6"/>
    <w:rsid w:val="00294D51"/>
    <w:rsid w:val="00294E2D"/>
    <w:rsid w:val="00294EE2"/>
    <w:rsid w:val="00294EFD"/>
    <w:rsid w:val="00294F3C"/>
    <w:rsid w:val="00295133"/>
    <w:rsid w:val="00295262"/>
    <w:rsid w:val="0029542C"/>
    <w:rsid w:val="0029545B"/>
    <w:rsid w:val="00295471"/>
    <w:rsid w:val="0029550A"/>
    <w:rsid w:val="00295577"/>
    <w:rsid w:val="002955A1"/>
    <w:rsid w:val="00295870"/>
    <w:rsid w:val="0029589B"/>
    <w:rsid w:val="00295924"/>
    <w:rsid w:val="00295AFC"/>
    <w:rsid w:val="00295B68"/>
    <w:rsid w:val="00295B9B"/>
    <w:rsid w:val="00295D29"/>
    <w:rsid w:val="00295D6E"/>
    <w:rsid w:val="00295E02"/>
    <w:rsid w:val="00295E37"/>
    <w:rsid w:val="00295FEB"/>
    <w:rsid w:val="002962A3"/>
    <w:rsid w:val="002964F4"/>
    <w:rsid w:val="00296509"/>
    <w:rsid w:val="00296C55"/>
    <w:rsid w:val="00296CA1"/>
    <w:rsid w:val="00296CD6"/>
    <w:rsid w:val="00296DEE"/>
    <w:rsid w:val="00296E61"/>
    <w:rsid w:val="00296E9D"/>
    <w:rsid w:val="00296ECD"/>
    <w:rsid w:val="00296FA0"/>
    <w:rsid w:val="00296FFC"/>
    <w:rsid w:val="00297033"/>
    <w:rsid w:val="002970BA"/>
    <w:rsid w:val="0029712C"/>
    <w:rsid w:val="00297330"/>
    <w:rsid w:val="0029737E"/>
    <w:rsid w:val="00297610"/>
    <w:rsid w:val="00297624"/>
    <w:rsid w:val="00297637"/>
    <w:rsid w:val="0029767A"/>
    <w:rsid w:val="00297811"/>
    <w:rsid w:val="00297861"/>
    <w:rsid w:val="00297871"/>
    <w:rsid w:val="00297994"/>
    <w:rsid w:val="00297A2C"/>
    <w:rsid w:val="00297B18"/>
    <w:rsid w:val="00297B6F"/>
    <w:rsid w:val="00297BE3"/>
    <w:rsid w:val="00297BEB"/>
    <w:rsid w:val="00297C5E"/>
    <w:rsid w:val="00297D77"/>
    <w:rsid w:val="00297DEA"/>
    <w:rsid w:val="00297EC0"/>
    <w:rsid w:val="00297F4D"/>
    <w:rsid w:val="002A00C6"/>
    <w:rsid w:val="002A0195"/>
    <w:rsid w:val="002A01EF"/>
    <w:rsid w:val="002A0274"/>
    <w:rsid w:val="002A03B5"/>
    <w:rsid w:val="002A03EC"/>
    <w:rsid w:val="002A0440"/>
    <w:rsid w:val="002A05C5"/>
    <w:rsid w:val="002A063D"/>
    <w:rsid w:val="002A0681"/>
    <w:rsid w:val="002A06A7"/>
    <w:rsid w:val="002A06E3"/>
    <w:rsid w:val="002A0738"/>
    <w:rsid w:val="002A08CC"/>
    <w:rsid w:val="002A0A19"/>
    <w:rsid w:val="002A0A4A"/>
    <w:rsid w:val="002A0AF1"/>
    <w:rsid w:val="002A0B02"/>
    <w:rsid w:val="002A0C2F"/>
    <w:rsid w:val="002A0C31"/>
    <w:rsid w:val="002A0C5E"/>
    <w:rsid w:val="002A0CC7"/>
    <w:rsid w:val="002A0D1F"/>
    <w:rsid w:val="002A0F01"/>
    <w:rsid w:val="002A0F98"/>
    <w:rsid w:val="002A1129"/>
    <w:rsid w:val="002A114B"/>
    <w:rsid w:val="002A11EC"/>
    <w:rsid w:val="002A11F5"/>
    <w:rsid w:val="002A1214"/>
    <w:rsid w:val="002A1294"/>
    <w:rsid w:val="002A133B"/>
    <w:rsid w:val="002A1388"/>
    <w:rsid w:val="002A139B"/>
    <w:rsid w:val="002A1520"/>
    <w:rsid w:val="002A1535"/>
    <w:rsid w:val="002A1729"/>
    <w:rsid w:val="002A175A"/>
    <w:rsid w:val="002A179D"/>
    <w:rsid w:val="002A17F7"/>
    <w:rsid w:val="002A1822"/>
    <w:rsid w:val="002A1872"/>
    <w:rsid w:val="002A187A"/>
    <w:rsid w:val="002A188F"/>
    <w:rsid w:val="002A18D0"/>
    <w:rsid w:val="002A192C"/>
    <w:rsid w:val="002A19BE"/>
    <w:rsid w:val="002A1A86"/>
    <w:rsid w:val="002A1A95"/>
    <w:rsid w:val="002A1CA8"/>
    <w:rsid w:val="002A1DF8"/>
    <w:rsid w:val="002A1F1B"/>
    <w:rsid w:val="002A1F73"/>
    <w:rsid w:val="002A1FB6"/>
    <w:rsid w:val="002A1FFB"/>
    <w:rsid w:val="002A211E"/>
    <w:rsid w:val="002A2258"/>
    <w:rsid w:val="002A227E"/>
    <w:rsid w:val="002A2350"/>
    <w:rsid w:val="002A235B"/>
    <w:rsid w:val="002A23DD"/>
    <w:rsid w:val="002A2431"/>
    <w:rsid w:val="002A246A"/>
    <w:rsid w:val="002A2546"/>
    <w:rsid w:val="002A2589"/>
    <w:rsid w:val="002A259B"/>
    <w:rsid w:val="002A267F"/>
    <w:rsid w:val="002A26CB"/>
    <w:rsid w:val="002A2793"/>
    <w:rsid w:val="002A27DB"/>
    <w:rsid w:val="002A282A"/>
    <w:rsid w:val="002A2833"/>
    <w:rsid w:val="002A2890"/>
    <w:rsid w:val="002A2913"/>
    <w:rsid w:val="002A2920"/>
    <w:rsid w:val="002A294B"/>
    <w:rsid w:val="002A29B9"/>
    <w:rsid w:val="002A2A09"/>
    <w:rsid w:val="002A2AA6"/>
    <w:rsid w:val="002A2B21"/>
    <w:rsid w:val="002A2DE3"/>
    <w:rsid w:val="002A2E2A"/>
    <w:rsid w:val="002A2EAC"/>
    <w:rsid w:val="002A30EB"/>
    <w:rsid w:val="002A3149"/>
    <w:rsid w:val="002A3171"/>
    <w:rsid w:val="002A317C"/>
    <w:rsid w:val="002A3189"/>
    <w:rsid w:val="002A318B"/>
    <w:rsid w:val="002A329C"/>
    <w:rsid w:val="002A33B5"/>
    <w:rsid w:val="002A367E"/>
    <w:rsid w:val="002A3749"/>
    <w:rsid w:val="002A3862"/>
    <w:rsid w:val="002A3A17"/>
    <w:rsid w:val="002A3A43"/>
    <w:rsid w:val="002A3B11"/>
    <w:rsid w:val="002A3B7D"/>
    <w:rsid w:val="002A3BEE"/>
    <w:rsid w:val="002A3C06"/>
    <w:rsid w:val="002A3CD5"/>
    <w:rsid w:val="002A3D28"/>
    <w:rsid w:val="002A3E28"/>
    <w:rsid w:val="002A3F26"/>
    <w:rsid w:val="002A3FD0"/>
    <w:rsid w:val="002A3FE5"/>
    <w:rsid w:val="002A4039"/>
    <w:rsid w:val="002A410C"/>
    <w:rsid w:val="002A412A"/>
    <w:rsid w:val="002A41CA"/>
    <w:rsid w:val="002A41FC"/>
    <w:rsid w:val="002A4324"/>
    <w:rsid w:val="002A4329"/>
    <w:rsid w:val="002A4489"/>
    <w:rsid w:val="002A44CD"/>
    <w:rsid w:val="002A4502"/>
    <w:rsid w:val="002A4533"/>
    <w:rsid w:val="002A4603"/>
    <w:rsid w:val="002A46E1"/>
    <w:rsid w:val="002A471A"/>
    <w:rsid w:val="002A471C"/>
    <w:rsid w:val="002A475A"/>
    <w:rsid w:val="002A4884"/>
    <w:rsid w:val="002A494B"/>
    <w:rsid w:val="002A49CD"/>
    <w:rsid w:val="002A4A79"/>
    <w:rsid w:val="002A4BE2"/>
    <w:rsid w:val="002A4BF4"/>
    <w:rsid w:val="002A4D70"/>
    <w:rsid w:val="002A4E34"/>
    <w:rsid w:val="002A4EAE"/>
    <w:rsid w:val="002A4F8B"/>
    <w:rsid w:val="002A505B"/>
    <w:rsid w:val="002A5196"/>
    <w:rsid w:val="002A5221"/>
    <w:rsid w:val="002A5236"/>
    <w:rsid w:val="002A52DA"/>
    <w:rsid w:val="002A54B6"/>
    <w:rsid w:val="002A5531"/>
    <w:rsid w:val="002A559F"/>
    <w:rsid w:val="002A579A"/>
    <w:rsid w:val="002A5805"/>
    <w:rsid w:val="002A5890"/>
    <w:rsid w:val="002A58D5"/>
    <w:rsid w:val="002A5A19"/>
    <w:rsid w:val="002A5B4E"/>
    <w:rsid w:val="002A5C8C"/>
    <w:rsid w:val="002A5CF9"/>
    <w:rsid w:val="002A5E3F"/>
    <w:rsid w:val="002A5EB0"/>
    <w:rsid w:val="002A5FDF"/>
    <w:rsid w:val="002A6117"/>
    <w:rsid w:val="002A61ED"/>
    <w:rsid w:val="002A6206"/>
    <w:rsid w:val="002A63AD"/>
    <w:rsid w:val="002A641A"/>
    <w:rsid w:val="002A64C4"/>
    <w:rsid w:val="002A6581"/>
    <w:rsid w:val="002A65B7"/>
    <w:rsid w:val="002A65C6"/>
    <w:rsid w:val="002A6697"/>
    <w:rsid w:val="002A6793"/>
    <w:rsid w:val="002A67B6"/>
    <w:rsid w:val="002A68A6"/>
    <w:rsid w:val="002A6955"/>
    <w:rsid w:val="002A6982"/>
    <w:rsid w:val="002A69BB"/>
    <w:rsid w:val="002A6AE4"/>
    <w:rsid w:val="002A6AF3"/>
    <w:rsid w:val="002A6B33"/>
    <w:rsid w:val="002A6C00"/>
    <w:rsid w:val="002A6C19"/>
    <w:rsid w:val="002A6C34"/>
    <w:rsid w:val="002A6D26"/>
    <w:rsid w:val="002A6DD0"/>
    <w:rsid w:val="002A6E0F"/>
    <w:rsid w:val="002A6FB1"/>
    <w:rsid w:val="002A6FE5"/>
    <w:rsid w:val="002A6FFE"/>
    <w:rsid w:val="002A7206"/>
    <w:rsid w:val="002A7318"/>
    <w:rsid w:val="002A73F0"/>
    <w:rsid w:val="002A766C"/>
    <w:rsid w:val="002A76F8"/>
    <w:rsid w:val="002A772E"/>
    <w:rsid w:val="002A7960"/>
    <w:rsid w:val="002A7AA6"/>
    <w:rsid w:val="002A7D16"/>
    <w:rsid w:val="002A7EF0"/>
    <w:rsid w:val="002A7F14"/>
    <w:rsid w:val="002A7FD6"/>
    <w:rsid w:val="002B0099"/>
    <w:rsid w:val="002B00B0"/>
    <w:rsid w:val="002B010B"/>
    <w:rsid w:val="002B014F"/>
    <w:rsid w:val="002B03ED"/>
    <w:rsid w:val="002B047A"/>
    <w:rsid w:val="002B049B"/>
    <w:rsid w:val="002B052A"/>
    <w:rsid w:val="002B0618"/>
    <w:rsid w:val="002B0734"/>
    <w:rsid w:val="002B0940"/>
    <w:rsid w:val="002B0A7E"/>
    <w:rsid w:val="002B0AA0"/>
    <w:rsid w:val="002B0C54"/>
    <w:rsid w:val="002B0F00"/>
    <w:rsid w:val="002B0F90"/>
    <w:rsid w:val="002B100E"/>
    <w:rsid w:val="002B102E"/>
    <w:rsid w:val="002B1059"/>
    <w:rsid w:val="002B10D4"/>
    <w:rsid w:val="002B11E1"/>
    <w:rsid w:val="002B13DF"/>
    <w:rsid w:val="002B1545"/>
    <w:rsid w:val="002B1657"/>
    <w:rsid w:val="002B1722"/>
    <w:rsid w:val="002B1850"/>
    <w:rsid w:val="002B18BD"/>
    <w:rsid w:val="002B193A"/>
    <w:rsid w:val="002B19BA"/>
    <w:rsid w:val="002B19C1"/>
    <w:rsid w:val="002B1ACB"/>
    <w:rsid w:val="002B1CAC"/>
    <w:rsid w:val="002B20DF"/>
    <w:rsid w:val="002B215B"/>
    <w:rsid w:val="002B21C1"/>
    <w:rsid w:val="002B239E"/>
    <w:rsid w:val="002B23C0"/>
    <w:rsid w:val="002B24F0"/>
    <w:rsid w:val="002B24F9"/>
    <w:rsid w:val="002B2524"/>
    <w:rsid w:val="002B2526"/>
    <w:rsid w:val="002B26DB"/>
    <w:rsid w:val="002B270B"/>
    <w:rsid w:val="002B27A6"/>
    <w:rsid w:val="002B28CB"/>
    <w:rsid w:val="002B2A75"/>
    <w:rsid w:val="002B2AAA"/>
    <w:rsid w:val="002B2AE5"/>
    <w:rsid w:val="002B2AFA"/>
    <w:rsid w:val="002B2B15"/>
    <w:rsid w:val="002B2C2C"/>
    <w:rsid w:val="002B2CD5"/>
    <w:rsid w:val="002B2E3A"/>
    <w:rsid w:val="002B2F6B"/>
    <w:rsid w:val="002B2FC4"/>
    <w:rsid w:val="002B31DB"/>
    <w:rsid w:val="002B3205"/>
    <w:rsid w:val="002B32B7"/>
    <w:rsid w:val="002B334A"/>
    <w:rsid w:val="002B3431"/>
    <w:rsid w:val="002B3475"/>
    <w:rsid w:val="002B35ED"/>
    <w:rsid w:val="002B3778"/>
    <w:rsid w:val="002B381C"/>
    <w:rsid w:val="002B3A4A"/>
    <w:rsid w:val="002B3BC4"/>
    <w:rsid w:val="002B3CA4"/>
    <w:rsid w:val="002B3D0E"/>
    <w:rsid w:val="002B3D37"/>
    <w:rsid w:val="002B3D4A"/>
    <w:rsid w:val="002B3D6E"/>
    <w:rsid w:val="002B3DE0"/>
    <w:rsid w:val="002B3E45"/>
    <w:rsid w:val="002B3E78"/>
    <w:rsid w:val="002B3E94"/>
    <w:rsid w:val="002B3EF6"/>
    <w:rsid w:val="002B3F2A"/>
    <w:rsid w:val="002B41E7"/>
    <w:rsid w:val="002B421A"/>
    <w:rsid w:val="002B43B6"/>
    <w:rsid w:val="002B43E7"/>
    <w:rsid w:val="002B4425"/>
    <w:rsid w:val="002B455B"/>
    <w:rsid w:val="002B46E1"/>
    <w:rsid w:val="002B480F"/>
    <w:rsid w:val="002B4947"/>
    <w:rsid w:val="002B4996"/>
    <w:rsid w:val="002B4A40"/>
    <w:rsid w:val="002B4BA7"/>
    <w:rsid w:val="002B4BEC"/>
    <w:rsid w:val="002B4BF3"/>
    <w:rsid w:val="002B4C0B"/>
    <w:rsid w:val="002B4DB8"/>
    <w:rsid w:val="002B4E89"/>
    <w:rsid w:val="002B4F20"/>
    <w:rsid w:val="002B4FF9"/>
    <w:rsid w:val="002B501C"/>
    <w:rsid w:val="002B504C"/>
    <w:rsid w:val="002B5055"/>
    <w:rsid w:val="002B519B"/>
    <w:rsid w:val="002B51B4"/>
    <w:rsid w:val="002B526E"/>
    <w:rsid w:val="002B5318"/>
    <w:rsid w:val="002B537A"/>
    <w:rsid w:val="002B5453"/>
    <w:rsid w:val="002B54D7"/>
    <w:rsid w:val="002B5510"/>
    <w:rsid w:val="002B5562"/>
    <w:rsid w:val="002B5629"/>
    <w:rsid w:val="002B5822"/>
    <w:rsid w:val="002B58B6"/>
    <w:rsid w:val="002B5996"/>
    <w:rsid w:val="002B5A48"/>
    <w:rsid w:val="002B5D9D"/>
    <w:rsid w:val="002B5DE9"/>
    <w:rsid w:val="002B5EE7"/>
    <w:rsid w:val="002B5EF9"/>
    <w:rsid w:val="002B5F2B"/>
    <w:rsid w:val="002B5FC1"/>
    <w:rsid w:val="002B6156"/>
    <w:rsid w:val="002B63D6"/>
    <w:rsid w:val="002B642F"/>
    <w:rsid w:val="002B6484"/>
    <w:rsid w:val="002B6569"/>
    <w:rsid w:val="002B66CC"/>
    <w:rsid w:val="002B67BD"/>
    <w:rsid w:val="002B6824"/>
    <w:rsid w:val="002B69A2"/>
    <w:rsid w:val="002B6A7F"/>
    <w:rsid w:val="002B6B04"/>
    <w:rsid w:val="002B6B52"/>
    <w:rsid w:val="002B6C1F"/>
    <w:rsid w:val="002B6D3C"/>
    <w:rsid w:val="002B6DE4"/>
    <w:rsid w:val="002B6EA5"/>
    <w:rsid w:val="002B7009"/>
    <w:rsid w:val="002B713B"/>
    <w:rsid w:val="002B7251"/>
    <w:rsid w:val="002B7385"/>
    <w:rsid w:val="002B73B6"/>
    <w:rsid w:val="002B7481"/>
    <w:rsid w:val="002B74A5"/>
    <w:rsid w:val="002B752C"/>
    <w:rsid w:val="002B7530"/>
    <w:rsid w:val="002B7729"/>
    <w:rsid w:val="002B775A"/>
    <w:rsid w:val="002B787A"/>
    <w:rsid w:val="002B79E8"/>
    <w:rsid w:val="002B7AFC"/>
    <w:rsid w:val="002B7B06"/>
    <w:rsid w:val="002B7B12"/>
    <w:rsid w:val="002B7B20"/>
    <w:rsid w:val="002B7CDA"/>
    <w:rsid w:val="002B7D47"/>
    <w:rsid w:val="002B7E35"/>
    <w:rsid w:val="002B7F0B"/>
    <w:rsid w:val="002B7FC6"/>
    <w:rsid w:val="002C010B"/>
    <w:rsid w:val="002C014B"/>
    <w:rsid w:val="002C0298"/>
    <w:rsid w:val="002C02AB"/>
    <w:rsid w:val="002C04B1"/>
    <w:rsid w:val="002C04D9"/>
    <w:rsid w:val="002C054F"/>
    <w:rsid w:val="002C0564"/>
    <w:rsid w:val="002C071B"/>
    <w:rsid w:val="002C073D"/>
    <w:rsid w:val="002C0A37"/>
    <w:rsid w:val="002C0A81"/>
    <w:rsid w:val="002C0B07"/>
    <w:rsid w:val="002C0B99"/>
    <w:rsid w:val="002C0BA8"/>
    <w:rsid w:val="002C0C7B"/>
    <w:rsid w:val="002C0D37"/>
    <w:rsid w:val="002C0D3D"/>
    <w:rsid w:val="002C0D53"/>
    <w:rsid w:val="002C0D6A"/>
    <w:rsid w:val="002C0EA4"/>
    <w:rsid w:val="002C10AA"/>
    <w:rsid w:val="002C1167"/>
    <w:rsid w:val="002C129D"/>
    <w:rsid w:val="002C12A8"/>
    <w:rsid w:val="002C140E"/>
    <w:rsid w:val="002C14F9"/>
    <w:rsid w:val="002C155C"/>
    <w:rsid w:val="002C15FA"/>
    <w:rsid w:val="002C169A"/>
    <w:rsid w:val="002C16C6"/>
    <w:rsid w:val="002C16F6"/>
    <w:rsid w:val="002C1755"/>
    <w:rsid w:val="002C1796"/>
    <w:rsid w:val="002C1824"/>
    <w:rsid w:val="002C18E7"/>
    <w:rsid w:val="002C1900"/>
    <w:rsid w:val="002C19BE"/>
    <w:rsid w:val="002C19FF"/>
    <w:rsid w:val="002C1A34"/>
    <w:rsid w:val="002C1AAF"/>
    <w:rsid w:val="002C1B8E"/>
    <w:rsid w:val="002C1BC5"/>
    <w:rsid w:val="002C1D9F"/>
    <w:rsid w:val="002C1E34"/>
    <w:rsid w:val="002C1EA5"/>
    <w:rsid w:val="002C1FB1"/>
    <w:rsid w:val="002C201D"/>
    <w:rsid w:val="002C22A6"/>
    <w:rsid w:val="002C2397"/>
    <w:rsid w:val="002C23E5"/>
    <w:rsid w:val="002C23F6"/>
    <w:rsid w:val="002C24F5"/>
    <w:rsid w:val="002C25EE"/>
    <w:rsid w:val="002C2601"/>
    <w:rsid w:val="002C267B"/>
    <w:rsid w:val="002C2756"/>
    <w:rsid w:val="002C2915"/>
    <w:rsid w:val="002C2A58"/>
    <w:rsid w:val="002C2DB1"/>
    <w:rsid w:val="002C2E23"/>
    <w:rsid w:val="002C2E25"/>
    <w:rsid w:val="002C2E39"/>
    <w:rsid w:val="002C2F15"/>
    <w:rsid w:val="002C2FA5"/>
    <w:rsid w:val="002C3017"/>
    <w:rsid w:val="002C30DC"/>
    <w:rsid w:val="002C3102"/>
    <w:rsid w:val="002C31BC"/>
    <w:rsid w:val="002C31BE"/>
    <w:rsid w:val="002C31D3"/>
    <w:rsid w:val="002C32B5"/>
    <w:rsid w:val="002C331B"/>
    <w:rsid w:val="002C33B8"/>
    <w:rsid w:val="002C34D3"/>
    <w:rsid w:val="002C360B"/>
    <w:rsid w:val="002C361C"/>
    <w:rsid w:val="002C3651"/>
    <w:rsid w:val="002C365D"/>
    <w:rsid w:val="002C3672"/>
    <w:rsid w:val="002C36A5"/>
    <w:rsid w:val="002C3731"/>
    <w:rsid w:val="002C381E"/>
    <w:rsid w:val="002C395A"/>
    <w:rsid w:val="002C3B3D"/>
    <w:rsid w:val="002C3BC6"/>
    <w:rsid w:val="002C3C75"/>
    <w:rsid w:val="002C3F35"/>
    <w:rsid w:val="002C4007"/>
    <w:rsid w:val="002C4042"/>
    <w:rsid w:val="002C433A"/>
    <w:rsid w:val="002C4360"/>
    <w:rsid w:val="002C4431"/>
    <w:rsid w:val="002C4497"/>
    <w:rsid w:val="002C449E"/>
    <w:rsid w:val="002C4635"/>
    <w:rsid w:val="002C46B6"/>
    <w:rsid w:val="002C48AA"/>
    <w:rsid w:val="002C4996"/>
    <w:rsid w:val="002C4A04"/>
    <w:rsid w:val="002C4A54"/>
    <w:rsid w:val="002C4C74"/>
    <w:rsid w:val="002C4CE9"/>
    <w:rsid w:val="002C4D49"/>
    <w:rsid w:val="002C4D8A"/>
    <w:rsid w:val="002C4E79"/>
    <w:rsid w:val="002C4FDA"/>
    <w:rsid w:val="002C4FE6"/>
    <w:rsid w:val="002C519F"/>
    <w:rsid w:val="002C52B5"/>
    <w:rsid w:val="002C55FC"/>
    <w:rsid w:val="002C564D"/>
    <w:rsid w:val="002C5995"/>
    <w:rsid w:val="002C5B8F"/>
    <w:rsid w:val="002C5BA9"/>
    <w:rsid w:val="002C5CDD"/>
    <w:rsid w:val="002C5E9D"/>
    <w:rsid w:val="002C5F96"/>
    <w:rsid w:val="002C607B"/>
    <w:rsid w:val="002C61DA"/>
    <w:rsid w:val="002C62EC"/>
    <w:rsid w:val="002C62F0"/>
    <w:rsid w:val="002C630F"/>
    <w:rsid w:val="002C6430"/>
    <w:rsid w:val="002C6631"/>
    <w:rsid w:val="002C66CD"/>
    <w:rsid w:val="002C67BA"/>
    <w:rsid w:val="002C6931"/>
    <w:rsid w:val="002C699C"/>
    <w:rsid w:val="002C6A97"/>
    <w:rsid w:val="002C6B64"/>
    <w:rsid w:val="002C6B8E"/>
    <w:rsid w:val="002C6D81"/>
    <w:rsid w:val="002C6E81"/>
    <w:rsid w:val="002C6F2D"/>
    <w:rsid w:val="002C6F37"/>
    <w:rsid w:val="002C6FA4"/>
    <w:rsid w:val="002C719D"/>
    <w:rsid w:val="002C71D0"/>
    <w:rsid w:val="002C743D"/>
    <w:rsid w:val="002C7590"/>
    <w:rsid w:val="002C77C9"/>
    <w:rsid w:val="002C7814"/>
    <w:rsid w:val="002C7854"/>
    <w:rsid w:val="002C7873"/>
    <w:rsid w:val="002C790F"/>
    <w:rsid w:val="002C7D07"/>
    <w:rsid w:val="002C7E12"/>
    <w:rsid w:val="002D0082"/>
    <w:rsid w:val="002D0220"/>
    <w:rsid w:val="002D03AB"/>
    <w:rsid w:val="002D0457"/>
    <w:rsid w:val="002D0461"/>
    <w:rsid w:val="002D0529"/>
    <w:rsid w:val="002D0643"/>
    <w:rsid w:val="002D06AC"/>
    <w:rsid w:val="002D06BB"/>
    <w:rsid w:val="002D06E6"/>
    <w:rsid w:val="002D0776"/>
    <w:rsid w:val="002D08B9"/>
    <w:rsid w:val="002D0924"/>
    <w:rsid w:val="002D0945"/>
    <w:rsid w:val="002D0983"/>
    <w:rsid w:val="002D09A3"/>
    <w:rsid w:val="002D0A00"/>
    <w:rsid w:val="002D0AC7"/>
    <w:rsid w:val="002D0AED"/>
    <w:rsid w:val="002D0BB1"/>
    <w:rsid w:val="002D0BC5"/>
    <w:rsid w:val="002D0BD6"/>
    <w:rsid w:val="002D0C40"/>
    <w:rsid w:val="002D0DAD"/>
    <w:rsid w:val="002D0FD0"/>
    <w:rsid w:val="002D1029"/>
    <w:rsid w:val="002D1041"/>
    <w:rsid w:val="002D1116"/>
    <w:rsid w:val="002D1285"/>
    <w:rsid w:val="002D12FD"/>
    <w:rsid w:val="002D13BA"/>
    <w:rsid w:val="002D14C0"/>
    <w:rsid w:val="002D1AB0"/>
    <w:rsid w:val="002D1C16"/>
    <w:rsid w:val="002D1C26"/>
    <w:rsid w:val="002D1D7A"/>
    <w:rsid w:val="002D1E6B"/>
    <w:rsid w:val="002D1E8E"/>
    <w:rsid w:val="002D1F61"/>
    <w:rsid w:val="002D1FA0"/>
    <w:rsid w:val="002D1FB3"/>
    <w:rsid w:val="002D1FE8"/>
    <w:rsid w:val="002D200C"/>
    <w:rsid w:val="002D228C"/>
    <w:rsid w:val="002D22E5"/>
    <w:rsid w:val="002D23AD"/>
    <w:rsid w:val="002D23C3"/>
    <w:rsid w:val="002D2470"/>
    <w:rsid w:val="002D2514"/>
    <w:rsid w:val="002D2556"/>
    <w:rsid w:val="002D25B4"/>
    <w:rsid w:val="002D25C6"/>
    <w:rsid w:val="002D261E"/>
    <w:rsid w:val="002D265E"/>
    <w:rsid w:val="002D26D5"/>
    <w:rsid w:val="002D271A"/>
    <w:rsid w:val="002D27D9"/>
    <w:rsid w:val="002D2835"/>
    <w:rsid w:val="002D2896"/>
    <w:rsid w:val="002D28FA"/>
    <w:rsid w:val="002D291D"/>
    <w:rsid w:val="002D298A"/>
    <w:rsid w:val="002D29AA"/>
    <w:rsid w:val="002D2A65"/>
    <w:rsid w:val="002D2B28"/>
    <w:rsid w:val="002D2BD2"/>
    <w:rsid w:val="002D2EC5"/>
    <w:rsid w:val="002D2EC8"/>
    <w:rsid w:val="002D2F23"/>
    <w:rsid w:val="002D2F24"/>
    <w:rsid w:val="002D2FCA"/>
    <w:rsid w:val="002D3006"/>
    <w:rsid w:val="002D3010"/>
    <w:rsid w:val="002D30AB"/>
    <w:rsid w:val="002D3163"/>
    <w:rsid w:val="002D328C"/>
    <w:rsid w:val="002D32C8"/>
    <w:rsid w:val="002D331F"/>
    <w:rsid w:val="002D335B"/>
    <w:rsid w:val="002D3532"/>
    <w:rsid w:val="002D3538"/>
    <w:rsid w:val="002D35F5"/>
    <w:rsid w:val="002D369E"/>
    <w:rsid w:val="002D379B"/>
    <w:rsid w:val="002D37FE"/>
    <w:rsid w:val="002D3834"/>
    <w:rsid w:val="002D38E1"/>
    <w:rsid w:val="002D39A3"/>
    <w:rsid w:val="002D3A8F"/>
    <w:rsid w:val="002D3BD8"/>
    <w:rsid w:val="002D3D4A"/>
    <w:rsid w:val="002D3D7B"/>
    <w:rsid w:val="002D3DC4"/>
    <w:rsid w:val="002D3EBF"/>
    <w:rsid w:val="002D3F48"/>
    <w:rsid w:val="002D403F"/>
    <w:rsid w:val="002D4055"/>
    <w:rsid w:val="002D4069"/>
    <w:rsid w:val="002D408F"/>
    <w:rsid w:val="002D40C8"/>
    <w:rsid w:val="002D40DF"/>
    <w:rsid w:val="002D4224"/>
    <w:rsid w:val="002D4227"/>
    <w:rsid w:val="002D4229"/>
    <w:rsid w:val="002D42D8"/>
    <w:rsid w:val="002D42E8"/>
    <w:rsid w:val="002D433F"/>
    <w:rsid w:val="002D43A4"/>
    <w:rsid w:val="002D43E4"/>
    <w:rsid w:val="002D4755"/>
    <w:rsid w:val="002D47B5"/>
    <w:rsid w:val="002D47DE"/>
    <w:rsid w:val="002D4827"/>
    <w:rsid w:val="002D4A03"/>
    <w:rsid w:val="002D4BD5"/>
    <w:rsid w:val="002D4BF7"/>
    <w:rsid w:val="002D4C1B"/>
    <w:rsid w:val="002D4C48"/>
    <w:rsid w:val="002D4D2B"/>
    <w:rsid w:val="002D4DCA"/>
    <w:rsid w:val="002D4E39"/>
    <w:rsid w:val="002D4EEA"/>
    <w:rsid w:val="002D4F1E"/>
    <w:rsid w:val="002D4F93"/>
    <w:rsid w:val="002D5069"/>
    <w:rsid w:val="002D50DE"/>
    <w:rsid w:val="002D5115"/>
    <w:rsid w:val="002D516B"/>
    <w:rsid w:val="002D5202"/>
    <w:rsid w:val="002D52AD"/>
    <w:rsid w:val="002D54E4"/>
    <w:rsid w:val="002D5525"/>
    <w:rsid w:val="002D562A"/>
    <w:rsid w:val="002D5635"/>
    <w:rsid w:val="002D574E"/>
    <w:rsid w:val="002D57B1"/>
    <w:rsid w:val="002D589D"/>
    <w:rsid w:val="002D59FB"/>
    <w:rsid w:val="002D5B3D"/>
    <w:rsid w:val="002D5C35"/>
    <w:rsid w:val="002D5FC2"/>
    <w:rsid w:val="002D6151"/>
    <w:rsid w:val="002D6238"/>
    <w:rsid w:val="002D6279"/>
    <w:rsid w:val="002D6485"/>
    <w:rsid w:val="002D6678"/>
    <w:rsid w:val="002D67DF"/>
    <w:rsid w:val="002D68E8"/>
    <w:rsid w:val="002D6A2E"/>
    <w:rsid w:val="002D6A6A"/>
    <w:rsid w:val="002D6B16"/>
    <w:rsid w:val="002D6C36"/>
    <w:rsid w:val="002D6D1E"/>
    <w:rsid w:val="002D6D30"/>
    <w:rsid w:val="002D6E5F"/>
    <w:rsid w:val="002D6F22"/>
    <w:rsid w:val="002D7046"/>
    <w:rsid w:val="002D7076"/>
    <w:rsid w:val="002D719A"/>
    <w:rsid w:val="002D72AA"/>
    <w:rsid w:val="002D72DB"/>
    <w:rsid w:val="002D7360"/>
    <w:rsid w:val="002D747D"/>
    <w:rsid w:val="002D752B"/>
    <w:rsid w:val="002D75C8"/>
    <w:rsid w:val="002D780F"/>
    <w:rsid w:val="002D79C7"/>
    <w:rsid w:val="002D7BEA"/>
    <w:rsid w:val="002D7C16"/>
    <w:rsid w:val="002D7D81"/>
    <w:rsid w:val="002D7DD4"/>
    <w:rsid w:val="002D7E07"/>
    <w:rsid w:val="002D7E84"/>
    <w:rsid w:val="002D7F86"/>
    <w:rsid w:val="002E00CA"/>
    <w:rsid w:val="002E0104"/>
    <w:rsid w:val="002E0181"/>
    <w:rsid w:val="002E0233"/>
    <w:rsid w:val="002E027F"/>
    <w:rsid w:val="002E02E7"/>
    <w:rsid w:val="002E02E9"/>
    <w:rsid w:val="002E02ED"/>
    <w:rsid w:val="002E04E0"/>
    <w:rsid w:val="002E0599"/>
    <w:rsid w:val="002E067D"/>
    <w:rsid w:val="002E06F9"/>
    <w:rsid w:val="002E08FC"/>
    <w:rsid w:val="002E0974"/>
    <w:rsid w:val="002E0BF7"/>
    <w:rsid w:val="002E0E87"/>
    <w:rsid w:val="002E1051"/>
    <w:rsid w:val="002E117B"/>
    <w:rsid w:val="002E119F"/>
    <w:rsid w:val="002E11D6"/>
    <w:rsid w:val="002E11FF"/>
    <w:rsid w:val="002E12B5"/>
    <w:rsid w:val="002E1449"/>
    <w:rsid w:val="002E14D3"/>
    <w:rsid w:val="002E14DA"/>
    <w:rsid w:val="002E180A"/>
    <w:rsid w:val="002E1825"/>
    <w:rsid w:val="002E18CA"/>
    <w:rsid w:val="002E19EE"/>
    <w:rsid w:val="002E1C6E"/>
    <w:rsid w:val="002E1CC4"/>
    <w:rsid w:val="002E1D08"/>
    <w:rsid w:val="002E1D0F"/>
    <w:rsid w:val="002E1D13"/>
    <w:rsid w:val="002E2126"/>
    <w:rsid w:val="002E2297"/>
    <w:rsid w:val="002E23E3"/>
    <w:rsid w:val="002E24F7"/>
    <w:rsid w:val="002E252D"/>
    <w:rsid w:val="002E27B4"/>
    <w:rsid w:val="002E2AAC"/>
    <w:rsid w:val="002E2B0F"/>
    <w:rsid w:val="002E2B9C"/>
    <w:rsid w:val="002E2BBD"/>
    <w:rsid w:val="002E2C7A"/>
    <w:rsid w:val="002E2D22"/>
    <w:rsid w:val="002E2E67"/>
    <w:rsid w:val="002E2EEF"/>
    <w:rsid w:val="002E2F79"/>
    <w:rsid w:val="002E2F7B"/>
    <w:rsid w:val="002E2FF6"/>
    <w:rsid w:val="002E3026"/>
    <w:rsid w:val="002E30A7"/>
    <w:rsid w:val="002E3122"/>
    <w:rsid w:val="002E340D"/>
    <w:rsid w:val="002E34A3"/>
    <w:rsid w:val="002E34B6"/>
    <w:rsid w:val="002E36EC"/>
    <w:rsid w:val="002E3735"/>
    <w:rsid w:val="002E373D"/>
    <w:rsid w:val="002E37AB"/>
    <w:rsid w:val="002E3828"/>
    <w:rsid w:val="002E396B"/>
    <w:rsid w:val="002E39C0"/>
    <w:rsid w:val="002E3AFE"/>
    <w:rsid w:val="002E3BB1"/>
    <w:rsid w:val="002E3E70"/>
    <w:rsid w:val="002E4012"/>
    <w:rsid w:val="002E40B5"/>
    <w:rsid w:val="002E40E5"/>
    <w:rsid w:val="002E4205"/>
    <w:rsid w:val="002E42C1"/>
    <w:rsid w:val="002E4300"/>
    <w:rsid w:val="002E4397"/>
    <w:rsid w:val="002E43F2"/>
    <w:rsid w:val="002E4685"/>
    <w:rsid w:val="002E46FA"/>
    <w:rsid w:val="002E47DE"/>
    <w:rsid w:val="002E4810"/>
    <w:rsid w:val="002E483A"/>
    <w:rsid w:val="002E48AA"/>
    <w:rsid w:val="002E49C5"/>
    <w:rsid w:val="002E49E0"/>
    <w:rsid w:val="002E49E9"/>
    <w:rsid w:val="002E4B42"/>
    <w:rsid w:val="002E4C67"/>
    <w:rsid w:val="002E4CB0"/>
    <w:rsid w:val="002E4CCA"/>
    <w:rsid w:val="002E50DA"/>
    <w:rsid w:val="002E514A"/>
    <w:rsid w:val="002E53D7"/>
    <w:rsid w:val="002E5503"/>
    <w:rsid w:val="002E57CD"/>
    <w:rsid w:val="002E57F3"/>
    <w:rsid w:val="002E5AD9"/>
    <w:rsid w:val="002E5CC4"/>
    <w:rsid w:val="002E5D84"/>
    <w:rsid w:val="002E5EE3"/>
    <w:rsid w:val="002E5F9C"/>
    <w:rsid w:val="002E608B"/>
    <w:rsid w:val="002E6290"/>
    <w:rsid w:val="002E6297"/>
    <w:rsid w:val="002E631A"/>
    <w:rsid w:val="002E6485"/>
    <w:rsid w:val="002E6588"/>
    <w:rsid w:val="002E65B5"/>
    <w:rsid w:val="002E65B8"/>
    <w:rsid w:val="002E67C3"/>
    <w:rsid w:val="002E6968"/>
    <w:rsid w:val="002E6A94"/>
    <w:rsid w:val="002E6AAB"/>
    <w:rsid w:val="002E6C8D"/>
    <w:rsid w:val="002E6CDC"/>
    <w:rsid w:val="002E6F98"/>
    <w:rsid w:val="002E6FAB"/>
    <w:rsid w:val="002E7032"/>
    <w:rsid w:val="002E70A0"/>
    <w:rsid w:val="002E7199"/>
    <w:rsid w:val="002E7365"/>
    <w:rsid w:val="002E73ED"/>
    <w:rsid w:val="002E73F5"/>
    <w:rsid w:val="002E744B"/>
    <w:rsid w:val="002E74B0"/>
    <w:rsid w:val="002E7502"/>
    <w:rsid w:val="002E750E"/>
    <w:rsid w:val="002E7644"/>
    <w:rsid w:val="002E7788"/>
    <w:rsid w:val="002E790E"/>
    <w:rsid w:val="002E7B6C"/>
    <w:rsid w:val="002E7BD8"/>
    <w:rsid w:val="002E7C09"/>
    <w:rsid w:val="002E7D59"/>
    <w:rsid w:val="002E7D75"/>
    <w:rsid w:val="002E7E9A"/>
    <w:rsid w:val="002E7F5E"/>
    <w:rsid w:val="002F0082"/>
    <w:rsid w:val="002F020A"/>
    <w:rsid w:val="002F0255"/>
    <w:rsid w:val="002F0272"/>
    <w:rsid w:val="002F032A"/>
    <w:rsid w:val="002F0433"/>
    <w:rsid w:val="002F063D"/>
    <w:rsid w:val="002F06D9"/>
    <w:rsid w:val="002F071E"/>
    <w:rsid w:val="002F0794"/>
    <w:rsid w:val="002F07A7"/>
    <w:rsid w:val="002F0924"/>
    <w:rsid w:val="002F0A5E"/>
    <w:rsid w:val="002F0CBF"/>
    <w:rsid w:val="002F0CC0"/>
    <w:rsid w:val="002F0DEA"/>
    <w:rsid w:val="002F0E84"/>
    <w:rsid w:val="002F0EDE"/>
    <w:rsid w:val="002F0FBD"/>
    <w:rsid w:val="002F106F"/>
    <w:rsid w:val="002F1075"/>
    <w:rsid w:val="002F10A1"/>
    <w:rsid w:val="002F12A5"/>
    <w:rsid w:val="002F12F8"/>
    <w:rsid w:val="002F13EF"/>
    <w:rsid w:val="002F146B"/>
    <w:rsid w:val="002F1521"/>
    <w:rsid w:val="002F15DF"/>
    <w:rsid w:val="002F1699"/>
    <w:rsid w:val="002F179F"/>
    <w:rsid w:val="002F1843"/>
    <w:rsid w:val="002F18EB"/>
    <w:rsid w:val="002F18EF"/>
    <w:rsid w:val="002F18FD"/>
    <w:rsid w:val="002F19EF"/>
    <w:rsid w:val="002F1A86"/>
    <w:rsid w:val="002F1A93"/>
    <w:rsid w:val="002F1A9C"/>
    <w:rsid w:val="002F1AD4"/>
    <w:rsid w:val="002F1D61"/>
    <w:rsid w:val="002F1D7A"/>
    <w:rsid w:val="002F1E01"/>
    <w:rsid w:val="002F1F4E"/>
    <w:rsid w:val="002F1FED"/>
    <w:rsid w:val="002F202D"/>
    <w:rsid w:val="002F2067"/>
    <w:rsid w:val="002F2319"/>
    <w:rsid w:val="002F231D"/>
    <w:rsid w:val="002F2379"/>
    <w:rsid w:val="002F2453"/>
    <w:rsid w:val="002F2459"/>
    <w:rsid w:val="002F24C8"/>
    <w:rsid w:val="002F24DE"/>
    <w:rsid w:val="002F2577"/>
    <w:rsid w:val="002F25BA"/>
    <w:rsid w:val="002F263C"/>
    <w:rsid w:val="002F263D"/>
    <w:rsid w:val="002F26E4"/>
    <w:rsid w:val="002F2758"/>
    <w:rsid w:val="002F27FA"/>
    <w:rsid w:val="002F28A6"/>
    <w:rsid w:val="002F2973"/>
    <w:rsid w:val="002F29AF"/>
    <w:rsid w:val="002F29C7"/>
    <w:rsid w:val="002F2A26"/>
    <w:rsid w:val="002F2A84"/>
    <w:rsid w:val="002F2A9E"/>
    <w:rsid w:val="002F2AE5"/>
    <w:rsid w:val="002F2B32"/>
    <w:rsid w:val="002F2C17"/>
    <w:rsid w:val="002F300B"/>
    <w:rsid w:val="002F3051"/>
    <w:rsid w:val="002F30E2"/>
    <w:rsid w:val="002F3132"/>
    <w:rsid w:val="002F3159"/>
    <w:rsid w:val="002F327A"/>
    <w:rsid w:val="002F3342"/>
    <w:rsid w:val="002F34B9"/>
    <w:rsid w:val="002F3513"/>
    <w:rsid w:val="002F3549"/>
    <w:rsid w:val="002F359C"/>
    <w:rsid w:val="002F35F2"/>
    <w:rsid w:val="002F388F"/>
    <w:rsid w:val="002F3A46"/>
    <w:rsid w:val="002F3AA9"/>
    <w:rsid w:val="002F3B37"/>
    <w:rsid w:val="002F3B42"/>
    <w:rsid w:val="002F3BA3"/>
    <w:rsid w:val="002F3D16"/>
    <w:rsid w:val="002F3D75"/>
    <w:rsid w:val="002F3DCD"/>
    <w:rsid w:val="002F3DF4"/>
    <w:rsid w:val="002F3E4C"/>
    <w:rsid w:val="002F4036"/>
    <w:rsid w:val="002F4063"/>
    <w:rsid w:val="002F408A"/>
    <w:rsid w:val="002F40BB"/>
    <w:rsid w:val="002F4164"/>
    <w:rsid w:val="002F4170"/>
    <w:rsid w:val="002F41A0"/>
    <w:rsid w:val="002F41CD"/>
    <w:rsid w:val="002F41D7"/>
    <w:rsid w:val="002F425A"/>
    <w:rsid w:val="002F435F"/>
    <w:rsid w:val="002F4375"/>
    <w:rsid w:val="002F4480"/>
    <w:rsid w:val="002F46C6"/>
    <w:rsid w:val="002F47A8"/>
    <w:rsid w:val="002F4823"/>
    <w:rsid w:val="002F4855"/>
    <w:rsid w:val="002F48D7"/>
    <w:rsid w:val="002F490E"/>
    <w:rsid w:val="002F4B03"/>
    <w:rsid w:val="002F4E8E"/>
    <w:rsid w:val="002F4F68"/>
    <w:rsid w:val="002F4FDA"/>
    <w:rsid w:val="002F5008"/>
    <w:rsid w:val="002F51A9"/>
    <w:rsid w:val="002F522B"/>
    <w:rsid w:val="002F52CB"/>
    <w:rsid w:val="002F52D6"/>
    <w:rsid w:val="002F5326"/>
    <w:rsid w:val="002F54A9"/>
    <w:rsid w:val="002F5579"/>
    <w:rsid w:val="002F5601"/>
    <w:rsid w:val="002F56B2"/>
    <w:rsid w:val="002F59FB"/>
    <w:rsid w:val="002F5A71"/>
    <w:rsid w:val="002F5A96"/>
    <w:rsid w:val="002F5B25"/>
    <w:rsid w:val="002F5BAB"/>
    <w:rsid w:val="002F5CD8"/>
    <w:rsid w:val="002F5DD6"/>
    <w:rsid w:val="002F5E32"/>
    <w:rsid w:val="002F5FC5"/>
    <w:rsid w:val="002F605B"/>
    <w:rsid w:val="002F60A4"/>
    <w:rsid w:val="002F61E0"/>
    <w:rsid w:val="002F627F"/>
    <w:rsid w:val="002F62E7"/>
    <w:rsid w:val="002F6310"/>
    <w:rsid w:val="002F643A"/>
    <w:rsid w:val="002F645F"/>
    <w:rsid w:val="002F64E3"/>
    <w:rsid w:val="002F6575"/>
    <w:rsid w:val="002F6579"/>
    <w:rsid w:val="002F6682"/>
    <w:rsid w:val="002F6758"/>
    <w:rsid w:val="002F682D"/>
    <w:rsid w:val="002F686F"/>
    <w:rsid w:val="002F692A"/>
    <w:rsid w:val="002F6AA9"/>
    <w:rsid w:val="002F6C48"/>
    <w:rsid w:val="002F6E45"/>
    <w:rsid w:val="002F709C"/>
    <w:rsid w:val="002F713B"/>
    <w:rsid w:val="002F7144"/>
    <w:rsid w:val="002F72A6"/>
    <w:rsid w:val="002F73C7"/>
    <w:rsid w:val="002F766B"/>
    <w:rsid w:val="002F7961"/>
    <w:rsid w:val="002F79C2"/>
    <w:rsid w:val="002F79E5"/>
    <w:rsid w:val="002F79E9"/>
    <w:rsid w:val="002F7B93"/>
    <w:rsid w:val="002F7BA4"/>
    <w:rsid w:val="002F7DC4"/>
    <w:rsid w:val="002F7DD8"/>
    <w:rsid w:val="002F7E62"/>
    <w:rsid w:val="002F7E69"/>
    <w:rsid w:val="002F7EDC"/>
    <w:rsid w:val="00300158"/>
    <w:rsid w:val="00300323"/>
    <w:rsid w:val="00300548"/>
    <w:rsid w:val="00300558"/>
    <w:rsid w:val="003005DA"/>
    <w:rsid w:val="003005F9"/>
    <w:rsid w:val="00300611"/>
    <w:rsid w:val="003009E1"/>
    <w:rsid w:val="00300B03"/>
    <w:rsid w:val="00300B06"/>
    <w:rsid w:val="00300B28"/>
    <w:rsid w:val="00300B7D"/>
    <w:rsid w:val="00300BA6"/>
    <w:rsid w:val="00300BEA"/>
    <w:rsid w:val="00300C56"/>
    <w:rsid w:val="00300D4F"/>
    <w:rsid w:val="00300D77"/>
    <w:rsid w:val="0030101F"/>
    <w:rsid w:val="003010CC"/>
    <w:rsid w:val="00301401"/>
    <w:rsid w:val="0030141A"/>
    <w:rsid w:val="00301474"/>
    <w:rsid w:val="003014AB"/>
    <w:rsid w:val="0030151C"/>
    <w:rsid w:val="00301544"/>
    <w:rsid w:val="003015FD"/>
    <w:rsid w:val="0030180A"/>
    <w:rsid w:val="00301A34"/>
    <w:rsid w:val="00301A8A"/>
    <w:rsid w:val="00301B7E"/>
    <w:rsid w:val="00301CB1"/>
    <w:rsid w:val="00301DE4"/>
    <w:rsid w:val="00301EE2"/>
    <w:rsid w:val="00301F05"/>
    <w:rsid w:val="00301FB7"/>
    <w:rsid w:val="00302076"/>
    <w:rsid w:val="003020C2"/>
    <w:rsid w:val="00302179"/>
    <w:rsid w:val="00302189"/>
    <w:rsid w:val="00302367"/>
    <w:rsid w:val="00302612"/>
    <w:rsid w:val="003026AF"/>
    <w:rsid w:val="003026EA"/>
    <w:rsid w:val="00302787"/>
    <w:rsid w:val="003027B0"/>
    <w:rsid w:val="003027C2"/>
    <w:rsid w:val="00302877"/>
    <w:rsid w:val="00302917"/>
    <w:rsid w:val="0030293B"/>
    <w:rsid w:val="00302977"/>
    <w:rsid w:val="003029C9"/>
    <w:rsid w:val="00302A5F"/>
    <w:rsid w:val="00302A89"/>
    <w:rsid w:val="00302B19"/>
    <w:rsid w:val="00302BB5"/>
    <w:rsid w:val="00302BD9"/>
    <w:rsid w:val="00302C08"/>
    <w:rsid w:val="00302C59"/>
    <w:rsid w:val="00302C61"/>
    <w:rsid w:val="00302C83"/>
    <w:rsid w:val="00302DF6"/>
    <w:rsid w:val="00302EB0"/>
    <w:rsid w:val="00302F7E"/>
    <w:rsid w:val="00302F8D"/>
    <w:rsid w:val="00302FA5"/>
    <w:rsid w:val="0030304A"/>
    <w:rsid w:val="003030E0"/>
    <w:rsid w:val="00303140"/>
    <w:rsid w:val="003031DB"/>
    <w:rsid w:val="00303479"/>
    <w:rsid w:val="00303572"/>
    <w:rsid w:val="00303606"/>
    <w:rsid w:val="003036F4"/>
    <w:rsid w:val="0030374A"/>
    <w:rsid w:val="00303756"/>
    <w:rsid w:val="003037DA"/>
    <w:rsid w:val="00303874"/>
    <w:rsid w:val="003038A9"/>
    <w:rsid w:val="00303A47"/>
    <w:rsid w:val="00303A7D"/>
    <w:rsid w:val="00303B40"/>
    <w:rsid w:val="00303B64"/>
    <w:rsid w:val="00303BE1"/>
    <w:rsid w:val="00303C7F"/>
    <w:rsid w:val="00303C9D"/>
    <w:rsid w:val="00303CDC"/>
    <w:rsid w:val="00303D98"/>
    <w:rsid w:val="00303E4E"/>
    <w:rsid w:val="00303EAB"/>
    <w:rsid w:val="003041A2"/>
    <w:rsid w:val="0030421A"/>
    <w:rsid w:val="00304261"/>
    <w:rsid w:val="003042E2"/>
    <w:rsid w:val="003043A3"/>
    <w:rsid w:val="0030445F"/>
    <w:rsid w:val="003044F5"/>
    <w:rsid w:val="0030457A"/>
    <w:rsid w:val="003047B4"/>
    <w:rsid w:val="003047F3"/>
    <w:rsid w:val="003047F8"/>
    <w:rsid w:val="00304814"/>
    <w:rsid w:val="00304942"/>
    <w:rsid w:val="00304A3D"/>
    <w:rsid w:val="00304B25"/>
    <w:rsid w:val="00304B81"/>
    <w:rsid w:val="00304B8D"/>
    <w:rsid w:val="00304BCE"/>
    <w:rsid w:val="00304C03"/>
    <w:rsid w:val="00304C3A"/>
    <w:rsid w:val="00304C92"/>
    <w:rsid w:val="00304D13"/>
    <w:rsid w:val="00304DF9"/>
    <w:rsid w:val="00304E16"/>
    <w:rsid w:val="00304E25"/>
    <w:rsid w:val="0030504B"/>
    <w:rsid w:val="003051DC"/>
    <w:rsid w:val="00305260"/>
    <w:rsid w:val="0030549A"/>
    <w:rsid w:val="0030553B"/>
    <w:rsid w:val="00305568"/>
    <w:rsid w:val="00305663"/>
    <w:rsid w:val="0030568D"/>
    <w:rsid w:val="003058C4"/>
    <w:rsid w:val="00305AE1"/>
    <w:rsid w:val="00305AFE"/>
    <w:rsid w:val="00305B12"/>
    <w:rsid w:val="00305CFC"/>
    <w:rsid w:val="00305DB9"/>
    <w:rsid w:val="00305F41"/>
    <w:rsid w:val="00305F68"/>
    <w:rsid w:val="00305F7A"/>
    <w:rsid w:val="00306056"/>
    <w:rsid w:val="00306129"/>
    <w:rsid w:val="003061E6"/>
    <w:rsid w:val="003061F8"/>
    <w:rsid w:val="003062F0"/>
    <w:rsid w:val="00306443"/>
    <w:rsid w:val="003064A8"/>
    <w:rsid w:val="0030666C"/>
    <w:rsid w:val="003066D6"/>
    <w:rsid w:val="003066EC"/>
    <w:rsid w:val="003067DB"/>
    <w:rsid w:val="003068ED"/>
    <w:rsid w:val="003069A3"/>
    <w:rsid w:val="00306A55"/>
    <w:rsid w:val="00306A5C"/>
    <w:rsid w:val="00306A74"/>
    <w:rsid w:val="00306C76"/>
    <w:rsid w:val="00306CEC"/>
    <w:rsid w:val="00306E7A"/>
    <w:rsid w:val="00306EFC"/>
    <w:rsid w:val="00306FF7"/>
    <w:rsid w:val="00307107"/>
    <w:rsid w:val="0030711F"/>
    <w:rsid w:val="0030731A"/>
    <w:rsid w:val="0030731C"/>
    <w:rsid w:val="00307341"/>
    <w:rsid w:val="00307421"/>
    <w:rsid w:val="00307650"/>
    <w:rsid w:val="0030775B"/>
    <w:rsid w:val="003078A1"/>
    <w:rsid w:val="0030790E"/>
    <w:rsid w:val="00307AC0"/>
    <w:rsid w:val="00307B17"/>
    <w:rsid w:val="00307C67"/>
    <w:rsid w:val="00307D29"/>
    <w:rsid w:val="00307DAA"/>
    <w:rsid w:val="00307DC9"/>
    <w:rsid w:val="00307E09"/>
    <w:rsid w:val="00307E2E"/>
    <w:rsid w:val="00307E62"/>
    <w:rsid w:val="00307FE5"/>
    <w:rsid w:val="00310047"/>
    <w:rsid w:val="0031015A"/>
    <w:rsid w:val="00310261"/>
    <w:rsid w:val="00310308"/>
    <w:rsid w:val="00310324"/>
    <w:rsid w:val="003103A1"/>
    <w:rsid w:val="0031068C"/>
    <w:rsid w:val="00310695"/>
    <w:rsid w:val="003107A2"/>
    <w:rsid w:val="003107F8"/>
    <w:rsid w:val="003108EE"/>
    <w:rsid w:val="00310999"/>
    <w:rsid w:val="003109C9"/>
    <w:rsid w:val="00310A1E"/>
    <w:rsid w:val="00310A5D"/>
    <w:rsid w:val="00310AA2"/>
    <w:rsid w:val="00310B44"/>
    <w:rsid w:val="00310B8F"/>
    <w:rsid w:val="00310C28"/>
    <w:rsid w:val="00310C92"/>
    <w:rsid w:val="00310CD6"/>
    <w:rsid w:val="00310F9A"/>
    <w:rsid w:val="003111C9"/>
    <w:rsid w:val="003113F7"/>
    <w:rsid w:val="00311455"/>
    <w:rsid w:val="00311492"/>
    <w:rsid w:val="0031160E"/>
    <w:rsid w:val="003116AB"/>
    <w:rsid w:val="003116BE"/>
    <w:rsid w:val="0031172E"/>
    <w:rsid w:val="003117BD"/>
    <w:rsid w:val="0031184C"/>
    <w:rsid w:val="003118A2"/>
    <w:rsid w:val="0031196F"/>
    <w:rsid w:val="00311985"/>
    <w:rsid w:val="00311B09"/>
    <w:rsid w:val="00311B30"/>
    <w:rsid w:val="00311C2C"/>
    <w:rsid w:val="00311C73"/>
    <w:rsid w:val="00311C77"/>
    <w:rsid w:val="00311DBC"/>
    <w:rsid w:val="00311DC9"/>
    <w:rsid w:val="00311ED5"/>
    <w:rsid w:val="00311EE4"/>
    <w:rsid w:val="00312156"/>
    <w:rsid w:val="00312178"/>
    <w:rsid w:val="00312239"/>
    <w:rsid w:val="0031231B"/>
    <w:rsid w:val="0031235B"/>
    <w:rsid w:val="0031248B"/>
    <w:rsid w:val="00312495"/>
    <w:rsid w:val="0031266A"/>
    <w:rsid w:val="00312691"/>
    <w:rsid w:val="00312A44"/>
    <w:rsid w:val="00312C6A"/>
    <w:rsid w:val="00312C8B"/>
    <w:rsid w:val="00312CDD"/>
    <w:rsid w:val="00312DB6"/>
    <w:rsid w:val="00312E83"/>
    <w:rsid w:val="00312EA5"/>
    <w:rsid w:val="00312F22"/>
    <w:rsid w:val="00312F62"/>
    <w:rsid w:val="0031326C"/>
    <w:rsid w:val="003132D7"/>
    <w:rsid w:val="003133AE"/>
    <w:rsid w:val="00313436"/>
    <w:rsid w:val="0031344B"/>
    <w:rsid w:val="003134F1"/>
    <w:rsid w:val="00313572"/>
    <w:rsid w:val="00313656"/>
    <w:rsid w:val="0031366E"/>
    <w:rsid w:val="003136D6"/>
    <w:rsid w:val="00313761"/>
    <w:rsid w:val="003137E0"/>
    <w:rsid w:val="003137F1"/>
    <w:rsid w:val="003138A4"/>
    <w:rsid w:val="00313A26"/>
    <w:rsid w:val="00313B64"/>
    <w:rsid w:val="00313B78"/>
    <w:rsid w:val="00313E16"/>
    <w:rsid w:val="00313E63"/>
    <w:rsid w:val="00313E8D"/>
    <w:rsid w:val="00313ECC"/>
    <w:rsid w:val="00313F16"/>
    <w:rsid w:val="00313F66"/>
    <w:rsid w:val="00313FEC"/>
    <w:rsid w:val="0031407E"/>
    <w:rsid w:val="0031409B"/>
    <w:rsid w:val="00314132"/>
    <w:rsid w:val="00314187"/>
    <w:rsid w:val="003142A7"/>
    <w:rsid w:val="003142FA"/>
    <w:rsid w:val="0031435F"/>
    <w:rsid w:val="003143D8"/>
    <w:rsid w:val="003144B2"/>
    <w:rsid w:val="0031464D"/>
    <w:rsid w:val="003146B6"/>
    <w:rsid w:val="003146F0"/>
    <w:rsid w:val="0031471C"/>
    <w:rsid w:val="0031476D"/>
    <w:rsid w:val="003147AF"/>
    <w:rsid w:val="00314884"/>
    <w:rsid w:val="00314A4B"/>
    <w:rsid w:val="00314C77"/>
    <w:rsid w:val="00314D70"/>
    <w:rsid w:val="00314D7E"/>
    <w:rsid w:val="00314F8F"/>
    <w:rsid w:val="0031504F"/>
    <w:rsid w:val="00315084"/>
    <w:rsid w:val="003151AD"/>
    <w:rsid w:val="00315281"/>
    <w:rsid w:val="00315395"/>
    <w:rsid w:val="00315398"/>
    <w:rsid w:val="003154E4"/>
    <w:rsid w:val="003155EF"/>
    <w:rsid w:val="00315807"/>
    <w:rsid w:val="00315883"/>
    <w:rsid w:val="003158CF"/>
    <w:rsid w:val="00315A1B"/>
    <w:rsid w:val="00315D76"/>
    <w:rsid w:val="00315E9F"/>
    <w:rsid w:val="00315F6D"/>
    <w:rsid w:val="00315F79"/>
    <w:rsid w:val="00316030"/>
    <w:rsid w:val="0031612F"/>
    <w:rsid w:val="0031616A"/>
    <w:rsid w:val="00316338"/>
    <w:rsid w:val="0031654D"/>
    <w:rsid w:val="003165D2"/>
    <w:rsid w:val="00316633"/>
    <w:rsid w:val="0031678F"/>
    <w:rsid w:val="003168C6"/>
    <w:rsid w:val="003169B6"/>
    <w:rsid w:val="00316A60"/>
    <w:rsid w:val="00316AD7"/>
    <w:rsid w:val="00316B1D"/>
    <w:rsid w:val="00316BB5"/>
    <w:rsid w:val="00316BFB"/>
    <w:rsid w:val="00316C8A"/>
    <w:rsid w:val="00316D01"/>
    <w:rsid w:val="00316EB3"/>
    <w:rsid w:val="00316FD3"/>
    <w:rsid w:val="0031709D"/>
    <w:rsid w:val="003172C9"/>
    <w:rsid w:val="003172DD"/>
    <w:rsid w:val="00317370"/>
    <w:rsid w:val="003173D7"/>
    <w:rsid w:val="00317527"/>
    <w:rsid w:val="003175BC"/>
    <w:rsid w:val="003175CA"/>
    <w:rsid w:val="00317645"/>
    <w:rsid w:val="0031765E"/>
    <w:rsid w:val="0031773E"/>
    <w:rsid w:val="00317784"/>
    <w:rsid w:val="00317805"/>
    <w:rsid w:val="00317904"/>
    <w:rsid w:val="0031797E"/>
    <w:rsid w:val="00317A1A"/>
    <w:rsid w:val="00317A1B"/>
    <w:rsid w:val="00317A2F"/>
    <w:rsid w:val="00317A8B"/>
    <w:rsid w:val="00317BB0"/>
    <w:rsid w:val="00317C72"/>
    <w:rsid w:val="00317FD1"/>
    <w:rsid w:val="00320037"/>
    <w:rsid w:val="003200CC"/>
    <w:rsid w:val="003200E5"/>
    <w:rsid w:val="0032024B"/>
    <w:rsid w:val="0032029D"/>
    <w:rsid w:val="003202F3"/>
    <w:rsid w:val="0032040B"/>
    <w:rsid w:val="00320504"/>
    <w:rsid w:val="00320525"/>
    <w:rsid w:val="0032058B"/>
    <w:rsid w:val="003206F7"/>
    <w:rsid w:val="00320768"/>
    <w:rsid w:val="0032099F"/>
    <w:rsid w:val="00320A26"/>
    <w:rsid w:val="00320EA2"/>
    <w:rsid w:val="00320F56"/>
    <w:rsid w:val="00320FE2"/>
    <w:rsid w:val="00320FF4"/>
    <w:rsid w:val="00321063"/>
    <w:rsid w:val="0032109E"/>
    <w:rsid w:val="00321112"/>
    <w:rsid w:val="00321194"/>
    <w:rsid w:val="003211A2"/>
    <w:rsid w:val="00321230"/>
    <w:rsid w:val="00321358"/>
    <w:rsid w:val="003214B6"/>
    <w:rsid w:val="00321694"/>
    <w:rsid w:val="0032169A"/>
    <w:rsid w:val="00321721"/>
    <w:rsid w:val="00321747"/>
    <w:rsid w:val="00321833"/>
    <w:rsid w:val="003219C7"/>
    <w:rsid w:val="00321AC5"/>
    <w:rsid w:val="00321B8A"/>
    <w:rsid w:val="00321BC6"/>
    <w:rsid w:val="00321CC1"/>
    <w:rsid w:val="00321CE3"/>
    <w:rsid w:val="00321CE7"/>
    <w:rsid w:val="00321D19"/>
    <w:rsid w:val="00321D1B"/>
    <w:rsid w:val="00321D68"/>
    <w:rsid w:val="00321E1D"/>
    <w:rsid w:val="00322009"/>
    <w:rsid w:val="00322415"/>
    <w:rsid w:val="0032241E"/>
    <w:rsid w:val="003224D3"/>
    <w:rsid w:val="003224E2"/>
    <w:rsid w:val="0032257E"/>
    <w:rsid w:val="00322685"/>
    <w:rsid w:val="003228C8"/>
    <w:rsid w:val="00322998"/>
    <w:rsid w:val="00322A0E"/>
    <w:rsid w:val="00322A1E"/>
    <w:rsid w:val="00322B98"/>
    <w:rsid w:val="00322BFE"/>
    <w:rsid w:val="00322C16"/>
    <w:rsid w:val="00322D94"/>
    <w:rsid w:val="00322DEF"/>
    <w:rsid w:val="00322E35"/>
    <w:rsid w:val="00322E3F"/>
    <w:rsid w:val="00322E9F"/>
    <w:rsid w:val="003231C0"/>
    <w:rsid w:val="0032320D"/>
    <w:rsid w:val="00323272"/>
    <w:rsid w:val="0032358F"/>
    <w:rsid w:val="003235E4"/>
    <w:rsid w:val="00323682"/>
    <w:rsid w:val="00323717"/>
    <w:rsid w:val="003237A2"/>
    <w:rsid w:val="00323894"/>
    <w:rsid w:val="003238EF"/>
    <w:rsid w:val="00323A91"/>
    <w:rsid w:val="00323B0A"/>
    <w:rsid w:val="00323BB2"/>
    <w:rsid w:val="00323CB5"/>
    <w:rsid w:val="00323CE4"/>
    <w:rsid w:val="00323D15"/>
    <w:rsid w:val="00323DAD"/>
    <w:rsid w:val="00323ED1"/>
    <w:rsid w:val="00323F48"/>
    <w:rsid w:val="003240E5"/>
    <w:rsid w:val="003241B5"/>
    <w:rsid w:val="003241FC"/>
    <w:rsid w:val="0032420B"/>
    <w:rsid w:val="003242EA"/>
    <w:rsid w:val="00324679"/>
    <w:rsid w:val="00324683"/>
    <w:rsid w:val="0032468D"/>
    <w:rsid w:val="003247EA"/>
    <w:rsid w:val="0032487B"/>
    <w:rsid w:val="003248D0"/>
    <w:rsid w:val="00324918"/>
    <w:rsid w:val="00324957"/>
    <w:rsid w:val="003249AD"/>
    <w:rsid w:val="003249B4"/>
    <w:rsid w:val="00324A27"/>
    <w:rsid w:val="00324BCF"/>
    <w:rsid w:val="00324C8D"/>
    <w:rsid w:val="00324CF6"/>
    <w:rsid w:val="00324D53"/>
    <w:rsid w:val="00324DA0"/>
    <w:rsid w:val="00324F17"/>
    <w:rsid w:val="00324F34"/>
    <w:rsid w:val="0032507B"/>
    <w:rsid w:val="0032508A"/>
    <w:rsid w:val="00325118"/>
    <w:rsid w:val="0032514B"/>
    <w:rsid w:val="00325432"/>
    <w:rsid w:val="003254E9"/>
    <w:rsid w:val="00325519"/>
    <w:rsid w:val="003255E2"/>
    <w:rsid w:val="003256A8"/>
    <w:rsid w:val="00325948"/>
    <w:rsid w:val="00325A84"/>
    <w:rsid w:val="00325B10"/>
    <w:rsid w:val="00325C25"/>
    <w:rsid w:val="00325D50"/>
    <w:rsid w:val="00325DC5"/>
    <w:rsid w:val="00325DC9"/>
    <w:rsid w:val="00325E7B"/>
    <w:rsid w:val="00325FD2"/>
    <w:rsid w:val="00326025"/>
    <w:rsid w:val="00326131"/>
    <w:rsid w:val="00326153"/>
    <w:rsid w:val="003261CF"/>
    <w:rsid w:val="003261FA"/>
    <w:rsid w:val="003261FD"/>
    <w:rsid w:val="0032620A"/>
    <w:rsid w:val="00326416"/>
    <w:rsid w:val="003264BD"/>
    <w:rsid w:val="003265FA"/>
    <w:rsid w:val="00326607"/>
    <w:rsid w:val="00326683"/>
    <w:rsid w:val="003268E0"/>
    <w:rsid w:val="00326C41"/>
    <w:rsid w:val="00326C70"/>
    <w:rsid w:val="00326C9A"/>
    <w:rsid w:val="00326CBE"/>
    <w:rsid w:val="00327304"/>
    <w:rsid w:val="0032730A"/>
    <w:rsid w:val="003274BB"/>
    <w:rsid w:val="003274F2"/>
    <w:rsid w:val="00327598"/>
    <w:rsid w:val="003275D9"/>
    <w:rsid w:val="003275E8"/>
    <w:rsid w:val="0032769E"/>
    <w:rsid w:val="003276EC"/>
    <w:rsid w:val="003276F9"/>
    <w:rsid w:val="0032773A"/>
    <w:rsid w:val="0032785F"/>
    <w:rsid w:val="0032788C"/>
    <w:rsid w:val="003279AB"/>
    <w:rsid w:val="00327A83"/>
    <w:rsid w:val="00327C37"/>
    <w:rsid w:val="00327DB8"/>
    <w:rsid w:val="00327E6E"/>
    <w:rsid w:val="00327E9A"/>
    <w:rsid w:val="00327EF6"/>
    <w:rsid w:val="00327F2C"/>
    <w:rsid w:val="00327F54"/>
    <w:rsid w:val="0033013D"/>
    <w:rsid w:val="003304BF"/>
    <w:rsid w:val="003306F4"/>
    <w:rsid w:val="00330722"/>
    <w:rsid w:val="00330754"/>
    <w:rsid w:val="00330819"/>
    <w:rsid w:val="00330829"/>
    <w:rsid w:val="0033090B"/>
    <w:rsid w:val="00330980"/>
    <w:rsid w:val="00330A51"/>
    <w:rsid w:val="00330AAE"/>
    <w:rsid w:val="00330BBD"/>
    <w:rsid w:val="00330C86"/>
    <w:rsid w:val="00330CD5"/>
    <w:rsid w:val="00330D02"/>
    <w:rsid w:val="00330F62"/>
    <w:rsid w:val="0033105B"/>
    <w:rsid w:val="00331179"/>
    <w:rsid w:val="00331465"/>
    <w:rsid w:val="003314EF"/>
    <w:rsid w:val="003315E3"/>
    <w:rsid w:val="00331668"/>
    <w:rsid w:val="0033166D"/>
    <w:rsid w:val="003316CD"/>
    <w:rsid w:val="00331779"/>
    <w:rsid w:val="00331823"/>
    <w:rsid w:val="003318E4"/>
    <w:rsid w:val="003319EC"/>
    <w:rsid w:val="00331C54"/>
    <w:rsid w:val="00331E50"/>
    <w:rsid w:val="00331F8D"/>
    <w:rsid w:val="003320DE"/>
    <w:rsid w:val="00332218"/>
    <w:rsid w:val="00332361"/>
    <w:rsid w:val="00332391"/>
    <w:rsid w:val="00332466"/>
    <w:rsid w:val="003324CB"/>
    <w:rsid w:val="00332531"/>
    <w:rsid w:val="00332533"/>
    <w:rsid w:val="0033255F"/>
    <w:rsid w:val="00332742"/>
    <w:rsid w:val="00332787"/>
    <w:rsid w:val="00332796"/>
    <w:rsid w:val="003328D2"/>
    <w:rsid w:val="003329E1"/>
    <w:rsid w:val="00332BE5"/>
    <w:rsid w:val="00332C15"/>
    <w:rsid w:val="00332C44"/>
    <w:rsid w:val="00332EB1"/>
    <w:rsid w:val="0033312E"/>
    <w:rsid w:val="003332AC"/>
    <w:rsid w:val="003332B1"/>
    <w:rsid w:val="003334AA"/>
    <w:rsid w:val="0033365B"/>
    <w:rsid w:val="00333920"/>
    <w:rsid w:val="00333A3A"/>
    <w:rsid w:val="00333B87"/>
    <w:rsid w:val="00333BBB"/>
    <w:rsid w:val="00333F04"/>
    <w:rsid w:val="00333F48"/>
    <w:rsid w:val="003341EC"/>
    <w:rsid w:val="00334207"/>
    <w:rsid w:val="00334294"/>
    <w:rsid w:val="003342FE"/>
    <w:rsid w:val="0033435A"/>
    <w:rsid w:val="003343A4"/>
    <w:rsid w:val="003343B0"/>
    <w:rsid w:val="0033443F"/>
    <w:rsid w:val="00334501"/>
    <w:rsid w:val="00334601"/>
    <w:rsid w:val="003346DF"/>
    <w:rsid w:val="0033477B"/>
    <w:rsid w:val="00334857"/>
    <w:rsid w:val="003348C9"/>
    <w:rsid w:val="00334B63"/>
    <w:rsid w:val="00334B8E"/>
    <w:rsid w:val="00334BC1"/>
    <w:rsid w:val="00334CC7"/>
    <w:rsid w:val="00334D14"/>
    <w:rsid w:val="00334D5D"/>
    <w:rsid w:val="00334D8B"/>
    <w:rsid w:val="00334DAA"/>
    <w:rsid w:val="00334DBB"/>
    <w:rsid w:val="00334DCE"/>
    <w:rsid w:val="00334EDC"/>
    <w:rsid w:val="00334F83"/>
    <w:rsid w:val="00335009"/>
    <w:rsid w:val="003350DC"/>
    <w:rsid w:val="003350E5"/>
    <w:rsid w:val="00335250"/>
    <w:rsid w:val="00335269"/>
    <w:rsid w:val="00335377"/>
    <w:rsid w:val="003353A3"/>
    <w:rsid w:val="00335434"/>
    <w:rsid w:val="0033545D"/>
    <w:rsid w:val="003354D6"/>
    <w:rsid w:val="003355B6"/>
    <w:rsid w:val="003355FA"/>
    <w:rsid w:val="00335603"/>
    <w:rsid w:val="003358F9"/>
    <w:rsid w:val="0033594B"/>
    <w:rsid w:val="003359C3"/>
    <w:rsid w:val="003359FC"/>
    <w:rsid w:val="00335A0B"/>
    <w:rsid w:val="00335A36"/>
    <w:rsid w:val="00335AC4"/>
    <w:rsid w:val="00335B75"/>
    <w:rsid w:val="00335D72"/>
    <w:rsid w:val="00335DDC"/>
    <w:rsid w:val="00335E2C"/>
    <w:rsid w:val="00335EFE"/>
    <w:rsid w:val="00335F1F"/>
    <w:rsid w:val="00335F65"/>
    <w:rsid w:val="00336039"/>
    <w:rsid w:val="003361DE"/>
    <w:rsid w:val="0033625C"/>
    <w:rsid w:val="00336272"/>
    <w:rsid w:val="003364DC"/>
    <w:rsid w:val="003364E8"/>
    <w:rsid w:val="0033654C"/>
    <w:rsid w:val="00336550"/>
    <w:rsid w:val="003365DA"/>
    <w:rsid w:val="00336687"/>
    <w:rsid w:val="00336735"/>
    <w:rsid w:val="0033692D"/>
    <w:rsid w:val="00336A04"/>
    <w:rsid w:val="00336A12"/>
    <w:rsid w:val="00336A38"/>
    <w:rsid w:val="00336A4A"/>
    <w:rsid w:val="00336AC2"/>
    <w:rsid w:val="00336AF8"/>
    <w:rsid w:val="00336CAB"/>
    <w:rsid w:val="00336CF7"/>
    <w:rsid w:val="00336E74"/>
    <w:rsid w:val="00336EE0"/>
    <w:rsid w:val="00336F3E"/>
    <w:rsid w:val="00336F87"/>
    <w:rsid w:val="00337306"/>
    <w:rsid w:val="0033747A"/>
    <w:rsid w:val="00337590"/>
    <w:rsid w:val="003376E5"/>
    <w:rsid w:val="00337864"/>
    <w:rsid w:val="003378DD"/>
    <w:rsid w:val="00337AF1"/>
    <w:rsid w:val="00337CE3"/>
    <w:rsid w:val="00337D8E"/>
    <w:rsid w:val="00337EB6"/>
    <w:rsid w:val="0034029A"/>
    <w:rsid w:val="003402C5"/>
    <w:rsid w:val="00340373"/>
    <w:rsid w:val="0034038A"/>
    <w:rsid w:val="00340408"/>
    <w:rsid w:val="003404C6"/>
    <w:rsid w:val="00340535"/>
    <w:rsid w:val="00340565"/>
    <w:rsid w:val="00340630"/>
    <w:rsid w:val="0034064A"/>
    <w:rsid w:val="003408BC"/>
    <w:rsid w:val="00340975"/>
    <w:rsid w:val="00340ADC"/>
    <w:rsid w:val="00340CE1"/>
    <w:rsid w:val="00340D05"/>
    <w:rsid w:val="00340D52"/>
    <w:rsid w:val="00340DFF"/>
    <w:rsid w:val="00340E3B"/>
    <w:rsid w:val="003410CC"/>
    <w:rsid w:val="0034110D"/>
    <w:rsid w:val="00341142"/>
    <w:rsid w:val="00341186"/>
    <w:rsid w:val="00341199"/>
    <w:rsid w:val="00341338"/>
    <w:rsid w:val="0034133A"/>
    <w:rsid w:val="00341499"/>
    <w:rsid w:val="00341901"/>
    <w:rsid w:val="003419A2"/>
    <w:rsid w:val="003419C7"/>
    <w:rsid w:val="00341A58"/>
    <w:rsid w:val="00341DAD"/>
    <w:rsid w:val="00342011"/>
    <w:rsid w:val="003420A2"/>
    <w:rsid w:val="003422F1"/>
    <w:rsid w:val="0034232F"/>
    <w:rsid w:val="003425CA"/>
    <w:rsid w:val="00342663"/>
    <w:rsid w:val="003428C3"/>
    <w:rsid w:val="003428DE"/>
    <w:rsid w:val="00342925"/>
    <w:rsid w:val="003429C5"/>
    <w:rsid w:val="00342AD1"/>
    <w:rsid w:val="00342B44"/>
    <w:rsid w:val="00342C0C"/>
    <w:rsid w:val="00342D8D"/>
    <w:rsid w:val="00342DDC"/>
    <w:rsid w:val="00342E7F"/>
    <w:rsid w:val="00342E9A"/>
    <w:rsid w:val="0034322A"/>
    <w:rsid w:val="0034325A"/>
    <w:rsid w:val="003432DE"/>
    <w:rsid w:val="0034336C"/>
    <w:rsid w:val="00343448"/>
    <w:rsid w:val="003435AA"/>
    <w:rsid w:val="003436F8"/>
    <w:rsid w:val="0034374B"/>
    <w:rsid w:val="003438DD"/>
    <w:rsid w:val="00343910"/>
    <w:rsid w:val="00343AD7"/>
    <w:rsid w:val="00343AE6"/>
    <w:rsid w:val="00343BA8"/>
    <w:rsid w:val="00343E4C"/>
    <w:rsid w:val="00343F42"/>
    <w:rsid w:val="00343F81"/>
    <w:rsid w:val="0034408E"/>
    <w:rsid w:val="0034412B"/>
    <w:rsid w:val="00344353"/>
    <w:rsid w:val="00344378"/>
    <w:rsid w:val="00344514"/>
    <w:rsid w:val="00344547"/>
    <w:rsid w:val="00344628"/>
    <w:rsid w:val="00344691"/>
    <w:rsid w:val="003446DA"/>
    <w:rsid w:val="003447BD"/>
    <w:rsid w:val="00344854"/>
    <w:rsid w:val="00344924"/>
    <w:rsid w:val="00344C12"/>
    <w:rsid w:val="00344C75"/>
    <w:rsid w:val="00344D29"/>
    <w:rsid w:val="00344D33"/>
    <w:rsid w:val="00344D62"/>
    <w:rsid w:val="00344DA2"/>
    <w:rsid w:val="00344F25"/>
    <w:rsid w:val="00344F7C"/>
    <w:rsid w:val="00344FA6"/>
    <w:rsid w:val="00344FC5"/>
    <w:rsid w:val="00345029"/>
    <w:rsid w:val="00345058"/>
    <w:rsid w:val="0034515F"/>
    <w:rsid w:val="00345174"/>
    <w:rsid w:val="00345310"/>
    <w:rsid w:val="0034533D"/>
    <w:rsid w:val="00345351"/>
    <w:rsid w:val="003455D5"/>
    <w:rsid w:val="0034565D"/>
    <w:rsid w:val="003456A6"/>
    <w:rsid w:val="00345774"/>
    <w:rsid w:val="003457B3"/>
    <w:rsid w:val="003458CD"/>
    <w:rsid w:val="00345913"/>
    <w:rsid w:val="00345B4E"/>
    <w:rsid w:val="00345C16"/>
    <w:rsid w:val="00345E20"/>
    <w:rsid w:val="00345F45"/>
    <w:rsid w:val="003460DA"/>
    <w:rsid w:val="00346150"/>
    <w:rsid w:val="0034618C"/>
    <w:rsid w:val="0034623F"/>
    <w:rsid w:val="0034627D"/>
    <w:rsid w:val="0034646D"/>
    <w:rsid w:val="003465B1"/>
    <w:rsid w:val="003465BE"/>
    <w:rsid w:val="003465F9"/>
    <w:rsid w:val="00346616"/>
    <w:rsid w:val="0034667B"/>
    <w:rsid w:val="0034669C"/>
    <w:rsid w:val="003466D9"/>
    <w:rsid w:val="00346AC1"/>
    <w:rsid w:val="00346D6F"/>
    <w:rsid w:val="00346DC0"/>
    <w:rsid w:val="00346DD0"/>
    <w:rsid w:val="00346E58"/>
    <w:rsid w:val="00346FB4"/>
    <w:rsid w:val="00347041"/>
    <w:rsid w:val="0034706F"/>
    <w:rsid w:val="003470CE"/>
    <w:rsid w:val="003470F6"/>
    <w:rsid w:val="00347146"/>
    <w:rsid w:val="00347174"/>
    <w:rsid w:val="003471ED"/>
    <w:rsid w:val="0034724F"/>
    <w:rsid w:val="00347263"/>
    <w:rsid w:val="0034735A"/>
    <w:rsid w:val="003474AE"/>
    <w:rsid w:val="003474B6"/>
    <w:rsid w:val="00347610"/>
    <w:rsid w:val="00347656"/>
    <w:rsid w:val="00347671"/>
    <w:rsid w:val="00347694"/>
    <w:rsid w:val="003476A1"/>
    <w:rsid w:val="00347776"/>
    <w:rsid w:val="003477F8"/>
    <w:rsid w:val="00347876"/>
    <w:rsid w:val="00347883"/>
    <w:rsid w:val="00347A2F"/>
    <w:rsid w:val="00347BBF"/>
    <w:rsid w:val="00347BED"/>
    <w:rsid w:val="00347C87"/>
    <w:rsid w:val="00347D20"/>
    <w:rsid w:val="00347D90"/>
    <w:rsid w:val="00347DF4"/>
    <w:rsid w:val="0035006B"/>
    <w:rsid w:val="00350121"/>
    <w:rsid w:val="0035017A"/>
    <w:rsid w:val="00350186"/>
    <w:rsid w:val="00350213"/>
    <w:rsid w:val="00350218"/>
    <w:rsid w:val="0035024F"/>
    <w:rsid w:val="00350279"/>
    <w:rsid w:val="003503C5"/>
    <w:rsid w:val="003504DA"/>
    <w:rsid w:val="003506F6"/>
    <w:rsid w:val="00350766"/>
    <w:rsid w:val="00350931"/>
    <w:rsid w:val="00350A37"/>
    <w:rsid w:val="00350A84"/>
    <w:rsid w:val="00350ADD"/>
    <w:rsid w:val="00350BDF"/>
    <w:rsid w:val="00350D04"/>
    <w:rsid w:val="00350F09"/>
    <w:rsid w:val="00350F98"/>
    <w:rsid w:val="00350FCE"/>
    <w:rsid w:val="00351097"/>
    <w:rsid w:val="00351147"/>
    <w:rsid w:val="003511F0"/>
    <w:rsid w:val="003512A3"/>
    <w:rsid w:val="00351333"/>
    <w:rsid w:val="003513EC"/>
    <w:rsid w:val="00351819"/>
    <w:rsid w:val="0035198D"/>
    <w:rsid w:val="00351A73"/>
    <w:rsid w:val="00351A8B"/>
    <w:rsid w:val="00351EC8"/>
    <w:rsid w:val="00351EEA"/>
    <w:rsid w:val="00351F18"/>
    <w:rsid w:val="00351F47"/>
    <w:rsid w:val="003521A7"/>
    <w:rsid w:val="00352271"/>
    <w:rsid w:val="003522D8"/>
    <w:rsid w:val="003522F0"/>
    <w:rsid w:val="003522FB"/>
    <w:rsid w:val="003523DC"/>
    <w:rsid w:val="00352400"/>
    <w:rsid w:val="00352438"/>
    <w:rsid w:val="0035257D"/>
    <w:rsid w:val="00352649"/>
    <w:rsid w:val="00352677"/>
    <w:rsid w:val="003528AD"/>
    <w:rsid w:val="003528EA"/>
    <w:rsid w:val="00352968"/>
    <w:rsid w:val="0035296B"/>
    <w:rsid w:val="003529A0"/>
    <w:rsid w:val="00352AD5"/>
    <w:rsid w:val="00352B08"/>
    <w:rsid w:val="00352C3A"/>
    <w:rsid w:val="00352F35"/>
    <w:rsid w:val="00352F7B"/>
    <w:rsid w:val="0035300D"/>
    <w:rsid w:val="003530D3"/>
    <w:rsid w:val="003531BC"/>
    <w:rsid w:val="00353288"/>
    <w:rsid w:val="00353391"/>
    <w:rsid w:val="003534A5"/>
    <w:rsid w:val="00353607"/>
    <w:rsid w:val="0035363B"/>
    <w:rsid w:val="003536C8"/>
    <w:rsid w:val="00353992"/>
    <w:rsid w:val="00353AEA"/>
    <w:rsid w:val="00353C53"/>
    <w:rsid w:val="00353D53"/>
    <w:rsid w:val="00353D73"/>
    <w:rsid w:val="00353E04"/>
    <w:rsid w:val="00353EFD"/>
    <w:rsid w:val="00353FB8"/>
    <w:rsid w:val="00353FD1"/>
    <w:rsid w:val="00354007"/>
    <w:rsid w:val="0035401B"/>
    <w:rsid w:val="003541CC"/>
    <w:rsid w:val="00354276"/>
    <w:rsid w:val="0035430E"/>
    <w:rsid w:val="00354339"/>
    <w:rsid w:val="003544DD"/>
    <w:rsid w:val="00354514"/>
    <w:rsid w:val="00354553"/>
    <w:rsid w:val="003545DD"/>
    <w:rsid w:val="003545FA"/>
    <w:rsid w:val="003545FF"/>
    <w:rsid w:val="0035467E"/>
    <w:rsid w:val="0035468F"/>
    <w:rsid w:val="003546A9"/>
    <w:rsid w:val="003546CE"/>
    <w:rsid w:val="0035485E"/>
    <w:rsid w:val="0035489C"/>
    <w:rsid w:val="003548D0"/>
    <w:rsid w:val="0035499F"/>
    <w:rsid w:val="00354CBB"/>
    <w:rsid w:val="00354CF3"/>
    <w:rsid w:val="00354D5B"/>
    <w:rsid w:val="00354F22"/>
    <w:rsid w:val="00354F73"/>
    <w:rsid w:val="0035500E"/>
    <w:rsid w:val="0035514C"/>
    <w:rsid w:val="0035536E"/>
    <w:rsid w:val="0035541E"/>
    <w:rsid w:val="003554BE"/>
    <w:rsid w:val="003554F2"/>
    <w:rsid w:val="0035558C"/>
    <w:rsid w:val="003556D6"/>
    <w:rsid w:val="00355A06"/>
    <w:rsid w:val="00355A48"/>
    <w:rsid w:val="00355A4A"/>
    <w:rsid w:val="00355A78"/>
    <w:rsid w:val="00355B40"/>
    <w:rsid w:val="00355DAB"/>
    <w:rsid w:val="00355DDC"/>
    <w:rsid w:val="00355E7C"/>
    <w:rsid w:val="0035615D"/>
    <w:rsid w:val="003561B1"/>
    <w:rsid w:val="00356370"/>
    <w:rsid w:val="0035642E"/>
    <w:rsid w:val="003564A6"/>
    <w:rsid w:val="00356516"/>
    <w:rsid w:val="0035678C"/>
    <w:rsid w:val="003567E9"/>
    <w:rsid w:val="003568C8"/>
    <w:rsid w:val="00356926"/>
    <w:rsid w:val="00356AC3"/>
    <w:rsid w:val="00356D54"/>
    <w:rsid w:val="00356D70"/>
    <w:rsid w:val="00356DA6"/>
    <w:rsid w:val="00356E0A"/>
    <w:rsid w:val="00356E39"/>
    <w:rsid w:val="00356E67"/>
    <w:rsid w:val="00356F05"/>
    <w:rsid w:val="00356F49"/>
    <w:rsid w:val="0035713A"/>
    <w:rsid w:val="00357177"/>
    <w:rsid w:val="003571B0"/>
    <w:rsid w:val="003571B8"/>
    <w:rsid w:val="0035727B"/>
    <w:rsid w:val="003572FF"/>
    <w:rsid w:val="0035738C"/>
    <w:rsid w:val="0035743D"/>
    <w:rsid w:val="00357442"/>
    <w:rsid w:val="00357450"/>
    <w:rsid w:val="00357636"/>
    <w:rsid w:val="00357642"/>
    <w:rsid w:val="0035790F"/>
    <w:rsid w:val="003579C8"/>
    <w:rsid w:val="00357D78"/>
    <w:rsid w:val="00357DF7"/>
    <w:rsid w:val="00357EBF"/>
    <w:rsid w:val="00357F0B"/>
    <w:rsid w:val="00357F46"/>
    <w:rsid w:val="0036011A"/>
    <w:rsid w:val="003602E6"/>
    <w:rsid w:val="0036038D"/>
    <w:rsid w:val="00360650"/>
    <w:rsid w:val="00360943"/>
    <w:rsid w:val="00360995"/>
    <w:rsid w:val="00360A7E"/>
    <w:rsid w:val="00360B15"/>
    <w:rsid w:val="00360BFA"/>
    <w:rsid w:val="00360D4E"/>
    <w:rsid w:val="00360D92"/>
    <w:rsid w:val="00360E2B"/>
    <w:rsid w:val="00360EE2"/>
    <w:rsid w:val="003610C7"/>
    <w:rsid w:val="003610D0"/>
    <w:rsid w:val="00361138"/>
    <w:rsid w:val="003611FA"/>
    <w:rsid w:val="0036125A"/>
    <w:rsid w:val="00361402"/>
    <w:rsid w:val="00361502"/>
    <w:rsid w:val="00361524"/>
    <w:rsid w:val="003615A6"/>
    <w:rsid w:val="003616C1"/>
    <w:rsid w:val="00361724"/>
    <w:rsid w:val="00361755"/>
    <w:rsid w:val="0036194D"/>
    <w:rsid w:val="00361B93"/>
    <w:rsid w:val="00361C09"/>
    <w:rsid w:val="00361CA0"/>
    <w:rsid w:val="00361D1B"/>
    <w:rsid w:val="00361D1D"/>
    <w:rsid w:val="00361D96"/>
    <w:rsid w:val="00361E35"/>
    <w:rsid w:val="00361FA0"/>
    <w:rsid w:val="0036231F"/>
    <w:rsid w:val="0036237D"/>
    <w:rsid w:val="00362398"/>
    <w:rsid w:val="003623CA"/>
    <w:rsid w:val="003623F2"/>
    <w:rsid w:val="003624D0"/>
    <w:rsid w:val="003625B1"/>
    <w:rsid w:val="00362695"/>
    <w:rsid w:val="00362822"/>
    <w:rsid w:val="00362898"/>
    <w:rsid w:val="003628BE"/>
    <w:rsid w:val="00362927"/>
    <w:rsid w:val="00362930"/>
    <w:rsid w:val="00362BC5"/>
    <w:rsid w:val="00362C05"/>
    <w:rsid w:val="00362C94"/>
    <w:rsid w:val="00362DC4"/>
    <w:rsid w:val="00362ED1"/>
    <w:rsid w:val="00362EFA"/>
    <w:rsid w:val="00362F53"/>
    <w:rsid w:val="003630E7"/>
    <w:rsid w:val="00363133"/>
    <w:rsid w:val="00363249"/>
    <w:rsid w:val="00363288"/>
    <w:rsid w:val="003634E1"/>
    <w:rsid w:val="00363680"/>
    <w:rsid w:val="003636CB"/>
    <w:rsid w:val="00363702"/>
    <w:rsid w:val="003637D1"/>
    <w:rsid w:val="0036381A"/>
    <w:rsid w:val="003638B4"/>
    <w:rsid w:val="00363A3C"/>
    <w:rsid w:val="00363AF7"/>
    <w:rsid w:val="00363B75"/>
    <w:rsid w:val="00363B79"/>
    <w:rsid w:val="00363BC2"/>
    <w:rsid w:val="00363BCB"/>
    <w:rsid w:val="00363CD1"/>
    <w:rsid w:val="00363CD6"/>
    <w:rsid w:val="00363DC9"/>
    <w:rsid w:val="00363E6B"/>
    <w:rsid w:val="00363EAC"/>
    <w:rsid w:val="00363EC4"/>
    <w:rsid w:val="00363F4B"/>
    <w:rsid w:val="00364090"/>
    <w:rsid w:val="00364201"/>
    <w:rsid w:val="00364224"/>
    <w:rsid w:val="00364250"/>
    <w:rsid w:val="003643AE"/>
    <w:rsid w:val="00364442"/>
    <w:rsid w:val="00364A3B"/>
    <w:rsid w:val="00364A61"/>
    <w:rsid w:val="00364A89"/>
    <w:rsid w:val="00364BD6"/>
    <w:rsid w:val="00364D84"/>
    <w:rsid w:val="00364F81"/>
    <w:rsid w:val="00365099"/>
    <w:rsid w:val="003650D3"/>
    <w:rsid w:val="003650F5"/>
    <w:rsid w:val="0036520F"/>
    <w:rsid w:val="003653C9"/>
    <w:rsid w:val="00365434"/>
    <w:rsid w:val="00365464"/>
    <w:rsid w:val="00365620"/>
    <w:rsid w:val="003656A6"/>
    <w:rsid w:val="00365785"/>
    <w:rsid w:val="00365819"/>
    <w:rsid w:val="00365867"/>
    <w:rsid w:val="00365936"/>
    <w:rsid w:val="00365950"/>
    <w:rsid w:val="00365991"/>
    <w:rsid w:val="00365E13"/>
    <w:rsid w:val="00365F08"/>
    <w:rsid w:val="00366081"/>
    <w:rsid w:val="00366129"/>
    <w:rsid w:val="003661E2"/>
    <w:rsid w:val="0036630B"/>
    <w:rsid w:val="00366390"/>
    <w:rsid w:val="00366519"/>
    <w:rsid w:val="00366562"/>
    <w:rsid w:val="00366576"/>
    <w:rsid w:val="003665B7"/>
    <w:rsid w:val="00366606"/>
    <w:rsid w:val="00366639"/>
    <w:rsid w:val="0036693B"/>
    <w:rsid w:val="003669F0"/>
    <w:rsid w:val="00366A03"/>
    <w:rsid w:val="00366A22"/>
    <w:rsid w:val="00366AC3"/>
    <w:rsid w:val="00366C58"/>
    <w:rsid w:val="00366CDB"/>
    <w:rsid w:val="00366DEF"/>
    <w:rsid w:val="00366ED7"/>
    <w:rsid w:val="003670CB"/>
    <w:rsid w:val="00367128"/>
    <w:rsid w:val="0036732D"/>
    <w:rsid w:val="003674AA"/>
    <w:rsid w:val="00367709"/>
    <w:rsid w:val="00367798"/>
    <w:rsid w:val="003678DF"/>
    <w:rsid w:val="00367912"/>
    <w:rsid w:val="00367C10"/>
    <w:rsid w:val="00367D88"/>
    <w:rsid w:val="00367ED8"/>
    <w:rsid w:val="00367F08"/>
    <w:rsid w:val="00367FB3"/>
    <w:rsid w:val="00370096"/>
    <w:rsid w:val="003700A4"/>
    <w:rsid w:val="0037017E"/>
    <w:rsid w:val="0037023C"/>
    <w:rsid w:val="00370259"/>
    <w:rsid w:val="003702A2"/>
    <w:rsid w:val="003702E3"/>
    <w:rsid w:val="0037045B"/>
    <w:rsid w:val="00370491"/>
    <w:rsid w:val="003708CE"/>
    <w:rsid w:val="003708E6"/>
    <w:rsid w:val="003709E8"/>
    <w:rsid w:val="00370B4C"/>
    <w:rsid w:val="00370B6F"/>
    <w:rsid w:val="00370BBF"/>
    <w:rsid w:val="00370C71"/>
    <w:rsid w:val="00370CA3"/>
    <w:rsid w:val="00370CA4"/>
    <w:rsid w:val="00370D0A"/>
    <w:rsid w:val="00370DEB"/>
    <w:rsid w:val="00370E08"/>
    <w:rsid w:val="00370E09"/>
    <w:rsid w:val="00371052"/>
    <w:rsid w:val="00371124"/>
    <w:rsid w:val="00371439"/>
    <w:rsid w:val="00371474"/>
    <w:rsid w:val="00371528"/>
    <w:rsid w:val="00371659"/>
    <w:rsid w:val="0037165A"/>
    <w:rsid w:val="003716E6"/>
    <w:rsid w:val="0037183C"/>
    <w:rsid w:val="003719E3"/>
    <w:rsid w:val="00371A31"/>
    <w:rsid w:val="00371B42"/>
    <w:rsid w:val="00371F04"/>
    <w:rsid w:val="003721C3"/>
    <w:rsid w:val="003724CA"/>
    <w:rsid w:val="0037252E"/>
    <w:rsid w:val="0037255A"/>
    <w:rsid w:val="003725B6"/>
    <w:rsid w:val="003725CC"/>
    <w:rsid w:val="00372677"/>
    <w:rsid w:val="0037291F"/>
    <w:rsid w:val="00372AA0"/>
    <w:rsid w:val="00372B6E"/>
    <w:rsid w:val="00372B9E"/>
    <w:rsid w:val="00372DE5"/>
    <w:rsid w:val="00372E7C"/>
    <w:rsid w:val="00372E8E"/>
    <w:rsid w:val="00372EA8"/>
    <w:rsid w:val="00372EF1"/>
    <w:rsid w:val="003730C5"/>
    <w:rsid w:val="0037315F"/>
    <w:rsid w:val="003731B7"/>
    <w:rsid w:val="003731DC"/>
    <w:rsid w:val="00373204"/>
    <w:rsid w:val="003732AB"/>
    <w:rsid w:val="00373425"/>
    <w:rsid w:val="00373432"/>
    <w:rsid w:val="0037348C"/>
    <w:rsid w:val="00373554"/>
    <w:rsid w:val="003736A4"/>
    <w:rsid w:val="003736EE"/>
    <w:rsid w:val="00373826"/>
    <w:rsid w:val="00373833"/>
    <w:rsid w:val="003739E7"/>
    <w:rsid w:val="00373B81"/>
    <w:rsid w:val="00373DAA"/>
    <w:rsid w:val="00373EEE"/>
    <w:rsid w:val="00373EF7"/>
    <w:rsid w:val="003740A4"/>
    <w:rsid w:val="003740BF"/>
    <w:rsid w:val="0037424B"/>
    <w:rsid w:val="00374435"/>
    <w:rsid w:val="0037454C"/>
    <w:rsid w:val="0037456B"/>
    <w:rsid w:val="0037471F"/>
    <w:rsid w:val="0037473B"/>
    <w:rsid w:val="0037479C"/>
    <w:rsid w:val="003748AD"/>
    <w:rsid w:val="003748CC"/>
    <w:rsid w:val="00374C56"/>
    <w:rsid w:val="00374D32"/>
    <w:rsid w:val="00374D95"/>
    <w:rsid w:val="00374DB6"/>
    <w:rsid w:val="00374F44"/>
    <w:rsid w:val="00375124"/>
    <w:rsid w:val="003751FC"/>
    <w:rsid w:val="00375304"/>
    <w:rsid w:val="0037556B"/>
    <w:rsid w:val="0037560C"/>
    <w:rsid w:val="0037575E"/>
    <w:rsid w:val="0037582E"/>
    <w:rsid w:val="0037592C"/>
    <w:rsid w:val="00375A99"/>
    <w:rsid w:val="00375BB8"/>
    <w:rsid w:val="00375C52"/>
    <w:rsid w:val="00375CE6"/>
    <w:rsid w:val="00375D9D"/>
    <w:rsid w:val="00375E06"/>
    <w:rsid w:val="00375EB0"/>
    <w:rsid w:val="00375F78"/>
    <w:rsid w:val="0037600B"/>
    <w:rsid w:val="00376028"/>
    <w:rsid w:val="0037603B"/>
    <w:rsid w:val="0037605C"/>
    <w:rsid w:val="00376066"/>
    <w:rsid w:val="003760CD"/>
    <w:rsid w:val="0037611F"/>
    <w:rsid w:val="0037613C"/>
    <w:rsid w:val="00376244"/>
    <w:rsid w:val="0037627F"/>
    <w:rsid w:val="003762C1"/>
    <w:rsid w:val="003762E3"/>
    <w:rsid w:val="00376355"/>
    <w:rsid w:val="0037665B"/>
    <w:rsid w:val="003767EB"/>
    <w:rsid w:val="0037680B"/>
    <w:rsid w:val="003768E6"/>
    <w:rsid w:val="00376B2B"/>
    <w:rsid w:val="00376C43"/>
    <w:rsid w:val="00376DC1"/>
    <w:rsid w:val="00376EC0"/>
    <w:rsid w:val="00376FAB"/>
    <w:rsid w:val="00377064"/>
    <w:rsid w:val="0037708B"/>
    <w:rsid w:val="0037712C"/>
    <w:rsid w:val="00377146"/>
    <w:rsid w:val="0037729F"/>
    <w:rsid w:val="003773B9"/>
    <w:rsid w:val="00377492"/>
    <w:rsid w:val="0037751B"/>
    <w:rsid w:val="00377536"/>
    <w:rsid w:val="00377714"/>
    <w:rsid w:val="003778B5"/>
    <w:rsid w:val="0037791E"/>
    <w:rsid w:val="003779A2"/>
    <w:rsid w:val="003779B9"/>
    <w:rsid w:val="00377B92"/>
    <w:rsid w:val="00377C10"/>
    <w:rsid w:val="00377C35"/>
    <w:rsid w:val="00377C58"/>
    <w:rsid w:val="00377C8A"/>
    <w:rsid w:val="00377D71"/>
    <w:rsid w:val="00377D91"/>
    <w:rsid w:val="00380113"/>
    <w:rsid w:val="00380169"/>
    <w:rsid w:val="0038028D"/>
    <w:rsid w:val="003802A4"/>
    <w:rsid w:val="00380308"/>
    <w:rsid w:val="00380347"/>
    <w:rsid w:val="0038036D"/>
    <w:rsid w:val="0038049A"/>
    <w:rsid w:val="00380520"/>
    <w:rsid w:val="00380580"/>
    <w:rsid w:val="003805FF"/>
    <w:rsid w:val="003807B5"/>
    <w:rsid w:val="0038097C"/>
    <w:rsid w:val="003809A7"/>
    <w:rsid w:val="003809F4"/>
    <w:rsid w:val="00380C4E"/>
    <w:rsid w:val="00380C73"/>
    <w:rsid w:val="00380F04"/>
    <w:rsid w:val="00380FF5"/>
    <w:rsid w:val="0038101D"/>
    <w:rsid w:val="0038111C"/>
    <w:rsid w:val="0038119A"/>
    <w:rsid w:val="003811F5"/>
    <w:rsid w:val="00381284"/>
    <w:rsid w:val="0038131A"/>
    <w:rsid w:val="00381323"/>
    <w:rsid w:val="00381399"/>
    <w:rsid w:val="00381405"/>
    <w:rsid w:val="003814DF"/>
    <w:rsid w:val="00381597"/>
    <w:rsid w:val="003815FA"/>
    <w:rsid w:val="00381601"/>
    <w:rsid w:val="00381682"/>
    <w:rsid w:val="00381716"/>
    <w:rsid w:val="00381792"/>
    <w:rsid w:val="003819B0"/>
    <w:rsid w:val="003819C1"/>
    <w:rsid w:val="00381AF1"/>
    <w:rsid w:val="00381AF4"/>
    <w:rsid w:val="00381B5F"/>
    <w:rsid w:val="00381E83"/>
    <w:rsid w:val="0038222D"/>
    <w:rsid w:val="0038231A"/>
    <w:rsid w:val="0038232F"/>
    <w:rsid w:val="003823D7"/>
    <w:rsid w:val="00382424"/>
    <w:rsid w:val="003824E7"/>
    <w:rsid w:val="0038266F"/>
    <w:rsid w:val="00382699"/>
    <w:rsid w:val="003826DD"/>
    <w:rsid w:val="003826EF"/>
    <w:rsid w:val="00382805"/>
    <w:rsid w:val="00382994"/>
    <w:rsid w:val="003829AB"/>
    <w:rsid w:val="00382A89"/>
    <w:rsid w:val="00382AEE"/>
    <w:rsid w:val="00382D77"/>
    <w:rsid w:val="00382D88"/>
    <w:rsid w:val="00382DCB"/>
    <w:rsid w:val="00382EB4"/>
    <w:rsid w:val="003830EB"/>
    <w:rsid w:val="00383416"/>
    <w:rsid w:val="003834E7"/>
    <w:rsid w:val="00383540"/>
    <w:rsid w:val="00383610"/>
    <w:rsid w:val="00383664"/>
    <w:rsid w:val="00383670"/>
    <w:rsid w:val="00383848"/>
    <w:rsid w:val="003839A6"/>
    <w:rsid w:val="003839DA"/>
    <w:rsid w:val="003839F9"/>
    <w:rsid w:val="00383A2B"/>
    <w:rsid w:val="00383D6A"/>
    <w:rsid w:val="00383E27"/>
    <w:rsid w:val="00383E31"/>
    <w:rsid w:val="00383E4B"/>
    <w:rsid w:val="00383EE2"/>
    <w:rsid w:val="00384006"/>
    <w:rsid w:val="0038411E"/>
    <w:rsid w:val="00384265"/>
    <w:rsid w:val="003842B4"/>
    <w:rsid w:val="003842F2"/>
    <w:rsid w:val="0038434D"/>
    <w:rsid w:val="00384387"/>
    <w:rsid w:val="003843CD"/>
    <w:rsid w:val="003843CF"/>
    <w:rsid w:val="0038443C"/>
    <w:rsid w:val="0038463B"/>
    <w:rsid w:val="0038463C"/>
    <w:rsid w:val="00384675"/>
    <w:rsid w:val="00384697"/>
    <w:rsid w:val="00384A09"/>
    <w:rsid w:val="00384A3A"/>
    <w:rsid w:val="00384A69"/>
    <w:rsid w:val="00384B49"/>
    <w:rsid w:val="00384B5D"/>
    <w:rsid w:val="00384D56"/>
    <w:rsid w:val="00384D62"/>
    <w:rsid w:val="00384DA1"/>
    <w:rsid w:val="00384E42"/>
    <w:rsid w:val="00384E5D"/>
    <w:rsid w:val="00384E96"/>
    <w:rsid w:val="00384F26"/>
    <w:rsid w:val="00384F80"/>
    <w:rsid w:val="00384FAF"/>
    <w:rsid w:val="003852D8"/>
    <w:rsid w:val="00385334"/>
    <w:rsid w:val="00385365"/>
    <w:rsid w:val="0038549F"/>
    <w:rsid w:val="00385615"/>
    <w:rsid w:val="003857F2"/>
    <w:rsid w:val="003859B4"/>
    <w:rsid w:val="003859DB"/>
    <w:rsid w:val="00385A18"/>
    <w:rsid w:val="00385A5B"/>
    <w:rsid w:val="00385A7F"/>
    <w:rsid w:val="00385B7A"/>
    <w:rsid w:val="00385DA1"/>
    <w:rsid w:val="00385E7E"/>
    <w:rsid w:val="00385ED5"/>
    <w:rsid w:val="0038601F"/>
    <w:rsid w:val="0038626D"/>
    <w:rsid w:val="0038636C"/>
    <w:rsid w:val="0038644D"/>
    <w:rsid w:val="00386497"/>
    <w:rsid w:val="0038663B"/>
    <w:rsid w:val="003866F2"/>
    <w:rsid w:val="003866F7"/>
    <w:rsid w:val="003867B8"/>
    <w:rsid w:val="0038686F"/>
    <w:rsid w:val="003868A8"/>
    <w:rsid w:val="003868BD"/>
    <w:rsid w:val="0038697C"/>
    <w:rsid w:val="00386A2B"/>
    <w:rsid w:val="00386C01"/>
    <w:rsid w:val="00386CB9"/>
    <w:rsid w:val="00386DC7"/>
    <w:rsid w:val="00386E5C"/>
    <w:rsid w:val="00386E61"/>
    <w:rsid w:val="00386F7B"/>
    <w:rsid w:val="00386F82"/>
    <w:rsid w:val="00387021"/>
    <w:rsid w:val="003870B9"/>
    <w:rsid w:val="003872F5"/>
    <w:rsid w:val="0038730D"/>
    <w:rsid w:val="00387316"/>
    <w:rsid w:val="00387393"/>
    <w:rsid w:val="003874D8"/>
    <w:rsid w:val="00387534"/>
    <w:rsid w:val="00387562"/>
    <w:rsid w:val="00387590"/>
    <w:rsid w:val="003875B5"/>
    <w:rsid w:val="003875F4"/>
    <w:rsid w:val="00387989"/>
    <w:rsid w:val="00387A63"/>
    <w:rsid w:val="00387B08"/>
    <w:rsid w:val="00387C80"/>
    <w:rsid w:val="00387D07"/>
    <w:rsid w:val="00387D99"/>
    <w:rsid w:val="00387E50"/>
    <w:rsid w:val="00387EE0"/>
    <w:rsid w:val="00387F7D"/>
    <w:rsid w:val="00390113"/>
    <w:rsid w:val="00390190"/>
    <w:rsid w:val="0039022C"/>
    <w:rsid w:val="00390319"/>
    <w:rsid w:val="0039035A"/>
    <w:rsid w:val="0039036E"/>
    <w:rsid w:val="00390541"/>
    <w:rsid w:val="003905EE"/>
    <w:rsid w:val="00390648"/>
    <w:rsid w:val="003906F3"/>
    <w:rsid w:val="00390788"/>
    <w:rsid w:val="00390814"/>
    <w:rsid w:val="00390895"/>
    <w:rsid w:val="003909D2"/>
    <w:rsid w:val="00390A07"/>
    <w:rsid w:val="00390BB6"/>
    <w:rsid w:val="00390D60"/>
    <w:rsid w:val="00390ECE"/>
    <w:rsid w:val="00390F3C"/>
    <w:rsid w:val="00391321"/>
    <w:rsid w:val="0039132C"/>
    <w:rsid w:val="00391394"/>
    <w:rsid w:val="003913AE"/>
    <w:rsid w:val="00391471"/>
    <w:rsid w:val="0039165B"/>
    <w:rsid w:val="0039176B"/>
    <w:rsid w:val="003917E4"/>
    <w:rsid w:val="003917F2"/>
    <w:rsid w:val="003917F9"/>
    <w:rsid w:val="0039182A"/>
    <w:rsid w:val="003918F8"/>
    <w:rsid w:val="00391BA6"/>
    <w:rsid w:val="00391BF5"/>
    <w:rsid w:val="00391DBF"/>
    <w:rsid w:val="00391E1A"/>
    <w:rsid w:val="00391E2D"/>
    <w:rsid w:val="00391E36"/>
    <w:rsid w:val="00391EFE"/>
    <w:rsid w:val="0039206D"/>
    <w:rsid w:val="003923A6"/>
    <w:rsid w:val="003923AA"/>
    <w:rsid w:val="0039260F"/>
    <w:rsid w:val="00392646"/>
    <w:rsid w:val="00392662"/>
    <w:rsid w:val="00392677"/>
    <w:rsid w:val="0039271C"/>
    <w:rsid w:val="003927AC"/>
    <w:rsid w:val="003927B3"/>
    <w:rsid w:val="003927CF"/>
    <w:rsid w:val="003927DF"/>
    <w:rsid w:val="003927EC"/>
    <w:rsid w:val="00392811"/>
    <w:rsid w:val="00392ACB"/>
    <w:rsid w:val="00392ADA"/>
    <w:rsid w:val="00392B26"/>
    <w:rsid w:val="00392CE8"/>
    <w:rsid w:val="00392EB7"/>
    <w:rsid w:val="00392F4D"/>
    <w:rsid w:val="00393009"/>
    <w:rsid w:val="00393086"/>
    <w:rsid w:val="003930EC"/>
    <w:rsid w:val="00393152"/>
    <w:rsid w:val="003932A7"/>
    <w:rsid w:val="00393357"/>
    <w:rsid w:val="003937AB"/>
    <w:rsid w:val="00393978"/>
    <w:rsid w:val="0039398B"/>
    <w:rsid w:val="0039399A"/>
    <w:rsid w:val="00393A1F"/>
    <w:rsid w:val="00393B54"/>
    <w:rsid w:val="00393C31"/>
    <w:rsid w:val="00393D1A"/>
    <w:rsid w:val="00393D4E"/>
    <w:rsid w:val="00393D91"/>
    <w:rsid w:val="00393DA0"/>
    <w:rsid w:val="00393FDF"/>
    <w:rsid w:val="003942E4"/>
    <w:rsid w:val="00394444"/>
    <w:rsid w:val="003944BB"/>
    <w:rsid w:val="0039452B"/>
    <w:rsid w:val="00394716"/>
    <w:rsid w:val="003947E5"/>
    <w:rsid w:val="0039480E"/>
    <w:rsid w:val="00394861"/>
    <w:rsid w:val="00394866"/>
    <w:rsid w:val="00394946"/>
    <w:rsid w:val="00394A4F"/>
    <w:rsid w:val="00394AD7"/>
    <w:rsid w:val="00394AEC"/>
    <w:rsid w:val="00394B63"/>
    <w:rsid w:val="00394BAC"/>
    <w:rsid w:val="00394C0E"/>
    <w:rsid w:val="00394C56"/>
    <w:rsid w:val="00394CC4"/>
    <w:rsid w:val="00394D12"/>
    <w:rsid w:val="00394D2B"/>
    <w:rsid w:val="00394D5B"/>
    <w:rsid w:val="00394D6B"/>
    <w:rsid w:val="00394D88"/>
    <w:rsid w:val="00394EF2"/>
    <w:rsid w:val="00394F20"/>
    <w:rsid w:val="00394F45"/>
    <w:rsid w:val="00394F67"/>
    <w:rsid w:val="003950A0"/>
    <w:rsid w:val="003951AE"/>
    <w:rsid w:val="003951CF"/>
    <w:rsid w:val="00395521"/>
    <w:rsid w:val="0039553A"/>
    <w:rsid w:val="0039586C"/>
    <w:rsid w:val="003958A5"/>
    <w:rsid w:val="003959A5"/>
    <w:rsid w:val="003959B9"/>
    <w:rsid w:val="003959C7"/>
    <w:rsid w:val="00395A3C"/>
    <w:rsid w:val="00395AA3"/>
    <w:rsid w:val="00395C00"/>
    <w:rsid w:val="00395E11"/>
    <w:rsid w:val="00395EC7"/>
    <w:rsid w:val="00395F85"/>
    <w:rsid w:val="00395FAF"/>
    <w:rsid w:val="0039605B"/>
    <w:rsid w:val="00396130"/>
    <w:rsid w:val="003962DB"/>
    <w:rsid w:val="003964A4"/>
    <w:rsid w:val="003964CC"/>
    <w:rsid w:val="0039651A"/>
    <w:rsid w:val="003966C4"/>
    <w:rsid w:val="003967BE"/>
    <w:rsid w:val="003968C1"/>
    <w:rsid w:val="00396922"/>
    <w:rsid w:val="0039694B"/>
    <w:rsid w:val="00396991"/>
    <w:rsid w:val="003969A9"/>
    <w:rsid w:val="00396B0B"/>
    <w:rsid w:val="00396B4F"/>
    <w:rsid w:val="00396FD6"/>
    <w:rsid w:val="003970F9"/>
    <w:rsid w:val="00397117"/>
    <w:rsid w:val="003971DB"/>
    <w:rsid w:val="0039732F"/>
    <w:rsid w:val="0039742B"/>
    <w:rsid w:val="003974F9"/>
    <w:rsid w:val="003975A3"/>
    <w:rsid w:val="00397693"/>
    <w:rsid w:val="00397744"/>
    <w:rsid w:val="00397AA6"/>
    <w:rsid w:val="00397B22"/>
    <w:rsid w:val="00397B32"/>
    <w:rsid w:val="00397B4A"/>
    <w:rsid w:val="00397B7B"/>
    <w:rsid w:val="00397BE4"/>
    <w:rsid w:val="00397C82"/>
    <w:rsid w:val="00397DCB"/>
    <w:rsid w:val="00397E0E"/>
    <w:rsid w:val="00397F24"/>
    <w:rsid w:val="00397F74"/>
    <w:rsid w:val="00397F7A"/>
    <w:rsid w:val="003A00D3"/>
    <w:rsid w:val="003A00FD"/>
    <w:rsid w:val="003A0103"/>
    <w:rsid w:val="003A011D"/>
    <w:rsid w:val="003A0228"/>
    <w:rsid w:val="003A0340"/>
    <w:rsid w:val="003A0363"/>
    <w:rsid w:val="003A03B2"/>
    <w:rsid w:val="003A0609"/>
    <w:rsid w:val="003A06D4"/>
    <w:rsid w:val="003A06DA"/>
    <w:rsid w:val="003A0847"/>
    <w:rsid w:val="003A0B92"/>
    <w:rsid w:val="003A0BDA"/>
    <w:rsid w:val="003A0CFC"/>
    <w:rsid w:val="003A0DDD"/>
    <w:rsid w:val="003A0E8B"/>
    <w:rsid w:val="003A0F7E"/>
    <w:rsid w:val="003A12C8"/>
    <w:rsid w:val="003A12EA"/>
    <w:rsid w:val="003A144F"/>
    <w:rsid w:val="003A1964"/>
    <w:rsid w:val="003A1B0C"/>
    <w:rsid w:val="003A1B57"/>
    <w:rsid w:val="003A1BFE"/>
    <w:rsid w:val="003A1C22"/>
    <w:rsid w:val="003A1D3F"/>
    <w:rsid w:val="003A1D58"/>
    <w:rsid w:val="003A1F80"/>
    <w:rsid w:val="003A1FB8"/>
    <w:rsid w:val="003A205F"/>
    <w:rsid w:val="003A2099"/>
    <w:rsid w:val="003A2142"/>
    <w:rsid w:val="003A21F8"/>
    <w:rsid w:val="003A2296"/>
    <w:rsid w:val="003A22C3"/>
    <w:rsid w:val="003A22F3"/>
    <w:rsid w:val="003A23FB"/>
    <w:rsid w:val="003A242F"/>
    <w:rsid w:val="003A251C"/>
    <w:rsid w:val="003A2523"/>
    <w:rsid w:val="003A252D"/>
    <w:rsid w:val="003A25E5"/>
    <w:rsid w:val="003A263C"/>
    <w:rsid w:val="003A2655"/>
    <w:rsid w:val="003A2862"/>
    <w:rsid w:val="003A2918"/>
    <w:rsid w:val="003A29CC"/>
    <w:rsid w:val="003A2A2B"/>
    <w:rsid w:val="003A2C66"/>
    <w:rsid w:val="003A2CE2"/>
    <w:rsid w:val="003A2D3A"/>
    <w:rsid w:val="003A2D9B"/>
    <w:rsid w:val="003A2DD1"/>
    <w:rsid w:val="003A2DE9"/>
    <w:rsid w:val="003A2F4F"/>
    <w:rsid w:val="003A2FBB"/>
    <w:rsid w:val="003A3027"/>
    <w:rsid w:val="003A3305"/>
    <w:rsid w:val="003A3538"/>
    <w:rsid w:val="003A35D1"/>
    <w:rsid w:val="003A360D"/>
    <w:rsid w:val="003A3615"/>
    <w:rsid w:val="003A362D"/>
    <w:rsid w:val="003A368D"/>
    <w:rsid w:val="003A36C4"/>
    <w:rsid w:val="003A3744"/>
    <w:rsid w:val="003A38E1"/>
    <w:rsid w:val="003A3962"/>
    <w:rsid w:val="003A39BC"/>
    <w:rsid w:val="003A39C2"/>
    <w:rsid w:val="003A3AE4"/>
    <w:rsid w:val="003A3AFC"/>
    <w:rsid w:val="003A3C04"/>
    <w:rsid w:val="003A3CF8"/>
    <w:rsid w:val="003A3D71"/>
    <w:rsid w:val="003A3DB4"/>
    <w:rsid w:val="003A3E19"/>
    <w:rsid w:val="003A3EBB"/>
    <w:rsid w:val="003A3F0D"/>
    <w:rsid w:val="003A3FCC"/>
    <w:rsid w:val="003A41E8"/>
    <w:rsid w:val="003A4332"/>
    <w:rsid w:val="003A447A"/>
    <w:rsid w:val="003A460C"/>
    <w:rsid w:val="003A46CE"/>
    <w:rsid w:val="003A47CC"/>
    <w:rsid w:val="003A4844"/>
    <w:rsid w:val="003A488F"/>
    <w:rsid w:val="003A498D"/>
    <w:rsid w:val="003A49D9"/>
    <w:rsid w:val="003A4B56"/>
    <w:rsid w:val="003A4C0E"/>
    <w:rsid w:val="003A4C9B"/>
    <w:rsid w:val="003A4EC4"/>
    <w:rsid w:val="003A4F82"/>
    <w:rsid w:val="003A4F8B"/>
    <w:rsid w:val="003A50C0"/>
    <w:rsid w:val="003A518E"/>
    <w:rsid w:val="003A5250"/>
    <w:rsid w:val="003A5314"/>
    <w:rsid w:val="003A532F"/>
    <w:rsid w:val="003A53A1"/>
    <w:rsid w:val="003A56D4"/>
    <w:rsid w:val="003A5788"/>
    <w:rsid w:val="003A57AB"/>
    <w:rsid w:val="003A5817"/>
    <w:rsid w:val="003A5A09"/>
    <w:rsid w:val="003A5B53"/>
    <w:rsid w:val="003A5D49"/>
    <w:rsid w:val="003A5DDF"/>
    <w:rsid w:val="003A5F8B"/>
    <w:rsid w:val="003A6020"/>
    <w:rsid w:val="003A60B7"/>
    <w:rsid w:val="003A6153"/>
    <w:rsid w:val="003A622C"/>
    <w:rsid w:val="003A624B"/>
    <w:rsid w:val="003A62CF"/>
    <w:rsid w:val="003A63BE"/>
    <w:rsid w:val="003A64AF"/>
    <w:rsid w:val="003A64B9"/>
    <w:rsid w:val="003A65DF"/>
    <w:rsid w:val="003A6656"/>
    <w:rsid w:val="003A6689"/>
    <w:rsid w:val="003A67D0"/>
    <w:rsid w:val="003A692A"/>
    <w:rsid w:val="003A6997"/>
    <w:rsid w:val="003A6999"/>
    <w:rsid w:val="003A69F5"/>
    <w:rsid w:val="003A6A3C"/>
    <w:rsid w:val="003A6AB9"/>
    <w:rsid w:val="003A6ED5"/>
    <w:rsid w:val="003A6FA9"/>
    <w:rsid w:val="003A6FFE"/>
    <w:rsid w:val="003A7174"/>
    <w:rsid w:val="003A727D"/>
    <w:rsid w:val="003A72B5"/>
    <w:rsid w:val="003A7316"/>
    <w:rsid w:val="003A73C7"/>
    <w:rsid w:val="003A746F"/>
    <w:rsid w:val="003A7572"/>
    <w:rsid w:val="003A7664"/>
    <w:rsid w:val="003A7991"/>
    <w:rsid w:val="003A79EA"/>
    <w:rsid w:val="003A7B9E"/>
    <w:rsid w:val="003A7D7C"/>
    <w:rsid w:val="003A7DA3"/>
    <w:rsid w:val="003B00CB"/>
    <w:rsid w:val="003B018C"/>
    <w:rsid w:val="003B01BE"/>
    <w:rsid w:val="003B02AF"/>
    <w:rsid w:val="003B03AD"/>
    <w:rsid w:val="003B03CB"/>
    <w:rsid w:val="003B04AE"/>
    <w:rsid w:val="003B04CF"/>
    <w:rsid w:val="003B0595"/>
    <w:rsid w:val="003B06C0"/>
    <w:rsid w:val="003B084D"/>
    <w:rsid w:val="003B0858"/>
    <w:rsid w:val="003B089C"/>
    <w:rsid w:val="003B08F9"/>
    <w:rsid w:val="003B0BC8"/>
    <w:rsid w:val="003B0DC6"/>
    <w:rsid w:val="003B0F1C"/>
    <w:rsid w:val="003B0FF6"/>
    <w:rsid w:val="003B111F"/>
    <w:rsid w:val="003B1120"/>
    <w:rsid w:val="003B1154"/>
    <w:rsid w:val="003B1305"/>
    <w:rsid w:val="003B131F"/>
    <w:rsid w:val="003B1426"/>
    <w:rsid w:val="003B1698"/>
    <w:rsid w:val="003B17C3"/>
    <w:rsid w:val="003B183F"/>
    <w:rsid w:val="003B1981"/>
    <w:rsid w:val="003B19A3"/>
    <w:rsid w:val="003B1AAF"/>
    <w:rsid w:val="003B1AB5"/>
    <w:rsid w:val="003B1BBE"/>
    <w:rsid w:val="003B1E72"/>
    <w:rsid w:val="003B1EB5"/>
    <w:rsid w:val="003B1FA5"/>
    <w:rsid w:val="003B1FBB"/>
    <w:rsid w:val="003B2028"/>
    <w:rsid w:val="003B2278"/>
    <w:rsid w:val="003B22D4"/>
    <w:rsid w:val="003B2321"/>
    <w:rsid w:val="003B2351"/>
    <w:rsid w:val="003B24F7"/>
    <w:rsid w:val="003B2658"/>
    <w:rsid w:val="003B26CD"/>
    <w:rsid w:val="003B2717"/>
    <w:rsid w:val="003B27DF"/>
    <w:rsid w:val="003B27F1"/>
    <w:rsid w:val="003B283E"/>
    <w:rsid w:val="003B2895"/>
    <w:rsid w:val="003B293A"/>
    <w:rsid w:val="003B2A16"/>
    <w:rsid w:val="003B2CA3"/>
    <w:rsid w:val="003B2F89"/>
    <w:rsid w:val="003B2FEE"/>
    <w:rsid w:val="003B30C6"/>
    <w:rsid w:val="003B30DF"/>
    <w:rsid w:val="003B3148"/>
    <w:rsid w:val="003B324E"/>
    <w:rsid w:val="003B3300"/>
    <w:rsid w:val="003B3374"/>
    <w:rsid w:val="003B355D"/>
    <w:rsid w:val="003B35A0"/>
    <w:rsid w:val="003B3679"/>
    <w:rsid w:val="003B374A"/>
    <w:rsid w:val="003B37D4"/>
    <w:rsid w:val="003B3812"/>
    <w:rsid w:val="003B39E7"/>
    <w:rsid w:val="003B3A64"/>
    <w:rsid w:val="003B3B71"/>
    <w:rsid w:val="003B3B82"/>
    <w:rsid w:val="003B3C83"/>
    <w:rsid w:val="003B3EFB"/>
    <w:rsid w:val="003B4019"/>
    <w:rsid w:val="003B40D9"/>
    <w:rsid w:val="003B4107"/>
    <w:rsid w:val="003B42BE"/>
    <w:rsid w:val="003B455E"/>
    <w:rsid w:val="003B456C"/>
    <w:rsid w:val="003B45A6"/>
    <w:rsid w:val="003B461A"/>
    <w:rsid w:val="003B464C"/>
    <w:rsid w:val="003B47F9"/>
    <w:rsid w:val="003B4AB3"/>
    <w:rsid w:val="003B4C0E"/>
    <w:rsid w:val="003B4E36"/>
    <w:rsid w:val="003B4E6A"/>
    <w:rsid w:val="003B4E74"/>
    <w:rsid w:val="003B4EEA"/>
    <w:rsid w:val="003B4F83"/>
    <w:rsid w:val="003B4FFE"/>
    <w:rsid w:val="003B5146"/>
    <w:rsid w:val="003B52A7"/>
    <w:rsid w:val="003B52A8"/>
    <w:rsid w:val="003B52E5"/>
    <w:rsid w:val="003B531A"/>
    <w:rsid w:val="003B550C"/>
    <w:rsid w:val="003B5574"/>
    <w:rsid w:val="003B5683"/>
    <w:rsid w:val="003B579B"/>
    <w:rsid w:val="003B58DB"/>
    <w:rsid w:val="003B58EF"/>
    <w:rsid w:val="003B5A0B"/>
    <w:rsid w:val="003B5A55"/>
    <w:rsid w:val="003B5A74"/>
    <w:rsid w:val="003B5B5D"/>
    <w:rsid w:val="003B5C70"/>
    <w:rsid w:val="003B5D67"/>
    <w:rsid w:val="003B5E83"/>
    <w:rsid w:val="003B5E8B"/>
    <w:rsid w:val="003B5E90"/>
    <w:rsid w:val="003B6020"/>
    <w:rsid w:val="003B6103"/>
    <w:rsid w:val="003B6111"/>
    <w:rsid w:val="003B614F"/>
    <w:rsid w:val="003B627D"/>
    <w:rsid w:val="003B64C2"/>
    <w:rsid w:val="003B64C8"/>
    <w:rsid w:val="003B6545"/>
    <w:rsid w:val="003B65D7"/>
    <w:rsid w:val="003B681E"/>
    <w:rsid w:val="003B68AE"/>
    <w:rsid w:val="003B690A"/>
    <w:rsid w:val="003B6976"/>
    <w:rsid w:val="003B6B44"/>
    <w:rsid w:val="003B6C4B"/>
    <w:rsid w:val="003B6C6A"/>
    <w:rsid w:val="003B6E2F"/>
    <w:rsid w:val="003B6EC6"/>
    <w:rsid w:val="003B72DA"/>
    <w:rsid w:val="003B72F4"/>
    <w:rsid w:val="003B730E"/>
    <w:rsid w:val="003B7336"/>
    <w:rsid w:val="003B7421"/>
    <w:rsid w:val="003B7473"/>
    <w:rsid w:val="003B7612"/>
    <w:rsid w:val="003B7715"/>
    <w:rsid w:val="003B7962"/>
    <w:rsid w:val="003B7A04"/>
    <w:rsid w:val="003B7A6F"/>
    <w:rsid w:val="003B7AFF"/>
    <w:rsid w:val="003B7B21"/>
    <w:rsid w:val="003B7B22"/>
    <w:rsid w:val="003B7BD4"/>
    <w:rsid w:val="003B7CA1"/>
    <w:rsid w:val="003B7CF3"/>
    <w:rsid w:val="003B7D44"/>
    <w:rsid w:val="003B7DBA"/>
    <w:rsid w:val="003B7E58"/>
    <w:rsid w:val="003B7E76"/>
    <w:rsid w:val="003B7E83"/>
    <w:rsid w:val="003B7F1B"/>
    <w:rsid w:val="003B7FE7"/>
    <w:rsid w:val="003C0026"/>
    <w:rsid w:val="003C0261"/>
    <w:rsid w:val="003C02A6"/>
    <w:rsid w:val="003C02F0"/>
    <w:rsid w:val="003C04AB"/>
    <w:rsid w:val="003C0551"/>
    <w:rsid w:val="003C0610"/>
    <w:rsid w:val="003C0667"/>
    <w:rsid w:val="003C0785"/>
    <w:rsid w:val="003C09AF"/>
    <w:rsid w:val="003C0AA4"/>
    <w:rsid w:val="003C0AC2"/>
    <w:rsid w:val="003C0B71"/>
    <w:rsid w:val="003C0D09"/>
    <w:rsid w:val="003C0D11"/>
    <w:rsid w:val="003C0E77"/>
    <w:rsid w:val="003C10D7"/>
    <w:rsid w:val="003C111B"/>
    <w:rsid w:val="003C11C2"/>
    <w:rsid w:val="003C1356"/>
    <w:rsid w:val="003C141A"/>
    <w:rsid w:val="003C145B"/>
    <w:rsid w:val="003C1555"/>
    <w:rsid w:val="003C15CC"/>
    <w:rsid w:val="003C15EE"/>
    <w:rsid w:val="003C164D"/>
    <w:rsid w:val="003C1771"/>
    <w:rsid w:val="003C185F"/>
    <w:rsid w:val="003C18E4"/>
    <w:rsid w:val="003C1A5C"/>
    <w:rsid w:val="003C1B05"/>
    <w:rsid w:val="003C1B77"/>
    <w:rsid w:val="003C1BA5"/>
    <w:rsid w:val="003C1C46"/>
    <w:rsid w:val="003C1C9F"/>
    <w:rsid w:val="003C1D5C"/>
    <w:rsid w:val="003C1EA7"/>
    <w:rsid w:val="003C2033"/>
    <w:rsid w:val="003C2078"/>
    <w:rsid w:val="003C20D9"/>
    <w:rsid w:val="003C2136"/>
    <w:rsid w:val="003C218C"/>
    <w:rsid w:val="003C2194"/>
    <w:rsid w:val="003C21A8"/>
    <w:rsid w:val="003C2220"/>
    <w:rsid w:val="003C226A"/>
    <w:rsid w:val="003C22B0"/>
    <w:rsid w:val="003C22F9"/>
    <w:rsid w:val="003C2438"/>
    <w:rsid w:val="003C261A"/>
    <w:rsid w:val="003C26FE"/>
    <w:rsid w:val="003C2703"/>
    <w:rsid w:val="003C28AA"/>
    <w:rsid w:val="003C2937"/>
    <w:rsid w:val="003C2C8F"/>
    <w:rsid w:val="003C2DBA"/>
    <w:rsid w:val="003C2DDF"/>
    <w:rsid w:val="003C3365"/>
    <w:rsid w:val="003C3488"/>
    <w:rsid w:val="003C3498"/>
    <w:rsid w:val="003C3539"/>
    <w:rsid w:val="003C35E2"/>
    <w:rsid w:val="003C3644"/>
    <w:rsid w:val="003C3661"/>
    <w:rsid w:val="003C3678"/>
    <w:rsid w:val="003C3738"/>
    <w:rsid w:val="003C373A"/>
    <w:rsid w:val="003C37C2"/>
    <w:rsid w:val="003C393C"/>
    <w:rsid w:val="003C3ABF"/>
    <w:rsid w:val="003C3B15"/>
    <w:rsid w:val="003C3B25"/>
    <w:rsid w:val="003C3B38"/>
    <w:rsid w:val="003C3B98"/>
    <w:rsid w:val="003C3CD6"/>
    <w:rsid w:val="003C3DE9"/>
    <w:rsid w:val="003C3E82"/>
    <w:rsid w:val="003C3E96"/>
    <w:rsid w:val="003C3EC4"/>
    <w:rsid w:val="003C3F2E"/>
    <w:rsid w:val="003C3F3B"/>
    <w:rsid w:val="003C3FEE"/>
    <w:rsid w:val="003C4116"/>
    <w:rsid w:val="003C4221"/>
    <w:rsid w:val="003C423A"/>
    <w:rsid w:val="003C42ED"/>
    <w:rsid w:val="003C4303"/>
    <w:rsid w:val="003C43BE"/>
    <w:rsid w:val="003C4468"/>
    <w:rsid w:val="003C4469"/>
    <w:rsid w:val="003C44F2"/>
    <w:rsid w:val="003C45E9"/>
    <w:rsid w:val="003C4797"/>
    <w:rsid w:val="003C47AA"/>
    <w:rsid w:val="003C48F6"/>
    <w:rsid w:val="003C4A80"/>
    <w:rsid w:val="003C4B13"/>
    <w:rsid w:val="003C4D41"/>
    <w:rsid w:val="003C4E1A"/>
    <w:rsid w:val="003C4F19"/>
    <w:rsid w:val="003C5075"/>
    <w:rsid w:val="003C50B8"/>
    <w:rsid w:val="003C50FD"/>
    <w:rsid w:val="003C50FF"/>
    <w:rsid w:val="003C52CD"/>
    <w:rsid w:val="003C53A6"/>
    <w:rsid w:val="003C53A7"/>
    <w:rsid w:val="003C53C0"/>
    <w:rsid w:val="003C53CB"/>
    <w:rsid w:val="003C53DA"/>
    <w:rsid w:val="003C53EA"/>
    <w:rsid w:val="003C5446"/>
    <w:rsid w:val="003C546E"/>
    <w:rsid w:val="003C562F"/>
    <w:rsid w:val="003C566C"/>
    <w:rsid w:val="003C56E0"/>
    <w:rsid w:val="003C57B2"/>
    <w:rsid w:val="003C57D3"/>
    <w:rsid w:val="003C580C"/>
    <w:rsid w:val="003C5869"/>
    <w:rsid w:val="003C58EC"/>
    <w:rsid w:val="003C59DC"/>
    <w:rsid w:val="003C59F9"/>
    <w:rsid w:val="003C5B1C"/>
    <w:rsid w:val="003C5B61"/>
    <w:rsid w:val="003C5CA3"/>
    <w:rsid w:val="003C5D2D"/>
    <w:rsid w:val="003C5EE0"/>
    <w:rsid w:val="003C6085"/>
    <w:rsid w:val="003C6169"/>
    <w:rsid w:val="003C6281"/>
    <w:rsid w:val="003C63D1"/>
    <w:rsid w:val="003C63E2"/>
    <w:rsid w:val="003C6490"/>
    <w:rsid w:val="003C66C3"/>
    <w:rsid w:val="003C67A2"/>
    <w:rsid w:val="003C6823"/>
    <w:rsid w:val="003C68B0"/>
    <w:rsid w:val="003C692C"/>
    <w:rsid w:val="003C6B01"/>
    <w:rsid w:val="003C6B52"/>
    <w:rsid w:val="003C6C2B"/>
    <w:rsid w:val="003C6C3C"/>
    <w:rsid w:val="003C6C79"/>
    <w:rsid w:val="003C6CF6"/>
    <w:rsid w:val="003C6E8B"/>
    <w:rsid w:val="003C702C"/>
    <w:rsid w:val="003C7393"/>
    <w:rsid w:val="003C73C7"/>
    <w:rsid w:val="003C73D1"/>
    <w:rsid w:val="003C73F1"/>
    <w:rsid w:val="003C743A"/>
    <w:rsid w:val="003C7605"/>
    <w:rsid w:val="003C7654"/>
    <w:rsid w:val="003C76EE"/>
    <w:rsid w:val="003C7793"/>
    <w:rsid w:val="003C77AE"/>
    <w:rsid w:val="003C7841"/>
    <w:rsid w:val="003C785B"/>
    <w:rsid w:val="003C7879"/>
    <w:rsid w:val="003C7921"/>
    <w:rsid w:val="003C79B2"/>
    <w:rsid w:val="003C7A99"/>
    <w:rsid w:val="003C7CDD"/>
    <w:rsid w:val="003C7D1B"/>
    <w:rsid w:val="003C7DEF"/>
    <w:rsid w:val="003C7DF7"/>
    <w:rsid w:val="003C7EEA"/>
    <w:rsid w:val="003C7F5B"/>
    <w:rsid w:val="003C7F91"/>
    <w:rsid w:val="003C7FC9"/>
    <w:rsid w:val="003C7FFD"/>
    <w:rsid w:val="003D01EC"/>
    <w:rsid w:val="003D01F7"/>
    <w:rsid w:val="003D0240"/>
    <w:rsid w:val="003D0266"/>
    <w:rsid w:val="003D02AD"/>
    <w:rsid w:val="003D02F0"/>
    <w:rsid w:val="003D03D7"/>
    <w:rsid w:val="003D03F4"/>
    <w:rsid w:val="003D0477"/>
    <w:rsid w:val="003D04FD"/>
    <w:rsid w:val="003D05CF"/>
    <w:rsid w:val="003D05E8"/>
    <w:rsid w:val="003D07F7"/>
    <w:rsid w:val="003D0889"/>
    <w:rsid w:val="003D0892"/>
    <w:rsid w:val="003D089E"/>
    <w:rsid w:val="003D09DA"/>
    <w:rsid w:val="003D09E1"/>
    <w:rsid w:val="003D0AF3"/>
    <w:rsid w:val="003D0B86"/>
    <w:rsid w:val="003D0C17"/>
    <w:rsid w:val="003D0DB8"/>
    <w:rsid w:val="003D0E1D"/>
    <w:rsid w:val="003D1065"/>
    <w:rsid w:val="003D11BD"/>
    <w:rsid w:val="003D120F"/>
    <w:rsid w:val="003D12C4"/>
    <w:rsid w:val="003D13C0"/>
    <w:rsid w:val="003D141C"/>
    <w:rsid w:val="003D15BF"/>
    <w:rsid w:val="003D15CB"/>
    <w:rsid w:val="003D1649"/>
    <w:rsid w:val="003D1688"/>
    <w:rsid w:val="003D1B36"/>
    <w:rsid w:val="003D1CC5"/>
    <w:rsid w:val="003D1CCE"/>
    <w:rsid w:val="003D1D5B"/>
    <w:rsid w:val="003D1DC5"/>
    <w:rsid w:val="003D1DDC"/>
    <w:rsid w:val="003D1EAE"/>
    <w:rsid w:val="003D1F05"/>
    <w:rsid w:val="003D1F06"/>
    <w:rsid w:val="003D1F1D"/>
    <w:rsid w:val="003D1F1F"/>
    <w:rsid w:val="003D1F51"/>
    <w:rsid w:val="003D1FE5"/>
    <w:rsid w:val="003D2011"/>
    <w:rsid w:val="003D20AD"/>
    <w:rsid w:val="003D21F4"/>
    <w:rsid w:val="003D2392"/>
    <w:rsid w:val="003D256A"/>
    <w:rsid w:val="003D2690"/>
    <w:rsid w:val="003D26B9"/>
    <w:rsid w:val="003D26F4"/>
    <w:rsid w:val="003D28A5"/>
    <w:rsid w:val="003D28B7"/>
    <w:rsid w:val="003D2982"/>
    <w:rsid w:val="003D2BDE"/>
    <w:rsid w:val="003D2C20"/>
    <w:rsid w:val="003D2CAC"/>
    <w:rsid w:val="003D2E25"/>
    <w:rsid w:val="003D2EDE"/>
    <w:rsid w:val="003D3087"/>
    <w:rsid w:val="003D30F8"/>
    <w:rsid w:val="003D3176"/>
    <w:rsid w:val="003D319A"/>
    <w:rsid w:val="003D31B6"/>
    <w:rsid w:val="003D31EF"/>
    <w:rsid w:val="003D32B1"/>
    <w:rsid w:val="003D34ED"/>
    <w:rsid w:val="003D352B"/>
    <w:rsid w:val="003D35D5"/>
    <w:rsid w:val="003D3629"/>
    <w:rsid w:val="003D3641"/>
    <w:rsid w:val="003D3736"/>
    <w:rsid w:val="003D3A2C"/>
    <w:rsid w:val="003D3A79"/>
    <w:rsid w:val="003D3AA6"/>
    <w:rsid w:val="003D3B03"/>
    <w:rsid w:val="003D3BF3"/>
    <w:rsid w:val="003D3DC5"/>
    <w:rsid w:val="003D3F06"/>
    <w:rsid w:val="003D3FC4"/>
    <w:rsid w:val="003D3FC5"/>
    <w:rsid w:val="003D4039"/>
    <w:rsid w:val="003D407E"/>
    <w:rsid w:val="003D4095"/>
    <w:rsid w:val="003D4129"/>
    <w:rsid w:val="003D417A"/>
    <w:rsid w:val="003D4240"/>
    <w:rsid w:val="003D4409"/>
    <w:rsid w:val="003D44E4"/>
    <w:rsid w:val="003D45CC"/>
    <w:rsid w:val="003D46CE"/>
    <w:rsid w:val="003D472E"/>
    <w:rsid w:val="003D4CB8"/>
    <w:rsid w:val="003D4EB6"/>
    <w:rsid w:val="003D4ED2"/>
    <w:rsid w:val="003D5004"/>
    <w:rsid w:val="003D504D"/>
    <w:rsid w:val="003D5069"/>
    <w:rsid w:val="003D50E0"/>
    <w:rsid w:val="003D5124"/>
    <w:rsid w:val="003D51E5"/>
    <w:rsid w:val="003D5259"/>
    <w:rsid w:val="003D534A"/>
    <w:rsid w:val="003D54E2"/>
    <w:rsid w:val="003D5526"/>
    <w:rsid w:val="003D55B7"/>
    <w:rsid w:val="003D565D"/>
    <w:rsid w:val="003D5718"/>
    <w:rsid w:val="003D5739"/>
    <w:rsid w:val="003D5790"/>
    <w:rsid w:val="003D5836"/>
    <w:rsid w:val="003D595A"/>
    <w:rsid w:val="003D59C5"/>
    <w:rsid w:val="003D5BE3"/>
    <w:rsid w:val="003D5CBB"/>
    <w:rsid w:val="003D5CE6"/>
    <w:rsid w:val="003D5DC7"/>
    <w:rsid w:val="003D5E24"/>
    <w:rsid w:val="003D5FBD"/>
    <w:rsid w:val="003D61B9"/>
    <w:rsid w:val="003D61C8"/>
    <w:rsid w:val="003D6207"/>
    <w:rsid w:val="003D6248"/>
    <w:rsid w:val="003D6294"/>
    <w:rsid w:val="003D62AF"/>
    <w:rsid w:val="003D636C"/>
    <w:rsid w:val="003D6399"/>
    <w:rsid w:val="003D63D9"/>
    <w:rsid w:val="003D6497"/>
    <w:rsid w:val="003D6565"/>
    <w:rsid w:val="003D657B"/>
    <w:rsid w:val="003D674A"/>
    <w:rsid w:val="003D6758"/>
    <w:rsid w:val="003D67B2"/>
    <w:rsid w:val="003D67E1"/>
    <w:rsid w:val="003D680B"/>
    <w:rsid w:val="003D68BB"/>
    <w:rsid w:val="003D69CC"/>
    <w:rsid w:val="003D69EC"/>
    <w:rsid w:val="003D6A30"/>
    <w:rsid w:val="003D6C1E"/>
    <w:rsid w:val="003D6C74"/>
    <w:rsid w:val="003D6C87"/>
    <w:rsid w:val="003D6D58"/>
    <w:rsid w:val="003D6E9F"/>
    <w:rsid w:val="003D6F2D"/>
    <w:rsid w:val="003D6F51"/>
    <w:rsid w:val="003D7020"/>
    <w:rsid w:val="003D71A1"/>
    <w:rsid w:val="003D7286"/>
    <w:rsid w:val="003D7316"/>
    <w:rsid w:val="003D731F"/>
    <w:rsid w:val="003D7336"/>
    <w:rsid w:val="003D73CA"/>
    <w:rsid w:val="003D7759"/>
    <w:rsid w:val="003D776D"/>
    <w:rsid w:val="003D77FE"/>
    <w:rsid w:val="003D7880"/>
    <w:rsid w:val="003D7902"/>
    <w:rsid w:val="003D7C0E"/>
    <w:rsid w:val="003D7C43"/>
    <w:rsid w:val="003D7D80"/>
    <w:rsid w:val="003D7EAF"/>
    <w:rsid w:val="003D7F1F"/>
    <w:rsid w:val="003D7F99"/>
    <w:rsid w:val="003E0004"/>
    <w:rsid w:val="003E0032"/>
    <w:rsid w:val="003E0174"/>
    <w:rsid w:val="003E0178"/>
    <w:rsid w:val="003E01D6"/>
    <w:rsid w:val="003E0245"/>
    <w:rsid w:val="003E0428"/>
    <w:rsid w:val="003E0665"/>
    <w:rsid w:val="003E07C0"/>
    <w:rsid w:val="003E07C5"/>
    <w:rsid w:val="003E0ABC"/>
    <w:rsid w:val="003E0B1D"/>
    <w:rsid w:val="003E0BE8"/>
    <w:rsid w:val="003E0C1B"/>
    <w:rsid w:val="003E0CCA"/>
    <w:rsid w:val="003E0D46"/>
    <w:rsid w:val="003E0E7A"/>
    <w:rsid w:val="003E1020"/>
    <w:rsid w:val="003E10D8"/>
    <w:rsid w:val="003E1346"/>
    <w:rsid w:val="003E1406"/>
    <w:rsid w:val="003E1512"/>
    <w:rsid w:val="003E151E"/>
    <w:rsid w:val="003E1520"/>
    <w:rsid w:val="003E157A"/>
    <w:rsid w:val="003E15A8"/>
    <w:rsid w:val="003E16C4"/>
    <w:rsid w:val="003E19D8"/>
    <w:rsid w:val="003E1B95"/>
    <w:rsid w:val="003E1E41"/>
    <w:rsid w:val="003E1ED7"/>
    <w:rsid w:val="003E1F70"/>
    <w:rsid w:val="003E20DA"/>
    <w:rsid w:val="003E217C"/>
    <w:rsid w:val="003E2330"/>
    <w:rsid w:val="003E245C"/>
    <w:rsid w:val="003E2494"/>
    <w:rsid w:val="003E2511"/>
    <w:rsid w:val="003E26D0"/>
    <w:rsid w:val="003E2785"/>
    <w:rsid w:val="003E2793"/>
    <w:rsid w:val="003E2948"/>
    <w:rsid w:val="003E2A2B"/>
    <w:rsid w:val="003E2BB0"/>
    <w:rsid w:val="003E2CEF"/>
    <w:rsid w:val="003E2CF3"/>
    <w:rsid w:val="003E2D06"/>
    <w:rsid w:val="003E2EEB"/>
    <w:rsid w:val="003E3014"/>
    <w:rsid w:val="003E31A6"/>
    <w:rsid w:val="003E3235"/>
    <w:rsid w:val="003E34F9"/>
    <w:rsid w:val="003E352B"/>
    <w:rsid w:val="003E3698"/>
    <w:rsid w:val="003E36EA"/>
    <w:rsid w:val="003E376E"/>
    <w:rsid w:val="003E3878"/>
    <w:rsid w:val="003E38B6"/>
    <w:rsid w:val="003E391F"/>
    <w:rsid w:val="003E39B6"/>
    <w:rsid w:val="003E39CF"/>
    <w:rsid w:val="003E3CAD"/>
    <w:rsid w:val="003E3CB4"/>
    <w:rsid w:val="003E3D05"/>
    <w:rsid w:val="003E3F20"/>
    <w:rsid w:val="003E4023"/>
    <w:rsid w:val="003E41B5"/>
    <w:rsid w:val="003E4285"/>
    <w:rsid w:val="003E42C2"/>
    <w:rsid w:val="003E43DE"/>
    <w:rsid w:val="003E4480"/>
    <w:rsid w:val="003E449C"/>
    <w:rsid w:val="003E45DC"/>
    <w:rsid w:val="003E4680"/>
    <w:rsid w:val="003E48BC"/>
    <w:rsid w:val="003E4A96"/>
    <w:rsid w:val="003E4D2E"/>
    <w:rsid w:val="003E4D3E"/>
    <w:rsid w:val="003E4D55"/>
    <w:rsid w:val="003E4E02"/>
    <w:rsid w:val="003E4E7E"/>
    <w:rsid w:val="003E4EC6"/>
    <w:rsid w:val="003E4F33"/>
    <w:rsid w:val="003E5038"/>
    <w:rsid w:val="003E5068"/>
    <w:rsid w:val="003E50A5"/>
    <w:rsid w:val="003E5182"/>
    <w:rsid w:val="003E51EF"/>
    <w:rsid w:val="003E53B3"/>
    <w:rsid w:val="003E53C8"/>
    <w:rsid w:val="003E53FA"/>
    <w:rsid w:val="003E5502"/>
    <w:rsid w:val="003E560F"/>
    <w:rsid w:val="003E567F"/>
    <w:rsid w:val="003E575D"/>
    <w:rsid w:val="003E5797"/>
    <w:rsid w:val="003E583A"/>
    <w:rsid w:val="003E5997"/>
    <w:rsid w:val="003E5A80"/>
    <w:rsid w:val="003E5B4F"/>
    <w:rsid w:val="003E5C49"/>
    <w:rsid w:val="003E5CF5"/>
    <w:rsid w:val="003E5DDF"/>
    <w:rsid w:val="003E5E8B"/>
    <w:rsid w:val="003E5F0F"/>
    <w:rsid w:val="003E6011"/>
    <w:rsid w:val="003E601D"/>
    <w:rsid w:val="003E60D4"/>
    <w:rsid w:val="003E60FD"/>
    <w:rsid w:val="003E6100"/>
    <w:rsid w:val="003E61A2"/>
    <w:rsid w:val="003E6276"/>
    <w:rsid w:val="003E628A"/>
    <w:rsid w:val="003E6398"/>
    <w:rsid w:val="003E63D6"/>
    <w:rsid w:val="003E6499"/>
    <w:rsid w:val="003E666E"/>
    <w:rsid w:val="003E6773"/>
    <w:rsid w:val="003E67CC"/>
    <w:rsid w:val="003E6A2B"/>
    <w:rsid w:val="003E6A4A"/>
    <w:rsid w:val="003E6ACB"/>
    <w:rsid w:val="003E6AFC"/>
    <w:rsid w:val="003E6E32"/>
    <w:rsid w:val="003E6E9A"/>
    <w:rsid w:val="003E6ED7"/>
    <w:rsid w:val="003E6EFF"/>
    <w:rsid w:val="003E6F0D"/>
    <w:rsid w:val="003E6F5D"/>
    <w:rsid w:val="003E708D"/>
    <w:rsid w:val="003E70B7"/>
    <w:rsid w:val="003E7227"/>
    <w:rsid w:val="003E72FA"/>
    <w:rsid w:val="003E75C6"/>
    <w:rsid w:val="003E7644"/>
    <w:rsid w:val="003E7709"/>
    <w:rsid w:val="003E773A"/>
    <w:rsid w:val="003E77F4"/>
    <w:rsid w:val="003E7835"/>
    <w:rsid w:val="003E7965"/>
    <w:rsid w:val="003E79FA"/>
    <w:rsid w:val="003E7AAA"/>
    <w:rsid w:val="003E7B11"/>
    <w:rsid w:val="003E7DFD"/>
    <w:rsid w:val="003E7EBB"/>
    <w:rsid w:val="003F010A"/>
    <w:rsid w:val="003F0131"/>
    <w:rsid w:val="003F015D"/>
    <w:rsid w:val="003F0160"/>
    <w:rsid w:val="003F02B3"/>
    <w:rsid w:val="003F0333"/>
    <w:rsid w:val="003F0437"/>
    <w:rsid w:val="003F0445"/>
    <w:rsid w:val="003F0549"/>
    <w:rsid w:val="003F0608"/>
    <w:rsid w:val="003F0698"/>
    <w:rsid w:val="003F0701"/>
    <w:rsid w:val="003F0723"/>
    <w:rsid w:val="003F07D4"/>
    <w:rsid w:val="003F0867"/>
    <w:rsid w:val="003F0891"/>
    <w:rsid w:val="003F0A74"/>
    <w:rsid w:val="003F0B02"/>
    <w:rsid w:val="003F0B36"/>
    <w:rsid w:val="003F0CAB"/>
    <w:rsid w:val="003F0E52"/>
    <w:rsid w:val="003F0F14"/>
    <w:rsid w:val="003F121F"/>
    <w:rsid w:val="003F1224"/>
    <w:rsid w:val="003F1236"/>
    <w:rsid w:val="003F12BB"/>
    <w:rsid w:val="003F1427"/>
    <w:rsid w:val="003F153C"/>
    <w:rsid w:val="003F15B5"/>
    <w:rsid w:val="003F1629"/>
    <w:rsid w:val="003F1727"/>
    <w:rsid w:val="003F180C"/>
    <w:rsid w:val="003F185F"/>
    <w:rsid w:val="003F1988"/>
    <w:rsid w:val="003F1A0C"/>
    <w:rsid w:val="003F1AB2"/>
    <w:rsid w:val="003F1CE1"/>
    <w:rsid w:val="003F1E35"/>
    <w:rsid w:val="003F1E3F"/>
    <w:rsid w:val="003F1E60"/>
    <w:rsid w:val="003F1E8B"/>
    <w:rsid w:val="003F1EE7"/>
    <w:rsid w:val="003F1F82"/>
    <w:rsid w:val="003F1F96"/>
    <w:rsid w:val="003F2026"/>
    <w:rsid w:val="003F2064"/>
    <w:rsid w:val="003F209A"/>
    <w:rsid w:val="003F221E"/>
    <w:rsid w:val="003F230E"/>
    <w:rsid w:val="003F2323"/>
    <w:rsid w:val="003F25D2"/>
    <w:rsid w:val="003F2753"/>
    <w:rsid w:val="003F27F9"/>
    <w:rsid w:val="003F2974"/>
    <w:rsid w:val="003F2AE7"/>
    <w:rsid w:val="003F2C9C"/>
    <w:rsid w:val="003F2D5B"/>
    <w:rsid w:val="003F2F52"/>
    <w:rsid w:val="003F3066"/>
    <w:rsid w:val="003F3233"/>
    <w:rsid w:val="003F32E0"/>
    <w:rsid w:val="003F3482"/>
    <w:rsid w:val="003F35A4"/>
    <w:rsid w:val="003F360C"/>
    <w:rsid w:val="003F38BD"/>
    <w:rsid w:val="003F3B4C"/>
    <w:rsid w:val="003F3C38"/>
    <w:rsid w:val="003F3C9E"/>
    <w:rsid w:val="003F3CA5"/>
    <w:rsid w:val="003F3CC1"/>
    <w:rsid w:val="003F4057"/>
    <w:rsid w:val="003F40A9"/>
    <w:rsid w:val="003F4110"/>
    <w:rsid w:val="003F4214"/>
    <w:rsid w:val="003F4297"/>
    <w:rsid w:val="003F446F"/>
    <w:rsid w:val="003F44EA"/>
    <w:rsid w:val="003F45ED"/>
    <w:rsid w:val="003F478D"/>
    <w:rsid w:val="003F47B1"/>
    <w:rsid w:val="003F47E0"/>
    <w:rsid w:val="003F48A6"/>
    <w:rsid w:val="003F48BA"/>
    <w:rsid w:val="003F499E"/>
    <w:rsid w:val="003F4AB0"/>
    <w:rsid w:val="003F4AC4"/>
    <w:rsid w:val="003F4BE1"/>
    <w:rsid w:val="003F4C97"/>
    <w:rsid w:val="003F4CB7"/>
    <w:rsid w:val="003F4E51"/>
    <w:rsid w:val="003F4F25"/>
    <w:rsid w:val="003F4FC4"/>
    <w:rsid w:val="003F510E"/>
    <w:rsid w:val="003F547F"/>
    <w:rsid w:val="003F5523"/>
    <w:rsid w:val="003F582A"/>
    <w:rsid w:val="003F58C2"/>
    <w:rsid w:val="003F5979"/>
    <w:rsid w:val="003F5A7F"/>
    <w:rsid w:val="003F5B13"/>
    <w:rsid w:val="003F5B32"/>
    <w:rsid w:val="003F5B58"/>
    <w:rsid w:val="003F5CAB"/>
    <w:rsid w:val="003F5CF5"/>
    <w:rsid w:val="003F5D46"/>
    <w:rsid w:val="003F5D78"/>
    <w:rsid w:val="003F5DFE"/>
    <w:rsid w:val="003F5E33"/>
    <w:rsid w:val="003F5EA5"/>
    <w:rsid w:val="003F5FF9"/>
    <w:rsid w:val="003F6026"/>
    <w:rsid w:val="003F60D8"/>
    <w:rsid w:val="003F617F"/>
    <w:rsid w:val="003F61D1"/>
    <w:rsid w:val="003F6214"/>
    <w:rsid w:val="003F62BE"/>
    <w:rsid w:val="003F6301"/>
    <w:rsid w:val="003F639E"/>
    <w:rsid w:val="003F64C2"/>
    <w:rsid w:val="003F64E4"/>
    <w:rsid w:val="003F65B0"/>
    <w:rsid w:val="003F65CD"/>
    <w:rsid w:val="003F6694"/>
    <w:rsid w:val="003F6697"/>
    <w:rsid w:val="003F66CB"/>
    <w:rsid w:val="003F690A"/>
    <w:rsid w:val="003F693C"/>
    <w:rsid w:val="003F6A1D"/>
    <w:rsid w:val="003F6A48"/>
    <w:rsid w:val="003F6CE4"/>
    <w:rsid w:val="003F6D10"/>
    <w:rsid w:val="003F6DA1"/>
    <w:rsid w:val="003F6DB0"/>
    <w:rsid w:val="003F6DDF"/>
    <w:rsid w:val="003F6E52"/>
    <w:rsid w:val="003F700C"/>
    <w:rsid w:val="003F7217"/>
    <w:rsid w:val="003F7252"/>
    <w:rsid w:val="003F72D2"/>
    <w:rsid w:val="003F748E"/>
    <w:rsid w:val="003F75BF"/>
    <w:rsid w:val="003F77FB"/>
    <w:rsid w:val="003F7845"/>
    <w:rsid w:val="003F7964"/>
    <w:rsid w:val="003F7A80"/>
    <w:rsid w:val="003F7B25"/>
    <w:rsid w:val="003F7B7A"/>
    <w:rsid w:val="003F7E90"/>
    <w:rsid w:val="00400118"/>
    <w:rsid w:val="0040011A"/>
    <w:rsid w:val="004001E9"/>
    <w:rsid w:val="00400371"/>
    <w:rsid w:val="004007A5"/>
    <w:rsid w:val="0040089A"/>
    <w:rsid w:val="004008AA"/>
    <w:rsid w:val="00400970"/>
    <w:rsid w:val="00400A8B"/>
    <w:rsid w:val="00400ADB"/>
    <w:rsid w:val="00400B2E"/>
    <w:rsid w:val="00400DC4"/>
    <w:rsid w:val="00400E4C"/>
    <w:rsid w:val="00400FF2"/>
    <w:rsid w:val="004010AE"/>
    <w:rsid w:val="004010D0"/>
    <w:rsid w:val="00401123"/>
    <w:rsid w:val="00401175"/>
    <w:rsid w:val="004011CC"/>
    <w:rsid w:val="004013FA"/>
    <w:rsid w:val="0040140C"/>
    <w:rsid w:val="00401576"/>
    <w:rsid w:val="004015B5"/>
    <w:rsid w:val="00401615"/>
    <w:rsid w:val="00401708"/>
    <w:rsid w:val="00401756"/>
    <w:rsid w:val="004019E1"/>
    <w:rsid w:val="00401C35"/>
    <w:rsid w:val="00401CBD"/>
    <w:rsid w:val="00401CEC"/>
    <w:rsid w:val="00401DA9"/>
    <w:rsid w:val="00401E1B"/>
    <w:rsid w:val="00401E1F"/>
    <w:rsid w:val="00401FE3"/>
    <w:rsid w:val="00402059"/>
    <w:rsid w:val="004020FE"/>
    <w:rsid w:val="00402167"/>
    <w:rsid w:val="00402195"/>
    <w:rsid w:val="004021C4"/>
    <w:rsid w:val="00402248"/>
    <w:rsid w:val="00402285"/>
    <w:rsid w:val="004023B6"/>
    <w:rsid w:val="004024CF"/>
    <w:rsid w:val="00402570"/>
    <w:rsid w:val="004027AB"/>
    <w:rsid w:val="0040286F"/>
    <w:rsid w:val="004028C6"/>
    <w:rsid w:val="004028C9"/>
    <w:rsid w:val="004028D5"/>
    <w:rsid w:val="004029DF"/>
    <w:rsid w:val="004029EF"/>
    <w:rsid w:val="00402B45"/>
    <w:rsid w:val="00402B6A"/>
    <w:rsid w:val="00402B97"/>
    <w:rsid w:val="00402BAC"/>
    <w:rsid w:val="00402BB0"/>
    <w:rsid w:val="00402BC5"/>
    <w:rsid w:val="00402BD9"/>
    <w:rsid w:val="00402C75"/>
    <w:rsid w:val="00402CB9"/>
    <w:rsid w:val="00402ECE"/>
    <w:rsid w:val="00402EE2"/>
    <w:rsid w:val="00402F13"/>
    <w:rsid w:val="00402F4F"/>
    <w:rsid w:val="00402FC7"/>
    <w:rsid w:val="004030CA"/>
    <w:rsid w:val="00403114"/>
    <w:rsid w:val="00403146"/>
    <w:rsid w:val="00403186"/>
    <w:rsid w:val="00403280"/>
    <w:rsid w:val="004034FD"/>
    <w:rsid w:val="00403642"/>
    <w:rsid w:val="004036C5"/>
    <w:rsid w:val="00403748"/>
    <w:rsid w:val="00403924"/>
    <w:rsid w:val="00403B1D"/>
    <w:rsid w:val="00403CEE"/>
    <w:rsid w:val="00403FDE"/>
    <w:rsid w:val="00404027"/>
    <w:rsid w:val="004040A9"/>
    <w:rsid w:val="004040C1"/>
    <w:rsid w:val="004040DD"/>
    <w:rsid w:val="004040E8"/>
    <w:rsid w:val="0040415D"/>
    <w:rsid w:val="0040422B"/>
    <w:rsid w:val="004043A4"/>
    <w:rsid w:val="00404434"/>
    <w:rsid w:val="00404674"/>
    <w:rsid w:val="00404706"/>
    <w:rsid w:val="00404753"/>
    <w:rsid w:val="0040475B"/>
    <w:rsid w:val="0040499F"/>
    <w:rsid w:val="004049D0"/>
    <w:rsid w:val="00404B63"/>
    <w:rsid w:val="00404B71"/>
    <w:rsid w:val="00404BC8"/>
    <w:rsid w:val="00404D22"/>
    <w:rsid w:val="00404D9E"/>
    <w:rsid w:val="00404E12"/>
    <w:rsid w:val="00404E68"/>
    <w:rsid w:val="00404F1A"/>
    <w:rsid w:val="00404F38"/>
    <w:rsid w:val="00404FE9"/>
    <w:rsid w:val="00405049"/>
    <w:rsid w:val="004050E9"/>
    <w:rsid w:val="0040523D"/>
    <w:rsid w:val="0040531D"/>
    <w:rsid w:val="004056ED"/>
    <w:rsid w:val="0040577E"/>
    <w:rsid w:val="004058FA"/>
    <w:rsid w:val="00405BDD"/>
    <w:rsid w:val="00405C99"/>
    <w:rsid w:val="00405DCE"/>
    <w:rsid w:val="00405DFC"/>
    <w:rsid w:val="00405E3B"/>
    <w:rsid w:val="00405EBA"/>
    <w:rsid w:val="00406246"/>
    <w:rsid w:val="0040638E"/>
    <w:rsid w:val="004063E8"/>
    <w:rsid w:val="0040657F"/>
    <w:rsid w:val="004065C0"/>
    <w:rsid w:val="004065CC"/>
    <w:rsid w:val="00406690"/>
    <w:rsid w:val="0040670E"/>
    <w:rsid w:val="0040678F"/>
    <w:rsid w:val="004067BF"/>
    <w:rsid w:val="004068CA"/>
    <w:rsid w:val="00406916"/>
    <w:rsid w:val="00406B46"/>
    <w:rsid w:val="00406BBA"/>
    <w:rsid w:val="00406C32"/>
    <w:rsid w:val="00407158"/>
    <w:rsid w:val="0040723A"/>
    <w:rsid w:val="004072C3"/>
    <w:rsid w:val="004073A2"/>
    <w:rsid w:val="004073B9"/>
    <w:rsid w:val="00407468"/>
    <w:rsid w:val="0040748F"/>
    <w:rsid w:val="00407493"/>
    <w:rsid w:val="0040753F"/>
    <w:rsid w:val="004075C5"/>
    <w:rsid w:val="0040769F"/>
    <w:rsid w:val="004076C3"/>
    <w:rsid w:val="00407864"/>
    <w:rsid w:val="00407908"/>
    <w:rsid w:val="00407922"/>
    <w:rsid w:val="00407974"/>
    <w:rsid w:val="004079B7"/>
    <w:rsid w:val="00407A52"/>
    <w:rsid w:val="00407B49"/>
    <w:rsid w:val="00407BC5"/>
    <w:rsid w:val="00407E04"/>
    <w:rsid w:val="00407F0C"/>
    <w:rsid w:val="00407F2D"/>
    <w:rsid w:val="00410009"/>
    <w:rsid w:val="004100DA"/>
    <w:rsid w:val="004103C6"/>
    <w:rsid w:val="0041065D"/>
    <w:rsid w:val="00410711"/>
    <w:rsid w:val="0041072C"/>
    <w:rsid w:val="00410732"/>
    <w:rsid w:val="00410735"/>
    <w:rsid w:val="00410737"/>
    <w:rsid w:val="004107E2"/>
    <w:rsid w:val="0041083C"/>
    <w:rsid w:val="00410949"/>
    <w:rsid w:val="004109BB"/>
    <w:rsid w:val="00410A42"/>
    <w:rsid w:val="00410A80"/>
    <w:rsid w:val="00410B80"/>
    <w:rsid w:val="00410BC1"/>
    <w:rsid w:val="00410BF4"/>
    <w:rsid w:val="00410C83"/>
    <w:rsid w:val="00410CD1"/>
    <w:rsid w:val="00410D91"/>
    <w:rsid w:val="00410F4F"/>
    <w:rsid w:val="00410F7B"/>
    <w:rsid w:val="004111DF"/>
    <w:rsid w:val="004112E9"/>
    <w:rsid w:val="0041132C"/>
    <w:rsid w:val="00411578"/>
    <w:rsid w:val="004116C1"/>
    <w:rsid w:val="004117FD"/>
    <w:rsid w:val="00411A42"/>
    <w:rsid w:val="00411BCC"/>
    <w:rsid w:val="00411C8E"/>
    <w:rsid w:val="00411D6B"/>
    <w:rsid w:val="00411DCF"/>
    <w:rsid w:val="00411FD7"/>
    <w:rsid w:val="00412149"/>
    <w:rsid w:val="00412163"/>
    <w:rsid w:val="0041227C"/>
    <w:rsid w:val="004122D7"/>
    <w:rsid w:val="004123AD"/>
    <w:rsid w:val="004123DA"/>
    <w:rsid w:val="0041289A"/>
    <w:rsid w:val="00412947"/>
    <w:rsid w:val="004129BF"/>
    <w:rsid w:val="00412A16"/>
    <w:rsid w:val="00412C79"/>
    <w:rsid w:val="00412D2E"/>
    <w:rsid w:val="00412E4D"/>
    <w:rsid w:val="00412F70"/>
    <w:rsid w:val="00412FF4"/>
    <w:rsid w:val="00413034"/>
    <w:rsid w:val="004130CA"/>
    <w:rsid w:val="004131A1"/>
    <w:rsid w:val="00413259"/>
    <w:rsid w:val="004133F8"/>
    <w:rsid w:val="00413407"/>
    <w:rsid w:val="00413410"/>
    <w:rsid w:val="0041359B"/>
    <w:rsid w:val="004135CD"/>
    <w:rsid w:val="00413666"/>
    <w:rsid w:val="00413A43"/>
    <w:rsid w:val="00413A72"/>
    <w:rsid w:val="00413B4C"/>
    <w:rsid w:val="00413B4F"/>
    <w:rsid w:val="00413B86"/>
    <w:rsid w:val="00413C6E"/>
    <w:rsid w:val="00413C9C"/>
    <w:rsid w:val="00413CD1"/>
    <w:rsid w:val="00413CE9"/>
    <w:rsid w:val="00413DC8"/>
    <w:rsid w:val="0041424F"/>
    <w:rsid w:val="004144B2"/>
    <w:rsid w:val="004144DC"/>
    <w:rsid w:val="0041453A"/>
    <w:rsid w:val="004145FE"/>
    <w:rsid w:val="0041465C"/>
    <w:rsid w:val="00414690"/>
    <w:rsid w:val="0041481B"/>
    <w:rsid w:val="00414856"/>
    <w:rsid w:val="0041499C"/>
    <w:rsid w:val="00414AC2"/>
    <w:rsid w:val="00414B47"/>
    <w:rsid w:val="00414BC9"/>
    <w:rsid w:val="00414C47"/>
    <w:rsid w:val="00414DDC"/>
    <w:rsid w:val="00414F70"/>
    <w:rsid w:val="00414FB8"/>
    <w:rsid w:val="004150D8"/>
    <w:rsid w:val="004151D0"/>
    <w:rsid w:val="004152BC"/>
    <w:rsid w:val="004152DE"/>
    <w:rsid w:val="00415378"/>
    <w:rsid w:val="004153CF"/>
    <w:rsid w:val="0041549B"/>
    <w:rsid w:val="004154F7"/>
    <w:rsid w:val="0041561E"/>
    <w:rsid w:val="00415811"/>
    <w:rsid w:val="004158A9"/>
    <w:rsid w:val="004158E0"/>
    <w:rsid w:val="00415A60"/>
    <w:rsid w:val="00415A8C"/>
    <w:rsid w:val="00415AA3"/>
    <w:rsid w:val="00415AB6"/>
    <w:rsid w:val="00415B82"/>
    <w:rsid w:val="00415CCE"/>
    <w:rsid w:val="00415D2B"/>
    <w:rsid w:val="00415D8C"/>
    <w:rsid w:val="00415DDB"/>
    <w:rsid w:val="00415DE4"/>
    <w:rsid w:val="00415F0D"/>
    <w:rsid w:val="00415F59"/>
    <w:rsid w:val="00415FBA"/>
    <w:rsid w:val="0041607D"/>
    <w:rsid w:val="004160FA"/>
    <w:rsid w:val="00416104"/>
    <w:rsid w:val="004161E2"/>
    <w:rsid w:val="00416334"/>
    <w:rsid w:val="00416363"/>
    <w:rsid w:val="0041636A"/>
    <w:rsid w:val="0041645C"/>
    <w:rsid w:val="00416461"/>
    <w:rsid w:val="00416516"/>
    <w:rsid w:val="0041654F"/>
    <w:rsid w:val="004166D7"/>
    <w:rsid w:val="00416783"/>
    <w:rsid w:val="004167AE"/>
    <w:rsid w:val="004167B8"/>
    <w:rsid w:val="004169F1"/>
    <w:rsid w:val="00416A03"/>
    <w:rsid w:val="00416A30"/>
    <w:rsid w:val="00416A49"/>
    <w:rsid w:val="00416A7D"/>
    <w:rsid w:val="00416B85"/>
    <w:rsid w:val="00416B91"/>
    <w:rsid w:val="00416D5A"/>
    <w:rsid w:val="00416F77"/>
    <w:rsid w:val="004170EA"/>
    <w:rsid w:val="004171F4"/>
    <w:rsid w:val="00417259"/>
    <w:rsid w:val="0041738B"/>
    <w:rsid w:val="004173AC"/>
    <w:rsid w:val="00417521"/>
    <w:rsid w:val="00417567"/>
    <w:rsid w:val="00417639"/>
    <w:rsid w:val="0041775A"/>
    <w:rsid w:val="00417857"/>
    <w:rsid w:val="00417A5E"/>
    <w:rsid w:val="00417A64"/>
    <w:rsid w:val="00417AB0"/>
    <w:rsid w:val="00417B10"/>
    <w:rsid w:val="00417F9C"/>
    <w:rsid w:val="00417FE8"/>
    <w:rsid w:val="00420176"/>
    <w:rsid w:val="0042021D"/>
    <w:rsid w:val="00420362"/>
    <w:rsid w:val="004203E4"/>
    <w:rsid w:val="00420625"/>
    <w:rsid w:val="0042074A"/>
    <w:rsid w:val="004208C5"/>
    <w:rsid w:val="00420BE5"/>
    <w:rsid w:val="00420C0A"/>
    <w:rsid w:val="00420D70"/>
    <w:rsid w:val="00420EF7"/>
    <w:rsid w:val="00420F72"/>
    <w:rsid w:val="00420FBF"/>
    <w:rsid w:val="00420FE9"/>
    <w:rsid w:val="00421052"/>
    <w:rsid w:val="004213A9"/>
    <w:rsid w:val="0042142A"/>
    <w:rsid w:val="00421461"/>
    <w:rsid w:val="00421814"/>
    <w:rsid w:val="00421918"/>
    <w:rsid w:val="00421A85"/>
    <w:rsid w:val="00421B84"/>
    <w:rsid w:val="00421C23"/>
    <w:rsid w:val="00421C5A"/>
    <w:rsid w:val="00421EE7"/>
    <w:rsid w:val="00422146"/>
    <w:rsid w:val="00422266"/>
    <w:rsid w:val="00422292"/>
    <w:rsid w:val="00422341"/>
    <w:rsid w:val="0042236F"/>
    <w:rsid w:val="004223DE"/>
    <w:rsid w:val="004223ED"/>
    <w:rsid w:val="00422485"/>
    <w:rsid w:val="004225F3"/>
    <w:rsid w:val="004226CB"/>
    <w:rsid w:val="004226FB"/>
    <w:rsid w:val="00422786"/>
    <w:rsid w:val="004228B9"/>
    <w:rsid w:val="00422C34"/>
    <w:rsid w:val="00422C99"/>
    <w:rsid w:val="00422D34"/>
    <w:rsid w:val="00422E4D"/>
    <w:rsid w:val="00422E87"/>
    <w:rsid w:val="0042300B"/>
    <w:rsid w:val="00423117"/>
    <w:rsid w:val="00423198"/>
    <w:rsid w:val="00423258"/>
    <w:rsid w:val="00423312"/>
    <w:rsid w:val="004233B4"/>
    <w:rsid w:val="0042344E"/>
    <w:rsid w:val="00423463"/>
    <w:rsid w:val="004234AC"/>
    <w:rsid w:val="004234E9"/>
    <w:rsid w:val="00423573"/>
    <w:rsid w:val="004236DF"/>
    <w:rsid w:val="00423744"/>
    <w:rsid w:val="00423C55"/>
    <w:rsid w:val="00423C65"/>
    <w:rsid w:val="00423CC2"/>
    <w:rsid w:val="00423D1F"/>
    <w:rsid w:val="00423D88"/>
    <w:rsid w:val="00423FDB"/>
    <w:rsid w:val="00424135"/>
    <w:rsid w:val="00424243"/>
    <w:rsid w:val="00424349"/>
    <w:rsid w:val="004243BD"/>
    <w:rsid w:val="0042442D"/>
    <w:rsid w:val="004244CD"/>
    <w:rsid w:val="00424781"/>
    <w:rsid w:val="004247F6"/>
    <w:rsid w:val="00424825"/>
    <w:rsid w:val="00424857"/>
    <w:rsid w:val="00424993"/>
    <w:rsid w:val="00424A79"/>
    <w:rsid w:val="00424B10"/>
    <w:rsid w:val="00424B61"/>
    <w:rsid w:val="00424D6C"/>
    <w:rsid w:val="00424E09"/>
    <w:rsid w:val="00424E3B"/>
    <w:rsid w:val="00424E64"/>
    <w:rsid w:val="00424EF7"/>
    <w:rsid w:val="004251ED"/>
    <w:rsid w:val="004252BD"/>
    <w:rsid w:val="0042533F"/>
    <w:rsid w:val="00425396"/>
    <w:rsid w:val="004253CA"/>
    <w:rsid w:val="00425494"/>
    <w:rsid w:val="00425508"/>
    <w:rsid w:val="004255FB"/>
    <w:rsid w:val="00425637"/>
    <w:rsid w:val="00425665"/>
    <w:rsid w:val="004257BA"/>
    <w:rsid w:val="004257CF"/>
    <w:rsid w:val="004257DA"/>
    <w:rsid w:val="00425820"/>
    <w:rsid w:val="004258BD"/>
    <w:rsid w:val="004258FE"/>
    <w:rsid w:val="00425962"/>
    <w:rsid w:val="00425B87"/>
    <w:rsid w:val="00425C4F"/>
    <w:rsid w:val="00425EEE"/>
    <w:rsid w:val="00425FB2"/>
    <w:rsid w:val="00426032"/>
    <w:rsid w:val="004260AF"/>
    <w:rsid w:val="00426131"/>
    <w:rsid w:val="00426132"/>
    <w:rsid w:val="00426199"/>
    <w:rsid w:val="0042632A"/>
    <w:rsid w:val="00426340"/>
    <w:rsid w:val="004263A8"/>
    <w:rsid w:val="004264BE"/>
    <w:rsid w:val="00426534"/>
    <w:rsid w:val="004265E2"/>
    <w:rsid w:val="0042668D"/>
    <w:rsid w:val="004267EC"/>
    <w:rsid w:val="0042688B"/>
    <w:rsid w:val="004268DC"/>
    <w:rsid w:val="00426942"/>
    <w:rsid w:val="00426952"/>
    <w:rsid w:val="00426973"/>
    <w:rsid w:val="00426A14"/>
    <w:rsid w:val="00426A6C"/>
    <w:rsid w:val="00426ACD"/>
    <w:rsid w:val="00426DD9"/>
    <w:rsid w:val="00426E55"/>
    <w:rsid w:val="00426FC8"/>
    <w:rsid w:val="00426FF1"/>
    <w:rsid w:val="0042709D"/>
    <w:rsid w:val="004271C7"/>
    <w:rsid w:val="00427249"/>
    <w:rsid w:val="00427290"/>
    <w:rsid w:val="004275EA"/>
    <w:rsid w:val="004276BE"/>
    <w:rsid w:val="00427756"/>
    <w:rsid w:val="00427790"/>
    <w:rsid w:val="0042784C"/>
    <w:rsid w:val="00427968"/>
    <w:rsid w:val="00427A00"/>
    <w:rsid w:val="00427ADA"/>
    <w:rsid w:val="00427BC5"/>
    <w:rsid w:val="00427BE4"/>
    <w:rsid w:val="00427D35"/>
    <w:rsid w:val="00427D70"/>
    <w:rsid w:val="00427F0B"/>
    <w:rsid w:val="00427FA8"/>
    <w:rsid w:val="00427FCC"/>
    <w:rsid w:val="00430048"/>
    <w:rsid w:val="0043014F"/>
    <w:rsid w:val="004301C0"/>
    <w:rsid w:val="004302B0"/>
    <w:rsid w:val="004302F3"/>
    <w:rsid w:val="00430686"/>
    <w:rsid w:val="004306A2"/>
    <w:rsid w:val="004306DD"/>
    <w:rsid w:val="004307CD"/>
    <w:rsid w:val="00430892"/>
    <w:rsid w:val="004308D7"/>
    <w:rsid w:val="00430B4B"/>
    <w:rsid w:val="00430B51"/>
    <w:rsid w:val="00430C0D"/>
    <w:rsid w:val="00430C0E"/>
    <w:rsid w:val="00430C4B"/>
    <w:rsid w:val="00430C6C"/>
    <w:rsid w:val="00430DA5"/>
    <w:rsid w:val="00430E2C"/>
    <w:rsid w:val="00430E31"/>
    <w:rsid w:val="00430E44"/>
    <w:rsid w:val="00430ECD"/>
    <w:rsid w:val="00430F0A"/>
    <w:rsid w:val="00430FA9"/>
    <w:rsid w:val="0043111F"/>
    <w:rsid w:val="00431136"/>
    <w:rsid w:val="0043118F"/>
    <w:rsid w:val="004311E3"/>
    <w:rsid w:val="004311E9"/>
    <w:rsid w:val="0043126F"/>
    <w:rsid w:val="004312A8"/>
    <w:rsid w:val="004312D3"/>
    <w:rsid w:val="004315F9"/>
    <w:rsid w:val="00431606"/>
    <w:rsid w:val="0043164D"/>
    <w:rsid w:val="004316B8"/>
    <w:rsid w:val="004316DF"/>
    <w:rsid w:val="004317C3"/>
    <w:rsid w:val="00431868"/>
    <w:rsid w:val="004318E1"/>
    <w:rsid w:val="004318F9"/>
    <w:rsid w:val="00431927"/>
    <w:rsid w:val="00431981"/>
    <w:rsid w:val="004319AA"/>
    <w:rsid w:val="004319C8"/>
    <w:rsid w:val="00431A4D"/>
    <w:rsid w:val="00431AFA"/>
    <w:rsid w:val="00431E35"/>
    <w:rsid w:val="00431EEE"/>
    <w:rsid w:val="0043209F"/>
    <w:rsid w:val="00432281"/>
    <w:rsid w:val="00432473"/>
    <w:rsid w:val="0043269A"/>
    <w:rsid w:val="00432731"/>
    <w:rsid w:val="0043279E"/>
    <w:rsid w:val="00432809"/>
    <w:rsid w:val="004328E1"/>
    <w:rsid w:val="00432970"/>
    <w:rsid w:val="00432AA4"/>
    <w:rsid w:val="00432CDF"/>
    <w:rsid w:val="00432DCC"/>
    <w:rsid w:val="00432F3A"/>
    <w:rsid w:val="0043319E"/>
    <w:rsid w:val="00433436"/>
    <w:rsid w:val="0043364F"/>
    <w:rsid w:val="00433972"/>
    <w:rsid w:val="004339C6"/>
    <w:rsid w:val="00433A4B"/>
    <w:rsid w:val="00433AAD"/>
    <w:rsid w:val="00433AC5"/>
    <w:rsid w:val="00433C9A"/>
    <w:rsid w:val="00433CB7"/>
    <w:rsid w:val="00433DC5"/>
    <w:rsid w:val="00433E15"/>
    <w:rsid w:val="00433E18"/>
    <w:rsid w:val="00433E5A"/>
    <w:rsid w:val="00433E65"/>
    <w:rsid w:val="00433F05"/>
    <w:rsid w:val="00433F56"/>
    <w:rsid w:val="004341F1"/>
    <w:rsid w:val="00434272"/>
    <w:rsid w:val="00434297"/>
    <w:rsid w:val="004342EA"/>
    <w:rsid w:val="004343B2"/>
    <w:rsid w:val="00434473"/>
    <w:rsid w:val="00434728"/>
    <w:rsid w:val="00434753"/>
    <w:rsid w:val="00434785"/>
    <w:rsid w:val="00434786"/>
    <w:rsid w:val="0043479B"/>
    <w:rsid w:val="0043485F"/>
    <w:rsid w:val="00434896"/>
    <w:rsid w:val="00434ADF"/>
    <w:rsid w:val="00434B38"/>
    <w:rsid w:val="00434B4B"/>
    <w:rsid w:val="00434BF1"/>
    <w:rsid w:val="00434C80"/>
    <w:rsid w:val="00434DA8"/>
    <w:rsid w:val="00434DD1"/>
    <w:rsid w:val="00434EE7"/>
    <w:rsid w:val="00434F51"/>
    <w:rsid w:val="0043514C"/>
    <w:rsid w:val="004351F5"/>
    <w:rsid w:val="004353E2"/>
    <w:rsid w:val="00435416"/>
    <w:rsid w:val="004354AE"/>
    <w:rsid w:val="004354DF"/>
    <w:rsid w:val="00435509"/>
    <w:rsid w:val="00435555"/>
    <w:rsid w:val="004355D4"/>
    <w:rsid w:val="00435679"/>
    <w:rsid w:val="00435979"/>
    <w:rsid w:val="00435A6B"/>
    <w:rsid w:val="00435B49"/>
    <w:rsid w:val="00435B73"/>
    <w:rsid w:val="00435B95"/>
    <w:rsid w:val="00435BD0"/>
    <w:rsid w:val="00435C16"/>
    <w:rsid w:val="00435D37"/>
    <w:rsid w:val="00435E7B"/>
    <w:rsid w:val="00435F08"/>
    <w:rsid w:val="00435F49"/>
    <w:rsid w:val="004360BB"/>
    <w:rsid w:val="00436222"/>
    <w:rsid w:val="0043642F"/>
    <w:rsid w:val="0043656C"/>
    <w:rsid w:val="004365B2"/>
    <w:rsid w:val="00436904"/>
    <w:rsid w:val="0043697C"/>
    <w:rsid w:val="00436A1F"/>
    <w:rsid w:val="00436A4F"/>
    <w:rsid w:val="00436B2D"/>
    <w:rsid w:val="00436B48"/>
    <w:rsid w:val="00436B64"/>
    <w:rsid w:val="00436BC5"/>
    <w:rsid w:val="00436C94"/>
    <w:rsid w:val="00436CA3"/>
    <w:rsid w:val="00436F6C"/>
    <w:rsid w:val="00436FBD"/>
    <w:rsid w:val="00437036"/>
    <w:rsid w:val="0043707E"/>
    <w:rsid w:val="004370C8"/>
    <w:rsid w:val="004371FA"/>
    <w:rsid w:val="00437358"/>
    <w:rsid w:val="004373FE"/>
    <w:rsid w:val="0043753D"/>
    <w:rsid w:val="00437600"/>
    <w:rsid w:val="0043766F"/>
    <w:rsid w:val="004376C7"/>
    <w:rsid w:val="004377B3"/>
    <w:rsid w:val="00437888"/>
    <w:rsid w:val="00437CC6"/>
    <w:rsid w:val="00437F00"/>
    <w:rsid w:val="00437F03"/>
    <w:rsid w:val="0044015E"/>
    <w:rsid w:val="00440264"/>
    <w:rsid w:val="00440265"/>
    <w:rsid w:val="004402DC"/>
    <w:rsid w:val="004403F5"/>
    <w:rsid w:val="0044055D"/>
    <w:rsid w:val="004405C3"/>
    <w:rsid w:val="00440651"/>
    <w:rsid w:val="004409EB"/>
    <w:rsid w:val="00440A12"/>
    <w:rsid w:val="00440B62"/>
    <w:rsid w:val="00440C52"/>
    <w:rsid w:val="00440CE5"/>
    <w:rsid w:val="00440F90"/>
    <w:rsid w:val="00440FD0"/>
    <w:rsid w:val="0044100F"/>
    <w:rsid w:val="0044104A"/>
    <w:rsid w:val="004410B2"/>
    <w:rsid w:val="00441133"/>
    <w:rsid w:val="00441177"/>
    <w:rsid w:val="00441224"/>
    <w:rsid w:val="00441338"/>
    <w:rsid w:val="0044143E"/>
    <w:rsid w:val="004414F5"/>
    <w:rsid w:val="004414FB"/>
    <w:rsid w:val="0044150B"/>
    <w:rsid w:val="00441603"/>
    <w:rsid w:val="004416AE"/>
    <w:rsid w:val="00441719"/>
    <w:rsid w:val="004418CC"/>
    <w:rsid w:val="0044191E"/>
    <w:rsid w:val="00441C3F"/>
    <w:rsid w:val="00441EF8"/>
    <w:rsid w:val="00441FD0"/>
    <w:rsid w:val="00441FE9"/>
    <w:rsid w:val="004420EB"/>
    <w:rsid w:val="00442116"/>
    <w:rsid w:val="00442127"/>
    <w:rsid w:val="0044213D"/>
    <w:rsid w:val="00442154"/>
    <w:rsid w:val="0044215F"/>
    <w:rsid w:val="004421E0"/>
    <w:rsid w:val="004421FA"/>
    <w:rsid w:val="00442202"/>
    <w:rsid w:val="0044223B"/>
    <w:rsid w:val="004422DF"/>
    <w:rsid w:val="004422F7"/>
    <w:rsid w:val="0044231C"/>
    <w:rsid w:val="00442377"/>
    <w:rsid w:val="00442651"/>
    <w:rsid w:val="004426F9"/>
    <w:rsid w:val="00442826"/>
    <w:rsid w:val="004428D5"/>
    <w:rsid w:val="00442997"/>
    <w:rsid w:val="00442A47"/>
    <w:rsid w:val="00442A7F"/>
    <w:rsid w:val="00442B7B"/>
    <w:rsid w:val="00442CD9"/>
    <w:rsid w:val="00442DB9"/>
    <w:rsid w:val="00442DF9"/>
    <w:rsid w:val="00442E08"/>
    <w:rsid w:val="00442EA9"/>
    <w:rsid w:val="00442EAF"/>
    <w:rsid w:val="00442FA0"/>
    <w:rsid w:val="004431C9"/>
    <w:rsid w:val="004431D6"/>
    <w:rsid w:val="00443264"/>
    <w:rsid w:val="00443416"/>
    <w:rsid w:val="004435C9"/>
    <w:rsid w:val="004435D1"/>
    <w:rsid w:val="00443610"/>
    <w:rsid w:val="004439B8"/>
    <w:rsid w:val="00443B39"/>
    <w:rsid w:val="00443B7D"/>
    <w:rsid w:val="00443BCB"/>
    <w:rsid w:val="00443C28"/>
    <w:rsid w:val="00443EAB"/>
    <w:rsid w:val="00443FB4"/>
    <w:rsid w:val="00443FED"/>
    <w:rsid w:val="004440F2"/>
    <w:rsid w:val="004441B0"/>
    <w:rsid w:val="004441E3"/>
    <w:rsid w:val="0044429F"/>
    <w:rsid w:val="004442D3"/>
    <w:rsid w:val="0044435B"/>
    <w:rsid w:val="004443DE"/>
    <w:rsid w:val="0044448D"/>
    <w:rsid w:val="004445C7"/>
    <w:rsid w:val="0044468C"/>
    <w:rsid w:val="0044476B"/>
    <w:rsid w:val="00444786"/>
    <w:rsid w:val="0044481F"/>
    <w:rsid w:val="0044488C"/>
    <w:rsid w:val="0044488F"/>
    <w:rsid w:val="00444910"/>
    <w:rsid w:val="00444942"/>
    <w:rsid w:val="00444A5B"/>
    <w:rsid w:val="00444BBC"/>
    <w:rsid w:val="00444E2B"/>
    <w:rsid w:val="00444E4D"/>
    <w:rsid w:val="00444E70"/>
    <w:rsid w:val="00444F9B"/>
    <w:rsid w:val="00445057"/>
    <w:rsid w:val="00445153"/>
    <w:rsid w:val="00445455"/>
    <w:rsid w:val="004454A6"/>
    <w:rsid w:val="004454AB"/>
    <w:rsid w:val="004454CF"/>
    <w:rsid w:val="004456CE"/>
    <w:rsid w:val="00445890"/>
    <w:rsid w:val="004458B2"/>
    <w:rsid w:val="00445910"/>
    <w:rsid w:val="00445994"/>
    <w:rsid w:val="00445C36"/>
    <w:rsid w:val="00445DAE"/>
    <w:rsid w:val="00445E44"/>
    <w:rsid w:val="00445EAF"/>
    <w:rsid w:val="00445F20"/>
    <w:rsid w:val="00446110"/>
    <w:rsid w:val="00446229"/>
    <w:rsid w:val="004462BD"/>
    <w:rsid w:val="004463E4"/>
    <w:rsid w:val="0044648B"/>
    <w:rsid w:val="00446544"/>
    <w:rsid w:val="00446584"/>
    <w:rsid w:val="0044659D"/>
    <w:rsid w:val="0044670D"/>
    <w:rsid w:val="00446751"/>
    <w:rsid w:val="00446829"/>
    <w:rsid w:val="0044683E"/>
    <w:rsid w:val="0044689F"/>
    <w:rsid w:val="004468FA"/>
    <w:rsid w:val="0044699E"/>
    <w:rsid w:val="00446B6E"/>
    <w:rsid w:val="00446BCC"/>
    <w:rsid w:val="00446C2D"/>
    <w:rsid w:val="00446C88"/>
    <w:rsid w:val="00446E80"/>
    <w:rsid w:val="00446E9E"/>
    <w:rsid w:val="004471AB"/>
    <w:rsid w:val="004471C7"/>
    <w:rsid w:val="0044732B"/>
    <w:rsid w:val="004474FC"/>
    <w:rsid w:val="0044756B"/>
    <w:rsid w:val="004475C6"/>
    <w:rsid w:val="004477C3"/>
    <w:rsid w:val="00447832"/>
    <w:rsid w:val="0044786E"/>
    <w:rsid w:val="004479B3"/>
    <w:rsid w:val="00447AD6"/>
    <w:rsid w:val="00447B31"/>
    <w:rsid w:val="00447C3A"/>
    <w:rsid w:val="00447C54"/>
    <w:rsid w:val="00447C5D"/>
    <w:rsid w:val="00447CAC"/>
    <w:rsid w:val="00447D75"/>
    <w:rsid w:val="00447F47"/>
    <w:rsid w:val="00447FC7"/>
    <w:rsid w:val="00450095"/>
    <w:rsid w:val="004500DA"/>
    <w:rsid w:val="00450154"/>
    <w:rsid w:val="00450246"/>
    <w:rsid w:val="004503CE"/>
    <w:rsid w:val="00450486"/>
    <w:rsid w:val="00450588"/>
    <w:rsid w:val="004505EF"/>
    <w:rsid w:val="00450866"/>
    <w:rsid w:val="0045087C"/>
    <w:rsid w:val="004508FA"/>
    <w:rsid w:val="0045090F"/>
    <w:rsid w:val="0045094D"/>
    <w:rsid w:val="00450A4C"/>
    <w:rsid w:val="00450B46"/>
    <w:rsid w:val="00450CEC"/>
    <w:rsid w:val="00450D0A"/>
    <w:rsid w:val="00450ED8"/>
    <w:rsid w:val="00451383"/>
    <w:rsid w:val="00451547"/>
    <w:rsid w:val="0045163B"/>
    <w:rsid w:val="00451797"/>
    <w:rsid w:val="0045181E"/>
    <w:rsid w:val="00451882"/>
    <w:rsid w:val="00451B6A"/>
    <w:rsid w:val="00451B8A"/>
    <w:rsid w:val="00451BAD"/>
    <w:rsid w:val="00451C75"/>
    <w:rsid w:val="00451C80"/>
    <w:rsid w:val="00451DEB"/>
    <w:rsid w:val="00451E2C"/>
    <w:rsid w:val="00451EA7"/>
    <w:rsid w:val="00451F16"/>
    <w:rsid w:val="00451FB0"/>
    <w:rsid w:val="00451FC0"/>
    <w:rsid w:val="00452230"/>
    <w:rsid w:val="0045238F"/>
    <w:rsid w:val="0045242F"/>
    <w:rsid w:val="004524D0"/>
    <w:rsid w:val="004525F3"/>
    <w:rsid w:val="0045270A"/>
    <w:rsid w:val="00452719"/>
    <w:rsid w:val="0045273D"/>
    <w:rsid w:val="00452759"/>
    <w:rsid w:val="0045284C"/>
    <w:rsid w:val="004528FF"/>
    <w:rsid w:val="0045299E"/>
    <w:rsid w:val="00452A70"/>
    <w:rsid w:val="00452B91"/>
    <w:rsid w:val="00452BED"/>
    <w:rsid w:val="00452C98"/>
    <w:rsid w:val="00452DB1"/>
    <w:rsid w:val="00452E0E"/>
    <w:rsid w:val="00452F17"/>
    <w:rsid w:val="0045311A"/>
    <w:rsid w:val="004531BE"/>
    <w:rsid w:val="004531C4"/>
    <w:rsid w:val="00453265"/>
    <w:rsid w:val="0045328A"/>
    <w:rsid w:val="00453362"/>
    <w:rsid w:val="004533E9"/>
    <w:rsid w:val="004536B0"/>
    <w:rsid w:val="004536D8"/>
    <w:rsid w:val="00453966"/>
    <w:rsid w:val="00453AD9"/>
    <w:rsid w:val="00453D0D"/>
    <w:rsid w:val="00453D5B"/>
    <w:rsid w:val="00453D8E"/>
    <w:rsid w:val="00453D9F"/>
    <w:rsid w:val="00453E42"/>
    <w:rsid w:val="00453EB0"/>
    <w:rsid w:val="00453F06"/>
    <w:rsid w:val="004540B5"/>
    <w:rsid w:val="004541CF"/>
    <w:rsid w:val="004542D9"/>
    <w:rsid w:val="00454319"/>
    <w:rsid w:val="00454489"/>
    <w:rsid w:val="00454544"/>
    <w:rsid w:val="004545FD"/>
    <w:rsid w:val="00454601"/>
    <w:rsid w:val="00454749"/>
    <w:rsid w:val="0045474C"/>
    <w:rsid w:val="0045476C"/>
    <w:rsid w:val="0045488A"/>
    <w:rsid w:val="0045489D"/>
    <w:rsid w:val="00454984"/>
    <w:rsid w:val="00454A9E"/>
    <w:rsid w:val="00454B51"/>
    <w:rsid w:val="00454BAA"/>
    <w:rsid w:val="00454C09"/>
    <w:rsid w:val="00454C0C"/>
    <w:rsid w:val="00454C3C"/>
    <w:rsid w:val="00454C9C"/>
    <w:rsid w:val="00454CA0"/>
    <w:rsid w:val="00454E84"/>
    <w:rsid w:val="0045504A"/>
    <w:rsid w:val="00455080"/>
    <w:rsid w:val="004552D3"/>
    <w:rsid w:val="004552E2"/>
    <w:rsid w:val="00455359"/>
    <w:rsid w:val="0045535A"/>
    <w:rsid w:val="0045536F"/>
    <w:rsid w:val="0045537A"/>
    <w:rsid w:val="0045537B"/>
    <w:rsid w:val="004554D5"/>
    <w:rsid w:val="004554E0"/>
    <w:rsid w:val="00455532"/>
    <w:rsid w:val="00455564"/>
    <w:rsid w:val="0045590C"/>
    <w:rsid w:val="00455AB9"/>
    <w:rsid w:val="00455CD7"/>
    <w:rsid w:val="00455CF0"/>
    <w:rsid w:val="00455DE9"/>
    <w:rsid w:val="00455E86"/>
    <w:rsid w:val="00455EFA"/>
    <w:rsid w:val="00455F62"/>
    <w:rsid w:val="00455F89"/>
    <w:rsid w:val="00455F8A"/>
    <w:rsid w:val="00456146"/>
    <w:rsid w:val="0045621C"/>
    <w:rsid w:val="004562B2"/>
    <w:rsid w:val="00456329"/>
    <w:rsid w:val="0045643C"/>
    <w:rsid w:val="00456528"/>
    <w:rsid w:val="004567ED"/>
    <w:rsid w:val="0045682E"/>
    <w:rsid w:val="00456830"/>
    <w:rsid w:val="00456926"/>
    <w:rsid w:val="0045695E"/>
    <w:rsid w:val="00456A36"/>
    <w:rsid w:val="00456CE8"/>
    <w:rsid w:val="00456DC7"/>
    <w:rsid w:val="00456DEF"/>
    <w:rsid w:val="00456E45"/>
    <w:rsid w:val="00456E99"/>
    <w:rsid w:val="004570F6"/>
    <w:rsid w:val="0045736D"/>
    <w:rsid w:val="004574AC"/>
    <w:rsid w:val="004577D8"/>
    <w:rsid w:val="004577E3"/>
    <w:rsid w:val="004578A4"/>
    <w:rsid w:val="004578B5"/>
    <w:rsid w:val="004578E7"/>
    <w:rsid w:val="00457A51"/>
    <w:rsid w:val="00457A7A"/>
    <w:rsid w:val="00457A84"/>
    <w:rsid w:val="00457A99"/>
    <w:rsid w:val="00457AA5"/>
    <w:rsid w:val="00457B76"/>
    <w:rsid w:val="00457B7E"/>
    <w:rsid w:val="00457BD3"/>
    <w:rsid w:val="00457C52"/>
    <w:rsid w:val="00457CFE"/>
    <w:rsid w:val="00457D0E"/>
    <w:rsid w:val="00457D2B"/>
    <w:rsid w:val="00457D95"/>
    <w:rsid w:val="00457E5B"/>
    <w:rsid w:val="00457F0F"/>
    <w:rsid w:val="00457F3A"/>
    <w:rsid w:val="00457FC7"/>
    <w:rsid w:val="0046005A"/>
    <w:rsid w:val="00460288"/>
    <w:rsid w:val="004603B4"/>
    <w:rsid w:val="00460428"/>
    <w:rsid w:val="00460488"/>
    <w:rsid w:val="004604A5"/>
    <w:rsid w:val="00460501"/>
    <w:rsid w:val="0046053E"/>
    <w:rsid w:val="00460745"/>
    <w:rsid w:val="00460855"/>
    <w:rsid w:val="004608D0"/>
    <w:rsid w:val="00460910"/>
    <w:rsid w:val="0046091E"/>
    <w:rsid w:val="00460997"/>
    <w:rsid w:val="004609B4"/>
    <w:rsid w:val="00460C21"/>
    <w:rsid w:val="00460C3F"/>
    <w:rsid w:val="00460C6C"/>
    <w:rsid w:val="00460C75"/>
    <w:rsid w:val="00460E9D"/>
    <w:rsid w:val="00460F4A"/>
    <w:rsid w:val="00460FCA"/>
    <w:rsid w:val="00460FDF"/>
    <w:rsid w:val="004610AC"/>
    <w:rsid w:val="00461101"/>
    <w:rsid w:val="0046154C"/>
    <w:rsid w:val="00461582"/>
    <w:rsid w:val="004615C2"/>
    <w:rsid w:val="004616D8"/>
    <w:rsid w:val="00461A98"/>
    <w:rsid w:val="00461C28"/>
    <w:rsid w:val="00461E2A"/>
    <w:rsid w:val="00461EF6"/>
    <w:rsid w:val="00462046"/>
    <w:rsid w:val="004620F0"/>
    <w:rsid w:val="00462125"/>
    <w:rsid w:val="0046249C"/>
    <w:rsid w:val="004625A6"/>
    <w:rsid w:val="00462680"/>
    <w:rsid w:val="004626E6"/>
    <w:rsid w:val="004626FA"/>
    <w:rsid w:val="00462759"/>
    <w:rsid w:val="0046275D"/>
    <w:rsid w:val="0046276B"/>
    <w:rsid w:val="0046285B"/>
    <w:rsid w:val="004628A7"/>
    <w:rsid w:val="00462981"/>
    <w:rsid w:val="00462991"/>
    <w:rsid w:val="00462A10"/>
    <w:rsid w:val="00462AED"/>
    <w:rsid w:val="00462B34"/>
    <w:rsid w:val="00462C27"/>
    <w:rsid w:val="00462C96"/>
    <w:rsid w:val="00462CB0"/>
    <w:rsid w:val="00462EEA"/>
    <w:rsid w:val="00462F65"/>
    <w:rsid w:val="00462FA4"/>
    <w:rsid w:val="00463103"/>
    <w:rsid w:val="0046335D"/>
    <w:rsid w:val="00463389"/>
    <w:rsid w:val="004633ED"/>
    <w:rsid w:val="00463443"/>
    <w:rsid w:val="00463463"/>
    <w:rsid w:val="00463602"/>
    <w:rsid w:val="004636F9"/>
    <w:rsid w:val="00463979"/>
    <w:rsid w:val="00463AEF"/>
    <w:rsid w:val="00463B27"/>
    <w:rsid w:val="00463B34"/>
    <w:rsid w:val="00463D17"/>
    <w:rsid w:val="00463E64"/>
    <w:rsid w:val="00463FCF"/>
    <w:rsid w:val="00463FDB"/>
    <w:rsid w:val="0046412C"/>
    <w:rsid w:val="004641CE"/>
    <w:rsid w:val="00464397"/>
    <w:rsid w:val="004643C0"/>
    <w:rsid w:val="004644A1"/>
    <w:rsid w:val="00464550"/>
    <w:rsid w:val="0046465D"/>
    <w:rsid w:val="00464778"/>
    <w:rsid w:val="004647CB"/>
    <w:rsid w:val="004647D0"/>
    <w:rsid w:val="00464813"/>
    <w:rsid w:val="004648D1"/>
    <w:rsid w:val="004648ED"/>
    <w:rsid w:val="00464C25"/>
    <w:rsid w:val="00464C62"/>
    <w:rsid w:val="00464D68"/>
    <w:rsid w:val="00464F7B"/>
    <w:rsid w:val="004651A6"/>
    <w:rsid w:val="004652C0"/>
    <w:rsid w:val="00465326"/>
    <w:rsid w:val="004653D2"/>
    <w:rsid w:val="00465691"/>
    <w:rsid w:val="004656C6"/>
    <w:rsid w:val="004656DC"/>
    <w:rsid w:val="004657FD"/>
    <w:rsid w:val="00465A07"/>
    <w:rsid w:val="00465ADD"/>
    <w:rsid w:val="00465BC6"/>
    <w:rsid w:val="00465D48"/>
    <w:rsid w:val="00465D55"/>
    <w:rsid w:val="00465DAC"/>
    <w:rsid w:val="00465E02"/>
    <w:rsid w:val="00465ED1"/>
    <w:rsid w:val="00465F2F"/>
    <w:rsid w:val="00465F60"/>
    <w:rsid w:val="00465FC4"/>
    <w:rsid w:val="0046600E"/>
    <w:rsid w:val="0046614A"/>
    <w:rsid w:val="004661E1"/>
    <w:rsid w:val="00466335"/>
    <w:rsid w:val="00466339"/>
    <w:rsid w:val="0046641D"/>
    <w:rsid w:val="00466459"/>
    <w:rsid w:val="004664B2"/>
    <w:rsid w:val="0046650B"/>
    <w:rsid w:val="00466510"/>
    <w:rsid w:val="00466725"/>
    <w:rsid w:val="0046684D"/>
    <w:rsid w:val="004668A0"/>
    <w:rsid w:val="004668AE"/>
    <w:rsid w:val="004669C1"/>
    <w:rsid w:val="00466A19"/>
    <w:rsid w:val="00466B45"/>
    <w:rsid w:val="00466B55"/>
    <w:rsid w:val="00466B96"/>
    <w:rsid w:val="00466C3D"/>
    <w:rsid w:val="00466E06"/>
    <w:rsid w:val="00466E5A"/>
    <w:rsid w:val="00466E9B"/>
    <w:rsid w:val="0046725C"/>
    <w:rsid w:val="004673CF"/>
    <w:rsid w:val="00467471"/>
    <w:rsid w:val="004675B6"/>
    <w:rsid w:val="0046760C"/>
    <w:rsid w:val="0046773B"/>
    <w:rsid w:val="00467860"/>
    <w:rsid w:val="00467862"/>
    <w:rsid w:val="0046787E"/>
    <w:rsid w:val="004678EB"/>
    <w:rsid w:val="0046792E"/>
    <w:rsid w:val="00467A01"/>
    <w:rsid w:val="00467A25"/>
    <w:rsid w:val="00467A63"/>
    <w:rsid w:val="00467AAF"/>
    <w:rsid w:val="00467B42"/>
    <w:rsid w:val="00467B49"/>
    <w:rsid w:val="00467CB0"/>
    <w:rsid w:val="00467CFE"/>
    <w:rsid w:val="00467E22"/>
    <w:rsid w:val="00467E7C"/>
    <w:rsid w:val="00467E98"/>
    <w:rsid w:val="00467EA8"/>
    <w:rsid w:val="00467EAD"/>
    <w:rsid w:val="00467EB4"/>
    <w:rsid w:val="00467F0A"/>
    <w:rsid w:val="00470180"/>
    <w:rsid w:val="00470228"/>
    <w:rsid w:val="0047031A"/>
    <w:rsid w:val="004703BB"/>
    <w:rsid w:val="004704B0"/>
    <w:rsid w:val="0047058F"/>
    <w:rsid w:val="004705F6"/>
    <w:rsid w:val="004706C3"/>
    <w:rsid w:val="004706DB"/>
    <w:rsid w:val="004707D0"/>
    <w:rsid w:val="004707DC"/>
    <w:rsid w:val="00470963"/>
    <w:rsid w:val="00470A92"/>
    <w:rsid w:val="00470AFD"/>
    <w:rsid w:val="00470B03"/>
    <w:rsid w:val="00470B2F"/>
    <w:rsid w:val="00470B4A"/>
    <w:rsid w:val="00470B4F"/>
    <w:rsid w:val="00470BA2"/>
    <w:rsid w:val="00470BD4"/>
    <w:rsid w:val="00470EA3"/>
    <w:rsid w:val="00470F6A"/>
    <w:rsid w:val="00470F80"/>
    <w:rsid w:val="00470FFC"/>
    <w:rsid w:val="00471030"/>
    <w:rsid w:val="004711D9"/>
    <w:rsid w:val="00471203"/>
    <w:rsid w:val="00471331"/>
    <w:rsid w:val="004714B7"/>
    <w:rsid w:val="00471542"/>
    <w:rsid w:val="00471610"/>
    <w:rsid w:val="00471689"/>
    <w:rsid w:val="004716B7"/>
    <w:rsid w:val="00471907"/>
    <w:rsid w:val="0047197D"/>
    <w:rsid w:val="004719BE"/>
    <w:rsid w:val="00471A04"/>
    <w:rsid w:val="00471A36"/>
    <w:rsid w:val="00471A4E"/>
    <w:rsid w:val="00471AAB"/>
    <w:rsid w:val="00471B2B"/>
    <w:rsid w:val="00471BC3"/>
    <w:rsid w:val="00471DCB"/>
    <w:rsid w:val="00471E1D"/>
    <w:rsid w:val="00471EBF"/>
    <w:rsid w:val="00471F6A"/>
    <w:rsid w:val="00472267"/>
    <w:rsid w:val="004722C9"/>
    <w:rsid w:val="004723E7"/>
    <w:rsid w:val="004725C7"/>
    <w:rsid w:val="004728C5"/>
    <w:rsid w:val="004728E4"/>
    <w:rsid w:val="00472943"/>
    <w:rsid w:val="0047299E"/>
    <w:rsid w:val="00472A57"/>
    <w:rsid w:val="00472B98"/>
    <w:rsid w:val="00472C6C"/>
    <w:rsid w:val="00472DCE"/>
    <w:rsid w:val="00472F28"/>
    <w:rsid w:val="00473105"/>
    <w:rsid w:val="00473118"/>
    <w:rsid w:val="0047318F"/>
    <w:rsid w:val="0047323F"/>
    <w:rsid w:val="004735B7"/>
    <w:rsid w:val="0047363C"/>
    <w:rsid w:val="00473900"/>
    <w:rsid w:val="004739E2"/>
    <w:rsid w:val="00473A05"/>
    <w:rsid w:val="00473AE1"/>
    <w:rsid w:val="00473B25"/>
    <w:rsid w:val="00473BBF"/>
    <w:rsid w:val="00473C12"/>
    <w:rsid w:val="00473DFD"/>
    <w:rsid w:val="00473E59"/>
    <w:rsid w:val="00473E7A"/>
    <w:rsid w:val="00473EEA"/>
    <w:rsid w:val="00473F18"/>
    <w:rsid w:val="00474188"/>
    <w:rsid w:val="0047436E"/>
    <w:rsid w:val="00474402"/>
    <w:rsid w:val="00474426"/>
    <w:rsid w:val="004744DE"/>
    <w:rsid w:val="00474509"/>
    <w:rsid w:val="00474511"/>
    <w:rsid w:val="004745EC"/>
    <w:rsid w:val="00474657"/>
    <w:rsid w:val="0047486E"/>
    <w:rsid w:val="0047496F"/>
    <w:rsid w:val="004749FF"/>
    <w:rsid w:val="00474A1E"/>
    <w:rsid w:val="00474AFF"/>
    <w:rsid w:val="00474B28"/>
    <w:rsid w:val="00474B4C"/>
    <w:rsid w:val="00474BCE"/>
    <w:rsid w:val="00474C5D"/>
    <w:rsid w:val="00474CEE"/>
    <w:rsid w:val="00474D20"/>
    <w:rsid w:val="00474ED3"/>
    <w:rsid w:val="00474EFB"/>
    <w:rsid w:val="00474F16"/>
    <w:rsid w:val="0047505D"/>
    <w:rsid w:val="00475131"/>
    <w:rsid w:val="00475255"/>
    <w:rsid w:val="0047530A"/>
    <w:rsid w:val="00475347"/>
    <w:rsid w:val="00475485"/>
    <w:rsid w:val="004754EA"/>
    <w:rsid w:val="004755DE"/>
    <w:rsid w:val="004756D1"/>
    <w:rsid w:val="004756D8"/>
    <w:rsid w:val="0047576F"/>
    <w:rsid w:val="004757EF"/>
    <w:rsid w:val="00475B56"/>
    <w:rsid w:val="00475BE0"/>
    <w:rsid w:val="00475BFB"/>
    <w:rsid w:val="00475CC9"/>
    <w:rsid w:val="00475D13"/>
    <w:rsid w:val="00475DAB"/>
    <w:rsid w:val="00475E15"/>
    <w:rsid w:val="00475F76"/>
    <w:rsid w:val="0047605A"/>
    <w:rsid w:val="00476096"/>
    <w:rsid w:val="0047611E"/>
    <w:rsid w:val="00476321"/>
    <w:rsid w:val="00476357"/>
    <w:rsid w:val="0047642B"/>
    <w:rsid w:val="004764A7"/>
    <w:rsid w:val="004764F2"/>
    <w:rsid w:val="00476560"/>
    <w:rsid w:val="0047667B"/>
    <w:rsid w:val="0047677C"/>
    <w:rsid w:val="004767EF"/>
    <w:rsid w:val="00476905"/>
    <w:rsid w:val="00476A1B"/>
    <w:rsid w:val="00476A4F"/>
    <w:rsid w:val="00476AEF"/>
    <w:rsid w:val="00476FCB"/>
    <w:rsid w:val="004770D5"/>
    <w:rsid w:val="00477129"/>
    <w:rsid w:val="004771D2"/>
    <w:rsid w:val="00477278"/>
    <w:rsid w:val="00477282"/>
    <w:rsid w:val="004772AD"/>
    <w:rsid w:val="004772DB"/>
    <w:rsid w:val="0047730E"/>
    <w:rsid w:val="004773C7"/>
    <w:rsid w:val="0047740F"/>
    <w:rsid w:val="004774A7"/>
    <w:rsid w:val="004774E9"/>
    <w:rsid w:val="0047756C"/>
    <w:rsid w:val="0047757F"/>
    <w:rsid w:val="00477933"/>
    <w:rsid w:val="00477B0D"/>
    <w:rsid w:val="00477BB3"/>
    <w:rsid w:val="00477CB3"/>
    <w:rsid w:val="00477D27"/>
    <w:rsid w:val="00477D3C"/>
    <w:rsid w:val="00477DBF"/>
    <w:rsid w:val="00477DD0"/>
    <w:rsid w:val="00477DF6"/>
    <w:rsid w:val="00477E65"/>
    <w:rsid w:val="00477F90"/>
    <w:rsid w:val="00477FF7"/>
    <w:rsid w:val="004800FC"/>
    <w:rsid w:val="004804B4"/>
    <w:rsid w:val="00480506"/>
    <w:rsid w:val="00480515"/>
    <w:rsid w:val="004806F8"/>
    <w:rsid w:val="0048095B"/>
    <w:rsid w:val="00480C04"/>
    <w:rsid w:val="00480C58"/>
    <w:rsid w:val="00480E7F"/>
    <w:rsid w:val="00480EB2"/>
    <w:rsid w:val="00480F45"/>
    <w:rsid w:val="00480FF9"/>
    <w:rsid w:val="0048113A"/>
    <w:rsid w:val="00481203"/>
    <w:rsid w:val="004812CA"/>
    <w:rsid w:val="0048139A"/>
    <w:rsid w:val="00481421"/>
    <w:rsid w:val="00481455"/>
    <w:rsid w:val="004816F1"/>
    <w:rsid w:val="00481718"/>
    <w:rsid w:val="00481770"/>
    <w:rsid w:val="0048184C"/>
    <w:rsid w:val="0048185B"/>
    <w:rsid w:val="00481915"/>
    <w:rsid w:val="0048199E"/>
    <w:rsid w:val="004819EC"/>
    <w:rsid w:val="004819F9"/>
    <w:rsid w:val="00481B64"/>
    <w:rsid w:val="00481D38"/>
    <w:rsid w:val="00481F1C"/>
    <w:rsid w:val="00481FC9"/>
    <w:rsid w:val="00481FF3"/>
    <w:rsid w:val="0048210A"/>
    <w:rsid w:val="0048258E"/>
    <w:rsid w:val="004826A2"/>
    <w:rsid w:val="0048283A"/>
    <w:rsid w:val="00482A67"/>
    <w:rsid w:val="00482AAD"/>
    <w:rsid w:val="00482C5D"/>
    <w:rsid w:val="00482C6E"/>
    <w:rsid w:val="00482DBD"/>
    <w:rsid w:val="00482E48"/>
    <w:rsid w:val="00482E85"/>
    <w:rsid w:val="00482F5D"/>
    <w:rsid w:val="0048302D"/>
    <w:rsid w:val="00483072"/>
    <w:rsid w:val="00483159"/>
    <w:rsid w:val="00483172"/>
    <w:rsid w:val="004831CC"/>
    <w:rsid w:val="004832EA"/>
    <w:rsid w:val="00483392"/>
    <w:rsid w:val="004834E8"/>
    <w:rsid w:val="00483565"/>
    <w:rsid w:val="00483585"/>
    <w:rsid w:val="004835FF"/>
    <w:rsid w:val="00483638"/>
    <w:rsid w:val="00483736"/>
    <w:rsid w:val="0048386A"/>
    <w:rsid w:val="004838F8"/>
    <w:rsid w:val="004839AA"/>
    <w:rsid w:val="00483A08"/>
    <w:rsid w:val="00483A29"/>
    <w:rsid w:val="00483A81"/>
    <w:rsid w:val="00483BCB"/>
    <w:rsid w:val="00483C84"/>
    <w:rsid w:val="00483E87"/>
    <w:rsid w:val="00483EF4"/>
    <w:rsid w:val="00483F41"/>
    <w:rsid w:val="004840CD"/>
    <w:rsid w:val="00484147"/>
    <w:rsid w:val="00484179"/>
    <w:rsid w:val="0048428F"/>
    <w:rsid w:val="00484324"/>
    <w:rsid w:val="0048445F"/>
    <w:rsid w:val="004844B2"/>
    <w:rsid w:val="004844D3"/>
    <w:rsid w:val="004844E2"/>
    <w:rsid w:val="00484814"/>
    <w:rsid w:val="00484890"/>
    <w:rsid w:val="0048496F"/>
    <w:rsid w:val="00484A06"/>
    <w:rsid w:val="00484AA0"/>
    <w:rsid w:val="00484BFE"/>
    <w:rsid w:val="00484D09"/>
    <w:rsid w:val="00484DA1"/>
    <w:rsid w:val="00484DE4"/>
    <w:rsid w:val="00484E41"/>
    <w:rsid w:val="00484E9F"/>
    <w:rsid w:val="00484F2B"/>
    <w:rsid w:val="00484FFF"/>
    <w:rsid w:val="0048506A"/>
    <w:rsid w:val="0048511B"/>
    <w:rsid w:val="0048517F"/>
    <w:rsid w:val="00485205"/>
    <w:rsid w:val="0048521A"/>
    <w:rsid w:val="0048525F"/>
    <w:rsid w:val="0048530B"/>
    <w:rsid w:val="00485403"/>
    <w:rsid w:val="00485488"/>
    <w:rsid w:val="00485576"/>
    <w:rsid w:val="00485662"/>
    <w:rsid w:val="00485944"/>
    <w:rsid w:val="00485987"/>
    <w:rsid w:val="00485992"/>
    <w:rsid w:val="004859B1"/>
    <w:rsid w:val="00485A4A"/>
    <w:rsid w:val="00485AAA"/>
    <w:rsid w:val="00485AF9"/>
    <w:rsid w:val="00485B35"/>
    <w:rsid w:val="00485BF5"/>
    <w:rsid w:val="00485C04"/>
    <w:rsid w:val="00485D48"/>
    <w:rsid w:val="00485DC8"/>
    <w:rsid w:val="00485E2A"/>
    <w:rsid w:val="00485F4C"/>
    <w:rsid w:val="00486232"/>
    <w:rsid w:val="00486313"/>
    <w:rsid w:val="00486374"/>
    <w:rsid w:val="004864E5"/>
    <w:rsid w:val="0048656B"/>
    <w:rsid w:val="004865A3"/>
    <w:rsid w:val="00486611"/>
    <w:rsid w:val="0048666B"/>
    <w:rsid w:val="004866BB"/>
    <w:rsid w:val="004868DE"/>
    <w:rsid w:val="00486915"/>
    <w:rsid w:val="0048691B"/>
    <w:rsid w:val="0048691F"/>
    <w:rsid w:val="00486968"/>
    <w:rsid w:val="004869F3"/>
    <w:rsid w:val="00486AF2"/>
    <w:rsid w:val="00486D0D"/>
    <w:rsid w:val="00486EC6"/>
    <w:rsid w:val="00486F3C"/>
    <w:rsid w:val="0048705B"/>
    <w:rsid w:val="00487104"/>
    <w:rsid w:val="0048715B"/>
    <w:rsid w:val="004871BB"/>
    <w:rsid w:val="0048723D"/>
    <w:rsid w:val="004872BD"/>
    <w:rsid w:val="0048757C"/>
    <w:rsid w:val="00487649"/>
    <w:rsid w:val="00487717"/>
    <w:rsid w:val="0048792F"/>
    <w:rsid w:val="00487B66"/>
    <w:rsid w:val="00487D36"/>
    <w:rsid w:val="00487D75"/>
    <w:rsid w:val="00487F61"/>
    <w:rsid w:val="00490107"/>
    <w:rsid w:val="00490181"/>
    <w:rsid w:val="00490353"/>
    <w:rsid w:val="004903B3"/>
    <w:rsid w:val="0049054D"/>
    <w:rsid w:val="00490582"/>
    <w:rsid w:val="00490611"/>
    <w:rsid w:val="004907E0"/>
    <w:rsid w:val="00490908"/>
    <w:rsid w:val="00490A6D"/>
    <w:rsid w:val="00490AC1"/>
    <w:rsid w:val="00490B55"/>
    <w:rsid w:val="00490BF1"/>
    <w:rsid w:val="00490F0E"/>
    <w:rsid w:val="00490F5E"/>
    <w:rsid w:val="00491076"/>
    <w:rsid w:val="004910A0"/>
    <w:rsid w:val="004910C9"/>
    <w:rsid w:val="004910CB"/>
    <w:rsid w:val="00491109"/>
    <w:rsid w:val="00491170"/>
    <w:rsid w:val="004911A4"/>
    <w:rsid w:val="004913F8"/>
    <w:rsid w:val="004914BF"/>
    <w:rsid w:val="004915C2"/>
    <w:rsid w:val="004918A1"/>
    <w:rsid w:val="0049193E"/>
    <w:rsid w:val="004919FF"/>
    <w:rsid w:val="00491AAB"/>
    <w:rsid w:val="00491B84"/>
    <w:rsid w:val="00491B99"/>
    <w:rsid w:val="00491CE0"/>
    <w:rsid w:val="00491EEE"/>
    <w:rsid w:val="00491FA1"/>
    <w:rsid w:val="004920FD"/>
    <w:rsid w:val="0049220C"/>
    <w:rsid w:val="004922A2"/>
    <w:rsid w:val="0049237A"/>
    <w:rsid w:val="004923E3"/>
    <w:rsid w:val="00492434"/>
    <w:rsid w:val="00492557"/>
    <w:rsid w:val="0049261E"/>
    <w:rsid w:val="004926C8"/>
    <w:rsid w:val="00492705"/>
    <w:rsid w:val="00492790"/>
    <w:rsid w:val="004928BB"/>
    <w:rsid w:val="004929CB"/>
    <w:rsid w:val="00492A73"/>
    <w:rsid w:val="00492B6E"/>
    <w:rsid w:val="00492C1C"/>
    <w:rsid w:val="00492C90"/>
    <w:rsid w:val="00492DF8"/>
    <w:rsid w:val="00492E1B"/>
    <w:rsid w:val="00492E48"/>
    <w:rsid w:val="00492E5A"/>
    <w:rsid w:val="00492F65"/>
    <w:rsid w:val="00492FD8"/>
    <w:rsid w:val="004930C7"/>
    <w:rsid w:val="0049317C"/>
    <w:rsid w:val="004931F3"/>
    <w:rsid w:val="004931F7"/>
    <w:rsid w:val="0049325F"/>
    <w:rsid w:val="0049327E"/>
    <w:rsid w:val="004932B7"/>
    <w:rsid w:val="004932C1"/>
    <w:rsid w:val="00493304"/>
    <w:rsid w:val="0049348A"/>
    <w:rsid w:val="00493A04"/>
    <w:rsid w:val="00493A0E"/>
    <w:rsid w:val="00493AEF"/>
    <w:rsid w:val="00493AF0"/>
    <w:rsid w:val="00493B55"/>
    <w:rsid w:val="00493B8F"/>
    <w:rsid w:val="00493C3F"/>
    <w:rsid w:val="00493D18"/>
    <w:rsid w:val="00493D8C"/>
    <w:rsid w:val="00493E90"/>
    <w:rsid w:val="00493F5E"/>
    <w:rsid w:val="00494083"/>
    <w:rsid w:val="0049423A"/>
    <w:rsid w:val="00494472"/>
    <w:rsid w:val="0049447B"/>
    <w:rsid w:val="00494703"/>
    <w:rsid w:val="0049472B"/>
    <w:rsid w:val="00494753"/>
    <w:rsid w:val="004947CA"/>
    <w:rsid w:val="0049481F"/>
    <w:rsid w:val="00494853"/>
    <w:rsid w:val="00494907"/>
    <w:rsid w:val="004949F9"/>
    <w:rsid w:val="00494A5B"/>
    <w:rsid w:val="00494CC4"/>
    <w:rsid w:val="00494DF8"/>
    <w:rsid w:val="00494E1B"/>
    <w:rsid w:val="00494EEE"/>
    <w:rsid w:val="00495150"/>
    <w:rsid w:val="004952EF"/>
    <w:rsid w:val="00495361"/>
    <w:rsid w:val="00495426"/>
    <w:rsid w:val="00495466"/>
    <w:rsid w:val="00495506"/>
    <w:rsid w:val="00495603"/>
    <w:rsid w:val="0049563B"/>
    <w:rsid w:val="004956DE"/>
    <w:rsid w:val="004957C6"/>
    <w:rsid w:val="004958F0"/>
    <w:rsid w:val="00495975"/>
    <w:rsid w:val="00495977"/>
    <w:rsid w:val="00495B9A"/>
    <w:rsid w:val="00495C61"/>
    <w:rsid w:val="00495CED"/>
    <w:rsid w:val="00495D6D"/>
    <w:rsid w:val="00495E28"/>
    <w:rsid w:val="004961D6"/>
    <w:rsid w:val="0049623E"/>
    <w:rsid w:val="00496257"/>
    <w:rsid w:val="004962F6"/>
    <w:rsid w:val="004963B3"/>
    <w:rsid w:val="004963C1"/>
    <w:rsid w:val="0049641F"/>
    <w:rsid w:val="00496565"/>
    <w:rsid w:val="004965D0"/>
    <w:rsid w:val="004968F4"/>
    <w:rsid w:val="00496B78"/>
    <w:rsid w:val="00496BC0"/>
    <w:rsid w:val="00497074"/>
    <w:rsid w:val="00497266"/>
    <w:rsid w:val="00497270"/>
    <w:rsid w:val="00497285"/>
    <w:rsid w:val="0049737E"/>
    <w:rsid w:val="0049748A"/>
    <w:rsid w:val="004974BA"/>
    <w:rsid w:val="004974EF"/>
    <w:rsid w:val="004975E7"/>
    <w:rsid w:val="004977D4"/>
    <w:rsid w:val="004978B6"/>
    <w:rsid w:val="004978E0"/>
    <w:rsid w:val="00497A29"/>
    <w:rsid w:val="00497A44"/>
    <w:rsid w:val="00497ACA"/>
    <w:rsid w:val="00497ACD"/>
    <w:rsid w:val="00497BAE"/>
    <w:rsid w:val="00497BB6"/>
    <w:rsid w:val="00497C29"/>
    <w:rsid w:val="00497D30"/>
    <w:rsid w:val="00497E33"/>
    <w:rsid w:val="00497EB8"/>
    <w:rsid w:val="004A00A6"/>
    <w:rsid w:val="004A0182"/>
    <w:rsid w:val="004A01A5"/>
    <w:rsid w:val="004A026B"/>
    <w:rsid w:val="004A0285"/>
    <w:rsid w:val="004A04C3"/>
    <w:rsid w:val="004A05EC"/>
    <w:rsid w:val="004A0604"/>
    <w:rsid w:val="004A073F"/>
    <w:rsid w:val="004A087C"/>
    <w:rsid w:val="004A0966"/>
    <w:rsid w:val="004A097A"/>
    <w:rsid w:val="004A0A23"/>
    <w:rsid w:val="004A0A66"/>
    <w:rsid w:val="004A0A6B"/>
    <w:rsid w:val="004A0B4B"/>
    <w:rsid w:val="004A0CAA"/>
    <w:rsid w:val="004A0CC9"/>
    <w:rsid w:val="004A0CF1"/>
    <w:rsid w:val="004A0F03"/>
    <w:rsid w:val="004A1021"/>
    <w:rsid w:val="004A10AC"/>
    <w:rsid w:val="004A1150"/>
    <w:rsid w:val="004A118D"/>
    <w:rsid w:val="004A1206"/>
    <w:rsid w:val="004A1231"/>
    <w:rsid w:val="004A1329"/>
    <w:rsid w:val="004A150A"/>
    <w:rsid w:val="004A15B0"/>
    <w:rsid w:val="004A15CD"/>
    <w:rsid w:val="004A15DD"/>
    <w:rsid w:val="004A1616"/>
    <w:rsid w:val="004A1844"/>
    <w:rsid w:val="004A198F"/>
    <w:rsid w:val="004A1AA7"/>
    <w:rsid w:val="004A1B91"/>
    <w:rsid w:val="004A1BA2"/>
    <w:rsid w:val="004A1BCB"/>
    <w:rsid w:val="004A1BFF"/>
    <w:rsid w:val="004A1D75"/>
    <w:rsid w:val="004A20C5"/>
    <w:rsid w:val="004A2167"/>
    <w:rsid w:val="004A22BF"/>
    <w:rsid w:val="004A2412"/>
    <w:rsid w:val="004A24F5"/>
    <w:rsid w:val="004A2613"/>
    <w:rsid w:val="004A263D"/>
    <w:rsid w:val="004A27A4"/>
    <w:rsid w:val="004A2882"/>
    <w:rsid w:val="004A2B7D"/>
    <w:rsid w:val="004A2B83"/>
    <w:rsid w:val="004A2BD0"/>
    <w:rsid w:val="004A2BF6"/>
    <w:rsid w:val="004A2C09"/>
    <w:rsid w:val="004A2C9B"/>
    <w:rsid w:val="004A2D88"/>
    <w:rsid w:val="004A2E4D"/>
    <w:rsid w:val="004A2F5A"/>
    <w:rsid w:val="004A2FED"/>
    <w:rsid w:val="004A3045"/>
    <w:rsid w:val="004A317F"/>
    <w:rsid w:val="004A32BC"/>
    <w:rsid w:val="004A3300"/>
    <w:rsid w:val="004A332C"/>
    <w:rsid w:val="004A337B"/>
    <w:rsid w:val="004A33F7"/>
    <w:rsid w:val="004A3413"/>
    <w:rsid w:val="004A3457"/>
    <w:rsid w:val="004A35AA"/>
    <w:rsid w:val="004A37F5"/>
    <w:rsid w:val="004A38D2"/>
    <w:rsid w:val="004A3A8D"/>
    <w:rsid w:val="004A3B86"/>
    <w:rsid w:val="004A3D0D"/>
    <w:rsid w:val="004A3E5D"/>
    <w:rsid w:val="004A40B4"/>
    <w:rsid w:val="004A4187"/>
    <w:rsid w:val="004A4273"/>
    <w:rsid w:val="004A4285"/>
    <w:rsid w:val="004A4349"/>
    <w:rsid w:val="004A444B"/>
    <w:rsid w:val="004A44BD"/>
    <w:rsid w:val="004A4628"/>
    <w:rsid w:val="004A4643"/>
    <w:rsid w:val="004A468C"/>
    <w:rsid w:val="004A469B"/>
    <w:rsid w:val="004A472F"/>
    <w:rsid w:val="004A47BF"/>
    <w:rsid w:val="004A484C"/>
    <w:rsid w:val="004A4850"/>
    <w:rsid w:val="004A489C"/>
    <w:rsid w:val="004A492E"/>
    <w:rsid w:val="004A494D"/>
    <w:rsid w:val="004A49C1"/>
    <w:rsid w:val="004A4AFD"/>
    <w:rsid w:val="004A4C54"/>
    <w:rsid w:val="004A4CDC"/>
    <w:rsid w:val="004A4CF5"/>
    <w:rsid w:val="004A4FF1"/>
    <w:rsid w:val="004A506D"/>
    <w:rsid w:val="004A52A9"/>
    <w:rsid w:val="004A532B"/>
    <w:rsid w:val="004A5441"/>
    <w:rsid w:val="004A5526"/>
    <w:rsid w:val="004A5568"/>
    <w:rsid w:val="004A55B3"/>
    <w:rsid w:val="004A5686"/>
    <w:rsid w:val="004A568E"/>
    <w:rsid w:val="004A5698"/>
    <w:rsid w:val="004A573C"/>
    <w:rsid w:val="004A5908"/>
    <w:rsid w:val="004A595B"/>
    <w:rsid w:val="004A5A76"/>
    <w:rsid w:val="004A5AA2"/>
    <w:rsid w:val="004A5AE9"/>
    <w:rsid w:val="004A5B91"/>
    <w:rsid w:val="004A5C91"/>
    <w:rsid w:val="004A5D44"/>
    <w:rsid w:val="004A5D5A"/>
    <w:rsid w:val="004A5E10"/>
    <w:rsid w:val="004A5E19"/>
    <w:rsid w:val="004A5FEA"/>
    <w:rsid w:val="004A5FED"/>
    <w:rsid w:val="004A602B"/>
    <w:rsid w:val="004A6085"/>
    <w:rsid w:val="004A61E0"/>
    <w:rsid w:val="004A6296"/>
    <w:rsid w:val="004A632D"/>
    <w:rsid w:val="004A64AA"/>
    <w:rsid w:val="004A6561"/>
    <w:rsid w:val="004A6582"/>
    <w:rsid w:val="004A6584"/>
    <w:rsid w:val="004A679F"/>
    <w:rsid w:val="004A6B2D"/>
    <w:rsid w:val="004A6BB5"/>
    <w:rsid w:val="004A6BBA"/>
    <w:rsid w:val="004A6E7D"/>
    <w:rsid w:val="004A6EBE"/>
    <w:rsid w:val="004A6F77"/>
    <w:rsid w:val="004A7049"/>
    <w:rsid w:val="004A7276"/>
    <w:rsid w:val="004A732D"/>
    <w:rsid w:val="004A739E"/>
    <w:rsid w:val="004A75E7"/>
    <w:rsid w:val="004A7644"/>
    <w:rsid w:val="004A766C"/>
    <w:rsid w:val="004A76BA"/>
    <w:rsid w:val="004A7701"/>
    <w:rsid w:val="004A77F3"/>
    <w:rsid w:val="004A781D"/>
    <w:rsid w:val="004A78A9"/>
    <w:rsid w:val="004A79E1"/>
    <w:rsid w:val="004A7B6C"/>
    <w:rsid w:val="004A7BB4"/>
    <w:rsid w:val="004A7D46"/>
    <w:rsid w:val="004A7D51"/>
    <w:rsid w:val="004A7D6F"/>
    <w:rsid w:val="004A7E6B"/>
    <w:rsid w:val="004B0250"/>
    <w:rsid w:val="004B0305"/>
    <w:rsid w:val="004B03C6"/>
    <w:rsid w:val="004B03D7"/>
    <w:rsid w:val="004B09B7"/>
    <w:rsid w:val="004B0A7D"/>
    <w:rsid w:val="004B0BB1"/>
    <w:rsid w:val="004B0C1C"/>
    <w:rsid w:val="004B0C54"/>
    <w:rsid w:val="004B0C87"/>
    <w:rsid w:val="004B0CA4"/>
    <w:rsid w:val="004B0E41"/>
    <w:rsid w:val="004B0EDA"/>
    <w:rsid w:val="004B0FA2"/>
    <w:rsid w:val="004B1007"/>
    <w:rsid w:val="004B10F8"/>
    <w:rsid w:val="004B1139"/>
    <w:rsid w:val="004B11A1"/>
    <w:rsid w:val="004B11B5"/>
    <w:rsid w:val="004B11F2"/>
    <w:rsid w:val="004B1291"/>
    <w:rsid w:val="004B12F9"/>
    <w:rsid w:val="004B132E"/>
    <w:rsid w:val="004B154E"/>
    <w:rsid w:val="004B1626"/>
    <w:rsid w:val="004B174E"/>
    <w:rsid w:val="004B17B5"/>
    <w:rsid w:val="004B1959"/>
    <w:rsid w:val="004B1A61"/>
    <w:rsid w:val="004B1AD7"/>
    <w:rsid w:val="004B1AF1"/>
    <w:rsid w:val="004B1B7D"/>
    <w:rsid w:val="004B1C9B"/>
    <w:rsid w:val="004B1E50"/>
    <w:rsid w:val="004B1E78"/>
    <w:rsid w:val="004B1F27"/>
    <w:rsid w:val="004B2039"/>
    <w:rsid w:val="004B2295"/>
    <w:rsid w:val="004B22B7"/>
    <w:rsid w:val="004B23B7"/>
    <w:rsid w:val="004B2482"/>
    <w:rsid w:val="004B24BB"/>
    <w:rsid w:val="004B2532"/>
    <w:rsid w:val="004B25D4"/>
    <w:rsid w:val="004B262F"/>
    <w:rsid w:val="004B2802"/>
    <w:rsid w:val="004B289E"/>
    <w:rsid w:val="004B2952"/>
    <w:rsid w:val="004B298D"/>
    <w:rsid w:val="004B2AFE"/>
    <w:rsid w:val="004B2BB6"/>
    <w:rsid w:val="004B2CDE"/>
    <w:rsid w:val="004B2CEE"/>
    <w:rsid w:val="004B2D7B"/>
    <w:rsid w:val="004B2DAA"/>
    <w:rsid w:val="004B2E57"/>
    <w:rsid w:val="004B2E92"/>
    <w:rsid w:val="004B3085"/>
    <w:rsid w:val="004B30C9"/>
    <w:rsid w:val="004B30F7"/>
    <w:rsid w:val="004B31FC"/>
    <w:rsid w:val="004B32CF"/>
    <w:rsid w:val="004B3371"/>
    <w:rsid w:val="004B339D"/>
    <w:rsid w:val="004B340D"/>
    <w:rsid w:val="004B3429"/>
    <w:rsid w:val="004B347F"/>
    <w:rsid w:val="004B350A"/>
    <w:rsid w:val="004B3527"/>
    <w:rsid w:val="004B355F"/>
    <w:rsid w:val="004B3652"/>
    <w:rsid w:val="004B3715"/>
    <w:rsid w:val="004B37BD"/>
    <w:rsid w:val="004B39E7"/>
    <w:rsid w:val="004B3A35"/>
    <w:rsid w:val="004B3AF7"/>
    <w:rsid w:val="004B3B85"/>
    <w:rsid w:val="004B3CB1"/>
    <w:rsid w:val="004B3CD1"/>
    <w:rsid w:val="004B3D3D"/>
    <w:rsid w:val="004B3D48"/>
    <w:rsid w:val="004B3F1F"/>
    <w:rsid w:val="004B400C"/>
    <w:rsid w:val="004B403F"/>
    <w:rsid w:val="004B4083"/>
    <w:rsid w:val="004B409B"/>
    <w:rsid w:val="004B40E6"/>
    <w:rsid w:val="004B4141"/>
    <w:rsid w:val="004B4143"/>
    <w:rsid w:val="004B4184"/>
    <w:rsid w:val="004B444B"/>
    <w:rsid w:val="004B4499"/>
    <w:rsid w:val="004B44E4"/>
    <w:rsid w:val="004B45DF"/>
    <w:rsid w:val="004B4615"/>
    <w:rsid w:val="004B47AE"/>
    <w:rsid w:val="004B4838"/>
    <w:rsid w:val="004B4968"/>
    <w:rsid w:val="004B4A0F"/>
    <w:rsid w:val="004B4AAD"/>
    <w:rsid w:val="004B4BD6"/>
    <w:rsid w:val="004B4C98"/>
    <w:rsid w:val="004B4CFF"/>
    <w:rsid w:val="004B4D26"/>
    <w:rsid w:val="004B4D93"/>
    <w:rsid w:val="004B4E79"/>
    <w:rsid w:val="004B503B"/>
    <w:rsid w:val="004B508E"/>
    <w:rsid w:val="004B5160"/>
    <w:rsid w:val="004B51B6"/>
    <w:rsid w:val="004B51BF"/>
    <w:rsid w:val="004B5204"/>
    <w:rsid w:val="004B52B6"/>
    <w:rsid w:val="004B52CF"/>
    <w:rsid w:val="004B535B"/>
    <w:rsid w:val="004B552D"/>
    <w:rsid w:val="004B557F"/>
    <w:rsid w:val="004B564D"/>
    <w:rsid w:val="004B57AD"/>
    <w:rsid w:val="004B5895"/>
    <w:rsid w:val="004B59ED"/>
    <w:rsid w:val="004B5A50"/>
    <w:rsid w:val="004B5AD6"/>
    <w:rsid w:val="004B5B40"/>
    <w:rsid w:val="004B5BA1"/>
    <w:rsid w:val="004B5D70"/>
    <w:rsid w:val="004B5DA0"/>
    <w:rsid w:val="004B5F06"/>
    <w:rsid w:val="004B5F6C"/>
    <w:rsid w:val="004B6008"/>
    <w:rsid w:val="004B601D"/>
    <w:rsid w:val="004B6104"/>
    <w:rsid w:val="004B6185"/>
    <w:rsid w:val="004B62A0"/>
    <w:rsid w:val="004B62C2"/>
    <w:rsid w:val="004B6323"/>
    <w:rsid w:val="004B64E5"/>
    <w:rsid w:val="004B655D"/>
    <w:rsid w:val="004B6601"/>
    <w:rsid w:val="004B661C"/>
    <w:rsid w:val="004B67A1"/>
    <w:rsid w:val="004B6878"/>
    <w:rsid w:val="004B69BA"/>
    <w:rsid w:val="004B6A21"/>
    <w:rsid w:val="004B6A6B"/>
    <w:rsid w:val="004B6A90"/>
    <w:rsid w:val="004B6CDA"/>
    <w:rsid w:val="004B6D95"/>
    <w:rsid w:val="004B6E5F"/>
    <w:rsid w:val="004B6E7D"/>
    <w:rsid w:val="004B703D"/>
    <w:rsid w:val="004B7197"/>
    <w:rsid w:val="004B721A"/>
    <w:rsid w:val="004B7379"/>
    <w:rsid w:val="004B73CB"/>
    <w:rsid w:val="004B7533"/>
    <w:rsid w:val="004B75FF"/>
    <w:rsid w:val="004B76C3"/>
    <w:rsid w:val="004B7772"/>
    <w:rsid w:val="004B7877"/>
    <w:rsid w:val="004B78CB"/>
    <w:rsid w:val="004B797D"/>
    <w:rsid w:val="004B7989"/>
    <w:rsid w:val="004B7BD4"/>
    <w:rsid w:val="004B7CB4"/>
    <w:rsid w:val="004B7CBA"/>
    <w:rsid w:val="004B7DBD"/>
    <w:rsid w:val="004B7DD9"/>
    <w:rsid w:val="004B7E2B"/>
    <w:rsid w:val="004B7E33"/>
    <w:rsid w:val="004B7F5A"/>
    <w:rsid w:val="004B7F80"/>
    <w:rsid w:val="004B7F8A"/>
    <w:rsid w:val="004B7F8F"/>
    <w:rsid w:val="004C00D8"/>
    <w:rsid w:val="004C02B3"/>
    <w:rsid w:val="004C0336"/>
    <w:rsid w:val="004C0631"/>
    <w:rsid w:val="004C0821"/>
    <w:rsid w:val="004C0973"/>
    <w:rsid w:val="004C0C5E"/>
    <w:rsid w:val="004C0CFD"/>
    <w:rsid w:val="004C0D84"/>
    <w:rsid w:val="004C0D8F"/>
    <w:rsid w:val="004C0F7F"/>
    <w:rsid w:val="004C1133"/>
    <w:rsid w:val="004C14C1"/>
    <w:rsid w:val="004C14F9"/>
    <w:rsid w:val="004C1683"/>
    <w:rsid w:val="004C175B"/>
    <w:rsid w:val="004C17C0"/>
    <w:rsid w:val="004C17C1"/>
    <w:rsid w:val="004C1974"/>
    <w:rsid w:val="004C19B4"/>
    <w:rsid w:val="004C19ED"/>
    <w:rsid w:val="004C1A40"/>
    <w:rsid w:val="004C1B17"/>
    <w:rsid w:val="004C1B44"/>
    <w:rsid w:val="004C1C48"/>
    <w:rsid w:val="004C1C53"/>
    <w:rsid w:val="004C1D5F"/>
    <w:rsid w:val="004C1D6A"/>
    <w:rsid w:val="004C1D71"/>
    <w:rsid w:val="004C1EAE"/>
    <w:rsid w:val="004C1ECD"/>
    <w:rsid w:val="004C1F69"/>
    <w:rsid w:val="004C1FC8"/>
    <w:rsid w:val="004C1FDA"/>
    <w:rsid w:val="004C23D2"/>
    <w:rsid w:val="004C2500"/>
    <w:rsid w:val="004C2792"/>
    <w:rsid w:val="004C28D6"/>
    <w:rsid w:val="004C290B"/>
    <w:rsid w:val="004C2927"/>
    <w:rsid w:val="004C2A55"/>
    <w:rsid w:val="004C2B43"/>
    <w:rsid w:val="004C2B7A"/>
    <w:rsid w:val="004C2CB3"/>
    <w:rsid w:val="004C2CDF"/>
    <w:rsid w:val="004C2E00"/>
    <w:rsid w:val="004C2EEB"/>
    <w:rsid w:val="004C2F58"/>
    <w:rsid w:val="004C2FC7"/>
    <w:rsid w:val="004C3030"/>
    <w:rsid w:val="004C3065"/>
    <w:rsid w:val="004C3115"/>
    <w:rsid w:val="004C319D"/>
    <w:rsid w:val="004C327B"/>
    <w:rsid w:val="004C33E7"/>
    <w:rsid w:val="004C3573"/>
    <w:rsid w:val="004C3626"/>
    <w:rsid w:val="004C36AC"/>
    <w:rsid w:val="004C38AC"/>
    <w:rsid w:val="004C38D5"/>
    <w:rsid w:val="004C397F"/>
    <w:rsid w:val="004C3A67"/>
    <w:rsid w:val="004C3B7A"/>
    <w:rsid w:val="004C3E38"/>
    <w:rsid w:val="004C3ECC"/>
    <w:rsid w:val="004C3F35"/>
    <w:rsid w:val="004C41C9"/>
    <w:rsid w:val="004C41F7"/>
    <w:rsid w:val="004C41FB"/>
    <w:rsid w:val="004C426D"/>
    <w:rsid w:val="004C4288"/>
    <w:rsid w:val="004C4376"/>
    <w:rsid w:val="004C4528"/>
    <w:rsid w:val="004C4535"/>
    <w:rsid w:val="004C453E"/>
    <w:rsid w:val="004C4558"/>
    <w:rsid w:val="004C4651"/>
    <w:rsid w:val="004C46A7"/>
    <w:rsid w:val="004C4789"/>
    <w:rsid w:val="004C48F4"/>
    <w:rsid w:val="004C4ABC"/>
    <w:rsid w:val="004C4B5F"/>
    <w:rsid w:val="004C4BB0"/>
    <w:rsid w:val="004C4C0E"/>
    <w:rsid w:val="004C4E05"/>
    <w:rsid w:val="004C4E8C"/>
    <w:rsid w:val="004C4F88"/>
    <w:rsid w:val="004C5060"/>
    <w:rsid w:val="004C50B2"/>
    <w:rsid w:val="004C511E"/>
    <w:rsid w:val="004C5123"/>
    <w:rsid w:val="004C514E"/>
    <w:rsid w:val="004C51EF"/>
    <w:rsid w:val="004C547D"/>
    <w:rsid w:val="004C548D"/>
    <w:rsid w:val="004C54E5"/>
    <w:rsid w:val="004C55B8"/>
    <w:rsid w:val="004C55BA"/>
    <w:rsid w:val="004C55C6"/>
    <w:rsid w:val="004C56FF"/>
    <w:rsid w:val="004C5737"/>
    <w:rsid w:val="004C574F"/>
    <w:rsid w:val="004C58A2"/>
    <w:rsid w:val="004C58E4"/>
    <w:rsid w:val="004C59D6"/>
    <w:rsid w:val="004C5A6D"/>
    <w:rsid w:val="004C5A6E"/>
    <w:rsid w:val="004C5B8C"/>
    <w:rsid w:val="004C5C21"/>
    <w:rsid w:val="004C5E25"/>
    <w:rsid w:val="004C5E57"/>
    <w:rsid w:val="004C5F0C"/>
    <w:rsid w:val="004C6007"/>
    <w:rsid w:val="004C601D"/>
    <w:rsid w:val="004C608C"/>
    <w:rsid w:val="004C6186"/>
    <w:rsid w:val="004C622C"/>
    <w:rsid w:val="004C624F"/>
    <w:rsid w:val="004C6277"/>
    <w:rsid w:val="004C6317"/>
    <w:rsid w:val="004C6356"/>
    <w:rsid w:val="004C63CD"/>
    <w:rsid w:val="004C652F"/>
    <w:rsid w:val="004C66F6"/>
    <w:rsid w:val="004C686D"/>
    <w:rsid w:val="004C6A6E"/>
    <w:rsid w:val="004C6BC1"/>
    <w:rsid w:val="004C6CE2"/>
    <w:rsid w:val="004C6D02"/>
    <w:rsid w:val="004C6D1A"/>
    <w:rsid w:val="004C6D39"/>
    <w:rsid w:val="004C6E46"/>
    <w:rsid w:val="004C6FA6"/>
    <w:rsid w:val="004C6FA9"/>
    <w:rsid w:val="004C706E"/>
    <w:rsid w:val="004C70A4"/>
    <w:rsid w:val="004C70E5"/>
    <w:rsid w:val="004C70E9"/>
    <w:rsid w:val="004C72E6"/>
    <w:rsid w:val="004C73CE"/>
    <w:rsid w:val="004C7466"/>
    <w:rsid w:val="004C7637"/>
    <w:rsid w:val="004C79CD"/>
    <w:rsid w:val="004C7AFE"/>
    <w:rsid w:val="004C7BEE"/>
    <w:rsid w:val="004C7D13"/>
    <w:rsid w:val="004C7E03"/>
    <w:rsid w:val="004C7E2B"/>
    <w:rsid w:val="004C7E91"/>
    <w:rsid w:val="004C7EF2"/>
    <w:rsid w:val="004C7F70"/>
    <w:rsid w:val="004D0067"/>
    <w:rsid w:val="004D00BA"/>
    <w:rsid w:val="004D01B0"/>
    <w:rsid w:val="004D0287"/>
    <w:rsid w:val="004D02AC"/>
    <w:rsid w:val="004D0303"/>
    <w:rsid w:val="004D034B"/>
    <w:rsid w:val="004D03F0"/>
    <w:rsid w:val="004D0490"/>
    <w:rsid w:val="004D04DD"/>
    <w:rsid w:val="004D0520"/>
    <w:rsid w:val="004D05C9"/>
    <w:rsid w:val="004D05F4"/>
    <w:rsid w:val="004D066D"/>
    <w:rsid w:val="004D06ED"/>
    <w:rsid w:val="004D06FA"/>
    <w:rsid w:val="004D073B"/>
    <w:rsid w:val="004D07AD"/>
    <w:rsid w:val="004D08AE"/>
    <w:rsid w:val="004D093E"/>
    <w:rsid w:val="004D0B82"/>
    <w:rsid w:val="004D0BEE"/>
    <w:rsid w:val="004D0D09"/>
    <w:rsid w:val="004D0E94"/>
    <w:rsid w:val="004D0E9B"/>
    <w:rsid w:val="004D0FF8"/>
    <w:rsid w:val="004D1025"/>
    <w:rsid w:val="004D11D2"/>
    <w:rsid w:val="004D1200"/>
    <w:rsid w:val="004D1214"/>
    <w:rsid w:val="004D1358"/>
    <w:rsid w:val="004D1594"/>
    <w:rsid w:val="004D1701"/>
    <w:rsid w:val="004D1741"/>
    <w:rsid w:val="004D1748"/>
    <w:rsid w:val="004D1769"/>
    <w:rsid w:val="004D177B"/>
    <w:rsid w:val="004D178D"/>
    <w:rsid w:val="004D17E0"/>
    <w:rsid w:val="004D18F7"/>
    <w:rsid w:val="004D1947"/>
    <w:rsid w:val="004D1B79"/>
    <w:rsid w:val="004D1D98"/>
    <w:rsid w:val="004D1F5B"/>
    <w:rsid w:val="004D20DD"/>
    <w:rsid w:val="004D212D"/>
    <w:rsid w:val="004D25DF"/>
    <w:rsid w:val="004D2643"/>
    <w:rsid w:val="004D267A"/>
    <w:rsid w:val="004D26B9"/>
    <w:rsid w:val="004D2718"/>
    <w:rsid w:val="004D2763"/>
    <w:rsid w:val="004D2801"/>
    <w:rsid w:val="004D284C"/>
    <w:rsid w:val="004D28BB"/>
    <w:rsid w:val="004D290C"/>
    <w:rsid w:val="004D2931"/>
    <w:rsid w:val="004D2AA4"/>
    <w:rsid w:val="004D2B0F"/>
    <w:rsid w:val="004D2C47"/>
    <w:rsid w:val="004D2E4D"/>
    <w:rsid w:val="004D2ECF"/>
    <w:rsid w:val="004D30D9"/>
    <w:rsid w:val="004D3238"/>
    <w:rsid w:val="004D3403"/>
    <w:rsid w:val="004D34BB"/>
    <w:rsid w:val="004D34CE"/>
    <w:rsid w:val="004D35DE"/>
    <w:rsid w:val="004D35EC"/>
    <w:rsid w:val="004D370F"/>
    <w:rsid w:val="004D3799"/>
    <w:rsid w:val="004D37CE"/>
    <w:rsid w:val="004D3939"/>
    <w:rsid w:val="004D397E"/>
    <w:rsid w:val="004D398F"/>
    <w:rsid w:val="004D39D5"/>
    <w:rsid w:val="004D3B54"/>
    <w:rsid w:val="004D3C2F"/>
    <w:rsid w:val="004D3C70"/>
    <w:rsid w:val="004D3DB9"/>
    <w:rsid w:val="004D3DD9"/>
    <w:rsid w:val="004D3F31"/>
    <w:rsid w:val="004D4016"/>
    <w:rsid w:val="004D406D"/>
    <w:rsid w:val="004D40B1"/>
    <w:rsid w:val="004D412C"/>
    <w:rsid w:val="004D41A7"/>
    <w:rsid w:val="004D43A8"/>
    <w:rsid w:val="004D45A3"/>
    <w:rsid w:val="004D46E3"/>
    <w:rsid w:val="004D47E8"/>
    <w:rsid w:val="004D484F"/>
    <w:rsid w:val="004D486C"/>
    <w:rsid w:val="004D4896"/>
    <w:rsid w:val="004D4A4D"/>
    <w:rsid w:val="004D4B1F"/>
    <w:rsid w:val="004D4B33"/>
    <w:rsid w:val="004D4C71"/>
    <w:rsid w:val="004D4CD9"/>
    <w:rsid w:val="004D4DF7"/>
    <w:rsid w:val="004D4E43"/>
    <w:rsid w:val="004D4E50"/>
    <w:rsid w:val="004D4E98"/>
    <w:rsid w:val="004D4F39"/>
    <w:rsid w:val="004D5022"/>
    <w:rsid w:val="004D50FB"/>
    <w:rsid w:val="004D52C6"/>
    <w:rsid w:val="004D53B5"/>
    <w:rsid w:val="004D53C0"/>
    <w:rsid w:val="004D5405"/>
    <w:rsid w:val="004D5436"/>
    <w:rsid w:val="004D5465"/>
    <w:rsid w:val="004D54CF"/>
    <w:rsid w:val="004D54D8"/>
    <w:rsid w:val="004D562E"/>
    <w:rsid w:val="004D5767"/>
    <w:rsid w:val="004D5847"/>
    <w:rsid w:val="004D58A4"/>
    <w:rsid w:val="004D5A7A"/>
    <w:rsid w:val="004D5A88"/>
    <w:rsid w:val="004D5B18"/>
    <w:rsid w:val="004D5B2A"/>
    <w:rsid w:val="004D5B2B"/>
    <w:rsid w:val="004D5B91"/>
    <w:rsid w:val="004D5C63"/>
    <w:rsid w:val="004D5CD1"/>
    <w:rsid w:val="004D5DB4"/>
    <w:rsid w:val="004D5DE7"/>
    <w:rsid w:val="004D5E5C"/>
    <w:rsid w:val="004D5EA5"/>
    <w:rsid w:val="004D5ED1"/>
    <w:rsid w:val="004D5F05"/>
    <w:rsid w:val="004D5F1F"/>
    <w:rsid w:val="004D6008"/>
    <w:rsid w:val="004D6050"/>
    <w:rsid w:val="004D60B8"/>
    <w:rsid w:val="004D6108"/>
    <w:rsid w:val="004D6123"/>
    <w:rsid w:val="004D61C8"/>
    <w:rsid w:val="004D61F5"/>
    <w:rsid w:val="004D6287"/>
    <w:rsid w:val="004D6361"/>
    <w:rsid w:val="004D6377"/>
    <w:rsid w:val="004D65CA"/>
    <w:rsid w:val="004D6690"/>
    <w:rsid w:val="004D66DB"/>
    <w:rsid w:val="004D671D"/>
    <w:rsid w:val="004D6928"/>
    <w:rsid w:val="004D6956"/>
    <w:rsid w:val="004D69E5"/>
    <w:rsid w:val="004D6AB5"/>
    <w:rsid w:val="004D6AC5"/>
    <w:rsid w:val="004D6BCB"/>
    <w:rsid w:val="004D6BD2"/>
    <w:rsid w:val="004D6CD2"/>
    <w:rsid w:val="004D6D9D"/>
    <w:rsid w:val="004D6E2D"/>
    <w:rsid w:val="004D6E8C"/>
    <w:rsid w:val="004D6EA4"/>
    <w:rsid w:val="004D6EC4"/>
    <w:rsid w:val="004D700F"/>
    <w:rsid w:val="004D7010"/>
    <w:rsid w:val="004D7028"/>
    <w:rsid w:val="004D70A8"/>
    <w:rsid w:val="004D726C"/>
    <w:rsid w:val="004D7334"/>
    <w:rsid w:val="004D73F0"/>
    <w:rsid w:val="004D743C"/>
    <w:rsid w:val="004D744B"/>
    <w:rsid w:val="004D74F7"/>
    <w:rsid w:val="004D75E3"/>
    <w:rsid w:val="004D7754"/>
    <w:rsid w:val="004D77B3"/>
    <w:rsid w:val="004D7837"/>
    <w:rsid w:val="004D7869"/>
    <w:rsid w:val="004D789E"/>
    <w:rsid w:val="004D790C"/>
    <w:rsid w:val="004D7B38"/>
    <w:rsid w:val="004D7B7B"/>
    <w:rsid w:val="004D7CDB"/>
    <w:rsid w:val="004D7E16"/>
    <w:rsid w:val="004D7FE1"/>
    <w:rsid w:val="004D7FEA"/>
    <w:rsid w:val="004E0147"/>
    <w:rsid w:val="004E02EC"/>
    <w:rsid w:val="004E04B6"/>
    <w:rsid w:val="004E055F"/>
    <w:rsid w:val="004E062B"/>
    <w:rsid w:val="004E0633"/>
    <w:rsid w:val="004E069F"/>
    <w:rsid w:val="004E070A"/>
    <w:rsid w:val="004E0734"/>
    <w:rsid w:val="004E0784"/>
    <w:rsid w:val="004E084E"/>
    <w:rsid w:val="004E0870"/>
    <w:rsid w:val="004E0905"/>
    <w:rsid w:val="004E0A11"/>
    <w:rsid w:val="004E0A16"/>
    <w:rsid w:val="004E0A6D"/>
    <w:rsid w:val="004E0A78"/>
    <w:rsid w:val="004E0A83"/>
    <w:rsid w:val="004E0BA6"/>
    <w:rsid w:val="004E0BED"/>
    <w:rsid w:val="004E0CF5"/>
    <w:rsid w:val="004E0D99"/>
    <w:rsid w:val="004E0E5E"/>
    <w:rsid w:val="004E0E87"/>
    <w:rsid w:val="004E0FCD"/>
    <w:rsid w:val="004E0FDF"/>
    <w:rsid w:val="004E1081"/>
    <w:rsid w:val="004E10F2"/>
    <w:rsid w:val="004E1179"/>
    <w:rsid w:val="004E1199"/>
    <w:rsid w:val="004E1335"/>
    <w:rsid w:val="004E138D"/>
    <w:rsid w:val="004E13ED"/>
    <w:rsid w:val="004E140A"/>
    <w:rsid w:val="004E1539"/>
    <w:rsid w:val="004E15CC"/>
    <w:rsid w:val="004E1886"/>
    <w:rsid w:val="004E1A6D"/>
    <w:rsid w:val="004E1AF2"/>
    <w:rsid w:val="004E1C4D"/>
    <w:rsid w:val="004E1C7F"/>
    <w:rsid w:val="004E1CD8"/>
    <w:rsid w:val="004E1D33"/>
    <w:rsid w:val="004E1DB1"/>
    <w:rsid w:val="004E1FB6"/>
    <w:rsid w:val="004E1FF1"/>
    <w:rsid w:val="004E2023"/>
    <w:rsid w:val="004E212C"/>
    <w:rsid w:val="004E21E6"/>
    <w:rsid w:val="004E21EB"/>
    <w:rsid w:val="004E2488"/>
    <w:rsid w:val="004E24C3"/>
    <w:rsid w:val="004E25BB"/>
    <w:rsid w:val="004E25F7"/>
    <w:rsid w:val="004E28AC"/>
    <w:rsid w:val="004E28FB"/>
    <w:rsid w:val="004E29A5"/>
    <w:rsid w:val="004E29A6"/>
    <w:rsid w:val="004E2A07"/>
    <w:rsid w:val="004E2A5E"/>
    <w:rsid w:val="004E2AAF"/>
    <w:rsid w:val="004E2B7B"/>
    <w:rsid w:val="004E2C41"/>
    <w:rsid w:val="004E2E02"/>
    <w:rsid w:val="004E2E08"/>
    <w:rsid w:val="004E2FFC"/>
    <w:rsid w:val="004E3005"/>
    <w:rsid w:val="004E302D"/>
    <w:rsid w:val="004E31B1"/>
    <w:rsid w:val="004E33E2"/>
    <w:rsid w:val="004E358D"/>
    <w:rsid w:val="004E37FE"/>
    <w:rsid w:val="004E386E"/>
    <w:rsid w:val="004E3880"/>
    <w:rsid w:val="004E39AF"/>
    <w:rsid w:val="004E39ED"/>
    <w:rsid w:val="004E3A68"/>
    <w:rsid w:val="004E3AB0"/>
    <w:rsid w:val="004E3B57"/>
    <w:rsid w:val="004E3BF5"/>
    <w:rsid w:val="004E3D05"/>
    <w:rsid w:val="004E3D81"/>
    <w:rsid w:val="004E3EA8"/>
    <w:rsid w:val="004E3EEC"/>
    <w:rsid w:val="004E425E"/>
    <w:rsid w:val="004E4332"/>
    <w:rsid w:val="004E4358"/>
    <w:rsid w:val="004E437D"/>
    <w:rsid w:val="004E44B3"/>
    <w:rsid w:val="004E4658"/>
    <w:rsid w:val="004E46DC"/>
    <w:rsid w:val="004E46E8"/>
    <w:rsid w:val="004E4739"/>
    <w:rsid w:val="004E47DD"/>
    <w:rsid w:val="004E47FE"/>
    <w:rsid w:val="004E4908"/>
    <w:rsid w:val="004E4950"/>
    <w:rsid w:val="004E499E"/>
    <w:rsid w:val="004E49C8"/>
    <w:rsid w:val="004E49D9"/>
    <w:rsid w:val="004E4C45"/>
    <w:rsid w:val="004E4CE9"/>
    <w:rsid w:val="004E4D20"/>
    <w:rsid w:val="004E4D73"/>
    <w:rsid w:val="004E4D98"/>
    <w:rsid w:val="004E4E45"/>
    <w:rsid w:val="004E5104"/>
    <w:rsid w:val="004E5297"/>
    <w:rsid w:val="004E545D"/>
    <w:rsid w:val="004E5538"/>
    <w:rsid w:val="004E57A2"/>
    <w:rsid w:val="004E5851"/>
    <w:rsid w:val="004E58EA"/>
    <w:rsid w:val="004E58FF"/>
    <w:rsid w:val="004E5B2E"/>
    <w:rsid w:val="004E5C82"/>
    <w:rsid w:val="004E5D17"/>
    <w:rsid w:val="004E5D54"/>
    <w:rsid w:val="004E5DCA"/>
    <w:rsid w:val="004E5F3A"/>
    <w:rsid w:val="004E5F49"/>
    <w:rsid w:val="004E5F5A"/>
    <w:rsid w:val="004E6054"/>
    <w:rsid w:val="004E6133"/>
    <w:rsid w:val="004E623A"/>
    <w:rsid w:val="004E6257"/>
    <w:rsid w:val="004E63D5"/>
    <w:rsid w:val="004E63F4"/>
    <w:rsid w:val="004E6754"/>
    <w:rsid w:val="004E67FB"/>
    <w:rsid w:val="004E685A"/>
    <w:rsid w:val="004E6979"/>
    <w:rsid w:val="004E6A5C"/>
    <w:rsid w:val="004E6ADA"/>
    <w:rsid w:val="004E6AEF"/>
    <w:rsid w:val="004E6B28"/>
    <w:rsid w:val="004E6D6A"/>
    <w:rsid w:val="004E6D8A"/>
    <w:rsid w:val="004E6DE6"/>
    <w:rsid w:val="004E6E08"/>
    <w:rsid w:val="004E6E89"/>
    <w:rsid w:val="004E6E93"/>
    <w:rsid w:val="004E6F65"/>
    <w:rsid w:val="004E6F7D"/>
    <w:rsid w:val="004E6FEB"/>
    <w:rsid w:val="004E708D"/>
    <w:rsid w:val="004E70FA"/>
    <w:rsid w:val="004E7132"/>
    <w:rsid w:val="004E7139"/>
    <w:rsid w:val="004E7147"/>
    <w:rsid w:val="004E7159"/>
    <w:rsid w:val="004E71C8"/>
    <w:rsid w:val="004E7366"/>
    <w:rsid w:val="004E73DD"/>
    <w:rsid w:val="004E7422"/>
    <w:rsid w:val="004E749C"/>
    <w:rsid w:val="004E749E"/>
    <w:rsid w:val="004E750F"/>
    <w:rsid w:val="004E75F2"/>
    <w:rsid w:val="004E774C"/>
    <w:rsid w:val="004E77F4"/>
    <w:rsid w:val="004E78AE"/>
    <w:rsid w:val="004E7915"/>
    <w:rsid w:val="004E7A6E"/>
    <w:rsid w:val="004E7ACE"/>
    <w:rsid w:val="004E7AEA"/>
    <w:rsid w:val="004E7B34"/>
    <w:rsid w:val="004E7CC8"/>
    <w:rsid w:val="004E7D8E"/>
    <w:rsid w:val="004E7E7A"/>
    <w:rsid w:val="004E7F96"/>
    <w:rsid w:val="004F023D"/>
    <w:rsid w:val="004F027E"/>
    <w:rsid w:val="004F02B1"/>
    <w:rsid w:val="004F032E"/>
    <w:rsid w:val="004F0377"/>
    <w:rsid w:val="004F03B8"/>
    <w:rsid w:val="004F041C"/>
    <w:rsid w:val="004F04C8"/>
    <w:rsid w:val="004F04F6"/>
    <w:rsid w:val="004F054F"/>
    <w:rsid w:val="004F0685"/>
    <w:rsid w:val="004F06B7"/>
    <w:rsid w:val="004F07E3"/>
    <w:rsid w:val="004F08B0"/>
    <w:rsid w:val="004F08EA"/>
    <w:rsid w:val="004F0B7A"/>
    <w:rsid w:val="004F0CE9"/>
    <w:rsid w:val="004F0F19"/>
    <w:rsid w:val="004F1015"/>
    <w:rsid w:val="004F10D1"/>
    <w:rsid w:val="004F11AF"/>
    <w:rsid w:val="004F1319"/>
    <w:rsid w:val="004F1355"/>
    <w:rsid w:val="004F1492"/>
    <w:rsid w:val="004F14E4"/>
    <w:rsid w:val="004F15F9"/>
    <w:rsid w:val="004F16CA"/>
    <w:rsid w:val="004F1782"/>
    <w:rsid w:val="004F18D2"/>
    <w:rsid w:val="004F193C"/>
    <w:rsid w:val="004F1AD3"/>
    <w:rsid w:val="004F1B43"/>
    <w:rsid w:val="004F1B73"/>
    <w:rsid w:val="004F1C6E"/>
    <w:rsid w:val="004F1C8F"/>
    <w:rsid w:val="004F1CED"/>
    <w:rsid w:val="004F1CFC"/>
    <w:rsid w:val="004F1DEC"/>
    <w:rsid w:val="004F1EFB"/>
    <w:rsid w:val="004F1F6E"/>
    <w:rsid w:val="004F2115"/>
    <w:rsid w:val="004F21BD"/>
    <w:rsid w:val="004F2599"/>
    <w:rsid w:val="004F265D"/>
    <w:rsid w:val="004F270F"/>
    <w:rsid w:val="004F2772"/>
    <w:rsid w:val="004F282B"/>
    <w:rsid w:val="004F2853"/>
    <w:rsid w:val="004F297B"/>
    <w:rsid w:val="004F2A1C"/>
    <w:rsid w:val="004F2B5C"/>
    <w:rsid w:val="004F2C02"/>
    <w:rsid w:val="004F2C63"/>
    <w:rsid w:val="004F2D5C"/>
    <w:rsid w:val="004F2EB2"/>
    <w:rsid w:val="004F2F33"/>
    <w:rsid w:val="004F3079"/>
    <w:rsid w:val="004F30BF"/>
    <w:rsid w:val="004F3332"/>
    <w:rsid w:val="004F33E1"/>
    <w:rsid w:val="004F354A"/>
    <w:rsid w:val="004F3709"/>
    <w:rsid w:val="004F3783"/>
    <w:rsid w:val="004F37CF"/>
    <w:rsid w:val="004F37DD"/>
    <w:rsid w:val="004F3822"/>
    <w:rsid w:val="004F3843"/>
    <w:rsid w:val="004F3872"/>
    <w:rsid w:val="004F38DA"/>
    <w:rsid w:val="004F38E2"/>
    <w:rsid w:val="004F38E9"/>
    <w:rsid w:val="004F3909"/>
    <w:rsid w:val="004F3B7E"/>
    <w:rsid w:val="004F3BF5"/>
    <w:rsid w:val="004F3C31"/>
    <w:rsid w:val="004F3CCF"/>
    <w:rsid w:val="004F3D81"/>
    <w:rsid w:val="004F3F55"/>
    <w:rsid w:val="004F3FCA"/>
    <w:rsid w:val="004F40D3"/>
    <w:rsid w:val="004F414B"/>
    <w:rsid w:val="004F41BB"/>
    <w:rsid w:val="004F41EF"/>
    <w:rsid w:val="004F45F3"/>
    <w:rsid w:val="004F46F1"/>
    <w:rsid w:val="004F4763"/>
    <w:rsid w:val="004F47A1"/>
    <w:rsid w:val="004F481D"/>
    <w:rsid w:val="004F4925"/>
    <w:rsid w:val="004F4C97"/>
    <w:rsid w:val="004F4CB0"/>
    <w:rsid w:val="004F4DCF"/>
    <w:rsid w:val="004F4EE6"/>
    <w:rsid w:val="004F4FEF"/>
    <w:rsid w:val="004F5031"/>
    <w:rsid w:val="004F5045"/>
    <w:rsid w:val="004F50B6"/>
    <w:rsid w:val="004F5166"/>
    <w:rsid w:val="004F5308"/>
    <w:rsid w:val="004F5344"/>
    <w:rsid w:val="004F5351"/>
    <w:rsid w:val="004F5599"/>
    <w:rsid w:val="004F55DA"/>
    <w:rsid w:val="004F56B1"/>
    <w:rsid w:val="004F5801"/>
    <w:rsid w:val="004F5839"/>
    <w:rsid w:val="004F58FB"/>
    <w:rsid w:val="004F5A39"/>
    <w:rsid w:val="004F5B9E"/>
    <w:rsid w:val="004F5CBA"/>
    <w:rsid w:val="004F5D30"/>
    <w:rsid w:val="004F5E39"/>
    <w:rsid w:val="004F5E85"/>
    <w:rsid w:val="004F605C"/>
    <w:rsid w:val="004F624C"/>
    <w:rsid w:val="004F6366"/>
    <w:rsid w:val="004F63F3"/>
    <w:rsid w:val="004F6414"/>
    <w:rsid w:val="004F6429"/>
    <w:rsid w:val="004F642C"/>
    <w:rsid w:val="004F6503"/>
    <w:rsid w:val="004F65BE"/>
    <w:rsid w:val="004F65D6"/>
    <w:rsid w:val="004F6630"/>
    <w:rsid w:val="004F664D"/>
    <w:rsid w:val="004F68E1"/>
    <w:rsid w:val="004F6A66"/>
    <w:rsid w:val="004F6A98"/>
    <w:rsid w:val="004F6B33"/>
    <w:rsid w:val="004F6C6E"/>
    <w:rsid w:val="004F6C92"/>
    <w:rsid w:val="004F6DE9"/>
    <w:rsid w:val="004F6F9A"/>
    <w:rsid w:val="004F6FD6"/>
    <w:rsid w:val="004F7058"/>
    <w:rsid w:val="004F70E8"/>
    <w:rsid w:val="004F711B"/>
    <w:rsid w:val="004F7139"/>
    <w:rsid w:val="004F71BF"/>
    <w:rsid w:val="004F720E"/>
    <w:rsid w:val="004F757F"/>
    <w:rsid w:val="004F75FC"/>
    <w:rsid w:val="004F77DF"/>
    <w:rsid w:val="004F77EE"/>
    <w:rsid w:val="004F791D"/>
    <w:rsid w:val="004F79A2"/>
    <w:rsid w:val="004F7AF1"/>
    <w:rsid w:val="004F7B0D"/>
    <w:rsid w:val="004F7BEB"/>
    <w:rsid w:val="004F7D73"/>
    <w:rsid w:val="004F7E88"/>
    <w:rsid w:val="004F7F76"/>
    <w:rsid w:val="004F7F9D"/>
    <w:rsid w:val="004F7FDB"/>
    <w:rsid w:val="0050005C"/>
    <w:rsid w:val="0050010A"/>
    <w:rsid w:val="00500194"/>
    <w:rsid w:val="0050039B"/>
    <w:rsid w:val="005003BB"/>
    <w:rsid w:val="00500564"/>
    <w:rsid w:val="00500609"/>
    <w:rsid w:val="00500645"/>
    <w:rsid w:val="005006B0"/>
    <w:rsid w:val="005006C2"/>
    <w:rsid w:val="0050070F"/>
    <w:rsid w:val="0050093B"/>
    <w:rsid w:val="005009ED"/>
    <w:rsid w:val="00500AC0"/>
    <w:rsid w:val="00500B0E"/>
    <w:rsid w:val="00500B37"/>
    <w:rsid w:val="00500C1A"/>
    <w:rsid w:val="00500E21"/>
    <w:rsid w:val="00500E5F"/>
    <w:rsid w:val="00500E77"/>
    <w:rsid w:val="00500EF4"/>
    <w:rsid w:val="00500FCF"/>
    <w:rsid w:val="00500FF8"/>
    <w:rsid w:val="0050119E"/>
    <w:rsid w:val="005011B8"/>
    <w:rsid w:val="005011FE"/>
    <w:rsid w:val="00501215"/>
    <w:rsid w:val="0050126A"/>
    <w:rsid w:val="0050140E"/>
    <w:rsid w:val="005014A9"/>
    <w:rsid w:val="005014C7"/>
    <w:rsid w:val="005014DE"/>
    <w:rsid w:val="005015C7"/>
    <w:rsid w:val="005016F0"/>
    <w:rsid w:val="00501703"/>
    <w:rsid w:val="00501774"/>
    <w:rsid w:val="00501976"/>
    <w:rsid w:val="00501996"/>
    <w:rsid w:val="005019B3"/>
    <w:rsid w:val="00501A0E"/>
    <w:rsid w:val="00501A75"/>
    <w:rsid w:val="00501A7D"/>
    <w:rsid w:val="00501AAB"/>
    <w:rsid w:val="00501B3D"/>
    <w:rsid w:val="00501C89"/>
    <w:rsid w:val="00501E2E"/>
    <w:rsid w:val="00501E52"/>
    <w:rsid w:val="00501EE3"/>
    <w:rsid w:val="00501FC2"/>
    <w:rsid w:val="005020AE"/>
    <w:rsid w:val="0050210A"/>
    <w:rsid w:val="00502162"/>
    <w:rsid w:val="00502304"/>
    <w:rsid w:val="005023BE"/>
    <w:rsid w:val="0050261B"/>
    <w:rsid w:val="00502765"/>
    <w:rsid w:val="00502890"/>
    <w:rsid w:val="0050294B"/>
    <w:rsid w:val="00502A82"/>
    <w:rsid w:val="00502B9B"/>
    <w:rsid w:val="00502C64"/>
    <w:rsid w:val="00502CD7"/>
    <w:rsid w:val="00502E33"/>
    <w:rsid w:val="00502FEF"/>
    <w:rsid w:val="00503062"/>
    <w:rsid w:val="005031E0"/>
    <w:rsid w:val="00503212"/>
    <w:rsid w:val="0050326E"/>
    <w:rsid w:val="00503308"/>
    <w:rsid w:val="00503351"/>
    <w:rsid w:val="0050345A"/>
    <w:rsid w:val="005035FD"/>
    <w:rsid w:val="005036F2"/>
    <w:rsid w:val="005039A2"/>
    <w:rsid w:val="00503A4B"/>
    <w:rsid w:val="00503A7C"/>
    <w:rsid w:val="00503C02"/>
    <w:rsid w:val="00503C14"/>
    <w:rsid w:val="00503C45"/>
    <w:rsid w:val="00503DF0"/>
    <w:rsid w:val="00503EEE"/>
    <w:rsid w:val="00503F57"/>
    <w:rsid w:val="00504234"/>
    <w:rsid w:val="005042EC"/>
    <w:rsid w:val="005042FB"/>
    <w:rsid w:val="0050434E"/>
    <w:rsid w:val="005043CB"/>
    <w:rsid w:val="00504421"/>
    <w:rsid w:val="005044CE"/>
    <w:rsid w:val="005045B3"/>
    <w:rsid w:val="0050463C"/>
    <w:rsid w:val="00504728"/>
    <w:rsid w:val="0050482F"/>
    <w:rsid w:val="00504986"/>
    <w:rsid w:val="00504A8B"/>
    <w:rsid w:val="00504B37"/>
    <w:rsid w:val="00504B93"/>
    <w:rsid w:val="00504C41"/>
    <w:rsid w:val="00504D2D"/>
    <w:rsid w:val="00504D61"/>
    <w:rsid w:val="00504D70"/>
    <w:rsid w:val="00504DE1"/>
    <w:rsid w:val="00504F74"/>
    <w:rsid w:val="00505104"/>
    <w:rsid w:val="0050511D"/>
    <w:rsid w:val="00505180"/>
    <w:rsid w:val="00505230"/>
    <w:rsid w:val="005052DF"/>
    <w:rsid w:val="00505354"/>
    <w:rsid w:val="005053AE"/>
    <w:rsid w:val="005055DD"/>
    <w:rsid w:val="0050562D"/>
    <w:rsid w:val="00505755"/>
    <w:rsid w:val="005057B7"/>
    <w:rsid w:val="005057FB"/>
    <w:rsid w:val="005058F1"/>
    <w:rsid w:val="00505934"/>
    <w:rsid w:val="005059D3"/>
    <w:rsid w:val="005059EC"/>
    <w:rsid w:val="00505A1D"/>
    <w:rsid w:val="00505AD8"/>
    <w:rsid w:val="00505B6E"/>
    <w:rsid w:val="00505C34"/>
    <w:rsid w:val="00505CC2"/>
    <w:rsid w:val="00505D3D"/>
    <w:rsid w:val="00505D4F"/>
    <w:rsid w:val="00505D97"/>
    <w:rsid w:val="00505D99"/>
    <w:rsid w:val="0050601C"/>
    <w:rsid w:val="005060B8"/>
    <w:rsid w:val="00506407"/>
    <w:rsid w:val="00506651"/>
    <w:rsid w:val="0050686F"/>
    <w:rsid w:val="00506895"/>
    <w:rsid w:val="00506B34"/>
    <w:rsid w:val="00506C7E"/>
    <w:rsid w:val="00506D4D"/>
    <w:rsid w:val="00506DED"/>
    <w:rsid w:val="00506F5E"/>
    <w:rsid w:val="00506FA8"/>
    <w:rsid w:val="00506FFE"/>
    <w:rsid w:val="00507252"/>
    <w:rsid w:val="005072BF"/>
    <w:rsid w:val="005075DA"/>
    <w:rsid w:val="005075EA"/>
    <w:rsid w:val="0050761A"/>
    <w:rsid w:val="00507667"/>
    <w:rsid w:val="005076F1"/>
    <w:rsid w:val="0050774B"/>
    <w:rsid w:val="00507BB4"/>
    <w:rsid w:val="00507C42"/>
    <w:rsid w:val="00507CBE"/>
    <w:rsid w:val="00507CDE"/>
    <w:rsid w:val="00507CF0"/>
    <w:rsid w:val="00507DBF"/>
    <w:rsid w:val="00507E3F"/>
    <w:rsid w:val="00507E7C"/>
    <w:rsid w:val="00507FB8"/>
    <w:rsid w:val="00507FE6"/>
    <w:rsid w:val="00507FFB"/>
    <w:rsid w:val="0051002D"/>
    <w:rsid w:val="0051016C"/>
    <w:rsid w:val="0051020A"/>
    <w:rsid w:val="0051020B"/>
    <w:rsid w:val="0051025D"/>
    <w:rsid w:val="00510309"/>
    <w:rsid w:val="0051033D"/>
    <w:rsid w:val="0051033F"/>
    <w:rsid w:val="00510365"/>
    <w:rsid w:val="005103F8"/>
    <w:rsid w:val="0051066B"/>
    <w:rsid w:val="0051067F"/>
    <w:rsid w:val="005106C6"/>
    <w:rsid w:val="00510AFB"/>
    <w:rsid w:val="00510C0B"/>
    <w:rsid w:val="00510C3B"/>
    <w:rsid w:val="00510CD0"/>
    <w:rsid w:val="00510DF9"/>
    <w:rsid w:val="00510E65"/>
    <w:rsid w:val="00510F25"/>
    <w:rsid w:val="0051109E"/>
    <w:rsid w:val="005110EF"/>
    <w:rsid w:val="00511140"/>
    <w:rsid w:val="005112C3"/>
    <w:rsid w:val="005112DD"/>
    <w:rsid w:val="0051133C"/>
    <w:rsid w:val="00511345"/>
    <w:rsid w:val="00511366"/>
    <w:rsid w:val="00511377"/>
    <w:rsid w:val="005113C2"/>
    <w:rsid w:val="00511728"/>
    <w:rsid w:val="00511805"/>
    <w:rsid w:val="0051186F"/>
    <w:rsid w:val="00511891"/>
    <w:rsid w:val="00511A65"/>
    <w:rsid w:val="00511BB2"/>
    <w:rsid w:val="00511BC4"/>
    <w:rsid w:val="00511D1E"/>
    <w:rsid w:val="00511E6D"/>
    <w:rsid w:val="00511E71"/>
    <w:rsid w:val="00511ED1"/>
    <w:rsid w:val="00511EE1"/>
    <w:rsid w:val="00511FBF"/>
    <w:rsid w:val="00512098"/>
    <w:rsid w:val="0051215D"/>
    <w:rsid w:val="0051218E"/>
    <w:rsid w:val="005121D5"/>
    <w:rsid w:val="0051234C"/>
    <w:rsid w:val="005123B9"/>
    <w:rsid w:val="00512507"/>
    <w:rsid w:val="00512561"/>
    <w:rsid w:val="00512568"/>
    <w:rsid w:val="005125D5"/>
    <w:rsid w:val="00512641"/>
    <w:rsid w:val="00512978"/>
    <w:rsid w:val="00512C33"/>
    <w:rsid w:val="00512CDC"/>
    <w:rsid w:val="00512D37"/>
    <w:rsid w:val="00512E2C"/>
    <w:rsid w:val="00512EEA"/>
    <w:rsid w:val="00513194"/>
    <w:rsid w:val="005133B4"/>
    <w:rsid w:val="005134E4"/>
    <w:rsid w:val="005136A8"/>
    <w:rsid w:val="00513788"/>
    <w:rsid w:val="0051384E"/>
    <w:rsid w:val="0051387D"/>
    <w:rsid w:val="005138C9"/>
    <w:rsid w:val="005138D7"/>
    <w:rsid w:val="00513938"/>
    <w:rsid w:val="00513973"/>
    <w:rsid w:val="00513A36"/>
    <w:rsid w:val="00513A9C"/>
    <w:rsid w:val="00513B8F"/>
    <w:rsid w:val="00513BDE"/>
    <w:rsid w:val="00513D07"/>
    <w:rsid w:val="00513EE8"/>
    <w:rsid w:val="00513FAD"/>
    <w:rsid w:val="00513FCB"/>
    <w:rsid w:val="00514097"/>
    <w:rsid w:val="005141B5"/>
    <w:rsid w:val="0051436C"/>
    <w:rsid w:val="00514390"/>
    <w:rsid w:val="005143C1"/>
    <w:rsid w:val="005143E7"/>
    <w:rsid w:val="00514408"/>
    <w:rsid w:val="0051459F"/>
    <w:rsid w:val="005147FF"/>
    <w:rsid w:val="005148FA"/>
    <w:rsid w:val="0051492B"/>
    <w:rsid w:val="0051499D"/>
    <w:rsid w:val="00514A3A"/>
    <w:rsid w:val="00514A4C"/>
    <w:rsid w:val="00514B3B"/>
    <w:rsid w:val="00514BB3"/>
    <w:rsid w:val="00514D4A"/>
    <w:rsid w:val="00514DD7"/>
    <w:rsid w:val="00514E81"/>
    <w:rsid w:val="00514F51"/>
    <w:rsid w:val="00514F70"/>
    <w:rsid w:val="00514FAF"/>
    <w:rsid w:val="0051503F"/>
    <w:rsid w:val="0051509B"/>
    <w:rsid w:val="00515221"/>
    <w:rsid w:val="005152F4"/>
    <w:rsid w:val="005154E1"/>
    <w:rsid w:val="00515500"/>
    <w:rsid w:val="0051556D"/>
    <w:rsid w:val="0051573E"/>
    <w:rsid w:val="00515780"/>
    <w:rsid w:val="00515785"/>
    <w:rsid w:val="005157C1"/>
    <w:rsid w:val="00515881"/>
    <w:rsid w:val="0051590C"/>
    <w:rsid w:val="005159C9"/>
    <w:rsid w:val="00515A06"/>
    <w:rsid w:val="00515A41"/>
    <w:rsid w:val="00515BAE"/>
    <w:rsid w:val="00515CA7"/>
    <w:rsid w:val="00515CBD"/>
    <w:rsid w:val="00515D14"/>
    <w:rsid w:val="00515D62"/>
    <w:rsid w:val="00515E47"/>
    <w:rsid w:val="00515F34"/>
    <w:rsid w:val="00515F43"/>
    <w:rsid w:val="00515FAE"/>
    <w:rsid w:val="00515FB7"/>
    <w:rsid w:val="005160C4"/>
    <w:rsid w:val="005160FD"/>
    <w:rsid w:val="0051657F"/>
    <w:rsid w:val="0051666E"/>
    <w:rsid w:val="005166AB"/>
    <w:rsid w:val="0051674F"/>
    <w:rsid w:val="00516813"/>
    <w:rsid w:val="00516BE9"/>
    <w:rsid w:val="00516D7A"/>
    <w:rsid w:val="00516DF0"/>
    <w:rsid w:val="00516DF1"/>
    <w:rsid w:val="00516DF8"/>
    <w:rsid w:val="00516E13"/>
    <w:rsid w:val="00516F5D"/>
    <w:rsid w:val="00516F6E"/>
    <w:rsid w:val="00516FC1"/>
    <w:rsid w:val="00517073"/>
    <w:rsid w:val="005170B4"/>
    <w:rsid w:val="005170EF"/>
    <w:rsid w:val="0051712E"/>
    <w:rsid w:val="005171DA"/>
    <w:rsid w:val="00517217"/>
    <w:rsid w:val="00517316"/>
    <w:rsid w:val="0051733C"/>
    <w:rsid w:val="005173D5"/>
    <w:rsid w:val="005175C4"/>
    <w:rsid w:val="0051760A"/>
    <w:rsid w:val="0051761B"/>
    <w:rsid w:val="00517640"/>
    <w:rsid w:val="0051766F"/>
    <w:rsid w:val="005177B0"/>
    <w:rsid w:val="005179D0"/>
    <w:rsid w:val="00517D16"/>
    <w:rsid w:val="00520010"/>
    <w:rsid w:val="0052007E"/>
    <w:rsid w:val="005203ED"/>
    <w:rsid w:val="005204F5"/>
    <w:rsid w:val="005206C7"/>
    <w:rsid w:val="0052085E"/>
    <w:rsid w:val="005209F2"/>
    <w:rsid w:val="00520ACA"/>
    <w:rsid w:val="00520C92"/>
    <w:rsid w:val="00520D81"/>
    <w:rsid w:val="00520F27"/>
    <w:rsid w:val="00520FE2"/>
    <w:rsid w:val="005210BC"/>
    <w:rsid w:val="00521183"/>
    <w:rsid w:val="005211BE"/>
    <w:rsid w:val="0052128F"/>
    <w:rsid w:val="00521335"/>
    <w:rsid w:val="0052141E"/>
    <w:rsid w:val="00521510"/>
    <w:rsid w:val="005216DB"/>
    <w:rsid w:val="005217E9"/>
    <w:rsid w:val="0052184C"/>
    <w:rsid w:val="0052189F"/>
    <w:rsid w:val="005218F1"/>
    <w:rsid w:val="00521967"/>
    <w:rsid w:val="00521A36"/>
    <w:rsid w:val="00521AAC"/>
    <w:rsid w:val="00521D06"/>
    <w:rsid w:val="00521D0C"/>
    <w:rsid w:val="00521D52"/>
    <w:rsid w:val="00521DF7"/>
    <w:rsid w:val="00521EB9"/>
    <w:rsid w:val="00521F2E"/>
    <w:rsid w:val="00521F4C"/>
    <w:rsid w:val="0052214A"/>
    <w:rsid w:val="00522158"/>
    <w:rsid w:val="005222AA"/>
    <w:rsid w:val="005222D4"/>
    <w:rsid w:val="005225C5"/>
    <w:rsid w:val="00522780"/>
    <w:rsid w:val="005227F4"/>
    <w:rsid w:val="0052281C"/>
    <w:rsid w:val="00522836"/>
    <w:rsid w:val="0052288A"/>
    <w:rsid w:val="005229CC"/>
    <w:rsid w:val="00522A06"/>
    <w:rsid w:val="00522A34"/>
    <w:rsid w:val="00522B2E"/>
    <w:rsid w:val="00522BE3"/>
    <w:rsid w:val="00522D01"/>
    <w:rsid w:val="00522E78"/>
    <w:rsid w:val="00522F34"/>
    <w:rsid w:val="00522FD5"/>
    <w:rsid w:val="005230AC"/>
    <w:rsid w:val="005230B8"/>
    <w:rsid w:val="005230EF"/>
    <w:rsid w:val="005231C9"/>
    <w:rsid w:val="005231FF"/>
    <w:rsid w:val="005232BF"/>
    <w:rsid w:val="005233F4"/>
    <w:rsid w:val="00523564"/>
    <w:rsid w:val="005236B7"/>
    <w:rsid w:val="005236C0"/>
    <w:rsid w:val="00523789"/>
    <w:rsid w:val="00523824"/>
    <w:rsid w:val="00523853"/>
    <w:rsid w:val="0052394E"/>
    <w:rsid w:val="00523988"/>
    <w:rsid w:val="00523990"/>
    <w:rsid w:val="00523A83"/>
    <w:rsid w:val="00523AD4"/>
    <w:rsid w:val="00523CD9"/>
    <w:rsid w:val="00523CDA"/>
    <w:rsid w:val="00523D10"/>
    <w:rsid w:val="00523E07"/>
    <w:rsid w:val="00523E5C"/>
    <w:rsid w:val="00523F6F"/>
    <w:rsid w:val="0052400F"/>
    <w:rsid w:val="00524016"/>
    <w:rsid w:val="0052411D"/>
    <w:rsid w:val="00524235"/>
    <w:rsid w:val="005242BA"/>
    <w:rsid w:val="00524399"/>
    <w:rsid w:val="005243FE"/>
    <w:rsid w:val="00524434"/>
    <w:rsid w:val="00524436"/>
    <w:rsid w:val="005244A5"/>
    <w:rsid w:val="005249E1"/>
    <w:rsid w:val="00524A36"/>
    <w:rsid w:val="00524A74"/>
    <w:rsid w:val="00524CCD"/>
    <w:rsid w:val="00524D32"/>
    <w:rsid w:val="00524EC0"/>
    <w:rsid w:val="00524FE2"/>
    <w:rsid w:val="005250BE"/>
    <w:rsid w:val="005250E5"/>
    <w:rsid w:val="005250FC"/>
    <w:rsid w:val="0052523D"/>
    <w:rsid w:val="005252A9"/>
    <w:rsid w:val="00525320"/>
    <w:rsid w:val="00525334"/>
    <w:rsid w:val="005253A7"/>
    <w:rsid w:val="0052543E"/>
    <w:rsid w:val="0052546F"/>
    <w:rsid w:val="005254C4"/>
    <w:rsid w:val="0052556B"/>
    <w:rsid w:val="0052556E"/>
    <w:rsid w:val="005255D0"/>
    <w:rsid w:val="005256A0"/>
    <w:rsid w:val="0052577C"/>
    <w:rsid w:val="00525815"/>
    <w:rsid w:val="0052593E"/>
    <w:rsid w:val="0052597A"/>
    <w:rsid w:val="005259FC"/>
    <w:rsid w:val="00525A39"/>
    <w:rsid w:val="00525B45"/>
    <w:rsid w:val="00525B8F"/>
    <w:rsid w:val="00525B90"/>
    <w:rsid w:val="00525C6A"/>
    <w:rsid w:val="00525CBA"/>
    <w:rsid w:val="00525D93"/>
    <w:rsid w:val="00525FAC"/>
    <w:rsid w:val="00525FEA"/>
    <w:rsid w:val="00526073"/>
    <w:rsid w:val="00526079"/>
    <w:rsid w:val="00526249"/>
    <w:rsid w:val="00526274"/>
    <w:rsid w:val="005262D2"/>
    <w:rsid w:val="0052642D"/>
    <w:rsid w:val="005264AA"/>
    <w:rsid w:val="005265C4"/>
    <w:rsid w:val="0052661E"/>
    <w:rsid w:val="00526ADD"/>
    <w:rsid w:val="00526DAE"/>
    <w:rsid w:val="00526EAA"/>
    <w:rsid w:val="00527159"/>
    <w:rsid w:val="005271CE"/>
    <w:rsid w:val="005271EA"/>
    <w:rsid w:val="00527253"/>
    <w:rsid w:val="005273AD"/>
    <w:rsid w:val="0052762D"/>
    <w:rsid w:val="0052774A"/>
    <w:rsid w:val="00527755"/>
    <w:rsid w:val="005277AA"/>
    <w:rsid w:val="00527855"/>
    <w:rsid w:val="00527926"/>
    <w:rsid w:val="00527930"/>
    <w:rsid w:val="00527AB3"/>
    <w:rsid w:val="00527AC6"/>
    <w:rsid w:val="00527C48"/>
    <w:rsid w:val="00527D2E"/>
    <w:rsid w:val="00527D9A"/>
    <w:rsid w:val="00527DD0"/>
    <w:rsid w:val="00530047"/>
    <w:rsid w:val="00530145"/>
    <w:rsid w:val="005302CE"/>
    <w:rsid w:val="0053042B"/>
    <w:rsid w:val="0053044B"/>
    <w:rsid w:val="0053045D"/>
    <w:rsid w:val="00530529"/>
    <w:rsid w:val="005305B6"/>
    <w:rsid w:val="005305E5"/>
    <w:rsid w:val="00530603"/>
    <w:rsid w:val="0053079B"/>
    <w:rsid w:val="005307C6"/>
    <w:rsid w:val="0053082F"/>
    <w:rsid w:val="005308A1"/>
    <w:rsid w:val="00530AB5"/>
    <w:rsid w:val="00530ADB"/>
    <w:rsid w:val="00530BF0"/>
    <w:rsid w:val="00530E78"/>
    <w:rsid w:val="00530E9E"/>
    <w:rsid w:val="00530F37"/>
    <w:rsid w:val="00530FDF"/>
    <w:rsid w:val="00531042"/>
    <w:rsid w:val="0053113F"/>
    <w:rsid w:val="00531152"/>
    <w:rsid w:val="005312AC"/>
    <w:rsid w:val="005312C9"/>
    <w:rsid w:val="00531340"/>
    <w:rsid w:val="0053140A"/>
    <w:rsid w:val="00531418"/>
    <w:rsid w:val="0053148D"/>
    <w:rsid w:val="005314FC"/>
    <w:rsid w:val="0053171B"/>
    <w:rsid w:val="0053174A"/>
    <w:rsid w:val="0053188C"/>
    <w:rsid w:val="00531AEE"/>
    <w:rsid w:val="00531B4E"/>
    <w:rsid w:val="00531B9F"/>
    <w:rsid w:val="00531BDB"/>
    <w:rsid w:val="00531CF6"/>
    <w:rsid w:val="00531D3B"/>
    <w:rsid w:val="00531D71"/>
    <w:rsid w:val="00531F98"/>
    <w:rsid w:val="0053203D"/>
    <w:rsid w:val="00532048"/>
    <w:rsid w:val="00532133"/>
    <w:rsid w:val="00532148"/>
    <w:rsid w:val="005321A2"/>
    <w:rsid w:val="005321BE"/>
    <w:rsid w:val="00532202"/>
    <w:rsid w:val="005323C6"/>
    <w:rsid w:val="005323FD"/>
    <w:rsid w:val="005324CC"/>
    <w:rsid w:val="0053253A"/>
    <w:rsid w:val="0053257F"/>
    <w:rsid w:val="00532596"/>
    <w:rsid w:val="0053264C"/>
    <w:rsid w:val="00532719"/>
    <w:rsid w:val="005329FB"/>
    <w:rsid w:val="00532A36"/>
    <w:rsid w:val="00532AD7"/>
    <w:rsid w:val="00532B07"/>
    <w:rsid w:val="00532B9E"/>
    <w:rsid w:val="00532C12"/>
    <w:rsid w:val="00532CDC"/>
    <w:rsid w:val="00532E88"/>
    <w:rsid w:val="00532F3F"/>
    <w:rsid w:val="00532FD7"/>
    <w:rsid w:val="00533133"/>
    <w:rsid w:val="00533333"/>
    <w:rsid w:val="0053343C"/>
    <w:rsid w:val="005334D5"/>
    <w:rsid w:val="0053358E"/>
    <w:rsid w:val="00533613"/>
    <w:rsid w:val="00533760"/>
    <w:rsid w:val="00533863"/>
    <w:rsid w:val="00533A22"/>
    <w:rsid w:val="00533A2A"/>
    <w:rsid w:val="00533A42"/>
    <w:rsid w:val="00533A7C"/>
    <w:rsid w:val="00533CA2"/>
    <w:rsid w:val="00533D71"/>
    <w:rsid w:val="00533E90"/>
    <w:rsid w:val="00533EA4"/>
    <w:rsid w:val="0053401A"/>
    <w:rsid w:val="0053416A"/>
    <w:rsid w:val="005341CA"/>
    <w:rsid w:val="005342E6"/>
    <w:rsid w:val="0053437E"/>
    <w:rsid w:val="0053438B"/>
    <w:rsid w:val="0053468C"/>
    <w:rsid w:val="00534695"/>
    <w:rsid w:val="00534892"/>
    <w:rsid w:val="005349B4"/>
    <w:rsid w:val="00534A10"/>
    <w:rsid w:val="00534B8C"/>
    <w:rsid w:val="00534BED"/>
    <w:rsid w:val="00534C70"/>
    <w:rsid w:val="00534CF7"/>
    <w:rsid w:val="00534DF5"/>
    <w:rsid w:val="00534E5B"/>
    <w:rsid w:val="00534E7B"/>
    <w:rsid w:val="00534EFA"/>
    <w:rsid w:val="00534F6A"/>
    <w:rsid w:val="0053506D"/>
    <w:rsid w:val="00535175"/>
    <w:rsid w:val="005351EE"/>
    <w:rsid w:val="00535600"/>
    <w:rsid w:val="0053568A"/>
    <w:rsid w:val="0053568C"/>
    <w:rsid w:val="00535699"/>
    <w:rsid w:val="005356BE"/>
    <w:rsid w:val="0053571F"/>
    <w:rsid w:val="00535872"/>
    <w:rsid w:val="00535891"/>
    <w:rsid w:val="00535914"/>
    <w:rsid w:val="00535B6A"/>
    <w:rsid w:val="00535B88"/>
    <w:rsid w:val="00535BC0"/>
    <w:rsid w:val="00535CE7"/>
    <w:rsid w:val="00535D3C"/>
    <w:rsid w:val="00535E57"/>
    <w:rsid w:val="0053611C"/>
    <w:rsid w:val="00536287"/>
    <w:rsid w:val="00536289"/>
    <w:rsid w:val="005362EA"/>
    <w:rsid w:val="0053630D"/>
    <w:rsid w:val="00536458"/>
    <w:rsid w:val="005364C5"/>
    <w:rsid w:val="005367DA"/>
    <w:rsid w:val="005369F4"/>
    <w:rsid w:val="00536B77"/>
    <w:rsid w:val="00536D6E"/>
    <w:rsid w:val="00536D82"/>
    <w:rsid w:val="00536E56"/>
    <w:rsid w:val="00537096"/>
    <w:rsid w:val="00537232"/>
    <w:rsid w:val="0053728E"/>
    <w:rsid w:val="00537302"/>
    <w:rsid w:val="0053732C"/>
    <w:rsid w:val="00537366"/>
    <w:rsid w:val="00537405"/>
    <w:rsid w:val="0053751A"/>
    <w:rsid w:val="005376DA"/>
    <w:rsid w:val="0053782F"/>
    <w:rsid w:val="00537932"/>
    <w:rsid w:val="00537B89"/>
    <w:rsid w:val="00537BF7"/>
    <w:rsid w:val="00537BFF"/>
    <w:rsid w:val="00537D3C"/>
    <w:rsid w:val="00537D6B"/>
    <w:rsid w:val="00537E32"/>
    <w:rsid w:val="005400BD"/>
    <w:rsid w:val="005400CA"/>
    <w:rsid w:val="0054040C"/>
    <w:rsid w:val="00540638"/>
    <w:rsid w:val="00540646"/>
    <w:rsid w:val="0054069F"/>
    <w:rsid w:val="005407AC"/>
    <w:rsid w:val="00540918"/>
    <w:rsid w:val="005409D4"/>
    <w:rsid w:val="00540A3B"/>
    <w:rsid w:val="00540A8F"/>
    <w:rsid w:val="00540B60"/>
    <w:rsid w:val="00540B76"/>
    <w:rsid w:val="00540B8B"/>
    <w:rsid w:val="00540BDA"/>
    <w:rsid w:val="00540C6E"/>
    <w:rsid w:val="00540CFF"/>
    <w:rsid w:val="00540EC2"/>
    <w:rsid w:val="00540ED0"/>
    <w:rsid w:val="00540FB5"/>
    <w:rsid w:val="0054104E"/>
    <w:rsid w:val="00541091"/>
    <w:rsid w:val="005410D4"/>
    <w:rsid w:val="00541109"/>
    <w:rsid w:val="00541111"/>
    <w:rsid w:val="00541144"/>
    <w:rsid w:val="00541253"/>
    <w:rsid w:val="00541436"/>
    <w:rsid w:val="00541503"/>
    <w:rsid w:val="00541539"/>
    <w:rsid w:val="0054160B"/>
    <w:rsid w:val="0054174A"/>
    <w:rsid w:val="0054176B"/>
    <w:rsid w:val="005418A3"/>
    <w:rsid w:val="005418FB"/>
    <w:rsid w:val="00541999"/>
    <w:rsid w:val="00541A96"/>
    <w:rsid w:val="00541AA7"/>
    <w:rsid w:val="00541AD6"/>
    <w:rsid w:val="00541C19"/>
    <w:rsid w:val="00541C36"/>
    <w:rsid w:val="00541C3A"/>
    <w:rsid w:val="00541C78"/>
    <w:rsid w:val="00541CB1"/>
    <w:rsid w:val="00541F29"/>
    <w:rsid w:val="005423BD"/>
    <w:rsid w:val="0054243F"/>
    <w:rsid w:val="00542440"/>
    <w:rsid w:val="0054252A"/>
    <w:rsid w:val="00542579"/>
    <w:rsid w:val="00542685"/>
    <w:rsid w:val="005426EC"/>
    <w:rsid w:val="00542739"/>
    <w:rsid w:val="00542970"/>
    <w:rsid w:val="00542A5C"/>
    <w:rsid w:val="00542AA0"/>
    <w:rsid w:val="00542B28"/>
    <w:rsid w:val="00542C72"/>
    <w:rsid w:val="00542D16"/>
    <w:rsid w:val="00542E5E"/>
    <w:rsid w:val="00542EB4"/>
    <w:rsid w:val="00542F46"/>
    <w:rsid w:val="0054300C"/>
    <w:rsid w:val="0054314A"/>
    <w:rsid w:val="0054315E"/>
    <w:rsid w:val="00543311"/>
    <w:rsid w:val="0054333F"/>
    <w:rsid w:val="00543533"/>
    <w:rsid w:val="0054357A"/>
    <w:rsid w:val="00543681"/>
    <w:rsid w:val="0054369B"/>
    <w:rsid w:val="00543704"/>
    <w:rsid w:val="00543705"/>
    <w:rsid w:val="00543798"/>
    <w:rsid w:val="005437C3"/>
    <w:rsid w:val="005437E1"/>
    <w:rsid w:val="0054380E"/>
    <w:rsid w:val="005438A2"/>
    <w:rsid w:val="00543A93"/>
    <w:rsid w:val="00543B53"/>
    <w:rsid w:val="00543F35"/>
    <w:rsid w:val="00543F3B"/>
    <w:rsid w:val="0054406C"/>
    <w:rsid w:val="0054406D"/>
    <w:rsid w:val="0054417E"/>
    <w:rsid w:val="00544193"/>
    <w:rsid w:val="00544194"/>
    <w:rsid w:val="00544569"/>
    <w:rsid w:val="005446B4"/>
    <w:rsid w:val="005446ED"/>
    <w:rsid w:val="00544791"/>
    <w:rsid w:val="00544890"/>
    <w:rsid w:val="005448C1"/>
    <w:rsid w:val="00544A9B"/>
    <w:rsid w:val="00544B10"/>
    <w:rsid w:val="00544D5B"/>
    <w:rsid w:val="00544D7C"/>
    <w:rsid w:val="00545139"/>
    <w:rsid w:val="00545367"/>
    <w:rsid w:val="005453BC"/>
    <w:rsid w:val="005454CE"/>
    <w:rsid w:val="00545528"/>
    <w:rsid w:val="005455C9"/>
    <w:rsid w:val="005456E4"/>
    <w:rsid w:val="00545788"/>
    <w:rsid w:val="00545881"/>
    <w:rsid w:val="00545885"/>
    <w:rsid w:val="005459F2"/>
    <w:rsid w:val="00545B3B"/>
    <w:rsid w:val="00545BD2"/>
    <w:rsid w:val="00545CF1"/>
    <w:rsid w:val="00545D0A"/>
    <w:rsid w:val="00545E0D"/>
    <w:rsid w:val="00545E8B"/>
    <w:rsid w:val="00546068"/>
    <w:rsid w:val="00546137"/>
    <w:rsid w:val="0054614D"/>
    <w:rsid w:val="00546164"/>
    <w:rsid w:val="005461EC"/>
    <w:rsid w:val="00546279"/>
    <w:rsid w:val="005462D1"/>
    <w:rsid w:val="00546393"/>
    <w:rsid w:val="005463D8"/>
    <w:rsid w:val="00546461"/>
    <w:rsid w:val="0054648B"/>
    <w:rsid w:val="005464D1"/>
    <w:rsid w:val="005468B3"/>
    <w:rsid w:val="00546928"/>
    <w:rsid w:val="0054694A"/>
    <w:rsid w:val="00546BBD"/>
    <w:rsid w:val="00546DB5"/>
    <w:rsid w:val="00546E94"/>
    <w:rsid w:val="00546EA0"/>
    <w:rsid w:val="00546F6F"/>
    <w:rsid w:val="00546FF5"/>
    <w:rsid w:val="00546FFF"/>
    <w:rsid w:val="00547073"/>
    <w:rsid w:val="0054715D"/>
    <w:rsid w:val="005473BF"/>
    <w:rsid w:val="005473DC"/>
    <w:rsid w:val="00547668"/>
    <w:rsid w:val="00547900"/>
    <w:rsid w:val="00547BF8"/>
    <w:rsid w:val="00547C5E"/>
    <w:rsid w:val="00547D99"/>
    <w:rsid w:val="00547DEB"/>
    <w:rsid w:val="00547E47"/>
    <w:rsid w:val="00547F92"/>
    <w:rsid w:val="005501B2"/>
    <w:rsid w:val="00550234"/>
    <w:rsid w:val="005503E3"/>
    <w:rsid w:val="005503F3"/>
    <w:rsid w:val="005505D9"/>
    <w:rsid w:val="0055063A"/>
    <w:rsid w:val="00550767"/>
    <w:rsid w:val="0055078A"/>
    <w:rsid w:val="0055083A"/>
    <w:rsid w:val="005508B9"/>
    <w:rsid w:val="00550A1C"/>
    <w:rsid w:val="00550AB5"/>
    <w:rsid w:val="00550C5F"/>
    <w:rsid w:val="00550C7A"/>
    <w:rsid w:val="00550CF0"/>
    <w:rsid w:val="00550D30"/>
    <w:rsid w:val="00550F16"/>
    <w:rsid w:val="00550F82"/>
    <w:rsid w:val="00551127"/>
    <w:rsid w:val="005513BF"/>
    <w:rsid w:val="0055144F"/>
    <w:rsid w:val="0055166E"/>
    <w:rsid w:val="00551670"/>
    <w:rsid w:val="005516D5"/>
    <w:rsid w:val="0055170B"/>
    <w:rsid w:val="00551898"/>
    <w:rsid w:val="005518F0"/>
    <w:rsid w:val="00551A09"/>
    <w:rsid w:val="00551BDB"/>
    <w:rsid w:val="00551C50"/>
    <w:rsid w:val="00551C8A"/>
    <w:rsid w:val="00551CE2"/>
    <w:rsid w:val="00551F85"/>
    <w:rsid w:val="00552075"/>
    <w:rsid w:val="005520EC"/>
    <w:rsid w:val="00552304"/>
    <w:rsid w:val="0055248A"/>
    <w:rsid w:val="005524AE"/>
    <w:rsid w:val="00552594"/>
    <w:rsid w:val="0055285F"/>
    <w:rsid w:val="00552988"/>
    <w:rsid w:val="00552B96"/>
    <w:rsid w:val="00552BC0"/>
    <w:rsid w:val="00552BF8"/>
    <w:rsid w:val="00552C1E"/>
    <w:rsid w:val="00552C8F"/>
    <w:rsid w:val="00552D4B"/>
    <w:rsid w:val="00552E15"/>
    <w:rsid w:val="00552F5B"/>
    <w:rsid w:val="005530FD"/>
    <w:rsid w:val="0055324C"/>
    <w:rsid w:val="00553277"/>
    <w:rsid w:val="005533E5"/>
    <w:rsid w:val="00553447"/>
    <w:rsid w:val="005534E4"/>
    <w:rsid w:val="005535EA"/>
    <w:rsid w:val="0055376F"/>
    <w:rsid w:val="00553782"/>
    <w:rsid w:val="005537BF"/>
    <w:rsid w:val="005537D0"/>
    <w:rsid w:val="0055383A"/>
    <w:rsid w:val="0055389D"/>
    <w:rsid w:val="00553907"/>
    <w:rsid w:val="00553987"/>
    <w:rsid w:val="005539F1"/>
    <w:rsid w:val="00553D79"/>
    <w:rsid w:val="00553DE3"/>
    <w:rsid w:val="00553E7F"/>
    <w:rsid w:val="00553EAA"/>
    <w:rsid w:val="00553EFB"/>
    <w:rsid w:val="00553FB4"/>
    <w:rsid w:val="00553FB7"/>
    <w:rsid w:val="00554028"/>
    <w:rsid w:val="0055413E"/>
    <w:rsid w:val="0055415C"/>
    <w:rsid w:val="00554184"/>
    <w:rsid w:val="005542D6"/>
    <w:rsid w:val="00554334"/>
    <w:rsid w:val="005543A9"/>
    <w:rsid w:val="005543F7"/>
    <w:rsid w:val="00554417"/>
    <w:rsid w:val="00554720"/>
    <w:rsid w:val="00554752"/>
    <w:rsid w:val="005547DF"/>
    <w:rsid w:val="005548C9"/>
    <w:rsid w:val="00554C0A"/>
    <w:rsid w:val="00554CAB"/>
    <w:rsid w:val="00554D2B"/>
    <w:rsid w:val="00554F79"/>
    <w:rsid w:val="00555019"/>
    <w:rsid w:val="0055501D"/>
    <w:rsid w:val="0055537A"/>
    <w:rsid w:val="0055548C"/>
    <w:rsid w:val="0055555B"/>
    <w:rsid w:val="005555CE"/>
    <w:rsid w:val="00555650"/>
    <w:rsid w:val="005556BE"/>
    <w:rsid w:val="005557A2"/>
    <w:rsid w:val="005559BA"/>
    <w:rsid w:val="00555A84"/>
    <w:rsid w:val="00555B1A"/>
    <w:rsid w:val="00555BBF"/>
    <w:rsid w:val="00555CDA"/>
    <w:rsid w:val="00555E28"/>
    <w:rsid w:val="00555F57"/>
    <w:rsid w:val="00556081"/>
    <w:rsid w:val="00556131"/>
    <w:rsid w:val="00556166"/>
    <w:rsid w:val="005561C0"/>
    <w:rsid w:val="0055633E"/>
    <w:rsid w:val="00556396"/>
    <w:rsid w:val="0055664D"/>
    <w:rsid w:val="005566D1"/>
    <w:rsid w:val="00556708"/>
    <w:rsid w:val="0055679C"/>
    <w:rsid w:val="00556824"/>
    <w:rsid w:val="0055699E"/>
    <w:rsid w:val="00556A78"/>
    <w:rsid w:val="00556B6B"/>
    <w:rsid w:val="00556D28"/>
    <w:rsid w:val="00556E13"/>
    <w:rsid w:val="00556EAB"/>
    <w:rsid w:val="00556F2E"/>
    <w:rsid w:val="00557016"/>
    <w:rsid w:val="0055708C"/>
    <w:rsid w:val="00557309"/>
    <w:rsid w:val="0055739A"/>
    <w:rsid w:val="005573B6"/>
    <w:rsid w:val="00557459"/>
    <w:rsid w:val="0055757D"/>
    <w:rsid w:val="00557612"/>
    <w:rsid w:val="00557627"/>
    <w:rsid w:val="0055763C"/>
    <w:rsid w:val="005578FC"/>
    <w:rsid w:val="0055797C"/>
    <w:rsid w:val="00557BC3"/>
    <w:rsid w:val="00557BE1"/>
    <w:rsid w:val="00557BEC"/>
    <w:rsid w:val="00557D2F"/>
    <w:rsid w:val="00557F52"/>
    <w:rsid w:val="00557F88"/>
    <w:rsid w:val="00557FA6"/>
    <w:rsid w:val="005601AD"/>
    <w:rsid w:val="005602AF"/>
    <w:rsid w:val="0056036A"/>
    <w:rsid w:val="005603C0"/>
    <w:rsid w:val="005604A5"/>
    <w:rsid w:val="005606BF"/>
    <w:rsid w:val="00560849"/>
    <w:rsid w:val="00560851"/>
    <w:rsid w:val="00560899"/>
    <w:rsid w:val="005608F7"/>
    <w:rsid w:val="0056098E"/>
    <w:rsid w:val="005609FC"/>
    <w:rsid w:val="00560A68"/>
    <w:rsid w:val="00560B0D"/>
    <w:rsid w:val="00560DEF"/>
    <w:rsid w:val="00560E0B"/>
    <w:rsid w:val="00560F19"/>
    <w:rsid w:val="00560F66"/>
    <w:rsid w:val="00560F72"/>
    <w:rsid w:val="00560F73"/>
    <w:rsid w:val="00560F93"/>
    <w:rsid w:val="00561070"/>
    <w:rsid w:val="00561389"/>
    <w:rsid w:val="005614AF"/>
    <w:rsid w:val="00561728"/>
    <w:rsid w:val="005617BA"/>
    <w:rsid w:val="00561802"/>
    <w:rsid w:val="00561840"/>
    <w:rsid w:val="005618A0"/>
    <w:rsid w:val="005618D1"/>
    <w:rsid w:val="00561987"/>
    <w:rsid w:val="00561A00"/>
    <w:rsid w:val="00561AF9"/>
    <w:rsid w:val="00561B2F"/>
    <w:rsid w:val="00561B99"/>
    <w:rsid w:val="00561BBC"/>
    <w:rsid w:val="00561BC6"/>
    <w:rsid w:val="00561C22"/>
    <w:rsid w:val="00561CFF"/>
    <w:rsid w:val="00561F69"/>
    <w:rsid w:val="00562077"/>
    <w:rsid w:val="005620D6"/>
    <w:rsid w:val="0056223F"/>
    <w:rsid w:val="005622DF"/>
    <w:rsid w:val="0056237C"/>
    <w:rsid w:val="00562629"/>
    <w:rsid w:val="0056262B"/>
    <w:rsid w:val="005626FE"/>
    <w:rsid w:val="00562956"/>
    <w:rsid w:val="005629A7"/>
    <w:rsid w:val="00562A3A"/>
    <w:rsid w:val="00562AD1"/>
    <w:rsid w:val="00562AEC"/>
    <w:rsid w:val="00562C77"/>
    <w:rsid w:val="00562D59"/>
    <w:rsid w:val="00562E65"/>
    <w:rsid w:val="00562EB9"/>
    <w:rsid w:val="00562F7B"/>
    <w:rsid w:val="00562FFF"/>
    <w:rsid w:val="0056301A"/>
    <w:rsid w:val="00563054"/>
    <w:rsid w:val="005630B4"/>
    <w:rsid w:val="005630F2"/>
    <w:rsid w:val="005633BA"/>
    <w:rsid w:val="00563475"/>
    <w:rsid w:val="005634BD"/>
    <w:rsid w:val="005634FF"/>
    <w:rsid w:val="0056355C"/>
    <w:rsid w:val="00563597"/>
    <w:rsid w:val="005636E0"/>
    <w:rsid w:val="00563768"/>
    <w:rsid w:val="00563806"/>
    <w:rsid w:val="0056387D"/>
    <w:rsid w:val="005638D3"/>
    <w:rsid w:val="005639A5"/>
    <w:rsid w:val="005639DA"/>
    <w:rsid w:val="00563A6E"/>
    <w:rsid w:val="00563AAC"/>
    <w:rsid w:val="00563ADB"/>
    <w:rsid w:val="00563B05"/>
    <w:rsid w:val="00563BB8"/>
    <w:rsid w:val="00563C18"/>
    <w:rsid w:val="00563C2B"/>
    <w:rsid w:val="00563C3C"/>
    <w:rsid w:val="00563D57"/>
    <w:rsid w:val="00563D71"/>
    <w:rsid w:val="00563E46"/>
    <w:rsid w:val="0056404A"/>
    <w:rsid w:val="005640B1"/>
    <w:rsid w:val="00564119"/>
    <w:rsid w:val="005642A0"/>
    <w:rsid w:val="005642ED"/>
    <w:rsid w:val="00564300"/>
    <w:rsid w:val="00564348"/>
    <w:rsid w:val="00564415"/>
    <w:rsid w:val="005645AA"/>
    <w:rsid w:val="00564626"/>
    <w:rsid w:val="005646E3"/>
    <w:rsid w:val="005647E5"/>
    <w:rsid w:val="0056494C"/>
    <w:rsid w:val="00564A9B"/>
    <w:rsid w:val="00564B6A"/>
    <w:rsid w:val="00564C0F"/>
    <w:rsid w:val="00564D03"/>
    <w:rsid w:val="00564D37"/>
    <w:rsid w:val="00564D4F"/>
    <w:rsid w:val="00564D66"/>
    <w:rsid w:val="00564E7F"/>
    <w:rsid w:val="00564EEE"/>
    <w:rsid w:val="00564F07"/>
    <w:rsid w:val="00565187"/>
    <w:rsid w:val="005652E1"/>
    <w:rsid w:val="005653FD"/>
    <w:rsid w:val="00565522"/>
    <w:rsid w:val="0056563E"/>
    <w:rsid w:val="0056567E"/>
    <w:rsid w:val="00565A23"/>
    <w:rsid w:val="00565A3A"/>
    <w:rsid w:val="00565A92"/>
    <w:rsid w:val="00565B3C"/>
    <w:rsid w:val="00565D09"/>
    <w:rsid w:val="00565D35"/>
    <w:rsid w:val="00565D89"/>
    <w:rsid w:val="00565F04"/>
    <w:rsid w:val="00566035"/>
    <w:rsid w:val="005660D4"/>
    <w:rsid w:val="0056612A"/>
    <w:rsid w:val="0056615F"/>
    <w:rsid w:val="005661B0"/>
    <w:rsid w:val="0056624E"/>
    <w:rsid w:val="00566272"/>
    <w:rsid w:val="00566511"/>
    <w:rsid w:val="00566519"/>
    <w:rsid w:val="00566680"/>
    <w:rsid w:val="0056677E"/>
    <w:rsid w:val="00566881"/>
    <w:rsid w:val="00566895"/>
    <w:rsid w:val="005668EC"/>
    <w:rsid w:val="005669B0"/>
    <w:rsid w:val="005669EC"/>
    <w:rsid w:val="00566B2B"/>
    <w:rsid w:val="00566B8D"/>
    <w:rsid w:val="00566C1A"/>
    <w:rsid w:val="00566C9C"/>
    <w:rsid w:val="00566CAC"/>
    <w:rsid w:val="00566E5E"/>
    <w:rsid w:val="00566E6D"/>
    <w:rsid w:val="00566E8E"/>
    <w:rsid w:val="00566ECE"/>
    <w:rsid w:val="00567176"/>
    <w:rsid w:val="00567250"/>
    <w:rsid w:val="0056727B"/>
    <w:rsid w:val="005673D4"/>
    <w:rsid w:val="005674A2"/>
    <w:rsid w:val="005675B5"/>
    <w:rsid w:val="005675FE"/>
    <w:rsid w:val="005676AA"/>
    <w:rsid w:val="00567961"/>
    <w:rsid w:val="005679CF"/>
    <w:rsid w:val="00567A65"/>
    <w:rsid w:val="00567A82"/>
    <w:rsid w:val="00567B2F"/>
    <w:rsid w:val="00567C1F"/>
    <w:rsid w:val="00567C21"/>
    <w:rsid w:val="00567C2D"/>
    <w:rsid w:val="00567DDA"/>
    <w:rsid w:val="00567E62"/>
    <w:rsid w:val="00567E99"/>
    <w:rsid w:val="0057001C"/>
    <w:rsid w:val="005702C0"/>
    <w:rsid w:val="005702E6"/>
    <w:rsid w:val="00570398"/>
    <w:rsid w:val="005703BA"/>
    <w:rsid w:val="005703F0"/>
    <w:rsid w:val="00570401"/>
    <w:rsid w:val="00570442"/>
    <w:rsid w:val="0057073F"/>
    <w:rsid w:val="005707AA"/>
    <w:rsid w:val="005707D6"/>
    <w:rsid w:val="005707ED"/>
    <w:rsid w:val="005708ED"/>
    <w:rsid w:val="005709A4"/>
    <w:rsid w:val="00570A4E"/>
    <w:rsid w:val="00570AC2"/>
    <w:rsid w:val="00570AEA"/>
    <w:rsid w:val="00570B47"/>
    <w:rsid w:val="00570C82"/>
    <w:rsid w:val="00570D8C"/>
    <w:rsid w:val="00570E3F"/>
    <w:rsid w:val="00570E48"/>
    <w:rsid w:val="00570E71"/>
    <w:rsid w:val="00570FDF"/>
    <w:rsid w:val="00571014"/>
    <w:rsid w:val="005711E8"/>
    <w:rsid w:val="00571237"/>
    <w:rsid w:val="005712FF"/>
    <w:rsid w:val="005713C4"/>
    <w:rsid w:val="005714AA"/>
    <w:rsid w:val="005714E2"/>
    <w:rsid w:val="0057156E"/>
    <w:rsid w:val="0057157A"/>
    <w:rsid w:val="005715F4"/>
    <w:rsid w:val="005716D0"/>
    <w:rsid w:val="005717FA"/>
    <w:rsid w:val="005717FF"/>
    <w:rsid w:val="00571845"/>
    <w:rsid w:val="00571980"/>
    <w:rsid w:val="00571AFD"/>
    <w:rsid w:val="00571C61"/>
    <w:rsid w:val="00571D6D"/>
    <w:rsid w:val="00571ED1"/>
    <w:rsid w:val="00571F2A"/>
    <w:rsid w:val="00571F52"/>
    <w:rsid w:val="00571F59"/>
    <w:rsid w:val="00572071"/>
    <w:rsid w:val="00572264"/>
    <w:rsid w:val="0057234A"/>
    <w:rsid w:val="0057239C"/>
    <w:rsid w:val="00572434"/>
    <w:rsid w:val="00572491"/>
    <w:rsid w:val="0057254E"/>
    <w:rsid w:val="00572732"/>
    <w:rsid w:val="00572738"/>
    <w:rsid w:val="005728E9"/>
    <w:rsid w:val="00572A38"/>
    <w:rsid w:val="00572AAD"/>
    <w:rsid w:val="00572AB8"/>
    <w:rsid w:val="00572B10"/>
    <w:rsid w:val="00572BCB"/>
    <w:rsid w:val="00572C66"/>
    <w:rsid w:val="00572CC5"/>
    <w:rsid w:val="00572E0A"/>
    <w:rsid w:val="00572F62"/>
    <w:rsid w:val="00572FC6"/>
    <w:rsid w:val="00573092"/>
    <w:rsid w:val="005730A8"/>
    <w:rsid w:val="0057331A"/>
    <w:rsid w:val="005735AD"/>
    <w:rsid w:val="005736BE"/>
    <w:rsid w:val="00573901"/>
    <w:rsid w:val="005739F9"/>
    <w:rsid w:val="00573A23"/>
    <w:rsid w:val="00573A34"/>
    <w:rsid w:val="00573A92"/>
    <w:rsid w:val="00573B0F"/>
    <w:rsid w:val="00573C50"/>
    <w:rsid w:val="00573D1C"/>
    <w:rsid w:val="00573D39"/>
    <w:rsid w:val="0057409A"/>
    <w:rsid w:val="0057419A"/>
    <w:rsid w:val="005741C3"/>
    <w:rsid w:val="00574254"/>
    <w:rsid w:val="0057433F"/>
    <w:rsid w:val="0057435A"/>
    <w:rsid w:val="0057436B"/>
    <w:rsid w:val="005743DA"/>
    <w:rsid w:val="005743E5"/>
    <w:rsid w:val="00574473"/>
    <w:rsid w:val="005744F5"/>
    <w:rsid w:val="0057450D"/>
    <w:rsid w:val="00574583"/>
    <w:rsid w:val="005746B2"/>
    <w:rsid w:val="0057477A"/>
    <w:rsid w:val="00574818"/>
    <w:rsid w:val="0057483C"/>
    <w:rsid w:val="005748D0"/>
    <w:rsid w:val="00574903"/>
    <w:rsid w:val="0057494F"/>
    <w:rsid w:val="00574A3E"/>
    <w:rsid w:val="00574A7D"/>
    <w:rsid w:val="00574B0F"/>
    <w:rsid w:val="00574B14"/>
    <w:rsid w:val="00574C1E"/>
    <w:rsid w:val="00574D8B"/>
    <w:rsid w:val="00574E49"/>
    <w:rsid w:val="00574FAB"/>
    <w:rsid w:val="0057505F"/>
    <w:rsid w:val="005750CD"/>
    <w:rsid w:val="00575233"/>
    <w:rsid w:val="00575260"/>
    <w:rsid w:val="005753F1"/>
    <w:rsid w:val="00575460"/>
    <w:rsid w:val="00575511"/>
    <w:rsid w:val="0057557E"/>
    <w:rsid w:val="005756B0"/>
    <w:rsid w:val="0057572A"/>
    <w:rsid w:val="00575791"/>
    <w:rsid w:val="005758D2"/>
    <w:rsid w:val="005759F7"/>
    <w:rsid w:val="00575A1E"/>
    <w:rsid w:val="00575B93"/>
    <w:rsid w:val="00575BD2"/>
    <w:rsid w:val="00575C9B"/>
    <w:rsid w:val="00575DCA"/>
    <w:rsid w:val="00575DDF"/>
    <w:rsid w:val="00575FF9"/>
    <w:rsid w:val="0057613E"/>
    <w:rsid w:val="00576159"/>
    <w:rsid w:val="00576395"/>
    <w:rsid w:val="005765CC"/>
    <w:rsid w:val="005767E1"/>
    <w:rsid w:val="005767FD"/>
    <w:rsid w:val="00576A14"/>
    <w:rsid w:val="00576A40"/>
    <w:rsid w:val="00576AE5"/>
    <w:rsid w:val="00576C16"/>
    <w:rsid w:val="00576D73"/>
    <w:rsid w:val="00576DD4"/>
    <w:rsid w:val="005770A6"/>
    <w:rsid w:val="005771F3"/>
    <w:rsid w:val="005772F1"/>
    <w:rsid w:val="00577327"/>
    <w:rsid w:val="0057752B"/>
    <w:rsid w:val="00577549"/>
    <w:rsid w:val="005776BC"/>
    <w:rsid w:val="005778D5"/>
    <w:rsid w:val="005778EE"/>
    <w:rsid w:val="00577B12"/>
    <w:rsid w:val="00577B94"/>
    <w:rsid w:val="00577C31"/>
    <w:rsid w:val="00577C82"/>
    <w:rsid w:val="00577CE0"/>
    <w:rsid w:val="00577FC8"/>
    <w:rsid w:val="00580255"/>
    <w:rsid w:val="00580304"/>
    <w:rsid w:val="0058033B"/>
    <w:rsid w:val="0058041E"/>
    <w:rsid w:val="00580432"/>
    <w:rsid w:val="0058045A"/>
    <w:rsid w:val="005805C7"/>
    <w:rsid w:val="005806B9"/>
    <w:rsid w:val="00580785"/>
    <w:rsid w:val="005807B0"/>
    <w:rsid w:val="005808B6"/>
    <w:rsid w:val="00580914"/>
    <w:rsid w:val="00580942"/>
    <w:rsid w:val="00580A5C"/>
    <w:rsid w:val="00580C15"/>
    <w:rsid w:val="00580C62"/>
    <w:rsid w:val="00580D91"/>
    <w:rsid w:val="00580E38"/>
    <w:rsid w:val="00580E66"/>
    <w:rsid w:val="00580EF6"/>
    <w:rsid w:val="00580F14"/>
    <w:rsid w:val="005811FC"/>
    <w:rsid w:val="00581283"/>
    <w:rsid w:val="005812AD"/>
    <w:rsid w:val="00581326"/>
    <w:rsid w:val="005813AB"/>
    <w:rsid w:val="0058196B"/>
    <w:rsid w:val="005819EA"/>
    <w:rsid w:val="00581AB0"/>
    <w:rsid w:val="00581F13"/>
    <w:rsid w:val="00581F5D"/>
    <w:rsid w:val="00582044"/>
    <w:rsid w:val="005820FF"/>
    <w:rsid w:val="00582169"/>
    <w:rsid w:val="005822F4"/>
    <w:rsid w:val="0058249E"/>
    <w:rsid w:val="0058291F"/>
    <w:rsid w:val="00582998"/>
    <w:rsid w:val="00582A00"/>
    <w:rsid w:val="00582AEF"/>
    <w:rsid w:val="00582B93"/>
    <w:rsid w:val="00582D87"/>
    <w:rsid w:val="00582D9C"/>
    <w:rsid w:val="00582E23"/>
    <w:rsid w:val="00582E69"/>
    <w:rsid w:val="00582F26"/>
    <w:rsid w:val="00582F94"/>
    <w:rsid w:val="00583177"/>
    <w:rsid w:val="0058319C"/>
    <w:rsid w:val="00583232"/>
    <w:rsid w:val="00583301"/>
    <w:rsid w:val="00583496"/>
    <w:rsid w:val="0058360F"/>
    <w:rsid w:val="00583614"/>
    <w:rsid w:val="0058373B"/>
    <w:rsid w:val="00583A93"/>
    <w:rsid w:val="00583BDB"/>
    <w:rsid w:val="00583C4E"/>
    <w:rsid w:val="00583CE5"/>
    <w:rsid w:val="00583D21"/>
    <w:rsid w:val="00583DA0"/>
    <w:rsid w:val="00583DE0"/>
    <w:rsid w:val="0058409A"/>
    <w:rsid w:val="005840BA"/>
    <w:rsid w:val="005840DD"/>
    <w:rsid w:val="00584124"/>
    <w:rsid w:val="005841C4"/>
    <w:rsid w:val="005841DB"/>
    <w:rsid w:val="0058424A"/>
    <w:rsid w:val="00584373"/>
    <w:rsid w:val="005844E4"/>
    <w:rsid w:val="005844ED"/>
    <w:rsid w:val="005846D1"/>
    <w:rsid w:val="005847A8"/>
    <w:rsid w:val="005848F1"/>
    <w:rsid w:val="00584916"/>
    <w:rsid w:val="00584939"/>
    <w:rsid w:val="00584992"/>
    <w:rsid w:val="005849BC"/>
    <w:rsid w:val="00584BEA"/>
    <w:rsid w:val="00584C4C"/>
    <w:rsid w:val="00584CE2"/>
    <w:rsid w:val="00584CF1"/>
    <w:rsid w:val="00584D0F"/>
    <w:rsid w:val="00584D34"/>
    <w:rsid w:val="00584D62"/>
    <w:rsid w:val="00584FD2"/>
    <w:rsid w:val="00585173"/>
    <w:rsid w:val="00585267"/>
    <w:rsid w:val="0058532B"/>
    <w:rsid w:val="0058540E"/>
    <w:rsid w:val="0058544E"/>
    <w:rsid w:val="00585492"/>
    <w:rsid w:val="005854D3"/>
    <w:rsid w:val="00585500"/>
    <w:rsid w:val="00585515"/>
    <w:rsid w:val="0058552F"/>
    <w:rsid w:val="00585546"/>
    <w:rsid w:val="00585591"/>
    <w:rsid w:val="005855A5"/>
    <w:rsid w:val="005855E8"/>
    <w:rsid w:val="00585649"/>
    <w:rsid w:val="00585754"/>
    <w:rsid w:val="005857EF"/>
    <w:rsid w:val="00585873"/>
    <w:rsid w:val="00585A08"/>
    <w:rsid w:val="00585A40"/>
    <w:rsid w:val="00585AE8"/>
    <w:rsid w:val="00585B3E"/>
    <w:rsid w:val="00585CB1"/>
    <w:rsid w:val="00585CE6"/>
    <w:rsid w:val="00585D79"/>
    <w:rsid w:val="00585DD1"/>
    <w:rsid w:val="00585E34"/>
    <w:rsid w:val="00585F73"/>
    <w:rsid w:val="00585FC8"/>
    <w:rsid w:val="0058604F"/>
    <w:rsid w:val="00586057"/>
    <w:rsid w:val="0058608B"/>
    <w:rsid w:val="005861A4"/>
    <w:rsid w:val="005862A8"/>
    <w:rsid w:val="005864B3"/>
    <w:rsid w:val="0058651C"/>
    <w:rsid w:val="0058656F"/>
    <w:rsid w:val="00586583"/>
    <w:rsid w:val="00586602"/>
    <w:rsid w:val="005866F1"/>
    <w:rsid w:val="00586826"/>
    <w:rsid w:val="00586892"/>
    <w:rsid w:val="005868ED"/>
    <w:rsid w:val="00586934"/>
    <w:rsid w:val="00586990"/>
    <w:rsid w:val="00586A65"/>
    <w:rsid w:val="00586ABC"/>
    <w:rsid w:val="00586CDC"/>
    <w:rsid w:val="00586DB2"/>
    <w:rsid w:val="00586EB6"/>
    <w:rsid w:val="00586F8A"/>
    <w:rsid w:val="0058703C"/>
    <w:rsid w:val="005870AC"/>
    <w:rsid w:val="00587166"/>
    <w:rsid w:val="00587280"/>
    <w:rsid w:val="005872CB"/>
    <w:rsid w:val="00587302"/>
    <w:rsid w:val="005873DA"/>
    <w:rsid w:val="005874D4"/>
    <w:rsid w:val="00587507"/>
    <w:rsid w:val="00587572"/>
    <w:rsid w:val="0058762D"/>
    <w:rsid w:val="005876FE"/>
    <w:rsid w:val="0058789B"/>
    <w:rsid w:val="0058799E"/>
    <w:rsid w:val="00587AE7"/>
    <w:rsid w:val="00587CF4"/>
    <w:rsid w:val="00587D0A"/>
    <w:rsid w:val="00587E0B"/>
    <w:rsid w:val="00587E2C"/>
    <w:rsid w:val="00587FA0"/>
    <w:rsid w:val="00587FE7"/>
    <w:rsid w:val="00590038"/>
    <w:rsid w:val="00590167"/>
    <w:rsid w:val="0059020B"/>
    <w:rsid w:val="00590227"/>
    <w:rsid w:val="00590590"/>
    <w:rsid w:val="005905D7"/>
    <w:rsid w:val="0059061F"/>
    <w:rsid w:val="0059069E"/>
    <w:rsid w:val="0059072C"/>
    <w:rsid w:val="005907B0"/>
    <w:rsid w:val="00590826"/>
    <w:rsid w:val="00590848"/>
    <w:rsid w:val="00590A5A"/>
    <w:rsid w:val="00590B24"/>
    <w:rsid w:val="00590CAD"/>
    <w:rsid w:val="00590FC6"/>
    <w:rsid w:val="00591075"/>
    <w:rsid w:val="00591139"/>
    <w:rsid w:val="00591218"/>
    <w:rsid w:val="00591311"/>
    <w:rsid w:val="00591318"/>
    <w:rsid w:val="005915DF"/>
    <w:rsid w:val="00591758"/>
    <w:rsid w:val="0059177E"/>
    <w:rsid w:val="005918B8"/>
    <w:rsid w:val="005919F3"/>
    <w:rsid w:val="00591B21"/>
    <w:rsid w:val="00591B85"/>
    <w:rsid w:val="00591BD3"/>
    <w:rsid w:val="00591C06"/>
    <w:rsid w:val="00591C73"/>
    <w:rsid w:val="00591DBC"/>
    <w:rsid w:val="00591DD3"/>
    <w:rsid w:val="00591E54"/>
    <w:rsid w:val="00591E7B"/>
    <w:rsid w:val="0059207F"/>
    <w:rsid w:val="00592149"/>
    <w:rsid w:val="005921FB"/>
    <w:rsid w:val="005922AC"/>
    <w:rsid w:val="00592309"/>
    <w:rsid w:val="0059239F"/>
    <w:rsid w:val="0059243C"/>
    <w:rsid w:val="00592488"/>
    <w:rsid w:val="00592632"/>
    <w:rsid w:val="00592721"/>
    <w:rsid w:val="005927DA"/>
    <w:rsid w:val="005927E7"/>
    <w:rsid w:val="0059282F"/>
    <w:rsid w:val="00592992"/>
    <w:rsid w:val="00592B26"/>
    <w:rsid w:val="00592D41"/>
    <w:rsid w:val="00592D9E"/>
    <w:rsid w:val="00592DCE"/>
    <w:rsid w:val="00592E45"/>
    <w:rsid w:val="00592F32"/>
    <w:rsid w:val="0059344A"/>
    <w:rsid w:val="00593555"/>
    <w:rsid w:val="005935A5"/>
    <w:rsid w:val="005935F6"/>
    <w:rsid w:val="00593618"/>
    <w:rsid w:val="005937A2"/>
    <w:rsid w:val="005937C8"/>
    <w:rsid w:val="0059398B"/>
    <w:rsid w:val="00593A57"/>
    <w:rsid w:val="00593AE3"/>
    <w:rsid w:val="00593BFB"/>
    <w:rsid w:val="00593C66"/>
    <w:rsid w:val="00593C69"/>
    <w:rsid w:val="00593C80"/>
    <w:rsid w:val="00593C92"/>
    <w:rsid w:val="00593CE5"/>
    <w:rsid w:val="00593DFA"/>
    <w:rsid w:val="00593DFF"/>
    <w:rsid w:val="00593E0A"/>
    <w:rsid w:val="0059400B"/>
    <w:rsid w:val="0059403C"/>
    <w:rsid w:val="00594050"/>
    <w:rsid w:val="005940EE"/>
    <w:rsid w:val="00594129"/>
    <w:rsid w:val="0059415D"/>
    <w:rsid w:val="0059418A"/>
    <w:rsid w:val="0059423A"/>
    <w:rsid w:val="005943B0"/>
    <w:rsid w:val="0059441E"/>
    <w:rsid w:val="00594427"/>
    <w:rsid w:val="005944F2"/>
    <w:rsid w:val="00594545"/>
    <w:rsid w:val="005945DB"/>
    <w:rsid w:val="0059461D"/>
    <w:rsid w:val="005946BC"/>
    <w:rsid w:val="005946C4"/>
    <w:rsid w:val="005947A8"/>
    <w:rsid w:val="005947E1"/>
    <w:rsid w:val="00594835"/>
    <w:rsid w:val="0059492F"/>
    <w:rsid w:val="00594973"/>
    <w:rsid w:val="00594AF0"/>
    <w:rsid w:val="00594B4A"/>
    <w:rsid w:val="00594BC1"/>
    <w:rsid w:val="00594BE7"/>
    <w:rsid w:val="00594BEF"/>
    <w:rsid w:val="00594D54"/>
    <w:rsid w:val="00594D72"/>
    <w:rsid w:val="00594DDA"/>
    <w:rsid w:val="00594EEB"/>
    <w:rsid w:val="00594EFD"/>
    <w:rsid w:val="00594F40"/>
    <w:rsid w:val="00595003"/>
    <w:rsid w:val="00595005"/>
    <w:rsid w:val="0059503D"/>
    <w:rsid w:val="00595059"/>
    <w:rsid w:val="0059508B"/>
    <w:rsid w:val="00595148"/>
    <w:rsid w:val="00595232"/>
    <w:rsid w:val="005952C4"/>
    <w:rsid w:val="005952C7"/>
    <w:rsid w:val="00595381"/>
    <w:rsid w:val="00595394"/>
    <w:rsid w:val="00595448"/>
    <w:rsid w:val="00595516"/>
    <w:rsid w:val="00595653"/>
    <w:rsid w:val="005956A5"/>
    <w:rsid w:val="005957D7"/>
    <w:rsid w:val="00595826"/>
    <w:rsid w:val="0059584E"/>
    <w:rsid w:val="00595881"/>
    <w:rsid w:val="00595928"/>
    <w:rsid w:val="005959A0"/>
    <w:rsid w:val="005959C9"/>
    <w:rsid w:val="00595ABF"/>
    <w:rsid w:val="00595B91"/>
    <w:rsid w:val="00595C05"/>
    <w:rsid w:val="00595C45"/>
    <w:rsid w:val="00595DCB"/>
    <w:rsid w:val="00595DF0"/>
    <w:rsid w:val="00595EFE"/>
    <w:rsid w:val="00595EFF"/>
    <w:rsid w:val="00595F07"/>
    <w:rsid w:val="00595FB2"/>
    <w:rsid w:val="00596122"/>
    <w:rsid w:val="00596391"/>
    <w:rsid w:val="005964D4"/>
    <w:rsid w:val="0059651E"/>
    <w:rsid w:val="005966B3"/>
    <w:rsid w:val="00596777"/>
    <w:rsid w:val="00596899"/>
    <w:rsid w:val="005968EC"/>
    <w:rsid w:val="00596A71"/>
    <w:rsid w:val="00596C08"/>
    <w:rsid w:val="00596D6E"/>
    <w:rsid w:val="00596DA2"/>
    <w:rsid w:val="00596DDD"/>
    <w:rsid w:val="00596E02"/>
    <w:rsid w:val="00597000"/>
    <w:rsid w:val="0059704D"/>
    <w:rsid w:val="0059707A"/>
    <w:rsid w:val="00597080"/>
    <w:rsid w:val="005973DA"/>
    <w:rsid w:val="005973DD"/>
    <w:rsid w:val="005973F9"/>
    <w:rsid w:val="005974DB"/>
    <w:rsid w:val="00597604"/>
    <w:rsid w:val="0059775F"/>
    <w:rsid w:val="005977B1"/>
    <w:rsid w:val="0059787B"/>
    <w:rsid w:val="0059788F"/>
    <w:rsid w:val="005978B9"/>
    <w:rsid w:val="0059790F"/>
    <w:rsid w:val="0059792B"/>
    <w:rsid w:val="00597930"/>
    <w:rsid w:val="0059794C"/>
    <w:rsid w:val="0059794F"/>
    <w:rsid w:val="00597A50"/>
    <w:rsid w:val="00597A8B"/>
    <w:rsid w:val="00597ADC"/>
    <w:rsid w:val="00597B70"/>
    <w:rsid w:val="00597B77"/>
    <w:rsid w:val="00597D78"/>
    <w:rsid w:val="00597DE6"/>
    <w:rsid w:val="00597F0B"/>
    <w:rsid w:val="005A009C"/>
    <w:rsid w:val="005A0188"/>
    <w:rsid w:val="005A01A1"/>
    <w:rsid w:val="005A0238"/>
    <w:rsid w:val="005A0349"/>
    <w:rsid w:val="005A03D7"/>
    <w:rsid w:val="005A0452"/>
    <w:rsid w:val="005A05A0"/>
    <w:rsid w:val="005A07AA"/>
    <w:rsid w:val="005A0918"/>
    <w:rsid w:val="005A093B"/>
    <w:rsid w:val="005A0ADE"/>
    <w:rsid w:val="005A0C16"/>
    <w:rsid w:val="005A0C40"/>
    <w:rsid w:val="005A0C48"/>
    <w:rsid w:val="005A0CD1"/>
    <w:rsid w:val="005A0CF9"/>
    <w:rsid w:val="005A0D99"/>
    <w:rsid w:val="005A0EAB"/>
    <w:rsid w:val="005A0EBD"/>
    <w:rsid w:val="005A0F98"/>
    <w:rsid w:val="005A10C0"/>
    <w:rsid w:val="005A1170"/>
    <w:rsid w:val="005A11A1"/>
    <w:rsid w:val="005A11B9"/>
    <w:rsid w:val="005A1202"/>
    <w:rsid w:val="005A12CF"/>
    <w:rsid w:val="005A131C"/>
    <w:rsid w:val="005A133A"/>
    <w:rsid w:val="005A1449"/>
    <w:rsid w:val="005A1510"/>
    <w:rsid w:val="005A1512"/>
    <w:rsid w:val="005A1788"/>
    <w:rsid w:val="005A1798"/>
    <w:rsid w:val="005A182C"/>
    <w:rsid w:val="005A1A7D"/>
    <w:rsid w:val="005A1B81"/>
    <w:rsid w:val="005A1BE1"/>
    <w:rsid w:val="005A1C53"/>
    <w:rsid w:val="005A1C84"/>
    <w:rsid w:val="005A1CF4"/>
    <w:rsid w:val="005A1D63"/>
    <w:rsid w:val="005A1D94"/>
    <w:rsid w:val="005A1F53"/>
    <w:rsid w:val="005A2141"/>
    <w:rsid w:val="005A21EE"/>
    <w:rsid w:val="005A22F1"/>
    <w:rsid w:val="005A22F4"/>
    <w:rsid w:val="005A2329"/>
    <w:rsid w:val="005A24BA"/>
    <w:rsid w:val="005A2549"/>
    <w:rsid w:val="005A25C8"/>
    <w:rsid w:val="005A264A"/>
    <w:rsid w:val="005A2781"/>
    <w:rsid w:val="005A2809"/>
    <w:rsid w:val="005A289F"/>
    <w:rsid w:val="005A2958"/>
    <w:rsid w:val="005A2A68"/>
    <w:rsid w:val="005A2A71"/>
    <w:rsid w:val="005A2AE5"/>
    <w:rsid w:val="005A2B75"/>
    <w:rsid w:val="005A2C12"/>
    <w:rsid w:val="005A2C64"/>
    <w:rsid w:val="005A2EF4"/>
    <w:rsid w:val="005A2F60"/>
    <w:rsid w:val="005A2FE4"/>
    <w:rsid w:val="005A31B6"/>
    <w:rsid w:val="005A3304"/>
    <w:rsid w:val="005A3356"/>
    <w:rsid w:val="005A3359"/>
    <w:rsid w:val="005A356A"/>
    <w:rsid w:val="005A35B4"/>
    <w:rsid w:val="005A35C2"/>
    <w:rsid w:val="005A3631"/>
    <w:rsid w:val="005A36CB"/>
    <w:rsid w:val="005A3892"/>
    <w:rsid w:val="005A3899"/>
    <w:rsid w:val="005A3975"/>
    <w:rsid w:val="005A3990"/>
    <w:rsid w:val="005A39A4"/>
    <w:rsid w:val="005A3A54"/>
    <w:rsid w:val="005A3B4A"/>
    <w:rsid w:val="005A3B6E"/>
    <w:rsid w:val="005A3E04"/>
    <w:rsid w:val="005A3E0A"/>
    <w:rsid w:val="005A3F94"/>
    <w:rsid w:val="005A3FA1"/>
    <w:rsid w:val="005A3FFB"/>
    <w:rsid w:val="005A4011"/>
    <w:rsid w:val="005A41C6"/>
    <w:rsid w:val="005A4334"/>
    <w:rsid w:val="005A433F"/>
    <w:rsid w:val="005A46B9"/>
    <w:rsid w:val="005A47CA"/>
    <w:rsid w:val="005A4948"/>
    <w:rsid w:val="005A4A8B"/>
    <w:rsid w:val="005A4B69"/>
    <w:rsid w:val="005A4C47"/>
    <w:rsid w:val="005A4CBA"/>
    <w:rsid w:val="005A4E0C"/>
    <w:rsid w:val="005A4E3B"/>
    <w:rsid w:val="005A4EF5"/>
    <w:rsid w:val="005A52BC"/>
    <w:rsid w:val="005A5381"/>
    <w:rsid w:val="005A540F"/>
    <w:rsid w:val="005A5575"/>
    <w:rsid w:val="005A5E62"/>
    <w:rsid w:val="005A5F36"/>
    <w:rsid w:val="005A603B"/>
    <w:rsid w:val="005A610E"/>
    <w:rsid w:val="005A6147"/>
    <w:rsid w:val="005A6303"/>
    <w:rsid w:val="005A6425"/>
    <w:rsid w:val="005A64EB"/>
    <w:rsid w:val="005A6515"/>
    <w:rsid w:val="005A6721"/>
    <w:rsid w:val="005A67EE"/>
    <w:rsid w:val="005A68C1"/>
    <w:rsid w:val="005A6A08"/>
    <w:rsid w:val="005A6A17"/>
    <w:rsid w:val="005A6AAE"/>
    <w:rsid w:val="005A6B2C"/>
    <w:rsid w:val="005A6C37"/>
    <w:rsid w:val="005A6CCF"/>
    <w:rsid w:val="005A6DB7"/>
    <w:rsid w:val="005A6E89"/>
    <w:rsid w:val="005A6F04"/>
    <w:rsid w:val="005A7028"/>
    <w:rsid w:val="005A7246"/>
    <w:rsid w:val="005A7254"/>
    <w:rsid w:val="005A7341"/>
    <w:rsid w:val="005A73AE"/>
    <w:rsid w:val="005A73E2"/>
    <w:rsid w:val="005A7612"/>
    <w:rsid w:val="005A7624"/>
    <w:rsid w:val="005A7676"/>
    <w:rsid w:val="005A76A6"/>
    <w:rsid w:val="005A7829"/>
    <w:rsid w:val="005A78EE"/>
    <w:rsid w:val="005A7903"/>
    <w:rsid w:val="005A79CA"/>
    <w:rsid w:val="005A79D3"/>
    <w:rsid w:val="005A7A54"/>
    <w:rsid w:val="005A7A6F"/>
    <w:rsid w:val="005A7A71"/>
    <w:rsid w:val="005A7A9C"/>
    <w:rsid w:val="005A7AC1"/>
    <w:rsid w:val="005A7D13"/>
    <w:rsid w:val="005A7D68"/>
    <w:rsid w:val="005A7DAA"/>
    <w:rsid w:val="005A7FE7"/>
    <w:rsid w:val="005B0006"/>
    <w:rsid w:val="005B0096"/>
    <w:rsid w:val="005B0583"/>
    <w:rsid w:val="005B05F0"/>
    <w:rsid w:val="005B0648"/>
    <w:rsid w:val="005B066A"/>
    <w:rsid w:val="005B07CD"/>
    <w:rsid w:val="005B07FF"/>
    <w:rsid w:val="005B082B"/>
    <w:rsid w:val="005B08B0"/>
    <w:rsid w:val="005B0936"/>
    <w:rsid w:val="005B093F"/>
    <w:rsid w:val="005B0951"/>
    <w:rsid w:val="005B09D0"/>
    <w:rsid w:val="005B0A63"/>
    <w:rsid w:val="005B0D0B"/>
    <w:rsid w:val="005B0DA0"/>
    <w:rsid w:val="005B0F4C"/>
    <w:rsid w:val="005B0FA9"/>
    <w:rsid w:val="005B1035"/>
    <w:rsid w:val="005B131C"/>
    <w:rsid w:val="005B1394"/>
    <w:rsid w:val="005B139F"/>
    <w:rsid w:val="005B14FA"/>
    <w:rsid w:val="005B1680"/>
    <w:rsid w:val="005B17CD"/>
    <w:rsid w:val="005B1894"/>
    <w:rsid w:val="005B1907"/>
    <w:rsid w:val="005B1C7E"/>
    <w:rsid w:val="005B1C8D"/>
    <w:rsid w:val="005B1D43"/>
    <w:rsid w:val="005B1D79"/>
    <w:rsid w:val="005B1DFB"/>
    <w:rsid w:val="005B1EBE"/>
    <w:rsid w:val="005B20A6"/>
    <w:rsid w:val="005B20FD"/>
    <w:rsid w:val="005B21AB"/>
    <w:rsid w:val="005B226C"/>
    <w:rsid w:val="005B2292"/>
    <w:rsid w:val="005B241C"/>
    <w:rsid w:val="005B258E"/>
    <w:rsid w:val="005B2592"/>
    <w:rsid w:val="005B2621"/>
    <w:rsid w:val="005B2688"/>
    <w:rsid w:val="005B2782"/>
    <w:rsid w:val="005B286A"/>
    <w:rsid w:val="005B2A20"/>
    <w:rsid w:val="005B2B61"/>
    <w:rsid w:val="005B2BE5"/>
    <w:rsid w:val="005B2CA2"/>
    <w:rsid w:val="005B2F35"/>
    <w:rsid w:val="005B313C"/>
    <w:rsid w:val="005B315F"/>
    <w:rsid w:val="005B3318"/>
    <w:rsid w:val="005B342D"/>
    <w:rsid w:val="005B3532"/>
    <w:rsid w:val="005B358E"/>
    <w:rsid w:val="005B35B9"/>
    <w:rsid w:val="005B381F"/>
    <w:rsid w:val="005B3919"/>
    <w:rsid w:val="005B394D"/>
    <w:rsid w:val="005B3A93"/>
    <w:rsid w:val="005B3B2D"/>
    <w:rsid w:val="005B3B3E"/>
    <w:rsid w:val="005B3B87"/>
    <w:rsid w:val="005B3BFD"/>
    <w:rsid w:val="005B3CEF"/>
    <w:rsid w:val="005B3D72"/>
    <w:rsid w:val="005B3F1C"/>
    <w:rsid w:val="005B3F33"/>
    <w:rsid w:val="005B3F8E"/>
    <w:rsid w:val="005B3FEF"/>
    <w:rsid w:val="005B4029"/>
    <w:rsid w:val="005B4100"/>
    <w:rsid w:val="005B419F"/>
    <w:rsid w:val="005B429D"/>
    <w:rsid w:val="005B42C7"/>
    <w:rsid w:val="005B42C9"/>
    <w:rsid w:val="005B4351"/>
    <w:rsid w:val="005B442F"/>
    <w:rsid w:val="005B44D1"/>
    <w:rsid w:val="005B47B2"/>
    <w:rsid w:val="005B4820"/>
    <w:rsid w:val="005B4916"/>
    <w:rsid w:val="005B4954"/>
    <w:rsid w:val="005B49BD"/>
    <w:rsid w:val="005B4B45"/>
    <w:rsid w:val="005B4C59"/>
    <w:rsid w:val="005B4C79"/>
    <w:rsid w:val="005B4D40"/>
    <w:rsid w:val="005B4D80"/>
    <w:rsid w:val="005B4DBE"/>
    <w:rsid w:val="005B4E9C"/>
    <w:rsid w:val="005B4F56"/>
    <w:rsid w:val="005B4FF0"/>
    <w:rsid w:val="005B4FFA"/>
    <w:rsid w:val="005B51F0"/>
    <w:rsid w:val="005B52B3"/>
    <w:rsid w:val="005B53DE"/>
    <w:rsid w:val="005B53E3"/>
    <w:rsid w:val="005B54BA"/>
    <w:rsid w:val="005B54C2"/>
    <w:rsid w:val="005B555A"/>
    <w:rsid w:val="005B56B2"/>
    <w:rsid w:val="005B590E"/>
    <w:rsid w:val="005B5AAE"/>
    <w:rsid w:val="005B5BD0"/>
    <w:rsid w:val="005B5BED"/>
    <w:rsid w:val="005B5C39"/>
    <w:rsid w:val="005B5D7F"/>
    <w:rsid w:val="005B5D9A"/>
    <w:rsid w:val="005B5E12"/>
    <w:rsid w:val="005B5EBC"/>
    <w:rsid w:val="005B6103"/>
    <w:rsid w:val="005B610E"/>
    <w:rsid w:val="005B6215"/>
    <w:rsid w:val="005B62BB"/>
    <w:rsid w:val="005B62C8"/>
    <w:rsid w:val="005B643D"/>
    <w:rsid w:val="005B649F"/>
    <w:rsid w:val="005B64E5"/>
    <w:rsid w:val="005B6567"/>
    <w:rsid w:val="005B65B8"/>
    <w:rsid w:val="005B66E2"/>
    <w:rsid w:val="005B66FA"/>
    <w:rsid w:val="005B6707"/>
    <w:rsid w:val="005B6A03"/>
    <w:rsid w:val="005B6B21"/>
    <w:rsid w:val="005B6B42"/>
    <w:rsid w:val="005B6B4D"/>
    <w:rsid w:val="005B6C35"/>
    <w:rsid w:val="005B6C5F"/>
    <w:rsid w:val="005B6D08"/>
    <w:rsid w:val="005B6DC9"/>
    <w:rsid w:val="005B6E28"/>
    <w:rsid w:val="005B6F2B"/>
    <w:rsid w:val="005B7117"/>
    <w:rsid w:val="005B71E7"/>
    <w:rsid w:val="005B73C6"/>
    <w:rsid w:val="005B73D9"/>
    <w:rsid w:val="005B74F4"/>
    <w:rsid w:val="005B7509"/>
    <w:rsid w:val="005B75EC"/>
    <w:rsid w:val="005B78E2"/>
    <w:rsid w:val="005B7915"/>
    <w:rsid w:val="005B7921"/>
    <w:rsid w:val="005B7997"/>
    <w:rsid w:val="005B79B7"/>
    <w:rsid w:val="005B79C6"/>
    <w:rsid w:val="005B7A0C"/>
    <w:rsid w:val="005B7A96"/>
    <w:rsid w:val="005B7AD4"/>
    <w:rsid w:val="005B7B23"/>
    <w:rsid w:val="005B7BB9"/>
    <w:rsid w:val="005B7C02"/>
    <w:rsid w:val="005B7CF3"/>
    <w:rsid w:val="005B7F78"/>
    <w:rsid w:val="005C00A3"/>
    <w:rsid w:val="005C00E6"/>
    <w:rsid w:val="005C01A5"/>
    <w:rsid w:val="005C01DB"/>
    <w:rsid w:val="005C0304"/>
    <w:rsid w:val="005C0490"/>
    <w:rsid w:val="005C071D"/>
    <w:rsid w:val="005C0ACD"/>
    <w:rsid w:val="005C0B9A"/>
    <w:rsid w:val="005C0D33"/>
    <w:rsid w:val="005C0E20"/>
    <w:rsid w:val="005C0E64"/>
    <w:rsid w:val="005C0F20"/>
    <w:rsid w:val="005C0F56"/>
    <w:rsid w:val="005C0F81"/>
    <w:rsid w:val="005C109A"/>
    <w:rsid w:val="005C10EA"/>
    <w:rsid w:val="005C125C"/>
    <w:rsid w:val="005C12B0"/>
    <w:rsid w:val="005C136B"/>
    <w:rsid w:val="005C1415"/>
    <w:rsid w:val="005C14FD"/>
    <w:rsid w:val="005C1561"/>
    <w:rsid w:val="005C1582"/>
    <w:rsid w:val="005C173C"/>
    <w:rsid w:val="005C183E"/>
    <w:rsid w:val="005C1941"/>
    <w:rsid w:val="005C1B4C"/>
    <w:rsid w:val="005C1D57"/>
    <w:rsid w:val="005C1F66"/>
    <w:rsid w:val="005C209F"/>
    <w:rsid w:val="005C20EE"/>
    <w:rsid w:val="005C2131"/>
    <w:rsid w:val="005C2192"/>
    <w:rsid w:val="005C2339"/>
    <w:rsid w:val="005C23E3"/>
    <w:rsid w:val="005C2438"/>
    <w:rsid w:val="005C2503"/>
    <w:rsid w:val="005C2565"/>
    <w:rsid w:val="005C2674"/>
    <w:rsid w:val="005C27CC"/>
    <w:rsid w:val="005C27FC"/>
    <w:rsid w:val="005C2862"/>
    <w:rsid w:val="005C28AD"/>
    <w:rsid w:val="005C293D"/>
    <w:rsid w:val="005C2979"/>
    <w:rsid w:val="005C29B4"/>
    <w:rsid w:val="005C2A34"/>
    <w:rsid w:val="005C2C50"/>
    <w:rsid w:val="005C2C6D"/>
    <w:rsid w:val="005C2D31"/>
    <w:rsid w:val="005C2DE6"/>
    <w:rsid w:val="005C2E31"/>
    <w:rsid w:val="005C30AB"/>
    <w:rsid w:val="005C30CC"/>
    <w:rsid w:val="005C30F2"/>
    <w:rsid w:val="005C3120"/>
    <w:rsid w:val="005C3140"/>
    <w:rsid w:val="005C3192"/>
    <w:rsid w:val="005C31A9"/>
    <w:rsid w:val="005C31B9"/>
    <w:rsid w:val="005C31E6"/>
    <w:rsid w:val="005C3259"/>
    <w:rsid w:val="005C3519"/>
    <w:rsid w:val="005C3545"/>
    <w:rsid w:val="005C356E"/>
    <w:rsid w:val="005C358E"/>
    <w:rsid w:val="005C3599"/>
    <w:rsid w:val="005C35D9"/>
    <w:rsid w:val="005C35F3"/>
    <w:rsid w:val="005C35FC"/>
    <w:rsid w:val="005C3873"/>
    <w:rsid w:val="005C38FD"/>
    <w:rsid w:val="005C3937"/>
    <w:rsid w:val="005C3A06"/>
    <w:rsid w:val="005C3ABD"/>
    <w:rsid w:val="005C3ACA"/>
    <w:rsid w:val="005C3B4E"/>
    <w:rsid w:val="005C3BFE"/>
    <w:rsid w:val="005C3C41"/>
    <w:rsid w:val="005C3CA4"/>
    <w:rsid w:val="005C3CDE"/>
    <w:rsid w:val="005C3CEE"/>
    <w:rsid w:val="005C3CF6"/>
    <w:rsid w:val="005C3D56"/>
    <w:rsid w:val="005C3DF7"/>
    <w:rsid w:val="005C3E60"/>
    <w:rsid w:val="005C3E8C"/>
    <w:rsid w:val="005C402A"/>
    <w:rsid w:val="005C40A2"/>
    <w:rsid w:val="005C4108"/>
    <w:rsid w:val="005C4277"/>
    <w:rsid w:val="005C42F6"/>
    <w:rsid w:val="005C4567"/>
    <w:rsid w:val="005C46EA"/>
    <w:rsid w:val="005C488A"/>
    <w:rsid w:val="005C48FE"/>
    <w:rsid w:val="005C4993"/>
    <w:rsid w:val="005C49A2"/>
    <w:rsid w:val="005C49EC"/>
    <w:rsid w:val="005C49F4"/>
    <w:rsid w:val="005C4A27"/>
    <w:rsid w:val="005C4A59"/>
    <w:rsid w:val="005C4B5B"/>
    <w:rsid w:val="005C4BFD"/>
    <w:rsid w:val="005C4C3A"/>
    <w:rsid w:val="005C4D0F"/>
    <w:rsid w:val="005C4DC0"/>
    <w:rsid w:val="005C5007"/>
    <w:rsid w:val="005C5043"/>
    <w:rsid w:val="005C5119"/>
    <w:rsid w:val="005C5175"/>
    <w:rsid w:val="005C51C5"/>
    <w:rsid w:val="005C52E5"/>
    <w:rsid w:val="005C53CF"/>
    <w:rsid w:val="005C5454"/>
    <w:rsid w:val="005C545A"/>
    <w:rsid w:val="005C54A1"/>
    <w:rsid w:val="005C5530"/>
    <w:rsid w:val="005C55A3"/>
    <w:rsid w:val="005C55D2"/>
    <w:rsid w:val="005C590A"/>
    <w:rsid w:val="005C599D"/>
    <w:rsid w:val="005C59C3"/>
    <w:rsid w:val="005C5B08"/>
    <w:rsid w:val="005C5C68"/>
    <w:rsid w:val="005C5D34"/>
    <w:rsid w:val="005C5D36"/>
    <w:rsid w:val="005C5DF3"/>
    <w:rsid w:val="005C5E03"/>
    <w:rsid w:val="005C5EC3"/>
    <w:rsid w:val="005C5ED9"/>
    <w:rsid w:val="005C5FD6"/>
    <w:rsid w:val="005C6189"/>
    <w:rsid w:val="005C6575"/>
    <w:rsid w:val="005C6577"/>
    <w:rsid w:val="005C6606"/>
    <w:rsid w:val="005C66D3"/>
    <w:rsid w:val="005C685C"/>
    <w:rsid w:val="005C68EF"/>
    <w:rsid w:val="005C6B9A"/>
    <w:rsid w:val="005C6BA4"/>
    <w:rsid w:val="005C6C1B"/>
    <w:rsid w:val="005C6C46"/>
    <w:rsid w:val="005C6C93"/>
    <w:rsid w:val="005C6D8D"/>
    <w:rsid w:val="005C6F65"/>
    <w:rsid w:val="005C71C2"/>
    <w:rsid w:val="005C7302"/>
    <w:rsid w:val="005C73B3"/>
    <w:rsid w:val="005C73DA"/>
    <w:rsid w:val="005C7560"/>
    <w:rsid w:val="005C7627"/>
    <w:rsid w:val="005C77ED"/>
    <w:rsid w:val="005C791B"/>
    <w:rsid w:val="005C7A36"/>
    <w:rsid w:val="005C7B7E"/>
    <w:rsid w:val="005C7C42"/>
    <w:rsid w:val="005C7C6A"/>
    <w:rsid w:val="005C7C8A"/>
    <w:rsid w:val="005C7E14"/>
    <w:rsid w:val="005C7E4A"/>
    <w:rsid w:val="005C7F96"/>
    <w:rsid w:val="005C7FE9"/>
    <w:rsid w:val="005D0097"/>
    <w:rsid w:val="005D02B2"/>
    <w:rsid w:val="005D03F8"/>
    <w:rsid w:val="005D0443"/>
    <w:rsid w:val="005D04A8"/>
    <w:rsid w:val="005D04C0"/>
    <w:rsid w:val="005D050B"/>
    <w:rsid w:val="005D078B"/>
    <w:rsid w:val="005D0803"/>
    <w:rsid w:val="005D08E5"/>
    <w:rsid w:val="005D0960"/>
    <w:rsid w:val="005D09AF"/>
    <w:rsid w:val="005D0A45"/>
    <w:rsid w:val="005D0A93"/>
    <w:rsid w:val="005D0B2E"/>
    <w:rsid w:val="005D0BF6"/>
    <w:rsid w:val="005D0CF6"/>
    <w:rsid w:val="005D0E06"/>
    <w:rsid w:val="005D0E53"/>
    <w:rsid w:val="005D0E5F"/>
    <w:rsid w:val="005D0F96"/>
    <w:rsid w:val="005D102B"/>
    <w:rsid w:val="005D10A2"/>
    <w:rsid w:val="005D10D2"/>
    <w:rsid w:val="005D1212"/>
    <w:rsid w:val="005D125A"/>
    <w:rsid w:val="005D140D"/>
    <w:rsid w:val="005D1490"/>
    <w:rsid w:val="005D1547"/>
    <w:rsid w:val="005D16B0"/>
    <w:rsid w:val="005D1710"/>
    <w:rsid w:val="005D1813"/>
    <w:rsid w:val="005D185E"/>
    <w:rsid w:val="005D189C"/>
    <w:rsid w:val="005D18ED"/>
    <w:rsid w:val="005D1906"/>
    <w:rsid w:val="005D196E"/>
    <w:rsid w:val="005D1A88"/>
    <w:rsid w:val="005D1B9F"/>
    <w:rsid w:val="005D1C1E"/>
    <w:rsid w:val="005D1C5D"/>
    <w:rsid w:val="005D1D09"/>
    <w:rsid w:val="005D1D49"/>
    <w:rsid w:val="005D1D58"/>
    <w:rsid w:val="005D1D88"/>
    <w:rsid w:val="005D1E45"/>
    <w:rsid w:val="005D1FFE"/>
    <w:rsid w:val="005D2108"/>
    <w:rsid w:val="005D21B3"/>
    <w:rsid w:val="005D22DE"/>
    <w:rsid w:val="005D24D4"/>
    <w:rsid w:val="005D24E9"/>
    <w:rsid w:val="005D24F8"/>
    <w:rsid w:val="005D264A"/>
    <w:rsid w:val="005D2764"/>
    <w:rsid w:val="005D278F"/>
    <w:rsid w:val="005D2809"/>
    <w:rsid w:val="005D2820"/>
    <w:rsid w:val="005D28D2"/>
    <w:rsid w:val="005D29B6"/>
    <w:rsid w:val="005D2A41"/>
    <w:rsid w:val="005D2AB2"/>
    <w:rsid w:val="005D2C0B"/>
    <w:rsid w:val="005D2C37"/>
    <w:rsid w:val="005D2CCE"/>
    <w:rsid w:val="005D2CEB"/>
    <w:rsid w:val="005D2D54"/>
    <w:rsid w:val="005D2E51"/>
    <w:rsid w:val="005D2FD8"/>
    <w:rsid w:val="005D2FF9"/>
    <w:rsid w:val="005D308C"/>
    <w:rsid w:val="005D30DD"/>
    <w:rsid w:val="005D3159"/>
    <w:rsid w:val="005D31B6"/>
    <w:rsid w:val="005D349E"/>
    <w:rsid w:val="005D34AD"/>
    <w:rsid w:val="005D34EA"/>
    <w:rsid w:val="005D37C9"/>
    <w:rsid w:val="005D3C83"/>
    <w:rsid w:val="005D3C85"/>
    <w:rsid w:val="005D3EB8"/>
    <w:rsid w:val="005D3F66"/>
    <w:rsid w:val="005D3FA8"/>
    <w:rsid w:val="005D405C"/>
    <w:rsid w:val="005D4193"/>
    <w:rsid w:val="005D42B3"/>
    <w:rsid w:val="005D45EA"/>
    <w:rsid w:val="005D46D3"/>
    <w:rsid w:val="005D475B"/>
    <w:rsid w:val="005D4825"/>
    <w:rsid w:val="005D49F8"/>
    <w:rsid w:val="005D4A35"/>
    <w:rsid w:val="005D4B5F"/>
    <w:rsid w:val="005D4D9E"/>
    <w:rsid w:val="005D521B"/>
    <w:rsid w:val="005D54B9"/>
    <w:rsid w:val="005D55D7"/>
    <w:rsid w:val="005D561F"/>
    <w:rsid w:val="005D570D"/>
    <w:rsid w:val="005D57D2"/>
    <w:rsid w:val="005D5864"/>
    <w:rsid w:val="005D5882"/>
    <w:rsid w:val="005D58B9"/>
    <w:rsid w:val="005D58EA"/>
    <w:rsid w:val="005D591C"/>
    <w:rsid w:val="005D5C13"/>
    <w:rsid w:val="005D5E09"/>
    <w:rsid w:val="005D5EEC"/>
    <w:rsid w:val="005D5F17"/>
    <w:rsid w:val="005D5F62"/>
    <w:rsid w:val="005D604F"/>
    <w:rsid w:val="005D606A"/>
    <w:rsid w:val="005D6179"/>
    <w:rsid w:val="005D61AA"/>
    <w:rsid w:val="005D64C2"/>
    <w:rsid w:val="005D66B1"/>
    <w:rsid w:val="005D68B0"/>
    <w:rsid w:val="005D6A8E"/>
    <w:rsid w:val="005D6AD0"/>
    <w:rsid w:val="005D6AF8"/>
    <w:rsid w:val="005D6BC7"/>
    <w:rsid w:val="005D6C3B"/>
    <w:rsid w:val="005D6D15"/>
    <w:rsid w:val="005D6E19"/>
    <w:rsid w:val="005D6F6F"/>
    <w:rsid w:val="005D7012"/>
    <w:rsid w:val="005D7275"/>
    <w:rsid w:val="005D7362"/>
    <w:rsid w:val="005D742A"/>
    <w:rsid w:val="005D7520"/>
    <w:rsid w:val="005D753B"/>
    <w:rsid w:val="005D7585"/>
    <w:rsid w:val="005D75C2"/>
    <w:rsid w:val="005D761B"/>
    <w:rsid w:val="005D768F"/>
    <w:rsid w:val="005D76CB"/>
    <w:rsid w:val="005D779E"/>
    <w:rsid w:val="005D7947"/>
    <w:rsid w:val="005D7A64"/>
    <w:rsid w:val="005D7AA4"/>
    <w:rsid w:val="005D7B04"/>
    <w:rsid w:val="005D7BB0"/>
    <w:rsid w:val="005D7C9B"/>
    <w:rsid w:val="005D7CFA"/>
    <w:rsid w:val="005D7D35"/>
    <w:rsid w:val="005D7E05"/>
    <w:rsid w:val="005D7F10"/>
    <w:rsid w:val="005E00B4"/>
    <w:rsid w:val="005E00D9"/>
    <w:rsid w:val="005E016B"/>
    <w:rsid w:val="005E01F9"/>
    <w:rsid w:val="005E0220"/>
    <w:rsid w:val="005E0305"/>
    <w:rsid w:val="005E0334"/>
    <w:rsid w:val="005E0565"/>
    <w:rsid w:val="005E0724"/>
    <w:rsid w:val="005E0779"/>
    <w:rsid w:val="005E07B1"/>
    <w:rsid w:val="005E09C9"/>
    <w:rsid w:val="005E0A5F"/>
    <w:rsid w:val="005E0A92"/>
    <w:rsid w:val="005E0B0A"/>
    <w:rsid w:val="005E0B17"/>
    <w:rsid w:val="005E0BBA"/>
    <w:rsid w:val="005E0C7D"/>
    <w:rsid w:val="005E0D79"/>
    <w:rsid w:val="005E0E36"/>
    <w:rsid w:val="005E0EBB"/>
    <w:rsid w:val="005E0ECC"/>
    <w:rsid w:val="005E0EF7"/>
    <w:rsid w:val="005E0FF7"/>
    <w:rsid w:val="005E1025"/>
    <w:rsid w:val="005E1039"/>
    <w:rsid w:val="005E1214"/>
    <w:rsid w:val="005E1406"/>
    <w:rsid w:val="005E153F"/>
    <w:rsid w:val="005E1671"/>
    <w:rsid w:val="005E16A0"/>
    <w:rsid w:val="005E1880"/>
    <w:rsid w:val="005E18D2"/>
    <w:rsid w:val="005E1994"/>
    <w:rsid w:val="005E19B3"/>
    <w:rsid w:val="005E1A3C"/>
    <w:rsid w:val="005E1A8C"/>
    <w:rsid w:val="005E1ACD"/>
    <w:rsid w:val="005E1C4C"/>
    <w:rsid w:val="005E1C7E"/>
    <w:rsid w:val="005E1D1B"/>
    <w:rsid w:val="005E1E29"/>
    <w:rsid w:val="005E1ED2"/>
    <w:rsid w:val="005E1FBD"/>
    <w:rsid w:val="005E1FEF"/>
    <w:rsid w:val="005E2075"/>
    <w:rsid w:val="005E20B6"/>
    <w:rsid w:val="005E2101"/>
    <w:rsid w:val="005E21F9"/>
    <w:rsid w:val="005E2304"/>
    <w:rsid w:val="005E238F"/>
    <w:rsid w:val="005E2618"/>
    <w:rsid w:val="005E273E"/>
    <w:rsid w:val="005E2785"/>
    <w:rsid w:val="005E2798"/>
    <w:rsid w:val="005E2855"/>
    <w:rsid w:val="005E28B8"/>
    <w:rsid w:val="005E28BF"/>
    <w:rsid w:val="005E2A8D"/>
    <w:rsid w:val="005E2B01"/>
    <w:rsid w:val="005E2B2F"/>
    <w:rsid w:val="005E2BB2"/>
    <w:rsid w:val="005E2C6B"/>
    <w:rsid w:val="005E2D2E"/>
    <w:rsid w:val="005E307C"/>
    <w:rsid w:val="005E3327"/>
    <w:rsid w:val="005E336A"/>
    <w:rsid w:val="005E3440"/>
    <w:rsid w:val="005E364B"/>
    <w:rsid w:val="005E3789"/>
    <w:rsid w:val="005E394B"/>
    <w:rsid w:val="005E3A04"/>
    <w:rsid w:val="005E3AE2"/>
    <w:rsid w:val="005E3BFF"/>
    <w:rsid w:val="005E3D01"/>
    <w:rsid w:val="005E3DE7"/>
    <w:rsid w:val="005E3DF6"/>
    <w:rsid w:val="005E3F69"/>
    <w:rsid w:val="005E407D"/>
    <w:rsid w:val="005E41C8"/>
    <w:rsid w:val="005E433E"/>
    <w:rsid w:val="005E43E6"/>
    <w:rsid w:val="005E44A3"/>
    <w:rsid w:val="005E4699"/>
    <w:rsid w:val="005E4720"/>
    <w:rsid w:val="005E4826"/>
    <w:rsid w:val="005E4888"/>
    <w:rsid w:val="005E4A15"/>
    <w:rsid w:val="005E4A59"/>
    <w:rsid w:val="005E4A6D"/>
    <w:rsid w:val="005E4A96"/>
    <w:rsid w:val="005E4ADC"/>
    <w:rsid w:val="005E4B0F"/>
    <w:rsid w:val="005E4B50"/>
    <w:rsid w:val="005E4BCB"/>
    <w:rsid w:val="005E4E45"/>
    <w:rsid w:val="005E5095"/>
    <w:rsid w:val="005E51F1"/>
    <w:rsid w:val="005E5302"/>
    <w:rsid w:val="005E5396"/>
    <w:rsid w:val="005E5491"/>
    <w:rsid w:val="005E54E8"/>
    <w:rsid w:val="005E569B"/>
    <w:rsid w:val="005E571E"/>
    <w:rsid w:val="005E57D9"/>
    <w:rsid w:val="005E57F2"/>
    <w:rsid w:val="005E5849"/>
    <w:rsid w:val="005E5877"/>
    <w:rsid w:val="005E58AA"/>
    <w:rsid w:val="005E5A0E"/>
    <w:rsid w:val="005E5AD7"/>
    <w:rsid w:val="005E5B49"/>
    <w:rsid w:val="005E5B8D"/>
    <w:rsid w:val="005E5C41"/>
    <w:rsid w:val="005E5C53"/>
    <w:rsid w:val="005E5E73"/>
    <w:rsid w:val="005E5F0E"/>
    <w:rsid w:val="005E62E5"/>
    <w:rsid w:val="005E62F9"/>
    <w:rsid w:val="005E6674"/>
    <w:rsid w:val="005E678C"/>
    <w:rsid w:val="005E67C9"/>
    <w:rsid w:val="005E67F0"/>
    <w:rsid w:val="005E6817"/>
    <w:rsid w:val="005E685D"/>
    <w:rsid w:val="005E68DE"/>
    <w:rsid w:val="005E6922"/>
    <w:rsid w:val="005E6B93"/>
    <w:rsid w:val="005E6DB8"/>
    <w:rsid w:val="005E6F24"/>
    <w:rsid w:val="005E6F30"/>
    <w:rsid w:val="005E6F33"/>
    <w:rsid w:val="005E6FA0"/>
    <w:rsid w:val="005E6FE9"/>
    <w:rsid w:val="005E7130"/>
    <w:rsid w:val="005E716A"/>
    <w:rsid w:val="005E72B3"/>
    <w:rsid w:val="005E7303"/>
    <w:rsid w:val="005E731D"/>
    <w:rsid w:val="005E734E"/>
    <w:rsid w:val="005E73C1"/>
    <w:rsid w:val="005E7479"/>
    <w:rsid w:val="005E768B"/>
    <w:rsid w:val="005E77ED"/>
    <w:rsid w:val="005E7A18"/>
    <w:rsid w:val="005E7ACD"/>
    <w:rsid w:val="005E7B20"/>
    <w:rsid w:val="005E7B5C"/>
    <w:rsid w:val="005E7BB0"/>
    <w:rsid w:val="005E7D1E"/>
    <w:rsid w:val="005E7D5A"/>
    <w:rsid w:val="005E7DA5"/>
    <w:rsid w:val="005E7DD8"/>
    <w:rsid w:val="005E7E0B"/>
    <w:rsid w:val="005E7E19"/>
    <w:rsid w:val="005E7E78"/>
    <w:rsid w:val="005E7EDC"/>
    <w:rsid w:val="005F01D6"/>
    <w:rsid w:val="005F0200"/>
    <w:rsid w:val="005F0209"/>
    <w:rsid w:val="005F02F5"/>
    <w:rsid w:val="005F0330"/>
    <w:rsid w:val="005F0375"/>
    <w:rsid w:val="005F04A5"/>
    <w:rsid w:val="005F0679"/>
    <w:rsid w:val="005F0865"/>
    <w:rsid w:val="005F0925"/>
    <w:rsid w:val="005F094B"/>
    <w:rsid w:val="005F09C9"/>
    <w:rsid w:val="005F09D4"/>
    <w:rsid w:val="005F0A8D"/>
    <w:rsid w:val="005F0C32"/>
    <w:rsid w:val="005F0D4B"/>
    <w:rsid w:val="005F0E68"/>
    <w:rsid w:val="005F0F1A"/>
    <w:rsid w:val="005F0F4B"/>
    <w:rsid w:val="005F1021"/>
    <w:rsid w:val="005F10FA"/>
    <w:rsid w:val="005F11F8"/>
    <w:rsid w:val="005F1258"/>
    <w:rsid w:val="005F13D7"/>
    <w:rsid w:val="005F1426"/>
    <w:rsid w:val="005F1444"/>
    <w:rsid w:val="005F148B"/>
    <w:rsid w:val="005F1491"/>
    <w:rsid w:val="005F15C1"/>
    <w:rsid w:val="005F162D"/>
    <w:rsid w:val="005F1649"/>
    <w:rsid w:val="005F1752"/>
    <w:rsid w:val="005F17FF"/>
    <w:rsid w:val="005F191A"/>
    <w:rsid w:val="005F19E6"/>
    <w:rsid w:val="005F1A01"/>
    <w:rsid w:val="005F1B77"/>
    <w:rsid w:val="005F1D32"/>
    <w:rsid w:val="005F1D55"/>
    <w:rsid w:val="005F1DDE"/>
    <w:rsid w:val="005F1E03"/>
    <w:rsid w:val="005F1EDF"/>
    <w:rsid w:val="005F205B"/>
    <w:rsid w:val="005F209E"/>
    <w:rsid w:val="005F224A"/>
    <w:rsid w:val="005F2258"/>
    <w:rsid w:val="005F2302"/>
    <w:rsid w:val="005F2348"/>
    <w:rsid w:val="005F2358"/>
    <w:rsid w:val="005F23A4"/>
    <w:rsid w:val="005F24B4"/>
    <w:rsid w:val="005F2575"/>
    <w:rsid w:val="005F2620"/>
    <w:rsid w:val="005F2639"/>
    <w:rsid w:val="005F27A0"/>
    <w:rsid w:val="005F27F8"/>
    <w:rsid w:val="005F2B95"/>
    <w:rsid w:val="005F2BED"/>
    <w:rsid w:val="005F2C7C"/>
    <w:rsid w:val="005F2D55"/>
    <w:rsid w:val="005F2D7F"/>
    <w:rsid w:val="005F2DFC"/>
    <w:rsid w:val="005F2E16"/>
    <w:rsid w:val="005F2EB8"/>
    <w:rsid w:val="005F3097"/>
    <w:rsid w:val="005F30E1"/>
    <w:rsid w:val="005F311A"/>
    <w:rsid w:val="005F313E"/>
    <w:rsid w:val="005F31D1"/>
    <w:rsid w:val="005F31FF"/>
    <w:rsid w:val="005F3236"/>
    <w:rsid w:val="005F3489"/>
    <w:rsid w:val="005F35BF"/>
    <w:rsid w:val="005F3871"/>
    <w:rsid w:val="005F38CF"/>
    <w:rsid w:val="005F3909"/>
    <w:rsid w:val="005F393A"/>
    <w:rsid w:val="005F39B9"/>
    <w:rsid w:val="005F3B0E"/>
    <w:rsid w:val="005F3D7B"/>
    <w:rsid w:val="005F3E10"/>
    <w:rsid w:val="005F3E17"/>
    <w:rsid w:val="005F3E8C"/>
    <w:rsid w:val="005F3EC8"/>
    <w:rsid w:val="005F4039"/>
    <w:rsid w:val="005F4091"/>
    <w:rsid w:val="005F40EA"/>
    <w:rsid w:val="005F4238"/>
    <w:rsid w:val="005F42AC"/>
    <w:rsid w:val="005F4313"/>
    <w:rsid w:val="005F4351"/>
    <w:rsid w:val="005F4386"/>
    <w:rsid w:val="005F4593"/>
    <w:rsid w:val="005F46C8"/>
    <w:rsid w:val="005F48F0"/>
    <w:rsid w:val="005F4A26"/>
    <w:rsid w:val="005F4A4E"/>
    <w:rsid w:val="005F4AD1"/>
    <w:rsid w:val="005F4AEC"/>
    <w:rsid w:val="005F4B8D"/>
    <w:rsid w:val="005F4C2B"/>
    <w:rsid w:val="005F4C5F"/>
    <w:rsid w:val="005F4C7C"/>
    <w:rsid w:val="005F4CA8"/>
    <w:rsid w:val="005F4D3B"/>
    <w:rsid w:val="005F4DBD"/>
    <w:rsid w:val="005F4E52"/>
    <w:rsid w:val="005F4FBB"/>
    <w:rsid w:val="005F50EE"/>
    <w:rsid w:val="005F512E"/>
    <w:rsid w:val="005F527C"/>
    <w:rsid w:val="005F5389"/>
    <w:rsid w:val="005F53B8"/>
    <w:rsid w:val="005F55B9"/>
    <w:rsid w:val="005F56D4"/>
    <w:rsid w:val="005F571A"/>
    <w:rsid w:val="005F5840"/>
    <w:rsid w:val="005F584B"/>
    <w:rsid w:val="005F5950"/>
    <w:rsid w:val="005F5A85"/>
    <w:rsid w:val="005F5CF0"/>
    <w:rsid w:val="005F5D87"/>
    <w:rsid w:val="005F5F03"/>
    <w:rsid w:val="005F5F08"/>
    <w:rsid w:val="005F5FA0"/>
    <w:rsid w:val="005F60BC"/>
    <w:rsid w:val="005F6205"/>
    <w:rsid w:val="005F64BE"/>
    <w:rsid w:val="005F64E0"/>
    <w:rsid w:val="005F65D3"/>
    <w:rsid w:val="005F6600"/>
    <w:rsid w:val="005F662D"/>
    <w:rsid w:val="005F6735"/>
    <w:rsid w:val="005F6831"/>
    <w:rsid w:val="005F6882"/>
    <w:rsid w:val="005F68D9"/>
    <w:rsid w:val="005F692B"/>
    <w:rsid w:val="005F6A24"/>
    <w:rsid w:val="005F6AD5"/>
    <w:rsid w:val="005F6B8F"/>
    <w:rsid w:val="005F6BB7"/>
    <w:rsid w:val="005F6BDC"/>
    <w:rsid w:val="005F6CFD"/>
    <w:rsid w:val="005F6D91"/>
    <w:rsid w:val="005F6EE3"/>
    <w:rsid w:val="005F6F2B"/>
    <w:rsid w:val="005F7002"/>
    <w:rsid w:val="005F7034"/>
    <w:rsid w:val="005F71BB"/>
    <w:rsid w:val="005F7272"/>
    <w:rsid w:val="005F72FD"/>
    <w:rsid w:val="005F734B"/>
    <w:rsid w:val="005F73C9"/>
    <w:rsid w:val="005F74A6"/>
    <w:rsid w:val="005F74AF"/>
    <w:rsid w:val="005F7583"/>
    <w:rsid w:val="005F7634"/>
    <w:rsid w:val="005F77AF"/>
    <w:rsid w:val="005F78CE"/>
    <w:rsid w:val="005F78F3"/>
    <w:rsid w:val="005F7AF8"/>
    <w:rsid w:val="005F7C51"/>
    <w:rsid w:val="005F7D36"/>
    <w:rsid w:val="005F7EF4"/>
    <w:rsid w:val="005F7F40"/>
    <w:rsid w:val="0060008B"/>
    <w:rsid w:val="006000E1"/>
    <w:rsid w:val="006001E3"/>
    <w:rsid w:val="0060022B"/>
    <w:rsid w:val="00600269"/>
    <w:rsid w:val="00600308"/>
    <w:rsid w:val="00600342"/>
    <w:rsid w:val="00600478"/>
    <w:rsid w:val="00600564"/>
    <w:rsid w:val="006005C2"/>
    <w:rsid w:val="006009B6"/>
    <w:rsid w:val="006009DF"/>
    <w:rsid w:val="00600A4B"/>
    <w:rsid w:val="00600B98"/>
    <w:rsid w:val="00600C9A"/>
    <w:rsid w:val="00600DBA"/>
    <w:rsid w:val="00600FBF"/>
    <w:rsid w:val="0060108F"/>
    <w:rsid w:val="006010D1"/>
    <w:rsid w:val="0060132E"/>
    <w:rsid w:val="006017D1"/>
    <w:rsid w:val="00601829"/>
    <w:rsid w:val="006018A8"/>
    <w:rsid w:val="006019B6"/>
    <w:rsid w:val="00601B38"/>
    <w:rsid w:val="00601B3F"/>
    <w:rsid w:val="00601BBC"/>
    <w:rsid w:val="00601BE7"/>
    <w:rsid w:val="00601C0B"/>
    <w:rsid w:val="00601C25"/>
    <w:rsid w:val="00601CB9"/>
    <w:rsid w:val="00601D59"/>
    <w:rsid w:val="00601E98"/>
    <w:rsid w:val="0060203F"/>
    <w:rsid w:val="006020E6"/>
    <w:rsid w:val="0060212A"/>
    <w:rsid w:val="0060220D"/>
    <w:rsid w:val="00602250"/>
    <w:rsid w:val="006022C8"/>
    <w:rsid w:val="006024C8"/>
    <w:rsid w:val="0060250B"/>
    <w:rsid w:val="00602522"/>
    <w:rsid w:val="0060265F"/>
    <w:rsid w:val="0060278F"/>
    <w:rsid w:val="006028F1"/>
    <w:rsid w:val="0060295E"/>
    <w:rsid w:val="0060297A"/>
    <w:rsid w:val="00602994"/>
    <w:rsid w:val="006029B7"/>
    <w:rsid w:val="00602A07"/>
    <w:rsid w:val="00602A1C"/>
    <w:rsid w:val="00602AF5"/>
    <w:rsid w:val="00602B31"/>
    <w:rsid w:val="00602B6A"/>
    <w:rsid w:val="00602CFE"/>
    <w:rsid w:val="00602E57"/>
    <w:rsid w:val="00602E83"/>
    <w:rsid w:val="00602EAF"/>
    <w:rsid w:val="00602ED1"/>
    <w:rsid w:val="00602EFE"/>
    <w:rsid w:val="00602F8A"/>
    <w:rsid w:val="00603328"/>
    <w:rsid w:val="006033F4"/>
    <w:rsid w:val="006034A7"/>
    <w:rsid w:val="006034C6"/>
    <w:rsid w:val="006036BC"/>
    <w:rsid w:val="006036EF"/>
    <w:rsid w:val="006038F4"/>
    <w:rsid w:val="00603C09"/>
    <w:rsid w:val="00603C1E"/>
    <w:rsid w:val="00603C79"/>
    <w:rsid w:val="00603CF2"/>
    <w:rsid w:val="00603F30"/>
    <w:rsid w:val="00603FE8"/>
    <w:rsid w:val="006040D4"/>
    <w:rsid w:val="00604135"/>
    <w:rsid w:val="00604319"/>
    <w:rsid w:val="0060433E"/>
    <w:rsid w:val="00604409"/>
    <w:rsid w:val="0060464D"/>
    <w:rsid w:val="00604731"/>
    <w:rsid w:val="00604A45"/>
    <w:rsid w:val="00604A55"/>
    <w:rsid w:val="00604D9E"/>
    <w:rsid w:val="00604DF0"/>
    <w:rsid w:val="00604E0A"/>
    <w:rsid w:val="00604FEE"/>
    <w:rsid w:val="0060502A"/>
    <w:rsid w:val="006050FE"/>
    <w:rsid w:val="00605110"/>
    <w:rsid w:val="00605144"/>
    <w:rsid w:val="00605198"/>
    <w:rsid w:val="006051D3"/>
    <w:rsid w:val="0060525E"/>
    <w:rsid w:val="0060528D"/>
    <w:rsid w:val="006052B5"/>
    <w:rsid w:val="0060530C"/>
    <w:rsid w:val="00605322"/>
    <w:rsid w:val="00605330"/>
    <w:rsid w:val="0060542A"/>
    <w:rsid w:val="00605456"/>
    <w:rsid w:val="00605723"/>
    <w:rsid w:val="006058FE"/>
    <w:rsid w:val="00605957"/>
    <w:rsid w:val="00605B63"/>
    <w:rsid w:val="00605BD8"/>
    <w:rsid w:val="00605BFA"/>
    <w:rsid w:val="00605C40"/>
    <w:rsid w:val="00605CD8"/>
    <w:rsid w:val="00605D30"/>
    <w:rsid w:val="00605D44"/>
    <w:rsid w:val="00605DFB"/>
    <w:rsid w:val="00605E0A"/>
    <w:rsid w:val="00605E1C"/>
    <w:rsid w:val="00605E44"/>
    <w:rsid w:val="00605E6C"/>
    <w:rsid w:val="00605EE5"/>
    <w:rsid w:val="00605F23"/>
    <w:rsid w:val="00605F68"/>
    <w:rsid w:val="00605F77"/>
    <w:rsid w:val="00606098"/>
    <w:rsid w:val="00606297"/>
    <w:rsid w:val="0060629E"/>
    <w:rsid w:val="006062F6"/>
    <w:rsid w:val="00606323"/>
    <w:rsid w:val="00606513"/>
    <w:rsid w:val="006065B7"/>
    <w:rsid w:val="0060663B"/>
    <w:rsid w:val="00606680"/>
    <w:rsid w:val="0060673F"/>
    <w:rsid w:val="0060687A"/>
    <w:rsid w:val="006069BC"/>
    <w:rsid w:val="00606C34"/>
    <w:rsid w:val="00606CC5"/>
    <w:rsid w:val="00606CD6"/>
    <w:rsid w:val="00606D68"/>
    <w:rsid w:val="00606E35"/>
    <w:rsid w:val="00607211"/>
    <w:rsid w:val="006073BB"/>
    <w:rsid w:val="00607428"/>
    <w:rsid w:val="00607578"/>
    <w:rsid w:val="006075E4"/>
    <w:rsid w:val="006075F5"/>
    <w:rsid w:val="006076CC"/>
    <w:rsid w:val="006076D6"/>
    <w:rsid w:val="006076FE"/>
    <w:rsid w:val="0060783A"/>
    <w:rsid w:val="00607895"/>
    <w:rsid w:val="00607931"/>
    <w:rsid w:val="00607AE0"/>
    <w:rsid w:val="00607B35"/>
    <w:rsid w:val="00607C8F"/>
    <w:rsid w:val="00607CBA"/>
    <w:rsid w:val="00607CCB"/>
    <w:rsid w:val="00607EE0"/>
    <w:rsid w:val="00607F3D"/>
    <w:rsid w:val="00607F9F"/>
    <w:rsid w:val="00610138"/>
    <w:rsid w:val="00610331"/>
    <w:rsid w:val="0061035A"/>
    <w:rsid w:val="00610387"/>
    <w:rsid w:val="006104B5"/>
    <w:rsid w:val="006104C2"/>
    <w:rsid w:val="006104EB"/>
    <w:rsid w:val="00610530"/>
    <w:rsid w:val="006105F2"/>
    <w:rsid w:val="00610630"/>
    <w:rsid w:val="00610672"/>
    <w:rsid w:val="006107B4"/>
    <w:rsid w:val="006107D0"/>
    <w:rsid w:val="00610851"/>
    <w:rsid w:val="0061097B"/>
    <w:rsid w:val="00610A41"/>
    <w:rsid w:val="00610A5B"/>
    <w:rsid w:val="00610A9C"/>
    <w:rsid w:val="00610AC9"/>
    <w:rsid w:val="00610B2F"/>
    <w:rsid w:val="00610BFD"/>
    <w:rsid w:val="00610D2E"/>
    <w:rsid w:val="00610D3B"/>
    <w:rsid w:val="00610E40"/>
    <w:rsid w:val="00610EBA"/>
    <w:rsid w:val="00610F12"/>
    <w:rsid w:val="00610F3E"/>
    <w:rsid w:val="00610F74"/>
    <w:rsid w:val="0061101B"/>
    <w:rsid w:val="006110B8"/>
    <w:rsid w:val="0061122A"/>
    <w:rsid w:val="006112D4"/>
    <w:rsid w:val="00611426"/>
    <w:rsid w:val="00611455"/>
    <w:rsid w:val="00611466"/>
    <w:rsid w:val="00611495"/>
    <w:rsid w:val="006114D6"/>
    <w:rsid w:val="00611559"/>
    <w:rsid w:val="0061156D"/>
    <w:rsid w:val="00611693"/>
    <w:rsid w:val="00611696"/>
    <w:rsid w:val="0061176F"/>
    <w:rsid w:val="00611804"/>
    <w:rsid w:val="0061191A"/>
    <w:rsid w:val="00611991"/>
    <w:rsid w:val="00611A20"/>
    <w:rsid w:val="00611A58"/>
    <w:rsid w:val="00611B03"/>
    <w:rsid w:val="00611B6F"/>
    <w:rsid w:val="00611C11"/>
    <w:rsid w:val="00611C44"/>
    <w:rsid w:val="00611CC0"/>
    <w:rsid w:val="00611E1C"/>
    <w:rsid w:val="00611E8F"/>
    <w:rsid w:val="0061211E"/>
    <w:rsid w:val="006121D1"/>
    <w:rsid w:val="00612219"/>
    <w:rsid w:val="00612242"/>
    <w:rsid w:val="00612359"/>
    <w:rsid w:val="006123E8"/>
    <w:rsid w:val="00612480"/>
    <w:rsid w:val="0061253B"/>
    <w:rsid w:val="006125C5"/>
    <w:rsid w:val="006126D7"/>
    <w:rsid w:val="00612764"/>
    <w:rsid w:val="006127A9"/>
    <w:rsid w:val="006127B4"/>
    <w:rsid w:val="00612878"/>
    <w:rsid w:val="006128CC"/>
    <w:rsid w:val="006128D5"/>
    <w:rsid w:val="00612911"/>
    <w:rsid w:val="0061293E"/>
    <w:rsid w:val="0061298B"/>
    <w:rsid w:val="00612A2C"/>
    <w:rsid w:val="00612AA1"/>
    <w:rsid w:val="00612BDA"/>
    <w:rsid w:val="00612DA1"/>
    <w:rsid w:val="006130DD"/>
    <w:rsid w:val="0061312A"/>
    <w:rsid w:val="006131CD"/>
    <w:rsid w:val="006131F6"/>
    <w:rsid w:val="00613350"/>
    <w:rsid w:val="006133C0"/>
    <w:rsid w:val="006133DF"/>
    <w:rsid w:val="00613569"/>
    <w:rsid w:val="00613607"/>
    <w:rsid w:val="00613628"/>
    <w:rsid w:val="0061367F"/>
    <w:rsid w:val="006136C5"/>
    <w:rsid w:val="00613779"/>
    <w:rsid w:val="006138A4"/>
    <w:rsid w:val="00613B1B"/>
    <w:rsid w:val="00613BC3"/>
    <w:rsid w:val="00613C61"/>
    <w:rsid w:val="00613C76"/>
    <w:rsid w:val="00613E4B"/>
    <w:rsid w:val="00613E5B"/>
    <w:rsid w:val="00613EDB"/>
    <w:rsid w:val="00613F9A"/>
    <w:rsid w:val="00613FAC"/>
    <w:rsid w:val="00613FDC"/>
    <w:rsid w:val="006140F1"/>
    <w:rsid w:val="0061422A"/>
    <w:rsid w:val="0061423E"/>
    <w:rsid w:val="006142C5"/>
    <w:rsid w:val="00614321"/>
    <w:rsid w:val="0061438C"/>
    <w:rsid w:val="006143FA"/>
    <w:rsid w:val="0061457D"/>
    <w:rsid w:val="00614584"/>
    <w:rsid w:val="0061462B"/>
    <w:rsid w:val="006146A1"/>
    <w:rsid w:val="006147E9"/>
    <w:rsid w:val="00614892"/>
    <w:rsid w:val="006148BE"/>
    <w:rsid w:val="00614A99"/>
    <w:rsid w:val="00614B49"/>
    <w:rsid w:val="00614B85"/>
    <w:rsid w:val="00614D65"/>
    <w:rsid w:val="00614DA3"/>
    <w:rsid w:val="00614F8B"/>
    <w:rsid w:val="00615047"/>
    <w:rsid w:val="00615150"/>
    <w:rsid w:val="00615158"/>
    <w:rsid w:val="006152CA"/>
    <w:rsid w:val="006152EC"/>
    <w:rsid w:val="00615441"/>
    <w:rsid w:val="00615479"/>
    <w:rsid w:val="00615507"/>
    <w:rsid w:val="006155C3"/>
    <w:rsid w:val="006155ED"/>
    <w:rsid w:val="0061572C"/>
    <w:rsid w:val="006157E5"/>
    <w:rsid w:val="006158D3"/>
    <w:rsid w:val="0061591C"/>
    <w:rsid w:val="00615A4E"/>
    <w:rsid w:val="00615B56"/>
    <w:rsid w:val="00615BFD"/>
    <w:rsid w:val="00615F09"/>
    <w:rsid w:val="00616004"/>
    <w:rsid w:val="006160FF"/>
    <w:rsid w:val="00616273"/>
    <w:rsid w:val="006163A8"/>
    <w:rsid w:val="006163F3"/>
    <w:rsid w:val="00616495"/>
    <w:rsid w:val="006165AE"/>
    <w:rsid w:val="006166F0"/>
    <w:rsid w:val="0061683A"/>
    <w:rsid w:val="0061685B"/>
    <w:rsid w:val="00616881"/>
    <w:rsid w:val="006169D5"/>
    <w:rsid w:val="00616C84"/>
    <w:rsid w:val="00616CB4"/>
    <w:rsid w:val="00616CC8"/>
    <w:rsid w:val="00616D9C"/>
    <w:rsid w:val="00616E54"/>
    <w:rsid w:val="00616EA1"/>
    <w:rsid w:val="00616F2B"/>
    <w:rsid w:val="00616F66"/>
    <w:rsid w:val="00616FD0"/>
    <w:rsid w:val="00617083"/>
    <w:rsid w:val="006170AA"/>
    <w:rsid w:val="0061727A"/>
    <w:rsid w:val="006172A8"/>
    <w:rsid w:val="0061731F"/>
    <w:rsid w:val="00617488"/>
    <w:rsid w:val="0061755C"/>
    <w:rsid w:val="006175AA"/>
    <w:rsid w:val="0061770E"/>
    <w:rsid w:val="00617726"/>
    <w:rsid w:val="006177C8"/>
    <w:rsid w:val="00617906"/>
    <w:rsid w:val="00617BA6"/>
    <w:rsid w:val="00620001"/>
    <w:rsid w:val="00620032"/>
    <w:rsid w:val="00620040"/>
    <w:rsid w:val="00620088"/>
    <w:rsid w:val="0062026A"/>
    <w:rsid w:val="00620295"/>
    <w:rsid w:val="00620436"/>
    <w:rsid w:val="00620455"/>
    <w:rsid w:val="00620624"/>
    <w:rsid w:val="00620643"/>
    <w:rsid w:val="00620727"/>
    <w:rsid w:val="00620772"/>
    <w:rsid w:val="0062082D"/>
    <w:rsid w:val="00620AE4"/>
    <w:rsid w:val="00620B08"/>
    <w:rsid w:val="00620C78"/>
    <w:rsid w:val="00620D3F"/>
    <w:rsid w:val="00620DB9"/>
    <w:rsid w:val="00620DBA"/>
    <w:rsid w:val="00620DE6"/>
    <w:rsid w:val="00620EEC"/>
    <w:rsid w:val="00620FE4"/>
    <w:rsid w:val="006211BA"/>
    <w:rsid w:val="006211D1"/>
    <w:rsid w:val="00621324"/>
    <w:rsid w:val="0062133A"/>
    <w:rsid w:val="0062135B"/>
    <w:rsid w:val="00621439"/>
    <w:rsid w:val="006214ED"/>
    <w:rsid w:val="00621567"/>
    <w:rsid w:val="006215C8"/>
    <w:rsid w:val="006215CB"/>
    <w:rsid w:val="006215F4"/>
    <w:rsid w:val="006216E0"/>
    <w:rsid w:val="006218CC"/>
    <w:rsid w:val="0062196D"/>
    <w:rsid w:val="00621A7F"/>
    <w:rsid w:val="00621A82"/>
    <w:rsid w:val="00621ADC"/>
    <w:rsid w:val="00621C1C"/>
    <w:rsid w:val="00621CEB"/>
    <w:rsid w:val="00621D1F"/>
    <w:rsid w:val="00621D61"/>
    <w:rsid w:val="00621E29"/>
    <w:rsid w:val="00621F64"/>
    <w:rsid w:val="00621F75"/>
    <w:rsid w:val="00621FC9"/>
    <w:rsid w:val="00621FE8"/>
    <w:rsid w:val="00622018"/>
    <w:rsid w:val="0062223B"/>
    <w:rsid w:val="00622316"/>
    <w:rsid w:val="0062249E"/>
    <w:rsid w:val="0062253E"/>
    <w:rsid w:val="006225CA"/>
    <w:rsid w:val="0062267E"/>
    <w:rsid w:val="00622A93"/>
    <w:rsid w:val="00622A9A"/>
    <w:rsid w:val="00622BD2"/>
    <w:rsid w:val="00622BDB"/>
    <w:rsid w:val="00622C25"/>
    <w:rsid w:val="00622C72"/>
    <w:rsid w:val="00622FA4"/>
    <w:rsid w:val="00622FCD"/>
    <w:rsid w:val="00623172"/>
    <w:rsid w:val="0062333A"/>
    <w:rsid w:val="006233FF"/>
    <w:rsid w:val="00623481"/>
    <w:rsid w:val="006237C4"/>
    <w:rsid w:val="006238EA"/>
    <w:rsid w:val="00623ADC"/>
    <w:rsid w:val="00623CF1"/>
    <w:rsid w:val="00623D04"/>
    <w:rsid w:val="00623DF7"/>
    <w:rsid w:val="00623EDC"/>
    <w:rsid w:val="00624063"/>
    <w:rsid w:val="0062411B"/>
    <w:rsid w:val="0062440A"/>
    <w:rsid w:val="0062447B"/>
    <w:rsid w:val="00624559"/>
    <w:rsid w:val="0062469B"/>
    <w:rsid w:val="006246B0"/>
    <w:rsid w:val="006247E1"/>
    <w:rsid w:val="0062486E"/>
    <w:rsid w:val="0062499B"/>
    <w:rsid w:val="006249F4"/>
    <w:rsid w:val="00624BDE"/>
    <w:rsid w:val="00624C60"/>
    <w:rsid w:val="00624C81"/>
    <w:rsid w:val="00624C90"/>
    <w:rsid w:val="00624D5C"/>
    <w:rsid w:val="00624D7F"/>
    <w:rsid w:val="00624E7C"/>
    <w:rsid w:val="00624F90"/>
    <w:rsid w:val="00624FD8"/>
    <w:rsid w:val="0062519C"/>
    <w:rsid w:val="00625257"/>
    <w:rsid w:val="0062531A"/>
    <w:rsid w:val="00625381"/>
    <w:rsid w:val="006254A1"/>
    <w:rsid w:val="006254B8"/>
    <w:rsid w:val="00625595"/>
    <w:rsid w:val="00625629"/>
    <w:rsid w:val="0062563C"/>
    <w:rsid w:val="006257F2"/>
    <w:rsid w:val="006258C8"/>
    <w:rsid w:val="00625935"/>
    <w:rsid w:val="00625964"/>
    <w:rsid w:val="00625B67"/>
    <w:rsid w:val="00625B96"/>
    <w:rsid w:val="00625BDB"/>
    <w:rsid w:val="00625CB2"/>
    <w:rsid w:val="00625DC3"/>
    <w:rsid w:val="00625E41"/>
    <w:rsid w:val="00625F5F"/>
    <w:rsid w:val="0062601D"/>
    <w:rsid w:val="00626225"/>
    <w:rsid w:val="0062622B"/>
    <w:rsid w:val="00626280"/>
    <w:rsid w:val="00626342"/>
    <w:rsid w:val="0062634C"/>
    <w:rsid w:val="00626397"/>
    <w:rsid w:val="00626AB4"/>
    <w:rsid w:val="00626AC6"/>
    <w:rsid w:val="00626CFC"/>
    <w:rsid w:val="00626E3E"/>
    <w:rsid w:val="00626E61"/>
    <w:rsid w:val="0062706A"/>
    <w:rsid w:val="0062709D"/>
    <w:rsid w:val="006270BE"/>
    <w:rsid w:val="0062711F"/>
    <w:rsid w:val="00627196"/>
    <w:rsid w:val="0062737F"/>
    <w:rsid w:val="00627415"/>
    <w:rsid w:val="006274E8"/>
    <w:rsid w:val="0062760A"/>
    <w:rsid w:val="0062769D"/>
    <w:rsid w:val="00627702"/>
    <w:rsid w:val="00627714"/>
    <w:rsid w:val="00627723"/>
    <w:rsid w:val="006277B8"/>
    <w:rsid w:val="006278CE"/>
    <w:rsid w:val="006279F2"/>
    <w:rsid w:val="00627A78"/>
    <w:rsid w:val="00627AA1"/>
    <w:rsid w:val="00627BA6"/>
    <w:rsid w:val="00627C18"/>
    <w:rsid w:val="00627D36"/>
    <w:rsid w:val="00627D50"/>
    <w:rsid w:val="00627D84"/>
    <w:rsid w:val="00627E1C"/>
    <w:rsid w:val="00627E2C"/>
    <w:rsid w:val="00627E31"/>
    <w:rsid w:val="00627EC8"/>
    <w:rsid w:val="00627F68"/>
    <w:rsid w:val="00627FFA"/>
    <w:rsid w:val="0063000C"/>
    <w:rsid w:val="00630161"/>
    <w:rsid w:val="006302E0"/>
    <w:rsid w:val="006305FE"/>
    <w:rsid w:val="0063062F"/>
    <w:rsid w:val="006306AA"/>
    <w:rsid w:val="00630766"/>
    <w:rsid w:val="006307CE"/>
    <w:rsid w:val="006309B7"/>
    <w:rsid w:val="006309F3"/>
    <w:rsid w:val="00630A2B"/>
    <w:rsid w:val="00630AE9"/>
    <w:rsid w:val="00630B6F"/>
    <w:rsid w:val="00630D0A"/>
    <w:rsid w:val="00630D44"/>
    <w:rsid w:val="00630DF9"/>
    <w:rsid w:val="00630E55"/>
    <w:rsid w:val="00630E6B"/>
    <w:rsid w:val="00630EB5"/>
    <w:rsid w:val="00630ED1"/>
    <w:rsid w:val="0063107F"/>
    <w:rsid w:val="00631276"/>
    <w:rsid w:val="0063156E"/>
    <w:rsid w:val="006316BC"/>
    <w:rsid w:val="0063187C"/>
    <w:rsid w:val="0063192B"/>
    <w:rsid w:val="00631936"/>
    <w:rsid w:val="00631946"/>
    <w:rsid w:val="00631A08"/>
    <w:rsid w:val="00631A6D"/>
    <w:rsid w:val="00631A91"/>
    <w:rsid w:val="00631AB2"/>
    <w:rsid w:val="00631B8F"/>
    <w:rsid w:val="00631D1B"/>
    <w:rsid w:val="00631DF0"/>
    <w:rsid w:val="00631EF6"/>
    <w:rsid w:val="0063206B"/>
    <w:rsid w:val="0063208E"/>
    <w:rsid w:val="006320BA"/>
    <w:rsid w:val="00632104"/>
    <w:rsid w:val="00632113"/>
    <w:rsid w:val="006321D4"/>
    <w:rsid w:val="00632402"/>
    <w:rsid w:val="00632816"/>
    <w:rsid w:val="006329AB"/>
    <w:rsid w:val="00632AA7"/>
    <w:rsid w:val="00632B46"/>
    <w:rsid w:val="00632BAD"/>
    <w:rsid w:val="00632BB3"/>
    <w:rsid w:val="00632BF3"/>
    <w:rsid w:val="00632DB4"/>
    <w:rsid w:val="00632ECF"/>
    <w:rsid w:val="00632F13"/>
    <w:rsid w:val="006331E1"/>
    <w:rsid w:val="00633222"/>
    <w:rsid w:val="006332E8"/>
    <w:rsid w:val="0063340D"/>
    <w:rsid w:val="0063348F"/>
    <w:rsid w:val="00633539"/>
    <w:rsid w:val="006335AB"/>
    <w:rsid w:val="006336A7"/>
    <w:rsid w:val="006336D1"/>
    <w:rsid w:val="0063383D"/>
    <w:rsid w:val="0063388B"/>
    <w:rsid w:val="006338EC"/>
    <w:rsid w:val="00633916"/>
    <w:rsid w:val="00633AAA"/>
    <w:rsid w:val="00633C10"/>
    <w:rsid w:val="00633D00"/>
    <w:rsid w:val="00633D47"/>
    <w:rsid w:val="00633D7F"/>
    <w:rsid w:val="00633DAD"/>
    <w:rsid w:val="00633ED3"/>
    <w:rsid w:val="006340C7"/>
    <w:rsid w:val="006342C9"/>
    <w:rsid w:val="00634445"/>
    <w:rsid w:val="006346CB"/>
    <w:rsid w:val="006347FC"/>
    <w:rsid w:val="0063484F"/>
    <w:rsid w:val="0063487A"/>
    <w:rsid w:val="006348CA"/>
    <w:rsid w:val="006348D0"/>
    <w:rsid w:val="00634991"/>
    <w:rsid w:val="006349F4"/>
    <w:rsid w:val="00634AFC"/>
    <w:rsid w:val="00634BBC"/>
    <w:rsid w:val="00634C23"/>
    <w:rsid w:val="00634C7B"/>
    <w:rsid w:val="00634DB0"/>
    <w:rsid w:val="00634F69"/>
    <w:rsid w:val="00634FB0"/>
    <w:rsid w:val="00635081"/>
    <w:rsid w:val="00635096"/>
    <w:rsid w:val="0063510B"/>
    <w:rsid w:val="006351A6"/>
    <w:rsid w:val="006351CC"/>
    <w:rsid w:val="0063523F"/>
    <w:rsid w:val="00635269"/>
    <w:rsid w:val="006352B1"/>
    <w:rsid w:val="00635354"/>
    <w:rsid w:val="006354A2"/>
    <w:rsid w:val="006356F0"/>
    <w:rsid w:val="0063577F"/>
    <w:rsid w:val="006357A8"/>
    <w:rsid w:val="00635907"/>
    <w:rsid w:val="0063595C"/>
    <w:rsid w:val="00635AEA"/>
    <w:rsid w:val="00635AEF"/>
    <w:rsid w:val="00635B76"/>
    <w:rsid w:val="00635C49"/>
    <w:rsid w:val="00635C72"/>
    <w:rsid w:val="00635E84"/>
    <w:rsid w:val="00635EB3"/>
    <w:rsid w:val="00635EB9"/>
    <w:rsid w:val="00635F60"/>
    <w:rsid w:val="00636111"/>
    <w:rsid w:val="00636190"/>
    <w:rsid w:val="00636210"/>
    <w:rsid w:val="00636235"/>
    <w:rsid w:val="006362C5"/>
    <w:rsid w:val="0063644F"/>
    <w:rsid w:val="00636528"/>
    <w:rsid w:val="00636546"/>
    <w:rsid w:val="0063662C"/>
    <w:rsid w:val="0063664D"/>
    <w:rsid w:val="00636650"/>
    <w:rsid w:val="00636708"/>
    <w:rsid w:val="006369D0"/>
    <w:rsid w:val="00636CDC"/>
    <w:rsid w:val="00636DDA"/>
    <w:rsid w:val="00636DFA"/>
    <w:rsid w:val="00636E0B"/>
    <w:rsid w:val="00636E79"/>
    <w:rsid w:val="00636F4B"/>
    <w:rsid w:val="00636F65"/>
    <w:rsid w:val="00636F84"/>
    <w:rsid w:val="00636FE2"/>
    <w:rsid w:val="0063704C"/>
    <w:rsid w:val="0063715C"/>
    <w:rsid w:val="00637193"/>
    <w:rsid w:val="0063719A"/>
    <w:rsid w:val="006371E8"/>
    <w:rsid w:val="00637257"/>
    <w:rsid w:val="00637321"/>
    <w:rsid w:val="00637451"/>
    <w:rsid w:val="0063745E"/>
    <w:rsid w:val="006374BE"/>
    <w:rsid w:val="00637502"/>
    <w:rsid w:val="0063754E"/>
    <w:rsid w:val="00637584"/>
    <w:rsid w:val="0063759D"/>
    <w:rsid w:val="006375D3"/>
    <w:rsid w:val="006375F4"/>
    <w:rsid w:val="0063763C"/>
    <w:rsid w:val="006377E7"/>
    <w:rsid w:val="00637938"/>
    <w:rsid w:val="00637A7B"/>
    <w:rsid w:val="00637C13"/>
    <w:rsid w:val="00637C42"/>
    <w:rsid w:val="00637D3A"/>
    <w:rsid w:val="00637E79"/>
    <w:rsid w:val="00637EEB"/>
    <w:rsid w:val="00637F29"/>
    <w:rsid w:val="00637F3A"/>
    <w:rsid w:val="00637F4E"/>
    <w:rsid w:val="00637F79"/>
    <w:rsid w:val="00637FBD"/>
    <w:rsid w:val="00637FF4"/>
    <w:rsid w:val="00637FF5"/>
    <w:rsid w:val="006400A1"/>
    <w:rsid w:val="006400C2"/>
    <w:rsid w:val="0064017B"/>
    <w:rsid w:val="0064021D"/>
    <w:rsid w:val="00640373"/>
    <w:rsid w:val="0064049F"/>
    <w:rsid w:val="00640556"/>
    <w:rsid w:val="006405B1"/>
    <w:rsid w:val="006405C4"/>
    <w:rsid w:val="0064064A"/>
    <w:rsid w:val="006406BB"/>
    <w:rsid w:val="00640746"/>
    <w:rsid w:val="006407F6"/>
    <w:rsid w:val="00640847"/>
    <w:rsid w:val="00640873"/>
    <w:rsid w:val="0064098C"/>
    <w:rsid w:val="00640AAF"/>
    <w:rsid w:val="00640BC2"/>
    <w:rsid w:val="00640C51"/>
    <w:rsid w:val="00640CB3"/>
    <w:rsid w:val="00640E69"/>
    <w:rsid w:val="00640F56"/>
    <w:rsid w:val="00640F7F"/>
    <w:rsid w:val="00640FE7"/>
    <w:rsid w:val="0064104E"/>
    <w:rsid w:val="00641144"/>
    <w:rsid w:val="0064124A"/>
    <w:rsid w:val="006412D4"/>
    <w:rsid w:val="006412E1"/>
    <w:rsid w:val="006413B3"/>
    <w:rsid w:val="006413BB"/>
    <w:rsid w:val="006413C5"/>
    <w:rsid w:val="0064164D"/>
    <w:rsid w:val="0064165F"/>
    <w:rsid w:val="00641663"/>
    <w:rsid w:val="006417D3"/>
    <w:rsid w:val="0064197B"/>
    <w:rsid w:val="006419C3"/>
    <w:rsid w:val="006419F2"/>
    <w:rsid w:val="00641A96"/>
    <w:rsid w:val="00641AF8"/>
    <w:rsid w:val="00641C1C"/>
    <w:rsid w:val="00641D40"/>
    <w:rsid w:val="00641D51"/>
    <w:rsid w:val="00641DC6"/>
    <w:rsid w:val="00641E59"/>
    <w:rsid w:val="00641FBB"/>
    <w:rsid w:val="00642170"/>
    <w:rsid w:val="00642228"/>
    <w:rsid w:val="006422D7"/>
    <w:rsid w:val="006422FA"/>
    <w:rsid w:val="00642446"/>
    <w:rsid w:val="00642538"/>
    <w:rsid w:val="00642601"/>
    <w:rsid w:val="0064264E"/>
    <w:rsid w:val="006426D0"/>
    <w:rsid w:val="006427A4"/>
    <w:rsid w:val="006427A9"/>
    <w:rsid w:val="006429EC"/>
    <w:rsid w:val="006429F6"/>
    <w:rsid w:val="00642A43"/>
    <w:rsid w:val="00642B4A"/>
    <w:rsid w:val="00642C5B"/>
    <w:rsid w:val="00642DCE"/>
    <w:rsid w:val="00642E0B"/>
    <w:rsid w:val="00642E7D"/>
    <w:rsid w:val="00642EAA"/>
    <w:rsid w:val="00642F3D"/>
    <w:rsid w:val="0064309D"/>
    <w:rsid w:val="006430F3"/>
    <w:rsid w:val="0064310B"/>
    <w:rsid w:val="0064324E"/>
    <w:rsid w:val="00643382"/>
    <w:rsid w:val="006433A1"/>
    <w:rsid w:val="006433C9"/>
    <w:rsid w:val="006434EE"/>
    <w:rsid w:val="0064359F"/>
    <w:rsid w:val="006435D2"/>
    <w:rsid w:val="00643823"/>
    <w:rsid w:val="006438F4"/>
    <w:rsid w:val="006438F6"/>
    <w:rsid w:val="006439A1"/>
    <w:rsid w:val="00643A3D"/>
    <w:rsid w:val="00643B6C"/>
    <w:rsid w:val="00643CA1"/>
    <w:rsid w:val="00643E02"/>
    <w:rsid w:val="00643E07"/>
    <w:rsid w:val="00643F19"/>
    <w:rsid w:val="00643F4A"/>
    <w:rsid w:val="00643F69"/>
    <w:rsid w:val="00643F78"/>
    <w:rsid w:val="00643FF6"/>
    <w:rsid w:val="00644277"/>
    <w:rsid w:val="006442AA"/>
    <w:rsid w:val="00644342"/>
    <w:rsid w:val="0064455F"/>
    <w:rsid w:val="0064457D"/>
    <w:rsid w:val="006445A7"/>
    <w:rsid w:val="00644639"/>
    <w:rsid w:val="00644680"/>
    <w:rsid w:val="0064476D"/>
    <w:rsid w:val="0064478D"/>
    <w:rsid w:val="006448C1"/>
    <w:rsid w:val="00644903"/>
    <w:rsid w:val="006449DD"/>
    <w:rsid w:val="006449E1"/>
    <w:rsid w:val="00644AAF"/>
    <w:rsid w:val="00644C4B"/>
    <w:rsid w:val="00644F1A"/>
    <w:rsid w:val="00644F74"/>
    <w:rsid w:val="00644F7F"/>
    <w:rsid w:val="0064506E"/>
    <w:rsid w:val="006450C1"/>
    <w:rsid w:val="006451EC"/>
    <w:rsid w:val="00645269"/>
    <w:rsid w:val="00645519"/>
    <w:rsid w:val="0064556F"/>
    <w:rsid w:val="006457C6"/>
    <w:rsid w:val="00645811"/>
    <w:rsid w:val="00645943"/>
    <w:rsid w:val="00645BA8"/>
    <w:rsid w:val="00645C20"/>
    <w:rsid w:val="00645D4C"/>
    <w:rsid w:val="00645E43"/>
    <w:rsid w:val="00645E5F"/>
    <w:rsid w:val="00645F67"/>
    <w:rsid w:val="00645FCF"/>
    <w:rsid w:val="00646013"/>
    <w:rsid w:val="0064614C"/>
    <w:rsid w:val="0064615B"/>
    <w:rsid w:val="00646179"/>
    <w:rsid w:val="006461C5"/>
    <w:rsid w:val="00646218"/>
    <w:rsid w:val="00646259"/>
    <w:rsid w:val="006462E2"/>
    <w:rsid w:val="0064632F"/>
    <w:rsid w:val="00646351"/>
    <w:rsid w:val="0064640F"/>
    <w:rsid w:val="006464A2"/>
    <w:rsid w:val="0064669B"/>
    <w:rsid w:val="0064675D"/>
    <w:rsid w:val="006468EA"/>
    <w:rsid w:val="006469E4"/>
    <w:rsid w:val="00646C0A"/>
    <w:rsid w:val="00646D18"/>
    <w:rsid w:val="00646D55"/>
    <w:rsid w:val="00646DA0"/>
    <w:rsid w:val="00646DA8"/>
    <w:rsid w:val="00646DEA"/>
    <w:rsid w:val="00646F8D"/>
    <w:rsid w:val="00646FAE"/>
    <w:rsid w:val="00646FC9"/>
    <w:rsid w:val="00646FE9"/>
    <w:rsid w:val="00647106"/>
    <w:rsid w:val="00647123"/>
    <w:rsid w:val="0064729A"/>
    <w:rsid w:val="006476A6"/>
    <w:rsid w:val="006476D6"/>
    <w:rsid w:val="0064777B"/>
    <w:rsid w:val="006477B1"/>
    <w:rsid w:val="006478C3"/>
    <w:rsid w:val="00647B02"/>
    <w:rsid w:val="00647C55"/>
    <w:rsid w:val="00647D0D"/>
    <w:rsid w:val="00647D40"/>
    <w:rsid w:val="00647E7A"/>
    <w:rsid w:val="00647EBD"/>
    <w:rsid w:val="00647F05"/>
    <w:rsid w:val="00650127"/>
    <w:rsid w:val="006501CE"/>
    <w:rsid w:val="006501E7"/>
    <w:rsid w:val="006502AE"/>
    <w:rsid w:val="00650348"/>
    <w:rsid w:val="00650408"/>
    <w:rsid w:val="0065043A"/>
    <w:rsid w:val="00650494"/>
    <w:rsid w:val="006504BE"/>
    <w:rsid w:val="00650608"/>
    <w:rsid w:val="0065061A"/>
    <w:rsid w:val="0065061D"/>
    <w:rsid w:val="006506FC"/>
    <w:rsid w:val="00650797"/>
    <w:rsid w:val="006507BC"/>
    <w:rsid w:val="00650944"/>
    <w:rsid w:val="00650C9F"/>
    <w:rsid w:val="00650CE4"/>
    <w:rsid w:val="00650D70"/>
    <w:rsid w:val="00650DE9"/>
    <w:rsid w:val="00650EC6"/>
    <w:rsid w:val="00650F03"/>
    <w:rsid w:val="00650F07"/>
    <w:rsid w:val="00650F0D"/>
    <w:rsid w:val="0065100E"/>
    <w:rsid w:val="00651079"/>
    <w:rsid w:val="00651080"/>
    <w:rsid w:val="0065114A"/>
    <w:rsid w:val="00651231"/>
    <w:rsid w:val="00651528"/>
    <w:rsid w:val="006515AB"/>
    <w:rsid w:val="00651643"/>
    <w:rsid w:val="00651743"/>
    <w:rsid w:val="00651799"/>
    <w:rsid w:val="0065189B"/>
    <w:rsid w:val="0065194C"/>
    <w:rsid w:val="006519E8"/>
    <w:rsid w:val="00651A27"/>
    <w:rsid w:val="00651B69"/>
    <w:rsid w:val="00651CDD"/>
    <w:rsid w:val="00651D09"/>
    <w:rsid w:val="00651D65"/>
    <w:rsid w:val="00651DF3"/>
    <w:rsid w:val="00651F99"/>
    <w:rsid w:val="0065213D"/>
    <w:rsid w:val="0065221B"/>
    <w:rsid w:val="00652239"/>
    <w:rsid w:val="0065224B"/>
    <w:rsid w:val="0065231F"/>
    <w:rsid w:val="006523DD"/>
    <w:rsid w:val="006523F9"/>
    <w:rsid w:val="00652404"/>
    <w:rsid w:val="00652439"/>
    <w:rsid w:val="006524F5"/>
    <w:rsid w:val="0065254A"/>
    <w:rsid w:val="006526BA"/>
    <w:rsid w:val="006526F8"/>
    <w:rsid w:val="0065273D"/>
    <w:rsid w:val="00652955"/>
    <w:rsid w:val="006529A4"/>
    <w:rsid w:val="00652AE4"/>
    <w:rsid w:val="00652B49"/>
    <w:rsid w:val="00652DC2"/>
    <w:rsid w:val="00652EB4"/>
    <w:rsid w:val="00652EBC"/>
    <w:rsid w:val="00652F14"/>
    <w:rsid w:val="00652FAA"/>
    <w:rsid w:val="00653064"/>
    <w:rsid w:val="006530DA"/>
    <w:rsid w:val="006531B4"/>
    <w:rsid w:val="00653208"/>
    <w:rsid w:val="0065327C"/>
    <w:rsid w:val="006532E3"/>
    <w:rsid w:val="00653400"/>
    <w:rsid w:val="006534F3"/>
    <w:rsid w:val="006535BD"/>
    <w:rsid w:val="00653802"/>
    <w:rsid w:val="00653916"/>
    <w:rsid w:val="0065399E"/>
    <w:rsid w:val="006539A1"/>
    <w:rsid w:val="00653A74"/>
    <w:rsid w:val="00653B60"/>
    <w:rsid w:val="00653CD3"/>
    <w:rsid w:val="00653D35"/>
    <w:rsid w:val="00653D36"/>
    <w:rsid w:val="00653DEE"/>
    <w:rsid w:val="00653EB2"/>
    <w:rsid w:val="00653EB9"/>
    <w:rsid w:val="00654093"/>
    <w:rsid w:val="006540FC"/>
    <w:rsid w:val="006540FD"/>
    <w:rsid w:val="0065431A"/>
    <w:rsid w:val="006543FD"/>
    <w:rsid w:val="00654424"/>
    <w:rsid w:val="00654490"/>
    <w:rsid w:val="006544FB"/>
    <w:rsid w:val="00654889"/>
    <w:rsid w:val="0065499C"/>
    <w:rsid w:val="006549B9"/>
    <w:rsid w:val="00654AA6"/>
    <w:rsid w:val="00654ABB"/>
    <w:rsid w:val="00654BEE"/>
    <w:rsid w:val="00654C73"/>
    <w:rsid w:val="00654D30"/>
    <w:rsid w:val="00654D9C"/>
    <w:rsid w:val="00654E39"/>
    <w:rsid w:val="00654E8E"/>
    <w:rsid w:val="00654FC6"/>
    <w:rsid w:val="006551BC"/>
    <w:rsid w:val="00655227"/>
    <w:rsid w:val="006554E9"/>
    <w:rsid w:val="00655588"/>
    <w:rsid w:val="00655780"/>
    <w:rsid w:val="00655808"/>
    <w:rsid w:val="0065587F"/>
    <w:rsid w:val="006558EA"/>
    <w:rsid w:val="0065595A"/>
    <w:rsid w:val="00655BAD"/>
    <w:rsid w:val="00655C68"/>
    <w:rsid w:val="00655D13"/>
    <w:rsid w:val="00655E98"/>
    <w:rsid w:val="0065603D"/>
    <w:rsid w:val="00656301"/>
    <w:rsid w:val="006564B4"/>
    <w:rsid w:val="0065654D"/>
    <w:rsid w:val="00656582"/>
    <w:rsid w:val="006565F1"/>
    <w:rsid w:val="00656670"/>
    <w:rsid w:val="006566B5"/>
    <w:rsid w:val="00656748"/>
    <w:rsid w:val="006568B6"/>
    <w:rsid w:val="0065696F"/>
    <w:rsid w:val="00656A2D"/>
    <w:rsid w:val="00656C48"/>
    <w:rsid w:val="00656CB8"/>
    <w:rsid w:val="00656D85"/>
    <w:rsid w:val="00656F06"/>
    <w:rsid w:val="00656F5B"/>
    <w:rsid w:val="0065706C"/>
    <w:rsid w:val="006570C8"/>
    <w:rsid w:val="006571BF"/>
    <w:rsid w:val="0065722E"/>
    <w:rsid w:val="00657318"/>
    <w:rsid w:val="006573F4"/>
    <w:rsid w:val="0065763A"/>
    <w:rsid w:val="00657716"/>
    <w:rsid w:val="006579B1"/>
    <w:rsid w:val="00657BB8"/>
    <w:rsid w:val="00657BCC"/>
    <w:rsid w:val="00657C4F"/>
    <w:rsid w:val="00657CA7"/>
    <w:rsid w:val="00657D25"/>
    <w:rsid w:val="0066002E"/>
    <w:rsid w:val="00660070"/>
    <w:rsid w:val="00660109"/>
    <w:rsid w:val="006601D4"/>
    <w:rsid w:val="006601EE"/>
    <w:rsid w:val="0066020A"/>
    <w:rsid w:val="00660222"/>
    <w:rsid w:val="00660360"/>
    <w:rsid w:val="006603A1"/>
    <w:rsid w:val="006603C2"/>
    <w:rsid w:val="00660426"/>
    <w:rsid w:val="006604C7"/>
    <w:rsid w:val="00660586"/>
    <w:rsid w:val="006609CD"/>
    <w:rsid w:val="006609EC"/>
    <w:rsid w:val="00660A16"/>
    <w:rsid w:val="00660B68"/>
    <w:rsid w:val="00660C68"/>
    <w:rsid w:val="00660CB8"/>
    <w:rsid w:val="00660CD1"/>
    <w:rsid w:val="00660D93"/>
    <w:rsid w:val="00660DE1"/>
    <w:rsid w:val="006610C9"/>
    <w:rsid w:val="006612A5"/>
    <w:rsid w:val="006613C1"/>
    <w:rsid w:val="00661407"/>
    <w:rsid w:val="006614BE"/>
    <w:rsid w:val="00661551"/>
    <w:rsid w:val="00661634"/>
    <w:rsid w:val="00661870"/>
    <w:rsid w:val="006619C9"/>
    <w:rsid w:val="006619D5"/>
    <w:rsid w:val="00661A9A"/>
    <w:rsid w:val="00661AC2"/>
    <w:rsid w:val="00661B11"/>
    <w:rsid w:val="00661B9D"/>
    <w:rsid w:val="00661C27"/>
    <w:rsid w:val="00661CB2"/>
    <w:rsid w:val="00662022"/>
    <w:rsid w:val="00662037"/>
    <w:rsid w:val="00662044"/>
    <w:rsid w:val="006620FF"/>
    <w:rsid w:val="006621A9"/>
    <w:rsid w:val="006623A2"/>
    <w:rsid w:val="0066249F"/>
    <w:rsid w:val="0066251F"/>
    <w:rsid w:val="006625CC"/>
    <w:rsid w:val="00662618"/>
    <w:rsid w:val="00662634"/>
    <w:rsid w:val="0066271F"/>
    <w:rsid w:val="00662943"/>
    <w:rsid w:val="006629AC"/>
    <w:rsid w:val="006629FB"/>
    <w:rsid w:val="00662A16"/>
    <w:rsid w:val="00662A20"/>
    <w:rsid w:val="00662AA2"/>
    <w:rsid w:val="00662C6B"/>
    <w:rsid w:val="00662CEF"/>
    <w:rsid w:val="00663095"/>
    <w:rsid w:val="00663278"/>
    <w:rsid w:val="00663280"/>
    <w:rsid w:val="006632C4"/>
    <w:rsid w:val="006633B1"/>
    <w:rsid w:val="00663435"/>
    <w:rsid w:val="0066348F"/>
    <w:rsid w:val="0066351A"/>
    <w:rsid w:val="0066376F"/>
    <w:rsid w:val="00663774"/>
    <w:rsid w:val="0066383E"/>
    <w:rsid w:val="00663B14"/>
    <w:rsid w:val="00663B55"/>
    <w:rsid w:val="00663C74"/>
    <w:rsid w:val="00663E5B"/>
    <w:rsid w:val="00663FA8"/>
    <w:rsid w:val="00663FF0"/>
    <w:rsid w:val="00664057"/>
    <w:rsid w:val="006640B6"/>
    <w:rsid w:val="006640FC"/>
    <w:rsid w:val="0066421F"/>
    <w:rsid w:val="006642A6"/>
    <w:rsid w:val="0066439B"/>
    <w:rsid w:val="00664477"/>
    <w:rsid w:val="006644EE"/>
    <w:rsid w:val="00664750"/>
    <w:rsid w:val="0066479F"/>
    <w:rsid w:val="0066483D"/>
    <w:rsid w:val="00664A4F"/>
    <w:rsid w:val="00664BFA"/>
    <w:rsid w:val="00664C82"/>
    <w:rsid w:val="00664CEF"/>
    <w:rsid w:val="00664D4B"/>
    <w:rsid w:val="00664E1E"/>
    <w:rsid w:val="00664E74"/>
    <w:rsid w:val="00664F87"/>
    <w:rsid w:val="0066500F"/>
    <w:rsid w:val="0066526E"/>
    <w:rsid w:val="00665459"/>
    <w:rsid w:val="0066555E"/>
    <w:rsid w:val="006655ED"/>
    <w:rsid w:val="0066567B"/>
    <w:rsid w:val="00665776"/>
    <w:rsid w:val="00665841"/>
    <w:rsid w:val="0066588B"/>
    <w:rsid w:val="0066589D"/>
    <w:rsid w:val="006658DA"/>
    <w:rsid w:val="00665C38"/>
    <w:rsid w:val="00665C5A"/>
    <w:rsid w:val="00665C81"/>
    <w:rsid w:val="00665F91"/>
    <w:rsid w:val="00665FD2"/>
    <w:rsid w:val="00665FDB"/>
    <w:rsid w:val="00666056"/>
    <w:rsid w:val="0066610B"/>
    <w:rsid w:val="006661D0"/>
    <w:rsid w:val="0066631C"/>
    <w:rsid w:val="00666358"/>
    <w:rsid w:val="006663DB"/>
    <w:rsid w:val="00666400"/>
    <w:rsid w:val="006664CF"/>
    <w:rsid w:val="00666576"/>
    <w:rsid w:val="006665AD"/>
    <w:rsid w:val="006665EA"/>
    <w:rsid w:val="0066677B"/>
    <w:rsid w:val="0066684D"/>
    <w:rsid w:val="00666877"/>
    <w:rsid w:val="00666A2D"/>
    <w:rsid w:val="00666A4F"/>
    <w:rsid w:val="00666B1D"/>
    <w:rsid w:val="00666B21"/>
    <w:rsid w:val="00666CEE"/>
    <w:rsid w:val="00666D4E"/>
    <w:rsid w:val="00666D5D"/>
    <w:rsid w:val="00666DD5"/>
    <w:rsid w:val="00666EEB"/>
    <w:rsid w:val="0066704A"/>
    <w:rsid w:val="0066718E"/>
    <w:rsid w:val="006671A4"/>
    <w:rsid w:val="006671A9"/>
    <w:rsid w:val="00667320"/>
    <w:rsid w:val="0066760D"/>
    <w:rsid w:val="006677A5"/>
    <w:rsid w:val="0066797E"/>
    <w:rsid w:val="006679EB"/>
    <w:rsid w:val="00667A91"/>
    <w:rsid w:val="00667AF8"/>
    <w:rsid w:val="00667C80"/>
    <w:rsid w:val="00667E1A"/>
    <w:rsid w:val="00667EB4"/>
    <w:rsid w:val="00667F3D"/>
    <w:rsid w:val="00667F9C"/>
    <w:rsid w:val="0067009F"/>
    <w:rsid w:val="006701A9"/>
    <w:rsid w:val="006701B4"/>
    <w:rsid w:val="0067024E"/>
    <w:rsid w:val="00670309"/>
    <w:rsid w:val="00670470"/>
    <w:rsid w:val="00670533"/>
    <w:rsid w:val="006705E2"/>
    <w:rsid w:val="00670642"/>
    <w:rsid w:val="006706CB"/>
    <w:rsid w:val="00670751"/>
    <w:rsid w:val="006707F4"/>
    <w:rsid w:val="006708B0"/>
    <w:rsid w:val="006708F2"/>
    <w:rsid w:val="00670A76"/>
    <w:rsid w:val="00670B0D"/>
    <w:rsid w:val="00670BFF"/>
    <w:rsid w:val="00670C4C"/>
    <w:rsid w:val="00670C59"/>
    <w:rsid w:val="00670CD5"/>
    <w:rsid w:val="00670D8F"/>
    <w:rsid w:val="00670F7E"/>
    <w:rsid w:val="00671031"/>
    <w:rsid w:val="006711E6"/>
    <w:rsid w:val="0067124B"/>
    <w:rsid w:val="0067127E"/>
    <w:rsid w:val="00671297"/>
    <w:rsid w:val="006712E4"/>
    <w:rsid w:val="00671303"/>
    <w:rsid w:val="006713B5"/>
    <w:rsid w:val="006714F8"/>
    <w:rsid w:val="00671540"/>
    <w:rsid w:val="006719FC"/>
    <w:rsid w:val="00671BAF"/>
    <w:rsid w:val="00671E5C"/>
    <w:rsid w:val="00671F79"/>
    <w:rsid w:val="00671FF5"/>
    <w:rsid w:val="00672094"/>
    <w:rsid w:val="00672132"/>
    <w:rsid w:val="0067220C"/>
    <w:rsid w:val="006722A1"/>
    <w:rsid w:val="0067239C"/>
    <w:rsid w:val="006725AB"/>
    <w:rsid w:val="00672750"/>
    <w:rsid w:val="006727B2"/>
    <w:rsid w:val="0067284C"/>
    <w:rsid w:val="00672B2A"/>
    <w:rsid w:val="00672BD5"/>
    <w:rsid w:val="00672CB4"/>
    <w:rsid w:val="00672D29"/>
    <w:rsid w:val="00672F4A"/>
    <w:rsid w:val="00672FD7"/>
    <w:rsid w:val="00673063"/>
    <w:rsid w:val="006730EF"/>
    <w:rsid w:val="006732E9"/>
    <w:rsid w:val="0067344B"/>
    <w:rsid w:val="00673482"/>
    <w:rsid w:val="0067349A"/>
    <w:rsid w:val="0067350F"/>
    <w:rsid w:val="0067353B"/>
    <w:rsid w:val="006735EB"/>
    <w:rsid w:val="00673600"/>
    <w:rsid w:val="0067369E"/>
    <w:rsid w:val="0067379E"/>
    <w:rsid w:val="0067391F"/>
    <w:rsid w:val="00673A0F"/>
    <w:rsid w:val="00673A47"/>
    <w:rsid w:val="00673B01"/>
    <w:rsid w:val="00673C15"/>
    <w:rsid w:val="00673F79"/>
    <w:rsid w:val="006740DD"/>
    <w:rsid w:val="0067415B"/>
    <w:rsid w:val="00674161"/>
    <w:rsid w:val="006741C6"/>
    <w:rsid w:val="0067420D"/>
    <w:rsid w:val="00674350"/>
    <w:rsid w:val="006743ED"/>
    <w:rsid w:val="006744CF"/>
    <w:rsid w:val="00674661"/>
    <w:rsid w:val="0067467D"/>
    <w:rsid w:val="00674686"/>
    <w:rsid w:val="0067490B"/>
    <w:rsid w:val="00674A46"/>
    <w:rsid w:val="00674AA9"/>
    <w:rsid w:val="00674E19"/>
    <w:rsid w:val="00674E5D"/>
    <w:rsid w:val="00674EDF"/>
    <w:rsid w:val="00674EE3"/>
    <w:rsid w:val="00675073"/>
    <w:rsid w:val="006751AE"/>
    <w:rsid w:val="006753CA"/>
    <w:rsid w:val="00675497"/>
    <w:rsid w:val="00675544"/>
    <w:rsid w:val="0067565D"/>
    <w:rsid w:val="00675956"/>
    <w:rsid w:val="00675A7B"/>
    <w:rsid w:val="00675B0D"/>
    <w:rsid w:val="00675B9F"/>
    <w:rsid w:val="00675BE1"/>
    <w:rsid w:val="00675C8A"/>
    <w:rsid w:val="00675D94"/>
    <w:rsid w:val="00675F67"/>
    <w:rsid w:val="00676062"/>
    <w:rsid w:val="0067606A"/>
    <w:rsid w:val="00676156"/>
    <w:rsid w:val="006761E5"/>
    <w:rsid w:val="0067631E"/>
    <w:rsid w:val="00676338"/>
    <w:rsid w:val="00676341"/>
    <w:rsid w:val="006763F3"/>
    <w:rsid w:val="0067657F"/>
    <w:rsid w:val="006765A6"/>
    <w:rsid w:val="00676659"/>
    <w:rsid w:val="00676664"/>
    <w:rsid w:val="00676689"/>
    <w:rsid w:val="00676714"/>
    <w:rsid w:val="0067672F"/>
    <w:rsid w:val="00676774"/>
    <w:rsid w:val="00676853"/>
    <w:rsid w:val="00676A0C"/>
    <w:rsid w:val="00676C9E"/>
    <w:rsid w:val="00676D52"/>
    <w:rsid w:val="00676D75"/>
    <w:rsid w:val="00676E7A"/>
    <w:rsid w:val="00677084"/>
    <w:rsid w:val="00677118"/>
    <w:rsid w:val="0067726E"/>
    <w:rsid w:val="00677574"/>
    <w:rsid w:val="006775BC"/>
    <w:rsid w:val="006775CE"/>
    <w:rsid w:val="006775F0"/>
    <w:rsid w:val="00677632"/>
    <w:rsid w:val="006777E6"/>
    <w:rsid w:val="006778BA"/>
    <w:rsid w:val="00677A03"/>
    <w:rsid w:val="00677A38"/>
    <w:rsid w:val="00677AB5"/>
    <w:rsid w:val="00677B0B"/>
    <w:rsid w:val="00677D05"/>
    <w:rsid w:val="00677DEE"/>
    <w:rsid w:val="006800A4"/>
    <w:rsid w:val="00680324"/>
    <w:rsid w:val="0068039B"/>
    <w:rsid w:val="00680410"/>
    <w:rsid w:val="006804DA"/>
    <w:rsid w:val="00680583"/>
    <w:rsid w:val="00680604"/>
    <w:rsid w:val="00680711"/>
    <w:rsid w:val="006808B5"/>
    <w:rsid w:val="00680B80"/>
    <w:rsid w:val="00680DB3"/>
    <w:rsid w:val="00680DFA"/>
    <w:rsid w:val="00680ED1"/>
    <w:rsid w:val="00681164"/>
    <w:rsid w:val="0068119D"/>
    <w:rsid w:val="006813EE"/>
    <w:rsid w:val="006814EF"/>
    <w:rsid w:val="0068153D"/>
    <w:rsid w:val="006817FD"/>
    <w:rsid w:val="00681837"/>
    <w:rsid w:val="006818D7"/>
    <w:rsid w:val="0068192B"/>
    <w:rsid w:val="00681A38"/>
    <w:rsid w:val="00681B81"/>
    <w:rsid w:val="00681BF4"/>
    <w:rsid w:val="00681C7D"/>
    <w:rsid w:val="00681CB1"/>
    <w:rsid w:val="00681E39"/>
    <w:rsid w:val="00681E6C"/>
    <w:rsid w:val="00681EB4"/>
    <w:rsid w:val="006820AC"/>
    <w:rsid w:val="006820DE"/>
    <w:rsid w:val="00682121"/>
    <w:rsid w:val="006821CA"/>
    <w:rsid w:val="006821E4"/>
    <w:rsid w:val="006821EA"/>
    <w:rsid w:val="00682200"/>
    <w:rsid w:val="00682254"/>
    <w:rsid w:val="00682385"/>
    <w:rsid w:val="006824D6"/>
    <w:rsid w:val="006826C5"/>
    <w:rsid w:val="0068277C"/>
    <w:rsid w:val="0068282B"/>
    <w:rsid w:val="006828D2"/>
    <w:rsid w:val="00682932"/>
    <w:rsid w:val="00682988"/>
    <w:rsid w:val="00682A53"/>
    <w:rsid w:val="00682AFF"/>
    <w:rsid w:val="00682B23"/>
    <w:rsid w:val="00682B37"/>
    <w:rsid w:val="00682C0B"/>
    <w:rsid w:val="00682C0D"/>
    <w:rsid w:val="00682C15"/>
    <w:rsid w:val="00682C71"/>
    <w:rsid w:val="00682D15"/>
    <w:rsid w:val="00682D56"/>
    <w:rsid w:val="00682F16"/>
    <w:rsid w:val="00683066"/>
    <w:rsid w:val="0068319A"/>
    <w:rsid w:val="006831AE"/>
    <w:rsid w:val="006832BA"/>
    <w:rsid w:val="00683560"/>
    <w:rsid w:val="006835DF"/>
    <w:rsid w:val="00683630"/>
    <w:rsid w:val="0068365D"/>
    <w:rsid w:val="0068371E"/>
    <w:rsid w:val="00683787"/>
    <w:rsid w:val="00683815"/>
    <w:rsid w:val="0068394A"/>
    <w:rsid w:val="00683BE7"/>
    <w:rsid w:val="00683C14"/>
    <w:rsid w:val="00683C9F"/>
    <w:rsid w:val="00683D6B"/>
    <w:rsid w:val="00683E76"/>
    <w:rsid w:val="00683EAD"/>
    <w:rsid w:val="00683EC3"/>
    <w:rsid w:val="00683FE6"/>
    <w:rsid w:val="0068404B"/>
    <w:rsid w:val="0068406C"/>
    <w:rsid w:val="006840AC"/>
    <w:rsid w:val="0068411D"/>
    <w:rsid w:val="00684256"/>
    <w:rsid w:val="006842B8"/>
    <w:rsid w:val="00684401"/>
    <w:rsid w:val="00684457"/>
    <w:rsid w:val="006844B4"/>
    <w:rsid w:val="0068450E"/>
    <w:rsid w:val="006845C5"/>
    <w:rsid w:val="006846BB"/>
    <w:rsid w:val="0068478B"/>
    <w:rsid w:val="00684865"/>
    <w:rsid w:val="00684987"/>
    <w:rsid w:val="006849FF"/>
    <w:rsid w:val="00684B58"/>
    <w:rsid w:val="00684C45"/>
    <w:rsid w:val="00684D06"/>
    <w:rsid w:val="00684F35"/>
    <w:rsid w:val="00684F4E"/>
    <w:rsid w:val="00684F6A"/>
    <w:rsid w:val="0068509F"/>
    <w:rsid w:val="00685120"/>
    <w:rsid w:val="00685166"/>
    <w:rsid w:val="00685302"/>
    <w:rsid w:val="0068531C"/>
    <w:rsid w:val="006855B2"/>
    <w:rsid w:val="00685612"/>
    <w:rsid w:val="0068578E"/>
    <w:rsid w:val="006857F6"/>
    <w:rsid w:val="006858F5"/>
    <w:rsid w:val="00685A9C"/>
    <w:rsid w:val="00685B0D"/>
    <w:rsid w:val="00685B10"/>
    <w:rsid w:val="00685C0F"/>
    <w:rsid w:val="00685CF9"/>
    <w:rsid w:val="00685D5B"/>
    <w:rsid w:val="00685DB7"/>
    <w:rsid w:val="00685F7A"/>
    <w:rsid w:val="006864A9"/>
    <w:rsid w:val="0068668B"/>
    <w:rsid w:val="00686914"/>
    <w:rsid w:val="00686B12"/>
    <w:rsid w:val="00686B98"/>
    <w:rsid w:val="00686B9E"/>
    <w:rsid w:val="00686E10"/>
    <w:rsid w:val="00686E7B"/>
    <w:rsid w:val="00686EF5"/>
    <w:rsid w:val="0068702F"/>
    <w:rsid w:val="006873AF"/>
    <w:rsid w:val="00687607"/>
    <w:rsid w:val="0068770B"/>
    <w:rsid w:val="00687859"/>
    <w:rsid w:val="00687969"/>
    <w:rsid w:val="006879BD"/>
    <w:rsid w:val="00687A27"/>
    <w:rsid w:val="00687A7B"/>
    <w:rsid w:val="00687B56"/>
    <w:rsid w:val="00687BB7"/>
    <w:rsid w:val="00687D9F"/>
    <w:rsid w:val="00687DC8"/>
    <w:rsid w:val="00687E00"/>
    <w:rsid w:val="00687E31"/>
    <w:rsid w:val="00687E99"/>
    <w:rsid w:val="00687EF1"/>
    <w:rsid w:val="00687F9A"/>
    <w:rsid w:val="00690072"/>
    <w:rsid w:val="006900C4"/>
    <w:rsid w:val="006903AC"/>
    <w:rsid w:val="006905E8"/>
    <w:rsid w:val="00690764"/>
    <w:rsid w:val="006908D4"/>
    <w:rsid w:val="006909A5"/>
    <w:rsid w:val="00690A16"/>
    <w:rsid w:val="00690BBC"/>
    <w:rsid w:val="00690C11"/>
    <w:rsid w:val="00690C36"/>
    <w:rsid w:val="00690C7F"/>
    <w:rsid w:val="00690CDB"/>
    <w:rsid w:val="00690D2F"/>
    <w:rsid w:val="00690DD7"/>
    <w:rsid w:val="00690E0F"/>
    <w:rsid w:val="00690FC0"/>
    <w:rsid w:val="00690FED"/>
    <w:rsid w:val="0069102C"/>
    <w:rsid w:val="0069111B"/>
    <w:rsid w:val="006911A5"/>
    <w:rsid w:val="00691237"/>
    <w:rsid w:val="0069125C"/>
    <w:rsid w:val="006912D7"/>
    <w:rsid w:val="0069152A"/>
    <w:rsid w:val="00691617"/>
    <w:rsid w:val="00691732"/>
    <w:rsid w:val="00691990"/>
    <w:rsid w:val="006919BF"/>
    <w:rsid w:val="00691BE2"/>
    <w:rsid w:val="00691C33"/>
    <w:rsid w:val="00691C97"/>
    <w:rsid w:val="00691CFE"/>
    <w:rsid w:val="00691D4A"/>
    <w:rsid w:val="00691F02"/>
    <w:rsid w:val="00691FC3"/>
    <w:rsid w:val="006921D5"/>
    <w:rsid w:val="00692206"/>
    <w:rsid w:val="00692276"/>
    <w:rsid w:val="006922CD"/>
    <w:rsid w:val="00692361"/>
    <w:rsid w:val="006923AB"/>
    <w:rsid w:val="006924A9"/>
    <w:rsid w:val="00692645"/>
    <w:rsid w:val="0069264A"/>
    <w:rsid w:val="0069280F"/>
    <w:rsid w:val="00692824"/>
    <w:rsid w:val="006929A0"/>
    <w:rsid w:val="00692A0E"/>
    <w:rsid w:val="00692AA2"/>
    <w:rsid w:val="00692AB2"/>
    <w:rsid w:val="00692BF7"/>
    <w:rsid w:val="00692C52"/>
    <w:rsid w:val="00692C70"/>
    <w:rsid w:val="00692CD1"/>
    <w:rsid w:val="00692D9B"/>
    <w:rsid w:val="00692E0A"/>
    <w:rsid w:val="00692EA1"/>
    <w:rsid w:val="00692EC5"/>
    <w:rsid w:val="00692F43"/>
    <w:rsid w:val="00692F89"/>
    <w:rsid w:val="00692F90"/>
    <w:rsid w:val="00692F9C"/>
    <w:rsid w:val="00693024"/>
    <w:rsid w:val="00693033"/>
    <w:rsid w:val="0069306F"/>
    <w:rsid w:val="00693295"/>
    <w:rsid w:val="0069329F"/>
    <w:rsid w:val="006933AB"/>
    <w:rsid w:val="00693421"/>
    <w:rsid w:val="00693569"/>
    <w:rsid w:val="00693602"/>
    <w:rsid w:val="0069367F"/>
    <w:rsid w:val="00693718"/>
    <w:rsid w:val="006937B7"/>
    <w:rsid w:val="006937F2"/>
    <w:rsid w:val="006937F3"/>
    <w:rsid w:val="00693822"/>
    <w:rsid w:val="00693863"/>
    <w:rsid w:val="0069390F"/>
    <w:rsid w:val="006939C5"/>
    <w:rsid w:val="00693ADB"/>
    <w:rsid w:val="00693F74"/>
    <w:rsid w:val="00693F8B"/>
    <w:rsid w:val="00693FC5"/>
    <w:rsid w:val="006940FA"/>
    <w:rsid w:val="0069410A"/>
    <w:rsid w:val="006941E1"/>
    <w:rsid w:val="00694260"/>
    <w:rsid w:val="0069428F"/>
    <w:rsid w:val="00694367"/>
    <w:rsid w:val="006943F2"/>
    <w:rsid w:val="006944E3"/>
    <w:rsid w:val="006944FD"/>
    <w:rsid w:val="00694510"/>
    <w:rsid w:val="00694515"/>
    <w:rsid w:val="00694527"/>
    <w:rsid w:val="006945C6"/>
    <w:rsid w:val="006945E8"/>
    <w:rsid w:val="00694692"/>
    <w:rsid w:val="006947BB"/>
    <w:rsid w:val="006948BD"/>
    <w:rsid w:val="00694933"/>
    <w:rsid w:val="00694A73"/>
    <w:rsid w:val="00694BD3"/>
    <w:rsid w:val="00694C5D"/>
    <w:rsid w:val="00694E79"/>
    <w:rsid w:val="00695065"/>
    <w:rsid w:val="006950D9"/>
    <w:rsid w:val="00695118"/>
    <w:rsid w:val="006951CD"/>
    <w:rsid w:val="0069525B"/>
    <w:rsid w:val="006952A3"/>
    <w:rsid w:val="0069533D"/>
    <w:rsid w:val="00695764"/>
    <w:rsid w:val="00695774"/>
    <w:rsid w:val="0069590A"/>
    <w:rsid w:val="00695916"/>
    <w:rsid w:val="00695981"/>
    <w:rsid w:val="00695A3F"/>
    <w:rsid w:val="00695BCB"/>
    <w:rsid w:val="00695D76"/>
    <w:rsid w:val="00695DAC"/>
    <w:rsid w:val="00695F5E"/>
    <w:rsid w:val="00695FB2"/>
    <w:rsid w:val="00695FFB"/>
    <w:rsid w:val="0069600A"/>
    <w:rsid w:val="006960DF"/>
    <w:rsid w:val="00696168"/>
    <w:rsid w:val="006961E0"/>
    <w:rsid w:val="00696201"/>
    <w:rsid w:val="00696213"/>
    <w:rsid w:val="006962ED"/>
    <w:rsid w:val="0069631B"/>
    <w:rsid w:val="00696548"/>
    <w:rsid w:val="006966D3"/>
    <w:rsid w:val="00696713"/>
    <w:rsid w:val="0069688F"/>
    <w:rsid w:val="006969D2"/>
    <w:rsid w:val="006969F4"/>
    <w:rsid w:val="00696A46"/>
    <w:rsid w:val="00696A8F"/>
    <w:rsid w:val="00696A9A"/>
    <w:rsid w:val="00696BDC"/>
    <w:rsid w:val="00696CDC"/>
    <w:rsid w:val="00696CFE"/>
    <w:rsid w:val="00696E29"/>
    <w:rsid w:val="00696E86"/>
    <w:rsid w:val="00696F76"/>
    <w:rsid w:val="00696FA3"/>
    <w:rsid w:val="006972BA"/>
    <w:rsid w:val="00697383"/>
    <w:rsid w:val="006973CE"/>
    <w:rsid w:val="00697478"/>
    <w:rsid w:val="006974C5"/>
    <w:rsid w:val="006974D5"/>
    <w:rsid w:val="0069768B"/>
    <w:rsid w:val="006976C9"/>
    <w:rsid w:val="006976E9"/>
    <w:rsid w:val="00697801"/>
    <w:rsid w:val="00697921"/>
    <w:rsid w:val="0069794D"/>
    <w:rsid w:val="006979E3"/>
    <w:rsid w:val="00697A06"/>
    <w:rsid w:val="00697A3D"/>
    <w:rsid w:val="00697A6B"/>
    <w:rsid w:val="00697C94"/>
    <w:rsid w:val="00697D23"/>
    <w:rsid w:val="00697D46"/>
    <w:rsid w:val="00697DBA"/>
    <w:rsid w:val="00697DC4"/>
    <w:rsid w:val="00697E3D"/>
    <w:rsid w:val="00697E92"/>
    <w:rsid w:val="00697EAD"/>
    <w:rsid w:val="00697EED"/>
    <w:rsid w:val="006A0142"/>
    <w:rsid w:val="006A01FF"/>
    <w:rsid w:val="006A0270"/>
    <w:rsid w:val="006A02C9"/>
    <w:rsid w:val="006A03AF"/>
    <w:rsid w:val="006A0603"/>
    <w:rsid w:val="006A08C3"/>
    <w:rsid w:val="006A0B7A"/>
    <w:rsid w:val="006A0BD0"/>
    <w:rsid w:val="006A0BD4"/>
    <w:rsid w:val="006A0C7C"/>
    <w:rsid w:val="006A0D32"/>
    <w:rsid w:val="006A0D9E"/>
    <w:rsid w:val="006A0ED3"/>
    <w:rsid w:val="006A0F68"/>
    <w:rsid w:val="006A0FBE"/>
    <w:rsid w:val="006A0FF0"/>
    <w:rsid w:val="006A1012"/>
    <w:rsid w:val="006A108C"/>
    <w:rsid w:val="006A11D4"/>
    <w:rsid w:val="006A14D6"/>
    <w:rsid w:val="006A151A"/>
    <w:rsid w:val="006A15A4"/>
    <w:rsid w:val="006A1665"/>
    <w:rsid w:val="006A1875"/>
    <w:rsid w:val="006A1B67"/>
    <w:rsid w:val="006A1B96"/>
    <w:rsid w:val="006A1CBE"/>
    <w:rsid w:val="006A1CD8"/>
    <w:rsid w:val="006A1D0D"/>
    <w:rsid w:val="006A1E2A"/>
    <w:rsid w:val="006A1EB0"/>
    <w:rsid w:val="006A1F25"/>
    <w:rsid w:val="006A1FDD"/>
    <w:rsid w:val="006A208F"/>
    <w:rsid w:val="006A2135"/>
    <w:rsid w:val="006A25D4"/>
    <w:rsid w:val="006A2A4F"/>
    <w:rsid w:val="006A2A6A"/>
    <w:rsid w:val="006A2B2A"/>
    <w:rsid w:val="006A2B5F"/>
    <w:rsid w:val="006A2BE9"/>
    <w:rsid w:val="006A2D1F"/>
    <w:rsid w:val="006A2E2B"/>
    <w:rsid w:val="006A2EBA"/>
    <w:rsid w:val="006A2EE0"/>
    <w:rsid w:val="006A2F2D"/>
    <w:rsid w:val="006A320D"/>
    <w:rsid w:val="006A3330"/>
    <w:rsid w:val="006A33AF"/>
    <w:rsid w:val="006A35AB"/>
    <w:rsid w:val="006A364C"/>
    <w:rsid w:val="006A37CF"/>
    <w:rsid w:val="006A3810"/>
    <w:rsid w:val="006A3A0E"/>
    <w:rsid w:val="006A3A48"/>
    <w:rsid w:val="006A3D3C"/>
    <w:rsid w:val="006A3D56"/>
    <w:rsid w:val="006A3D5F"/>
    <w:rsid w:val="006A3D6A"/>
    <w:rsid w:val="006A3D92"/>
    <w:rsid w:val="006A3DEB"/>
    <w:rsid w:val="006A3E23"/>
    <w:rsid w:val="006A3FE7"/>
    <w:rsid w:val="006A4048"/>
    <w:rsid w:val="006A4192"/>
    <w:rsid w:val="006A43C8"/>
    <w:rsid w:val="006A4814"/>
    <w:rsid w:val="006A4868"/>
    <w:rsid w:val="006A48AE"/>
    <w:rsid w:val="006A4B4F"/>
    <w:rsid w:val="006A4BE2"/>
    <w:rsid w:val="006A4C58"/>
    <w:rsid w:val="006A4E45"/>
    <w:rsid w:val="006A4F80"/>
    <w:rsid w:val="006A50B3"/>
    <w:rsid w:val="006A50F1"/>
    <w:rsid w:val="006A5255"/>
    <w:rsid w:val="006A5452"/>
    <w:rsid w:val="006A5510"/>
    <w:rsid w:val="006A5528"/>
    <w:rsid w:val="006A555F"/>
    <w:rsid w:val="006A55A9"/>
    <w:rsid w:val="006A5683"/>
    <w:rsid w:val="006A570E"/>
    <w:rsid w:val="006A5805"/>
    <w:rsid w:val="006A589E"/>
    <w:rsid w:val="006A5975"/>
    <w:rsid w:val="006A5A46"/>
    <w:rsid w:val="006A5A62"/>
    <w:rsid w:val="006A5AFC"/>
    <w:rsid w:val="006A5B58"/>
    <w:rsid w:val="006A5BAD"/>
    <w:rsid w:val="006A5BBC"/>
    <w:rsid w:val="006A5C7A"/>
    <w:rsid w:val="006A5CF7"/>
    <w:rsid w:val="006A5FF2"/>
    <w:rsid w:val="006A60A9"/>
    <w:rsid w:val="006A60CD"/>
    <w:rsid w:val="006A625B"/>
    <w:rsid w:val="006A6291"/>
    <w:rsid w:val="006A62EF"/>
    <w:rsid w:val="006A6322"/>
    <w:rsid w:val="006A6352"/>
    <w:rsid w:val="006A64FC"/>
    <w:rsid w:val="006A6598"/>
    <w:rsid w:val="006A672B"/>
    <w:rsid w:val="006A6784"/>
    <w:rsid w:val="006A683F"/>
    <w:rsid w:val="006A68E7"/>
    <w:rsid w:val="006A6944"/>
    <w:rsid w:val="006A6998"/>
    <w:rsid w:val="006A69A2"/>
    <w:rsid w:val="006A6A89"/>
    <w:rsid w:val="006A6A94"/>
    <w:rsid w:val="006A6AC2"/>
    <w:rsid w:val="006A6AD3"/>
    <w:rsid w:val="006A6DAA"/>
    <w:rsid w:val="006A6FB7"/>
    <w:rsid w:val="006A714D"/>
    <w:rsid w:val="006A72A7"/>
    <w:rsid w:val="006A72D6"/>
    <w:rsid w:val="006A72EE"/>
    <w:rsid w:val="006A769B"/>
    <w:rsid w:val="006A78E4"/>
    <w:rsid w:val="006A7900"/>
    <w:rsid w:val="006A7A76"/>
    <w:rsid w:val="006A7AC3"/>
    <w:rsid w:val="006A7B0E"/>
    <w:rsid w:val="006A7B95"/>
    <w:rsid w:val="006A7C12"/>
    <w:rsid w:val="006A7F0C"/>
    <w:rsid w:val="006A7F0D"/>
    <w:rsid w:val="006A7F93"/>
    <w:rsid w:val="006B0226"/>
    <w:rsid w:val="006B0234"/>
    <w:rsid w:val="006B0255"/>
    <w:rsid w:val="006B029C"/>
    <w:rsid w:val="006B03AA"/>
    <w:rsid w:val="006B0425"/>
    <w:rsid w:val="006B04A1"/>
    <w:rsid w:val="006B04FC"/>
    <w:rsid w:val="006B056C"/>
    <w:rsid w:val="006B05F4"/>
    <w:rsid w:val="006B05FA"/>
    <w:rsid w:val="006B0602"/>
    <w:rsid w:val="006B0672"/>
    <w:rsid w:val="006B0685"/>
    <w:rsid w:val="006B0849"/>
    <w:rsid w:val="006B0911"/>
    <w:rsid w:val="006B09AA"/>
    <w:rsid w:val="006B0AED"/>
    <w:rsid w:val="006B0D10"/>
    <w:rsid w:val="006B0D84"/>
    <w:rsid w:val="006B0FA8"/>
    <w:rsid w:val="006B101A"/>
    <w:rsid w:val="006B10EE"/>
    <w:rsid w:val="006B116A"/>
    <w:rsid w:val="006B11FE"/>
    <w:rsid w:val="006B129F"/>
    <w:rsid w:val="006B12BC"/>
    <w:rsid w:val="006B15E2"/>
    <w:rsid w:val="006B1615"/>
    <w:rsid w:val="006B1640"/>
    <w:rsid w:val="006B167D"/>
    <w:rsid w:val="006B180A"/>
    <w:rsid w:val="006B1811"/>
    <w:rsid w:val="006B1833"/>
    <w:rsid w:val="006B1896"/>
    <w:rsid w:val="006B19C8"/>
    <w:rsid w:val="006B1DF7"/>
    <w:rsid w:val="006B1EB8"/>
    <w:rsid w:val="006B1F6F"/>
    <w:rsid w:val="006B20E0"/>
    <w:rsid w:val="006B21B9"/>
    <w:rsid w:val="006B2581"/>
    <w:rsid w:val="006B29B1"/>
    <w:rsid w:val="006B29C8"/>
    <w:rsid w:val="006B2D0D"/>
    <w:rsid w:val="006B2DC3"/>
    <w:rsid w:val="006B2DE9"/>
    <w:rsid w:val="006B2E24"/>
    <w:rsid w:val="006B3079"/>
    <w:rsid w:val="006B30F9"/>
    <w:rsid w:val="006B32C1"/>
    <w:rsid w:val="006B34A2"/>
    <w:rsid w:val="006B368A"/>
    <w:rsid w:val="006B371F"/>
    <w:rsid w:val="006B37C5"/>
    <w:rsid w:val="006B385E"/>
    <w:rsid w:val="006B387D"/>
    <w:rsid w:val="006B39BB"/>
    <w:rsid w:val="006B3A2F"/>
    <w:rsid w:val="006B3AF0"/>
    <w:rsid w:val="006B3DB7"/>
    <w:rsid w:val="006B3DD6"/>
    <w:rsid w:val="006B3E88"/>
    <w:rsid w:val="006B403C"/>
    <w:rsid w:val="006B407E"/>
    <w:rsid w:val="006B40B3"/>
    <w:rsid w:val="006B40E5"/>
    <w:rsid w:val="006B4119"/>
    <w:rsid w:val="006B416F"/>
    <w:rsid w:val="006B4177"/>
    <w:rsid w:val="006B41F8"/>
    <w:rsid w:val="006B4482"/>
    <w:rsid w:val="006B44E1"/>
    <w:rsid w:val="006B459A"/>
    <w:rsid w:val="006B4712"/>
    <w:rsid w:val="006B4725"/>
    <w:rsid w:val="006B4770"/>
    <w:rsid w:val="006B4835"/>
    <w:rsid w:val="006B488F"/>
    <w:rsid w:val="006B48E9"/>
    <w:rsid w:val="006B4904"/>
    <w:rsid w:val="006B4993"/>
    <w:rsid w:val="006B49C2"/>
    <w:rsid w:val="006B4AF8"/>
    <w:rsid w:val="006B4B6D"/>
    <w:rsid w:val="006B4CEA"/>
    <w:rsid w:val="006B4E01"/>
    <w:rsid w:val="006B4F54"/>
    <w:rsid w:val="006B4F99"/>
    <w:rsid w:val="006B5090"/>
    <w:rsid w:val="006B5159"/>
    <w:rsid w:val="006B5214"/>
    <w:rsid w:val="006B523F"/>
    <w:rsid w:val="006B537D"/>
    <w:rsid w:val="006B5665"/>
    <w:rsid w:val="006B5740"/>
    <w:rsid w:val="006B57FC"/>
    <w:rsid w:val="006B5994"/>
    <w:rsid w:val="006B59F4"/>
    <w:rsid w:val="006B5A21"/>
    <w:rsid w:val="006B5B0E"/>
    <w:rsid w:val="006B5BAF"/>
    <w:rsid w:val="006B5C7B"/>
    <w:rsid w:val="006B5E2A"/>
    <w:rsid w:val="006B602E"/>
    <w:rsid w:val="006B61E3"/>
    <w:rsid w:val="006B6255"/>
    <w:rsid w:val="006B6358"/>
    <w:rsid w:val="006B64D9"/>
    <w:rsid w:val="006B65B5"/>
    <w:rsid w:val="006B6602"/>
    <w:rsid w:val="006B661C"/>
    <w:rsid w:val="006B666B"/>
    <w:rsid w:val="006B683A"/>
    <w:rsid w:val="006B6A0F"/>
    <w:rsid w:val="006B6A4E"/>
    <w:rsid w:val="006B6ABE"/>
    <w:rsid w:val="006B6AF0"/>
    <w:rsid w:val="006B6BB4"/>
    <w:rsid w:val="006B6D94"/>
    <w:rsid w:val="006B6E5C"/>
    <w:rsid w:val="006B6E97"/>
    <w:rsid w:val="006B6ECB"/>
    <w:rsid w:val="006B6FB7"/>
    <w:rsid w:val="006B7153"/>
    <w:rsid w:val="006B7164"/>
    <w:rsid w:val="006B74FD"/>
    <w:rsid w:val="006B7555"/>
    <w:rsid w:val="006B75E3"/>
    <w:rsid w:val="006B767B"/>
    <w:rsid w:val="006B76BD"/>
    <w:rsid w:val="006B77AF"/>
    <w:rsid w:val="006B77BF"/>
    <w:rsid w:val="006B77C8"/>
    <w:rsid w:val="006B789C"/>
    <w:rsid w:val="006B7901"/>
    <w:rsid w:val="006B79C4"/>
    <w:rsid w:val="006B7D83"/>
    <w:rsid w:val="006B7D9C"/>
    <w:rsid w:val="006B7DB7"/>
    <w:rsid w:val="006B7DC9"/>
    <w:rsid w:val="006C0077"/>
    <w:rsid w:val="006C008C"/>
    <w:rsid w:val="006C008F"/>
    <w:rsid w:val="006C009E"/>
    <w:rsid w:val="006C00C1"/>
    <w:rsid w:val="006C00D6"/>
    <w:rsid w:val="006C00DA"/>
    <w:rsid w:val="006C00E5"/>
    <w:rsid w:val="006C0147"/>
    <w:rsid w:val="006C0198"/>
    <w:rsid w:val="006C0209"/>
    <w:rsid w:val="006C039C"/>
    <w:rsid w:val="006C06BC"/>
    <w:rsid w:val="006C07BA"/>
    <w:rsid w:val="006C0879"/>
    <w:rsid w:val="006C0B39"/>
    <w:rsid w:val="006C0B94"/>
    <w:rsid w:val="006C0BA1"/>
    <w:rsid w:val="006C0C02"/>
    <w:rsid w:val="006C0C07"/>
    <w:rsid w:val="006C0C22"/>
    <w:rsid w:val="006C0CA6"/>
    <w:rsid w:val="006C0CCF"/>
    <w:rsid w:val="006C0CE0"/>
    <w:rsid w:val="006C0D7F"/>
    <w:rsid w:val="006C0E74"/>
    <w:rsid w:val="006C1065"/>
    <w:rsid w:val="006C1066"/>
    <w:rsid w:val="006C1269"/>
    <w:rsid w:val="006C12D1"/>
    <w:rsid w:val="006C1412"/>
    <w:rsid w:val="006C14C5"/>
    <w:rsid w:val="006C15EE"/>
    <w:rsid w:val="006C1618"/>
    <w:rsid w:val="006C1708"/>
    <w:rsid w:val="006C17C1"/>
    <w:rsid w:val="006C1AA3"/>
    <w:rsid w:val="006C1BAA"/>
    <w:rsid w:val="006C1D70"/>
    <w:rsid w:val="006C1D7C"/>
    <w:rsid w:val="006C1DD5"/>
    <w:rsid w:val="006C1E37"/>
    <w:rsid w:val="006C1EE1"/>
    <w:rsid w:val="006C2018"/>
    <w:rsid w:val="006C2254"/>
    <w:rsid w:val="006C226A"/>
    <w:rsid w:val="006C227B"/>
    <w:rsid w:val="006C2292"/>
    <w:rsid w:val="006C243C"/>
    <w:rsid w:val="006C26CA"/>
    <w:rsid w:val="006C2D15"/>
    <w:rsid w:val="006C2D1C"/>
    <w:rsid w:val="006C2D4B"/>
    <w:rsid w:val="006C2D86"/>
    <w:rsid w:val="006C2DD2"/>
    <w:rsid w:val="006C2F03"/>
    <w:rsid w:val="006C3093"/>
    <w:rsid w:val="006C3121"/>
    <w:rsid w:val="006C31FB"/>
    <w:rsid w:val="006C32F3"/>
    <w:rsid w:val="006C33A3"/>
    <w:rsid w:val="006C33E6"/>
    <w:rsid w:val="006C3599"/>
    <w:rsid w:val="006C3683"/>
    <w:rsid w:val="006C38DA"/>
    <w:rsid w:val="006C3937"/>
    <w:rsid w:val="006C3941"/>
    <w:rsid w:val="006C3959"/>
    <w:rsid w:val="006C39BA"/>
    <w:rsid w:val="006C39FC"/>
    <w:rsid w:val="006C3AD1"/>
    <w:rsid w:val="006C3C22"/>
    <w:rsid w:val="006C3CB7"/>
    <w:rsid w:val="006C3D8E"/>
    <w:rsid w:val="006C3DD1"/>
    <w:rsid w:val="006C3EAE"/>
    <w:rsid w:val="006C3F92"/>
    <w:rsid w:val="006C4068"/>
    <w:rsid w:val="006C4072"/>
    <w:rsid w:val="006C4091"/>
    <w:rsid w:val="006C419F"/>
    <w:rsid w:val="006C41F2"/>
    <w:rsid w:val="006C4254"/>
    <w:rsid w:val="006C42D6"/>
    <w:rsid w:val="006C4408"/>
    <w:rsid w:val="006C4475"/>
    <w:rsid w:val="006C4595"/>
    <w:rsid w:val="006C4776"/>
    <w:rsid w:val="006C4790"/>
    <w:rsid w:val="006C49F7"/>
    <w:rsid w:val="006C4A4A"/>
    <w:rsid w:val="006C4A57"/>
    <w:rsid w:val="006C4B18"/>
    <w:rsid w:val="006C4B8E"/>
    <w:rsid w:val="006C4D19"/>
    <w:rsid w:val="006C4D6F"/>
    <w:rsid w:val="006C4EB2"/>
    <w:rsid w:val="006C4F32"/>
    <w:rsid w:val="006C5007"/>
    <w:rsid w:val="006C5175"/>
    <w:rsid w:val="006C51BF"/>
    <w:rsid w:val="006C54AE"/>
    <w:rsid w:val="006C54E6"/>
    <w:rsid w:val="006C55FA"/>
    <w:rsid w:val="006C5696"/>
    <w:rsid w:val="006C5705"/>
    <w:rsid w:val="006C57A8"/>
    <w:rsid w:val="006C5851"/>
    <w:rsid w:val="006C5894"/>
    <w:rsid w:val="006C59BE"/>
    <w:rsid w:val="006C59CD"/>
    <w:rsid w:val="006C5AEC"/>
    <w:rsid w:val="006C5B29"/>
    <w:rsid w:val="006C5B4E"/>
    <w:rsid w:val="006C5B6F"/>
    <w:rsid w:val="006C5C5D"/>
    <w:rsid w:val="006C5CF2"/>
    <w:rsid w:val="006C5DE7"/>
    <w:rsid w:val="006C5E27"/>
    <w:rsid w:val="006C5E60"/>
    <w:rsid w:val="006C5EBE"/>
    <w:rsid w:val="006C5F21"/>
    <w:rsid w:val="006C605F"/>
    <w:rsid w:val="006C608B"/>
    <w:rsid w:val="006C6102"/>
    <w:rsid w:val="006C61D8"/>
    <w:rsid w:val="006C629C"/>
    <w:rsid w:val="006C62A2"/>
    <w:rsid w:val="006C62F3"/>
    <w:rsid w:val="006C630B"/>
    <w:rsid w:val="006C6410"/>
    <w:rsid w:val="006C65CC"/>
    <w:rsid w:val="006C681E"/>
    <w:rsid w:val="006C68B2"/>
    <w:rsid w:val="006C6932"/>
    <w:rsid w:val="006C6961"/>
    <w:rsid w:val="006C6A13"/>
    <w:rsid w:val="006C6A2A"/>
    <w:rsid w:val="006C6AB2"/>
    <w:rsid w:val="006C6AC7"/>
    <w:rsid w:val="006C6ADA"/>
    <w:rsid w:val="006C6BB9"/>
    <w:rsid w:val="006C6BBB"/>
    <w:rsid w:val="006C6C59"/>
    <w:rsid w:val="006C6D8D"/>
    <w:rsid w:val="006C6E7F"/>
    <w:rsid w:val="006C707B"/>
    <w:rsid w:val="006C70A8"/>
    <w:rsid w:val="006C70DB"/>
    <w:rsid w:val="006C70F0"/>
    <w:rsid w:val="006C7259"/>
    <w:rsid w:val="006C72EE"/>
    <w:rsid w:val="006C74AC"/>
    <w:rsid w:val="006C7765"/>
    <w:rsid w:val="006C78F0"/>
    <w:rsid w:val="006C7939"/>
    <w:rsid w:val="006C7987"/>
    <w:rsid w:val="006C7A36"/>
    <w:rsid w:val="006C7A5B"/>
    <w:rsid w:val="006C7B65"/>
    <w:rsid w:val="006C7D34"/>
    <w:rsid w:val="006C7D55"/>
    <w:rsid w:val="006D01D7"/>
    <w:rsid w:val="006D0370"/>
    <w:rsid w:val="006D0479"/>
    <w:rsid w:val="006D0495"/>
    <w:rsid w:val="006D0521"/>
    <w:rsid w:val="006D05C8"/>
    <w:rsid w:val="006D076C"/>
    <w:rsid w:val="006D080C"/>
    <w:rsid w:val="006D08A1"/>
    <w:rsid w:val="006D08A7"/>
    <w:rsid w:val="006D0919"/>
    <w:rsid w:val="006D0A3A"/>
    <w:rsid w:val="006D0A73"/>
    <w:rsid w:val="006D0B2A"/>
    <w:rsid w:val="006D0B3F"/>
    <w:rsid w:val="006D0D55"/>
    <w:rsid w:val="006D0D68"/>
    <w:rsid w:val="006D0DB6"/>
    <w:rsid w:val="006D0DDB"/>
    <w:rsid w:val="006D0ECA"/>
    <w:rsid w:val="006D119A"/>
    <w:rsid w:val="006D1207"/>
    <w:rsid w:val="006D12C9"/>
    <w:rsid w:val="006D1313"/>
    <w:rsid w:val="006D167D"/>
    <w:rsid w:val="006D1928"/>
    <w:rsid w:val="006D1957"/>
    <w:rsid w:val="006D1964"/>
    <w:rsid w:val="006D19DC"/>
    <w:rsid w:val="006D1AA2"/>
    <w:rsid w:val="006D1AB8"/>
    <w:rsid w:val="006D1BCF"/>
    <w:rsid w:val="006D1C17"/>
    <w:rsid w:val="006D1C7C"/>
    <w:rsid w:val="006D1C8F"/>
    <w:rsid w:val="006D1E4C"/>
    <w:rsid w:val="006D1E60"/>
    <w:rsid w:val="006D1F53"/>
    <w:rsid w:val="006D1F55"/>
    <w:rsid w:val="006D1F5F"/>
    <w:rsid w:val="006D2047"/>
    <w:rsid w:val="006D204B"/>
    <w:rsid w:val="006D21CE"/>
    <w:rsid w:val="006D223F"/>
    <w:rsid w:val="006D2287"/>
    <w:rsid w:val="006D23AD"/>
    <w:rsid w:val="006D240F"/>
    <w:rsid w:val="006D2485"/>
    <w:rsid w:val="006D24B1"/>
    <w:rsid w:val="006D2623"/>
    <w:rsid w:val="006D269F"/>
    <w:rsid w:val="006D272B"/>
    <w:rsid w:val="006D27E5"/>
    <w:rsid w:val="006D2871"/>
    <w:rsid w:val="006D2880"/>
    <w:rsid w:val="006D288F"/>
    <w:rsid w:val="006D28E0"/>
    <w:rsid w:val="006D294C"/>
    <w:rsid w:val="006D29D0"/>
    <w:rsid w:val="006D29EA"/>
    <w:rsid w:val="006D2AB2"/>
    <w:rsid w:val="006D2AC8"/>
    <w:rsid w:val="006D2B49"/>
    <w:rsid w:val="006D2B72"/>
    <w:rsid w:val="006D2B8F"/>
    <w:rsid w:val="006D2C40"/>
    <w:rsid w:val="006D2CB9"/>
    <w:rsid w:val="006D2D8D"/>
    <w:rsid w:val="006D2DC5"/>
    <w:rsid w:val="006D2E1F"/>
    <w:rsid w:val="006D2FD9"/>
    <w:rsid w:val="006D3099"/>
    <w:rsid w:val="006D310D"/>
    <w:rsid w:val="006D3118"/>
    <w:rsid w:val="006D32DC"/>
    <w:rsid w:val="006D3321"/>
    <w:rsid w:val="006D3579"/>
    <w:rsid w:val="006D35E8"/>
    <w:rsid w:val="006D3896"/>
    <w:rsid w:val="006D38DB"/>
    <w:rsid w:val="006D3A05"/>
    <w:rsid w:val="006D3BB5"/>
    <w:rsid w:val="006D3CED"/>
    <w:rsid w:val="006D3E05"/>
    <w:rsid w:val="006D3E4E"/>
    <w:rsid w:val="006D3E8B"/>
    <w:rsid w:val="006D3F6F"/>
    <w:rsid w:val="006D40C7"/>
    <w:rsid w:val="006D4104"/>
    <w:rsid w:val="006D4248"/>
    <w:rsid w:val="006D4422"/>
    <w:rsid w:val="006D4456"/>
    <w:rsid w:val="006D45A4"/>
    <w:rsid w:val="006D4A03"/>
    <w:rsid w:val="006D4AD7"/>
    <w:rsid w:val="006D4DE4"/>
    <w:rsid w:val="006D4EC4"/>
    <w:rsid w:val="006D4F67"/>
    <w:rsid w:val="006D50C6"/>
    <w:rsid w:val="006D5128"/>
    <w:rsid w:val="006D5185"/>
    <w:rsid w:val="006D5231"/>
    <w:rsid w:val="006D5275"/>
    <w:rsid w:val="006D5292"/>
    <w:rsid w:val="006D534F"/>
    <w:rsid w:val="006D53B9"/>
    <w:rsid w:val="006D582D"/>
    <w:rsid w:val="006D5855"/>
    <w:rsid w:val="006D588F"/>
    <w:rsid w:val="006D5915"/>
    <w:rsid w:val="006D596D"/>
    <w:rsid w:val="006D59F8"/>
    <w:rsid w:val="006D5A48"/>
    <w:rsid w:val="006D5AC4"/>
    <w:rsid w:val="006D5BDF"/>
    <w:rsid w:val="006D5CEE"/>
    <w:rsid w:val="006D5D11"/>
    <w:rsid w:val="006D5DCE"/>
    <w:rsid w:val="006D603F"/>
    <w:rsid w:val="006D6061"/>
    <w:rsid w:val="006D60C3"/>
    <w:rsid w:val="006D60EB"/>
    <w:rsid w:val="006D60F2"/>
    <w:rsid w:val="006D61C8"/>
    <w:rsid w:val="006D651B"/>
    <w:rsid w:val="006D67E0"/>
    <w:rsid w:val="006D6977"/>
    <w:rsid w:val="006D6AAE"/>
    <w:rsid w:val="006D6B84"/>
    <w:rsid w:val="006D6BF4"/>
    <w:rsid w:val="006D6C1D"/>
    <w:rsid w:val="006D6C37"/>
    <w:rsid w:val="006D702D"/>
    <w:rsid w:val="006D703F"/>
    <w:rsid w:val="006D70A1"/>
    <w:rsid w:val="006D7172"/>
    <w:rsid w:val="006D7178"/>
    <w:rsid w:val="006D7219"/>
    <w:rsid w:val="006D7272"/>
    <w:rsid w:val="006D7277"/>
    <w:rsid w:val="006D729E"/>
    <w:rsid w:val="006D74F2"/>
    <w:rsid w:val="006D759B"/>
    <w:rsid w:val="006D76C5"/>
    <w:rsid w:val="006D780E"/>
    <w:rsid w:val="006D79A3"/>
    <w:rsid w:val="006D7AB5"/>
    <w:rsid w:val="006D7B73"/>
    <w:rsid w:val="006D7B86"/>
    <w:rsid w:val="006D7B90"/>
    <w:rsid w:val="006D7BB8"/>
    <w:rsid w:val="006D7C24"/>
    <w:rsid w:val="006D7EDD"/>
    <w:rsid w:val="006E00B2"/>
    <w:rsid w:val="006E0141"/>
    <w:rsid w:val="006E015E"/>
    <w:rsid w:val="006E02C2"/>
    <w:rsid w:val="006E053F"/>
    <w:rsid w:val="006E08E4"/>
    <w:rsid w:val="006E0B70"/>
    <w:rsid w:val="006E0D23"/>
    <w:rsid w:val="006E0D7F"/>
    <w:rsid w:val="006E0D92"/>
    <w:rsid w:val="006E0E1D"/>
    <w:rsid w:val="006E0EA7"/>
    <w:rsid w:val="006E0ED8"/>
    <w:rsid w:val="006E0FC7"/>
    <w:rsid w:val="006E0FF8"/>
    <w:rsid w:val="006E0FFF"/>
    <w:rsid w:val="006E101E"/>
    <w:rsid w:val="006E107B"/>
    <w:rsid w:val="006E10DE"/>
    <w:rsid w:val="006E1106"/>
    <w:rsid w:val="006E111E"/>
    <w:rsid w:val="006E1192"/>
    <w:rsid w:val="006E11B5"/>
    <w:rsid w:val="006E1291"/>
    <w:rsid w:val="006E141D"/>
    <w:rsid w:val="006E14B1"/>
    <w:rsid w:val="006E1511"/>
    <w:rsid w:val="006E1581"/>
    <w:rsid w:val="006E174B"/>
    <w:rsid w:val="006E177D"/>
    <w:rsid w:val="006E1830"/>
    <w:rsid w:val="006E19FE"/>
    <w:rsid w:val="006E1B2F"/>
    <w:rsid w:val="006E1C69"/>
    <w:rsid w:val="006E1C6B"/>
    <w:rsid w:val="006E1CAE"/>
    <w:rsid w:val="006E1D0C"/>
    <w:rsid w:val="006E1D3E"/>
    <w:rsid w:val="006E1EE4"/>
    <w:rsid w:val="006E1EF1"/>
    <w:rsid w:val="006E1F77"/>
    <w:rsid w:val="006E1F92"/>
    <w:rsid w:val="006E1FB1"/>
    <w:rsid w:val="006E2016"/>
    <w:rsid w:val="006E2020"/>
    <w:rsid w:val="006E203F"/>
    <w:rsid w:val="006E2121"/>
    <w:rsid w:val="006E21A0"/>
    <w:rsid w:val="006E21DF"/>
    <w:rsid w:val="006E230F"/>
    <w:rsid w:val="006E2310"/>
    <w:rsid w:val="006E23C3"/>
    <w:rsid w:val="006E240F"/>
    <w:rsid w:val="006E243D"/>
    <w:rsid w:val="006E2577"/>
    <w:rsid w:val="006E279A"/>
    <w:rsid w:val="006E2848"/>
    <w:rsid w:val="006E2A29"/>
    <w:rsid w:val="006E2AF8"/>
    <w:rsid w:val="006E2BCD"/>
    <w:rsid w:val="006E2CC4"/>
    <w:rsid w:val="006E2CC8"/>
    <w:rsid w:val="006E2CE5"/>
    <w:rsid w:val="006E3007"/>
    <w:rsid w:val="006E3073"/>
    <w:rsid w:val="006E3138"/>
    <w:rsid w:val="006E325B"/>
    <w:rsid w:val="006E330F"/>
    <w:rsid w:val="006E33AD"/>
    <w:rsid w:val="006E3443"/>
    <w:rsid w:val="006E3449"/>
    <w:rsid w:val="006E352E"/>
    <w:rsid w:val="006E354E"/>
    <w:rsid w:val="006E36CD"/>
    <w:rsid w:val="006E37C0"/>
    <w:rsid w:val="006E37CF"/>
    <w:rsid w:val="006E3823"/>
    <w:rsid w:val="006E392D"/>
    <w:rsid w:val="006E3A96"/>
    <w:rsid w:val="006E3ABD"/>
    <w:rsid w:val="006E3ADA"/>
    <w:rsid w:val="006E3CD2"/>
    <w:rsid w:val="006E3CEC"/>
    <w:rsid w:val="006E3EDA"/>
    <w:rsid w:val="006E418F"/>
    <w:rsid w:val="006E41CD"/>
    <w:rsid w:val="006E4387"/>
    <w:rsid w:val="006E43D5"/>
    <w:rsid w:val="006E445F"/>
    <w:rsid w:val="006E45A9"/>
    <w:rsid w:val="006E45EE"/>
    <w:rsid w:val="006E469B"/>
    <w:rsid w:val="006E4787"/>
    <w:rsid w:val="006E4AE1"/>
    <w:rsid w:val="006E4DD7"/>
    <w:rsid w:val="006E4E63"/>
    <w:rsid w:val="006E4F13"/>
    <w:rsid w:val="006E4F1C"/>
    <w:rsid w:val="006E521D"/>
    <w:rsid w:val="006E524F"/>
    <w:rsid w:val="006E5294"/>
    <w:rsid w:val="006E530D"/>
    <w:rsid w:val="006E5418"/>
    <w:rsid w:val="006E54CE"/>
    <w:rsid w:val="006E56AD"/>
    <w:rsid w:val="006E5813"/>
    <w:rsid w:val="006E5867"/>
    <w:rsid w:val="006E58DF"/>
    <w:rsid w:val="006E5999"/>
    <w:rsid w:val="006E59F9"/>
    <w:rsid w:val="006E5AF1"/>
    <w:rsid w:val="006E5C42"/>
    <w:rsid w:val="006E5C78"/>
    <w:rsid w:val="006E5E55"/>
    <w:rsid w:val="006E623E"/>
    <w:rsid w:val="006E6297"/>
    <w:rsid w:val="006E62C6"/>
    <w:rsid w:val="006E62E3"/>
    <w:rsid w:val="006E637A"/>
    <w:rsid w:val="006E6538"/>
    <w:rsid w:val="006E6993"/>
    <w:rsid w:val="006E6A47"/>
    <w:rsid w:val="006E6A73"/>
    <w:rsid w:val="006E6AC5"/>
    <w:rsid w:val="006E6DA3"/>
    <w:rsid w:val="006E6DAC"/>
    <w:rsid w:val="006E6DC2"/>
    <w:rsid w:val="006E6F6C"/>
    <w:rsid w:val="006E7009"/>
    <w:rsid w:val="006E70A7"/>
    <w:rsid w:val="006E70E0"/>
    <w:rsid w:val="006E711E"/>
    <w:rsid w:val="006E7134"/>
    <w:rsid w:val="006E715C"/>
    <w:rsid w:val="006E729A"/>
    <w:rsid w:val="006E72D6"/>
    <w:rsid w:val="006E730A"/>
    <w:rsid w:val="006E74CD"/>
    <w:rsid w:val="006E7695"/>
    <w:rsid w:val="006E76FC"/>
    <w:rsid w:val="006E776A"/>
    <w:rsid w:val="006E7782"/>
    <w:rsid w:val="006E77E2"/>
    <w:rsid w:val="006E7881"/>
    <w:rsid w:val="006E7941"/>
    <w:rsid w:val="006E7ABA"/>
    <w:rsid w:val="006E7C4F"/>
    <w:rsid w:val="006E7C7E"/>
    <w:rsid w:val="006E7E00"/>
    <w:rsid w:val="006E7E09"/>
    <w:rsid w:val="006E7E10"/>
    <w:rsid w:val="006E7E5F"/>
    <w:rsid w:val="006E7ED4"/>
    <w:rsid w:val="006F0001"/>
    <w:rsid w:val="006F03A2"/>
    <w:rsid w:val="006F0452"/>
    <w:rsid w:val="006F0497"/>
    <w:rsid w:val="006F04F8"/>
    <w:rsid w:val="006F050E"/>
    <w:rsid w:val="006F052B"/>
    <w:rsid w:val="006F0570"/>
    <w:rsid w:val="006F05A1"/>
    <w:rsid w:val="006F0655"/>
    <w:rsid w:val="006F06F5"/>
    <w:rsid w:val="006F0706"/>
    <w:rsid w:val="006F0732"/>
    <w:rsid w:val="006F07BE"/>
    <w:rsid w:val="006F082D"/>
    <w:rsid w:val="006F083A"/>
    <w:rsid w:val="006F0A06"/>
    <w:rsid w:val="006F0A12"/>
    <w:rsid w:val="006F0AC3"/>
    <w:rsid w:val="006F0B35"/>
    <w:rsid w:val="006F0BF8"/>
    <w:rsid w:val="006F0C9D"/>
    <w:rsid w:val="006F0D4C"/>
    <w:rsid w:val="006F0E70"/>
    <w:rsid w:val="006F0EA6"/>
    <w:rsid w:val="006F0F3F"/>
    <w:rsid w:val="006F10FC"/>
    <w:rsid w:val="006F11AE"/>
    <w:rsid w:val="006F11FF"/>
    <w:rsid w:val="006F12A8"/>
    <w:rsid w:val="006F14B8"/>
    <w:rsid w:val="006F17ED"/>
    <w:rsid w:val="006F1804"/>
    <w:rsid w:val="006F18F2"/>
    <w:rsid w:val="006F1A8D"/>
    <w:rsid w:val="006F1C82"/>
    <w:rsid w:val="006F1D3F"/>
    <w:rsid w:val="006F1E55"/>
    <w:rsid w:val="006F1E9A"/>
    <w:rsid w:val="006F23CE"/>
    <w:rsid w:val="006F2493"/>
    <w:rsid w:val="006F24C7"/>
    <w:rsid w:val="006F2614"/>
    <w:rsid w:val="006F26A8"/>
    <w:rsid w:val="006F2745"/>
    <w:rsid w:val="006F29E1"/>
    <w:rsid w:val="006F2AA8"/>
    <w:rsid w:val="006F2BF5"/>
    <w:rsid w:val="006F2DB7"/>
    <w:rsid w:val="006F2E6B"/>
    <w:rsid w:val="006F2E80"/>
    <w:rsid w:val="006F2E87"/>
    <w:rsid w:val="006F2F98"/>
    <w:rsid w:val="006F3394"/>
    <w:rsid w:val="006F345D"/>
    <w:rsid w:val="006F3479"/>
    <w:rsid w:val="006F36C4"/>
    <w:rsid w:val="006F36E6"/>
    <w:rsid w:val="006F3775"/>
    <w:rsid w:val="006F3797"/>
    <w:rsid w:val="006F3A63"/>
    <w:rsid w:val="006F3A84"/>
    <w:rsid w:val="006F3B09"/>
    <w:rsid w:val="006F3B3B"/>
    <w:rsid w:val="006F3B99"/>
    <w:rsid w:val="006F3B9F"/>
    <w:rsid w:val="006F3BC7"/>
    <w:rsid w:val="006F3C85"/>
    <w:rsid w:val="006F3F80"/>
    <w:rsid w:val="006F3FD5"/>
    <w:rsid w:val="006F4028"/>
    <w:rsid w:val="006F409E"/>
    <w:rsid w:val="006F40E0"/>
    <w:rsid w:val="006F414F"/>
    <w:rsid w:val="006F424D"/>
    <w:rsid w:val="006F4291"/>
    <w:rsid w:val="006F4351"/>
    <w:rsid w:val="006F43E6"/>
    <w:rsid w:val="006F43FE"/>
    <w:rsid w:val="006F445C"/>
    <w:rsid w:val="006F4477"/>
    <w:rsid w:val="006F44B5"/>
    <w:rsid w:val="006F4658"/>
    <w:rsid w:val="006F4672"/>
    <w:rsid w:val="006F4706"/>
    <w:rsid w:val="006F4707"/>
    <w:rsid w:val="006F49D3"/>
    <w:rsid w:val="006F4A2A"/>
    <w:rsid w:val="006F4ABE"/>
    <w:rsid w:val="006F4AEB"/>
    <w:rsid w:val="006F4AF8"/>
    <w:rsid w:val="006F4AFB"/>
    <w:rsid w:val="006F4B89"/>
    <w:rsid w:val="006F4B95"/>
    <w:rsid w:val="006F4B97"/>
    <w:rsid w:val="006F4C60"/>
    <w:rsid w:val="006F4CCD"/>
    <w:rsid w:val="006F4D12"/>
    <w:rsid w:val="006F4E1E"/>
    <w:rsid w:val="006F4F83"/>
    <w:rsid w:val="006F4FD5"/>
    <w:rsid w:val="006F502D"/>
    <w:rsid w:val="006F50DD"/>
    <w:rsid w:val="006F5143"/>
    <w:rsid w:val="006F52DB"/>
    <w:rsid w:val="006F52E6"/>
    <w:rsid w:val="006F5312"/>
    <w:rsid w:val="006F5330"/>
    <w:rsid w:val="006F5366"/>
    <w:rsid w:val="006F55D5"/>
    <w:rsid w:val="006F5605"/>
    <w:rsid w:val="006F5617"/>
    <w:rsid w:val="006F5736"/>
    <w:rsid w:val="006F5799"/>
    <w:rsid w:val="006F57FE"/>
    <w:rsid w:val="006F5969"/>
    <w:rsid w:val="006F59B5"/>
    <w:rsid w:val="006F5B14"/>
    <w:rsid w:val="006F5CA7"/>
    <w:rsid w:val="006F5D4A"/>
    <w:rsid w:val="006F5EDA"/>
    <w:rsid w:val="006F5F28"/>
    <w:rsid w:val="006F5F29"/>
    <w:rsid w:val="006F6020"/>
    <w:rsid w:val="006F6118"/>
    <w:rsid w:val="006F62F4"/>
    <w:rsid w:val="006F652D"/>
    <w:rsid w:val="006F6597"/>
    <w:rsid w:val="006F65DD"/>
    <w:rsid w:val="006F661E"/>
    <w:rsid w:val="006F663A"/>
    <w:rsid w:val="006F6792"/>
    <w:rsid w:val="006F68DE"/>
    <w:rsid w:val="006F6A69"/>
    <w:rsid w:val="006F6B84"/>
    <w:rsid w:val="006F6BC7"/>
    <w:rsid w:val="006F6EA2"/>
    <w:rsid w:val="006F6EB8"/>
    <w:rsid w:val="006F6EF5"/>
    <w:rsid w:val="006F6F93"/>
    <w:rsid w:val="006F72B4"/>
    <w:rsid w:val="006F7321"/>
    <w:rsid w:val="006F7417"/>
    <w:rsid w:val="006F749D"/>
    <w:rsid w:val="006F753B"/>
    <w:rsid w:val="006F7649"/>
    <w:rsid w:val="006F769F"/>
    <w:rsid w:val="006F773F"/>
    <w:rsid w:val="006F785E"/>
    <w:rsid w:val="006F7986"/>
    <w:rsid w:val="006F7A70"/>
    <w:rsid w:val="006F7C8B"/>
    <w:rsid w:val="006F7DCC"/>
    <w:rsid w:val="006F7DD7"/>
    <w:rsid w:val="006F7E8C"/>
    <w:rsid w:val="007000EB"/>
    <w:rsid w:val="0070013B"/>
    <w:rsid w:val="007001CC"/>
    <w:rsid w:val="00700245"/>
    <w:rsid w:val="0070034D"/>
    <w:rsid w:val="007003D8"/>
    <w:rsid w:val="007004DC"/>
    <w:rsid w:val="00700562"/>
    <w:rsid w:val="00700600"/>
    <w:rsid w:val="0070068D"/>
    <w:rsid w:val="00700709"/>
    <w:rsid w:val="0070084F"/>
    <w:rsid w:val="00700A63"/>
    <w:rsid w:val="00700A81"/>
    <w:rsid w:val="00700AD8"/>
    <w:rsid w:val="00700C82"/>
    <w:rsid w:val="00700D1F"/>
    <w:rsid w:val="00700D43"/>
    <w:rsid w:val="00700DA8"/>
    <w:rsid w:val="00700DC9"/>
    <w:rsid w:val="00700DE7"/>
    <w:rsid w:val="00700E39"/>
    <w:rsid w:val="0070117A"/>
    <w:rsid w:val="007012D0"/>
    <w:rsid w:val="0070133E"/>
    <w:rsid w:val="00701453"/>
    <w:rsid w:val="007014CF"/>
    <w:rsid w:val="0070168F"/>
    <w:rsid w:val="007016DC"/>
    <w:rsid w:val="007017C3"/>
    <w:rsid w:val="0070188C"/>
    <w:rsid w:val="00701899"/>
    <w:rsid w:val="007018B8"/>
    <w:rsid w:val="0070193B"/>
    <w:rsid w:val="0070198B"/>
    <w:rsid w:val="00701A00"/>
    <w:rsid w:val="00701A6E"/>
    <w:rsid w:val="00701E1E"/>
    <w:rsid w:val="00701ECC"/>
    <w:rsid w:val="007021A9"/>
    <w:rsid w:val="007021E7"/>
    <w:rsid w:val="00702234"/>
    <w:rsid w:val="007023E2"/>
    <w:rsid w:val="007024CA"/>
    <w:rsid w:val="0070253A"/>
    <w:rsid w:val="0070253F"/>
    <w:rsid w:val="00702589"/>
    <w:rsid w:val="00702877"/>
    <w:rsid w:val="00702918"/>
    <w:rsid w:val="00702971"/>
    <w:rsid w:val="00702A07"/>
    <w:rsid w:val="00702A83"/>
    <w:rsid w:val="00702B60"/>
    <w:rsid w:val="00702C86"/>
    <w:rsid w:val="00702C93"/>
    <w:rsid w:val="00702D0A"/>
    <w:rsid w:val="00702D80"/>
    <w:rsid w:val="00702ED7"/>
    <w:rsid w:val="00702EDF"/>
    <w:rsid w:val="00702F8D"/>
    <w:rsid w:val="007033D5"/>
    <w:rsid w:val="00703485"/>
    <w:rsid w:val="0070349A"/>
    <w:rsid w:val="007034C7"/>
    <w:rsid w:val="007036A3"/>
    <w:rsid w:val="007036AD"/>
    <w:rsid w:val="0070380F"/>
    <w:rsid w:val="00703855"/>
    <w:rsid w:val="007038D4"/>
    <w:rsid w:val="00703A28"/>
    <w:rsid w:val="00703AA2"/>
    <w:rsid w:val="00703B11"/>
    <w:rsid w:val="00703B3A"/>
    <w:rsid w:val="00703BA1"/>
    <w:rsid w:val="00703BF3"/>
    <w:rsid w:val="00703C18"/>
    <w:rsid w:val="00703C19"/>
    <w:rsid w:val="00703E7F"/>
    <w:rsid w:val="00703ED7"/>
    <w:rsid w:val="007041CC"/>
    <w:rsid w:val="00704345"/>
    <w:rsid w:val="0070447F"/>
    <w:rsid w:val="00704621"/>
    <w:rsid w:val="00704684"/>
    <w:rsid w:val="007046E6"/>
    <w:rsid w:val="0070476F"/>
    <w:rsid w:val="0070486A"/>
    <w:rsid w:val="00704898"/>
    <w:rsid w:val="007048CD"/>
    <w:rsid w:val="00704A39"/>
    <w:rsid w:val="00704A3B"/>
    <w:rsid w:val="00704A57"/>
    <w:rsid w:val="00704A9C"/>
    <w:rsid w:val="00704ADC"/>
    <w:rsid w:val="00704AE6"/>
    <w:rsid w:val="00704C45"/>
    <w:rsid w:val="00704CFD"/>
    <w:rsid w:val="00704D52"/>
    <w:rsid w:val="00704DDC"/>
    <w:rsid w:val="00704F66"/>
    <w:rsid w:val="00704FC8"/>
    <w:rsid w:val="0070505A"/>
    <w:rsid w:val="00705104"/>
    <w:rsid w:val="0070512B"/>
    <w:rsid w:val="007052B4"/>
    <w:rsid w:val="0070539E"/>
    <w:rsid w:val="00705517"/>
    <w:rsid w:val="007056B6"/>
    <w:rsid w:val="007056D6"/>
    <w:rsid w:val="00705715"/>
    <w:rsid w:val="007057A5"/>
    <w:rsid w:val="007059AD"/>
    <w:rsid w:val="00705A02"/>
    <w:rsid w:val="00705B44"/>
    <w:rsid w:val="00705B66"/>
    <w:rsid w:val="00705CA4"/>
    <w:rsid w:val="00705F1A"/>
    <w:rsid w:val="00705F79"/>
    <w:rsid w:val="007060A8"/>
    <w:rsid w:val="0070623C"/>
    <w:rsid w:val="0070624E"/>
    <w:rsid w:val="0070625F"/>
    <w:rsid w:val="007062FF"/>
    <w:rsid w:val="007063AC"/>
    <w:rsid w:val="007063F4"/>
    <w:rsid w:val="00706433"/>
    <w:rsid w:val="0070656F"/>
    <w:rsid w:val="00706656"/>
    <w:rsid w:val="007067D9"/>
    <w:rsid w:val="0070681E"/>
    <w:rsid w:val="00706820"/>
    <w:rsid w:val="007068C5"/>
    <w:rsid w:val="007069BD"/>
    <w:rsid w:val="00706C4A"/>
    <w:rsid w:val="00706C76"/>
    <w:rsid w:val="00706CBA"/>
    <w:rsid w:val="00706D3D"/>
    <w:rsid w:val="00706DDB"/>
    <w:rsid w:val="00706E8E"/>
    <w:rsid w:val="00706F6B"/>
    <w:rsid w:val="00706FBD"/>
    <w:rsid w:val="007070DB"/>
    <w:rsid w:val="00707179"/>
    <w:rsid w:val="00707230"/>
    <w:rsid w:val="0070730B"/>
    <w:rsid w:val="0070739B"/>
    <w:rsid w:val="007073CB"/>
    <w:rsid w:val="00707529"/>
    <w:rsid w:val="00707578"/>
    <w:rsid w:val="00707579"/>
    <w:rsid w:val="007075E7"/>
    <w:rsid w:val="007076A2"/>
    <w:rsid w:val="007076E1"/>
    <w:rsid w:val="007077C9"/>
    <w:rsid w:val="0070781C"/>
    <w:rsid w:val="007078DD"/>
    <w:rsid w:val="00707AA1"/>
    <w:rsid w:val="00707AA3"/>
    <w:rsid w:val="00707B4A"/>
    <w:rsid w:val="00707B56"/>
    <w:rsid w:val="00707BD5"/>
    <w:rsid w:val="00707BEA"/>
    <w:rsid w:val="00707C1C"/>
    <w:rsid w:val="00707C7E"/>
    <w:rsid w:val="00707D05"/>
    <w:rsid w:val="00707D0E"/>
    <w:rsid w:val="00707D81"/>
    <w:rsid w:val="00707ED0"/>
    <w:rsid w:val="00707F6A"/>
    <w:rsid w:val="00707F6D"/>
    <w:rsid w:val="00707FD7"/>
    <w:rsid w:val="00707FEA"/>
    <w:rsid w:val="007101B7"/>
    <w:rsid w:val="007101D9"/>
    <w:rsid w:val="007102BC"/>
    <w:rsid w:val="00710562"/>
    <w:rsid w:val="0071071A"/>
    <w:rsid w:val="007108A6"/>
    <w:rsid w:val="007109B3"/>
    <w:rsid w:val="00710BB4"/>
    <w:rsid w:val="00710CAC"/>
    <w:rsid w:val="00710D88"/>
    <w:rsid w:val="00710DEE"/>
    <w:rsid w:val="00710E88"/>
    <w:rsid w:val="00710EB9"/>
    <w:rsid w:val="00710EFC"/>
    <w:rsid w:val="00710F81"/>
    <w:rsid w:val="00710FA0"/>
    <w:rsid w:val="0071100F"/>
    <w:rsid w:val="00711053"/>
    <w:rsid w:val="007110B3"/>
    <w:rsid w:val="007110D0"/>
    <w:rsid w:val="00711414"/>
    <w:rsid w:val="0071141A"/>
    <w:rsid w:val="00711643"/>
    <w:rsid w:val="00711862"/>
    <w:rsid w:val="007118ED"/>
    <w:rsid w:val="00711A8D"/>
    <w:rsid w:val="00711AF9"/>
    <w:rsid w:val="00711B0F"/>
    <w:rsid w:val="00711B6E"/>
    <w:rsid w:val="00711B84"/>
    <w:rsid w:val="00711C50"/>
    <w:rsid w:val="00711CD6"/>
    <w:rsid w:val="00711F80"/>
    <w:rsid w:val="00711FAC"/>
    <w:rsid w:val="00712082"/>
    <w:rsid w:val="0071210B"/>
    <w:rsid w:val="0071215C"/>
    <w:rsid w:val="007121B4"/>
    <w:rsid w:val="00712240"/>
    <w:rsid w:val="007122FD"/>
    <w:rsid w:val="00712362"/>
    <w:rsid w:val="007123ED"/>
    <w:rsid w:val="0071245E"/>
    <w:rsid w:val="00712495"/>
    <w:rsid w:val="00712623"/>
    <w:rsid w:val="007126DF"/>
    <w:rsid w:val="007129DC"/>
    <w:rsid w:val="00712ACC"/>
    <w:rsid w:val="00712B43"/>
    <w:rsid w:val="00712C37"/>
    <w:rsid w:val="00712D31"/>
    <w:rsid w:val="00712DCF"/>
    <w:rsid w:val="00712E3E"/>
    <w:rsid w:val="00712FBC"/>
    <w:rsid w:val="0071312D"/>
    <w:rsid w:val="0071313A"/>
    <w:rsid w:val="0071316A"/>
    <w:rsid w:val="007131BB"/>
    <w:rsid w:val="0071328A"/>
    <w:rsid w:val="007132E4"/>
    <w:rsid w:val="007132FE"/>
    <w:rsid w:val="0071343F"/>
    <w:rsid w:val="00713549"/>
    <w:rsid w:val="00713582"/>
    <w:rsid w:val="00713724"/>
    <w:rsid w:val="0071374D"/>
    <w:rsid w:val="0071375E"/>
    <w:rsid w:val="007138D0"/>
    <w:rsid w:val="00713A9E"/>
    <w:rsid w:val="00713AF3"/>
    <w:rsid w:val="00713BAD"/>
    <w:rsid w:val="00713D45"/>
    <w:rsid w:val="00713EE0"/>
    <w:rsid w:val="00713FA9"/>
    <w:rsid w:val="00714029"/>
    <w:rsid w:val="00714321"/>
    <w:rsid w:val="007143FB"/>
    <w:rsid w:val="007144AE"/>
    <w:rsid w:val="00714513"/>
    <w:rsid w:val="007145C3"/>
    <w:rsid w:val="007145CF"/>
    <w:rsid w:val="00714717"/>
    <w:rsid w:val="00714883"/>
    <w:rsid w:val="0071488A"/>
    <w:rsid w:val="007149CF"/>
    <w:rsid w:val="007149D5"/>
    <w:rsid w:val="00714AE5"/>
    <w:rsid w:val="00714BF9"/>
    <w:rsid w:val="00714CD0"/>
    <w:rsid w:val="00714F2C"/>
    <w:rsid w:val="0071504C"/>
    <w:rsid w:val="007151DC"/>
    <w:rsid w:val="00715225"/>
    <w:rsid w:val="0071529C"/>
    <w:rsid w:val="0071542B"/>
    <w:rsid w:val="00715550"/>
    <w:rsid w:val="00715648"/>
    <w:rsid w:val="007156C0"/>
    <w:rsid w:val="00715897"/>
    <w:rsid w:val="00715917"/>
    <w:rsid w:val="0071591D"/>
    <w:rsid w:val="007159FF"/>
    <w:rsid w:val="00715AA1"/>
    <w:rsid w:val="00715ACF"/>
    <w:rsid w:val="00715B9A"/>
    <w:rsid w:val="00715CD5"/>
    <w:rsid w:val="00715D48"/>
    <w:rsid w:val="00715E82"/>
    <w:rsid w:val="00715ED1"/>
    <w:rsid w:val="007160A9"/>
    <w:rsid w:val="007160C7"/>
    <w:rsid w:val="00716152"/>
    <w:rsid w:val="00716191"/>
    <w:rsid w:val="007162AC"/>
    <w:rsid w:val="00716323"/>
    <w:rsid w:val="00716331"/>
    <w:rsid w:val="0071643C"/>
    <w:rsid w:val="00716572"/>
    <w:rsid w:val="007165C6"/>
    <w:rsid w:val="007165D3"/>
    <w:rsid w:val="007165FF"/>
    <w:rsid w:val="00716779"/>
    <w:rsid w:val="00716893"/>
    <w:rsid w:val="007168D7"/>
    <w:rsid w:val="00716932"/>
    <w:rsid w:val="00716980"/>
    <w:rsid w:val="00716B27"/>
    <w:rsid w:val="00716BEF"/>
    <w:rsid w:val="00716DEA"/>
    <w:rsid w:val="00716F2D"/>
    <w:rsid w:val="00716F83"/>
    <w:rsid w:val="0071701A"/>
    <w:rsid w:val="0071712F"/>
    <w:rsid w:val="00717168"/>
    <w:rsid w:val="007172D8"/>
    <w:rsid w:val="0071741B"/>
    <w:rsid w:val="0071743B"/>
    <w:rsid w:val="0071749A"/>
    <w:rsid w:val="00717529"/>
    <w:rsid w:val="007175DD"/>
    <w:rsid w:val="00717652"/>
    <w:rsid w:val="0071771A"/>
    <w:rsid w:val="007179A8"/>
    <w:rsid w:val="007179BE"/>
    <w:rsid w:val="00717A01"/>
    <w:rsid w:val="00717B57"/>
    <w:rsid w:val="00717B6D"/>
    <w:rsid w:val="00717D23"/>
    <w:rsid w:val="00717E4A"/>
    <w:rsid w:val="00717EF3"/>
    <w:rsid w:val="00717FB3"/>
    <w:rsid w:val="00717FC7"/>
    <w:rsid w:val="00717FDA"/>
    <w:rsid w:val="0072007D"/>
    <w:rsid w:val="007200E7"/>
    <w:rsid w:val="007200F8"/>
    <w:rsid w:val="00720118"/>
    <w:rsid w:val="007201A3"/>
    <w:rsid w:val="007201EB"/>
    <w:rsid w:val="00720231"/>
    <w:rsid w:val="007202AD"/>
    <w:rsid w:val="0072042D"/>
    <w:rsid w:val="007204B0"/>
    <w:rsid w:val="007204C6"/>
    <w:rsid w:val="00720798"/>
    <w:rsid w:val="007207A2"/>
    <w:rsid w:val="007207E6"/>
    <w:rsid w:val="00720834"/>
    <w:rsid w:val="007208C2"/>
    <w:rsid w:val="00720949"/>
    <w:rsid w:val="00720985"/>
    <w:rsid w:val="007209C4"/>
    <w:rsid w:val="00720A01"/>
    <w:rsid w:val="00720A62"/>
    <w:rsid w:val="00720B12"/>
    <w:rsid w:val="00720B13"/>
    <w:rsid w:val="00720C36"/>
    <w:rsid w:val="00720CA5"/>
    <w:rsid w:val="00720E7A"/>
    <w:rsid w:val="007210D0"/>
    <w:rsid w:val="00721239"/>
    <w:rsid w:val="00721279"/>
    <w:rsid w:val="007213D2"/>
    <w:rsid w:val="00721650"/>
    <w:rsid w:val="007216B6"/>
    <w:rsid w:val="007217E9"/>
    <w:rsid w:val="00721885"/>
    <w:rsid w:val="007219D8"/>
    <w:rsid w:val="00721A74"/>
    <w:rsid w:val="00721E5C"/>
    <w:rsid w:val="00721E73"/>
    <w:rsid w:val="00721EC5"/>
    <w:rsid w:val="00721F49"/>
    <w:rsid w:val="00722063"/>
    <w:rsid w:val="007220A0"/>
    <w:rsid w:val="007220F2"/>
    <w:rsid w:val="00722213"/>
    <w:rsid w:val="00722257"/>
    <w:rsid w:val="00722423"/>
    <w:rsid w:val="0072252F"/>
    <w:rsid w:val="00722679"/>
    <w:rsid w:val="0072274A"/>
    <w:rsid w:val="0072280A"/>
    <w:rsid w:val="007228E6"/>
    <w:rsid w:val="00722A0E"/>
    <w:rsid w:val="00722BD5"/>
    <w:rsid w:val="00722CCF"/>
    <w:rsid w:val="00722D8F"/>
    <w:rsid w:val="00722DE4"/>
    <w:rsid w:val="00723046"/>
    <w:rsid w:val="007231E9"/>
    <w:rsid w:val="0072320E"/>
    <w:rsid w:val="00723255"/>
    <w:rsid w:val="00723308"/>
    <w:rsid w:val="00723437"/>
    <w:rsid w:val="00723441"/>
    <w:rsid w:val="0072356B"/>
    <w:rsid w:val="007236AF"/>
    <w:rsid w:val="0072377D"/>
    <w:rsid w:val="00723ACB"/>
    <w:rsid w:val="00723B21"/>
    <w:rsid w:val="00723C89"/>
    <w:rsid w:val="00723E0F"/>
    <w:rsid w:val="00723E6E"/>
    <w:rsid w:val="00723F91"/>
    <w:rsid w:val="00723FB0"/>
    <w:rsid w:val="00724178"/>
    <w:rsid w:val="007241BD"/>
    <w:rsid w:val="0072421B"/>
    <w:rsid w:val="00724544"/>
    <w:rsid w:val="007245C5"/>
    <w:rsid w:val="007246AF"/>
    <w:rsid w:val="00724768"/>
    <w:rsid w:val="0072483D"/>
    <w:rsid w:val="007249A7"/>
    <w:rsid w:val="007249CD"/>
    <w:rsid w:val="00724A11"/>
    <w:rsid w:val="00724AC6"/>
    <w:rsid w:val="00724C76"/>
    <w:rsid w:val="00724D1B"/>
    <w:rsid w:val="00724D8B"/>
    <w:rsid w:val="00724E5B"/>
    <w:rsid w:val="00724F28"/>
    <w:rsid w:val="00724F91"/>
    <w:rsid w:val="00725021"/>
    <w:rsid w:val="00725098"/>
    <w:rsid w:val="00725120"/>
    <w:rsid w:val="0072514B"/>
    <w:rsid w:val="007251DA"/>
    <w:rsid w:val="007251E1"/>
    <w:rsid w:val="0072524F"/>
    <w:rsid w:val="007253FD"/>
    <w:rsid w:val="00725495"/>
    <w:rsid w:val="007255D0"/>
    <w:rsid w:val="00725605"/>
    <w:rsid w:val="00725611"/>
    <w:rsid w:val="00725632"/>
    <w:rsid w:val="007256E6"/>
    <w:rsid w:val="00725816"/>
    <w:rsid w:val="0072599B"/>
    <w:rsid w:val="007259DE"/>
    <w:rsid w:val="00725AF1"/>
    <w:rsid w:val="00725AFE"/>
    <w:rsid w:val="00725B21"/>
    <w:rsid w:val="00725B95"/>
    <w:rsid w:val="00725D48"/>
    <w:rsid w:val="00725FB5"/>
    <w:rsid w:val="00725FEE"/>
    <w:rsid w:val="007260EB"/>
    <w:rsid w:val="00726143"/>
    <w:rsid w:val="00726171"/>
    <w:rsid w:val="00726222"/>
    <w:rsid w:val="0072630C"/>
    <w:rsid w:val="0072633B"/>
    <w:rsid w:val="007263DA"/>
    <w:rsid w:val="0072642C"/>
    <w:rsid w:val="0072648A"/>
    <w:rsid w:val="0072649D"/>
    <w:rsid w:val="00726503"/>
    <w:rsid w:val="0072650B"/>
    <w:rsid w:val="00726715"/>
    <w:rsid w:val="00726871"/>
    <w:rsid w:val="00726905"/>
    <w:rsid w:val="00726AAC"/>
    <w:rsid w:val="00726D42"/>
    <w:rsid w:val="00726D61"/>
    <w:rsid w:val="00726ED8"/>
    <w:rsid w:val="00726F54"/>
    <w:rsid w:val="00726F5F"/>
    <w:rsid w:val="00727002"/>
    <w:rsid w:val="00727066"/>
    <w:rsid w:val="00727117"/>
    <w:rsid w:val="00727136"/>
    <w:rsid w:val="00727158"/>
    <w:rsid w:val="00727485"/>
    <w:rsid w:val="0072748D"/>
    <w:rsid w:val="007274FE"/>
    <w:rsid w:val="007274FF"/>
    <w:rsid w:val="00727519"/>
    <w:rsid w:val="007275A1"/>
    <w:rsid w:val="0072780A"/>
    <w:rsid w:val="00727833"/>
    <w:rsid w:val="007278E1"/>
    <w:rsid w:val="0072790A"/>
    <w:rsid w:val="0072797F"/>
    <w:rsid w:val="007279B6"/>
    <w:rsid w:val="007279D4"/>
    <w:rsid w:val="00727B0E"/>
    <w:rsid w:val="00727B28"/>
    <w:rsid w:val="00727C8E"/>
    <w:rsid w:val="00727D7A"/>
    <w:rsid w:val="00727DD8"/>
    <w:rsid w:val="00727DE8"/>
    <w:rsid w:val="00730010"/>
    <w:rsid w:val="00730227"/>
    <w:rsid w:val="0073030E"/>
    <w:rsid w:val="00730313"/>
    <w:rsid w:val="00730389"/>
    <w:rsid w:val="00730401"/>
    <w:rsid w:val="00730586"/>
    <w:rsid w:val="00730695"/>
    <w:rsid w:val="00730714"/>
    <w:rsid w:val="00730784"/>
    <w:rsid w:val="00730850"/>
    <w:rsid w:val="007308D8"/>
    <w:rsid w:val="00730941"/>
    <w:rsid w:val="00730953"/>
    <w:rsid w:val="00730C5A"/>
    <w:rsid w:val="00730D78"/>
    <w:rsid w:val="00730DFE"/>
    <w:rsid w:val="00730EC0"/>
    <w:rsid w:val="00730EC1"/>
    <w:rsid w:val="00730EDB"/>
    <w:rsid w:val="00730F1D"/>
    <w:rsid w:val="007310C7"/>
    <w:rsid w:val="007311AA"/>
    <w:rsid w:val="00731277"/>
    <w:rsid w:val="007312C9"/>
    <w:rsid w:val="007313AF"/>
    <w:rsid w:val="007315D4"/>
    <w:rsid w:val="007317AA"/>
    <w:rsid w:val="007317D1"/>
    <w:rsid w:val="007317D5"/>
    <w:rsid w:val="007318BD"/>
    <w:rsid w:val="00731A9A"/>
    <w:rsid w:val="00731B51"/>
    <w:rsid w:val="00731BD2"/>
    <w:rsid w:val="00731C86"/>
    <w:rsid w:val="00731D9A"/>
    <w:rsid w:val="00731DA3"/>
    <w:rsid w:val="00731DAB"/>
    <w:rsid w:val="00731DE6"/>
    <w:rsid w:val="00731EFA"/>
    <w:rsid w:val="00731FC1"/>
    <w:rsid w:val="0073204A"/>
    <w:rsid w:val="007320D1"/>
    <w:rsid w:val="0073215B"/>
    <w:rsid w:val="0073219E"/>
    <w:rsid w:val="007322A3"/>
    <w:rsid w:val="0073238E"/>
    <w:rsid w:val="007323B2"/>
    <w:rsid w:val="00732456"/>
    <w:rsid w:val="00732505"/>
    <w:rsid w:val="00732506"/>
    <w:rsid w:val="007326CF"/>
    <w:rsid w:val="0073286F"/>
    <w:rsid w:val="0073298D"/>
    <w:rsid w:val="00732A0C"/>
    <w:rsid w:val="00732B6B"/>
    <w:rsid w:val="00732D92"/>
    <w:rsid w:val="00732E49"/>
    <w:rsid w:val="0073303B"/>
    <w:rsid w:val="0073320F"/>
    <w:rsid w:val="00733255"/>
    <w:rsid w:val="007332DB"/>
    <w:rsid w:val="007332EE"/>
    <w:rsid w:val="0073333D"/>
    <w:rsid w:val="0073346D"/>
    <w:rsid w:val="00733713"/>
    <w:rsid w:val="007337A6"/>
    <w:rsid w:val="007337F1"/>
    <w:rsid w:val="007339EE"/>
    <w:rsid w:val="00733B34"/>
    <w:rsid w:val="00733B5F"/>
    <w:rsid w:val="00733B87"/>
    <w:rsid w:val="00733C0D"/>
    <w:rsid w:val="00733CF5"/>
    <w:rsid w:val="00733D4F"/>
    <w:rsid w:val="00733D73"/>
    <w:rsid w:val="00734089"/>
    <w:rsid w:val="00734178"/>
    <w:rsid w:val="007341B1"/>
    <w:rsid w:val="0073425B"/>
    <w:rsid w:val="0073437E"/>
    <w:rsid w:val="00734622"/>
    <w:rsid w:val="00734657"/>
    <w:rsid w:val="00734693"/>
    <w:rsid w:val="0073476C"/>
    <w:rsid w:val="007347DD"/>
    <w:rsid w:val="0073480C"/>
    <w:rsid w:val="007348AD"/>
    <w:rsid w:val="007348E6"/>
    <w:rsid w:val="007348F1"/>
    <w:rsid w:val="007349B3"/>
    <w:rsid w:val="00734ABD"/>
    <w:rsid w:val="00734B52"/>
    <w:rsid w:val="00734B9D"/>
    <w:rsid w:val="00734DC8"/>
    <w:rsid w:val="00734E2B"/>
    <w:rsid w:val="00734EEA"/>
    <w:rsid w:val="00734F16"/>
    <w:rsid w:val="0073501B"/>
    <w:rsid w:val="0073504C"/>
    <w:rsid w:val="0073507E"/>
    <w:rsid w:val="00735279"/>
    <w:rsid w:val="007352C6"/>
    <w:rsid w:val="0073547D"/>
    <w:rsid w:val="00735554"/>
    <w:rsid w:val="00735574"/>
    <w:rsid w:val="007355CC"/>
    <w:rsid w:val="007355FA"/>
    <w:rsid w:val="0073569A"/>
    <w:rsid w:val="00735725"/>
    <w:rsid w:val="0073576C"/>
    <w:rsid w:val="007357E7"/>
    <w:rsid w:val="00735885"/>
    <w:rsid w:val="007358DC"/>
    <w:rsid w:val="00735919"/>
    <w:rsid w:val="00735959"/>
    <w:rsid w:val="00735D87"/>
    <w:rsid w:val="00735E2C"/>
    <w:rsid w:val="00735E82"/>
    <w:rsid w:val="00735F49"/>
    <w:rsid w:val="00736011"/>
    <w:rsid w:val="00736144"/>
    <w:rsid w:val="0073654B"/>
    <w:rsid w:val="0073656B"/>
    <w:rsid w:val="00736600"/>
    <w:rsid w:val="0073678A"/>
    <w:rsid w:val="00736856"/>
    <w:rsid w:val="00736A68"/>
    <w:rsid w:val="00736A73"/>
    <w:rsid w:val="00736ABC"/>
    <w:rsid w:val="00736B03"/>
    <w:rsid w:val="00736BC1"/>
    <w:rsid w:val="00736BC4"/>
    <w:rsid w:val="00736BE8"/>
    <w:rsid w:val="00736D08"/>
    <w:rsid w:val="00736E1C"/>
    <w:rsid w:val="0073706E"/>
    <w:rsid w:val="00737198"/>
    <w:rsid w:val="007371CF"/>
    <w:rsid w:val="00737265"/>
    <w:rsid w:val="00737305"/>
    <w:rsid w:val="0073754E"/>
    <w:rsid w:val="007375C6"/>
    <w:rsid w:val="007375D9"/>
    <w:rsid w:val="00737756"/>
    <w:rsid w:val="0073780F"/>
    <w:rsid w:val="00737A46"/>
    <w:rsid w:val="00737A88"/>
    <w:rsid w:val="00737ADA"/>
    <w:rsid w:val="00737B04"/>
    <w:rsid w:val="00737B1C"/>
    <w:rsid w:val="00737BC8"/>
    <w:rsid w:val="00737E85"/>
    <w:rsid w:val="00737EDB"/>
    <w:rsid w:val="00737FB5"/>
    <w:rsid w:val="00740199"/>
    <w:rsid w:val="007401B1"/>
    <w:rsid w:val="007401D3"/>
    <w:rsid w:val="007403D4"/>
    <w:rsid w:val="007403F7"/>
    <w:rsid w:val="007406B6"/>
    <w:rsid w:val="0074074E"/>
    <w:rsid w:val="007408CC"/>
    <w:rsid w:val="0074093D"/>
    <w:rsid w:val="007409E2"/>
    <w:rsid w:val="00740A2C"/>
    <w:rsid w:val="00740AA8"/>
    <w:rsid w:val="00740BA7"/>
    <w:rsid w:val="00740BDE"/>
    <w:rsid w:val="00740F64"/>
    <w:rsid w:val="0074100F"/>
    <w:rsid w:val="00741135"/>
    <w:rsid w:val="007411DD"/>
    <w:rsid w:val="007413D6"/>
    <w:rsid w:val="007413F0"/>
    <w:rsid w:val="007414DB"/>
    <w:rsid w:val="007415A9"/>
    <w:rsid w:val="007416C5"/>
    <w:rsid w:val="007417A9"/>
    <w:rsid w:val="007417CB"/>
    <w:rsid w:val="007417FD"/>
    <w:rsid w:val="007418EE"/>
    <w:rsid w:val="007418F7"/>
    <w:rsid w:val="007419F5"/>
    <w:rsid w:val="00741A4D"/>
    <w:rsid w:val="00741BBC"/>
    <w:rsid w:val="00741CAA"/>
    <w:rsid w:val="00741DE1"/>
    <w:rsid w:val="007420A0"/>
    <w:rsid w:val="0074210A"/>
    <w:rsid w:val="00742141"/>
    <w:rsid w:val="007421DA"/>
    <w:rsid w:val="007421F7"/>
    <w:rsid w:val="007424A2"/>
    <w:rsid w:val="00742580"/>
    <w:rsid w:val="00742621"/>
    <w:rsid w:val="00742658"/>
    <w:rsid w:val="00742DC6"/>
    <w:rsid w:val="00742FAA"/>
    <w:rsid w:val="00743080"/>
    <w:rsid w:val="007430C3"/>
    <w:rsid w:val="00743110"/>
    <w:rsid w:val="0074316D"/>
    <w:rsid w:val="007431A1"/>
    <w:rsid w:val="007432E3"/>
    <w:rsid w:val="007432E9"/>
    <w:rsid w:val="0074347F"/>
    <w:rsid w:val="007434DA"/>
    <w:rsid w:val="0074365D"/>
    <w:rsid w:val="0074370E"/>
    <w:rsid w:val="00743766"/>
    <w:rsid w:val="007437D7"/>
    <w:rsid w:val="0074388B"/>
    <w:rsid w:val="007439B6"/>
    <w:rsid w:val="00743ABD"/>
    <w:rsid w:val="00743B0A"/>
    <w:rsid w:val="00743C19"/>
    <w:rsid w:val="00743C40"/>
    <w:rsid w:val="00743D4C"/>
    <w:rsid w:val="00743E25"/>
    <w:rsid w:val="00743FDD"/>
    <w:rsid w:val="00744004"/>
    <w:rsid w:val="0074400C"/>
    <w:rsid w:val="00744101"/>
    <w:rsid w:val="00744106"/>
    <w:rsid w:val="007441CB"/>
    <w:rsid w:val="007441E7"/>
    <w:rsid w:val="007442A7"/>
    <w:rsid w:val="007443C9"/>
    <w:rsid w:val="007443D8"/>
    <w:rsid w:val="00744406"/>
    <w:rsid w:val="00744463"/>
    <w:rsid w:val="00744481"/>
    <w:rsid w:val="007444C1"/>
    <w:rsid w:val="0074497E"/>
    <w:rsid w:val="00744A0A"/>
    <w:rsid w:val="00744A77"/>
    <w:rsid w:val="00744B90"/>
    <w:rsid w:val="00744B92"/>
    <w:rsid w:val="00744CAF"/>
    <w:rsid w:val="00744E18"/>
    <w:rsid w:val="00744E29"/>
    <w:rsid w:val="00744F54"/>
    <w:rsid w:val="0074514C"/>
    <w:rsid w:val="007451B8"/>
    <w:rsid w:val="007452F6"/>
    <w:rsid w:val="00745307"/>
    <w:rsid w:val="007453BF"/>
    <w:rsid w:val="007454CF"/>
    <w:rsid w:val="00745675"/>
    <w:rsid w:val="007456C8"/>
    <w:rsid w:val="00745778"/>
    <w:rsid w:val="007457F8"/>
    <w:rsid w:val="00745932"/>
    <w:rsid w:val="007459E6"/>
    <w:rsid w:val="007459FE"/>
    <w:rsid w:val="00745BE8"/>
    <w:rsid w:val="00745D3B"/>
    <w:rsid w:val="00745D65"/>
    <w:rsid w:val="00745E2B"/>
    <w:rsid w:val="007461ED"/>
    <w:rsid w:val="0074626E"/>
    <w:rsid w:val="007462F2"/>
    <w:rsid w:val="00746316"/>
    <w:rsid w:val="00746477"/>
    <w:rsid w:val="007464B2"/>
    <w:rsid w:val="0074651C"/>
    <w:rsid w:val="0074663B"/>
    <w:rsid w:val="007467A3"/>
    <w:rsid w:val="00746926"/>
    <w:rsid w:val="00746976"/>
    <w:rsid w:val="007469EF"/>
    <w:rsid w:val="00746A7C"/>
    <w:rsid w:val="00746B43"/>
    <w:rsid w:val="00746B78"/>
    <w:rsid w:val="00746B90"/>
    <w:rsid w:val="00746BC0"/>
    <w:rsid w:val="00746CA6"/>
    <w:rsid w:val="00746D65"/>
    <w:rsid w:val="00746DA5"/>
    <w:rsid w:val="00746E5D"/>
    <w:rsid w:val="00746F9A"/>
    <w:rsid w:val="00747006"/>
    <w:rsid w:val="0074703F"/>
    <w:rsid w:val="00747056"/>
    <w:rsid w:val="00747098"/>
    <w:rsid w:val="00747194"/>
    <w:rsid w:val="007472A9"/>
    <w:rsid w:val="007472F4"/>
    <w:rsid w:val="00747327"/>
    <w:rsid w:val="007473EC"/>
    <w:rsid w:val="007473EE"/>
    <w:rsid w:val="00747403"/>
    <w:rsid w:val="0074760C"/>
    <w:rsid w:val="007477F5"/>
    <w:rsid w:val="00747935"/>
    <w:rsid w:val="00747AAB"/>
    <w:rsid w:val="00747ABC"/>
    <w:rsid w:val="00747AFE"/>
    <w:rsid w:val="00747C3E"/>
    <w:rsid w:val="00747C8D"/>
    <w:rsid w:val="00747CC2"/>
    <w:rsid w:val="00747CCF"/>
    <w:rsid w:val="00747D09"/>
    <w:rsid w:val="00747DF8"/>
    <w:rsid w:val="00747EAD"/>
    <w:rsid w:val="00747FF5"/>
    <w:rsid w:val="0075003A"/>
    <w:rsid w:val="007502C6"/>
    <w:rsid w:val="00750361"/>
    <w:rsid w:val="00750479"/>
    <w:rsid w:val="007504FF"/>
    <w:rsid w:val="007505B2"/>
    <w:rsid w:val="00750767"/>
    <w:rsid w:val="00750834"/>
    <w:rsid w:val="00750883"/>
    <w:rsid w:val="007509A9"/>
    <w:rsid w:val="007509CC"/>
    <w:rsid w:val="00750A14"/>
    <w:rsid w:val="00750B41"/>
    <w:rsid w:val="00750C77"/>
    <w:rsid w:val="00750CF9"/>
    <w:rsid w:val="00750DAE"/>
    <w:rsid w:val="00750F04"/>
    <w:rsid w:val="00750FB8"/>
    <w:rsid w:val="007510B4"/>
    <w:rsid w:val="00751187"/>
    <w:rsid w:val="007511D2"/>
    <w:rsid w:val="007511D8"/>
    <w:rsid w:val="00751228"/>
    <w:rsid w:val="007512E1"/>
    <w:rsid w:val="0075138F"/>
    <w:rsid w:val="007513A9"/>
    <w:rsid w:val="007513CD"/>
    <w:rsid w:val="007513D6"/>
    <w:rsid w:val="0075143A"/>
    <w:rsid w:val="007514C7"/>
    <w:rsid w:val="007514D8"/>
    <w:rsid w:val="007514DA"/>
    <w:rsid w:val="007514E6"/>
    <w:rsid w:val="00751572"/>
    <w:rsid w:val="00751592"/>
    <w:rsid w:val="007515A1"/>
    <w:rsid w:val="00751758"/>
    <w:rsid w:val="007517B7"/>
    <w:rsid w:val="007518EC"/>
    <w:rsid w:val="007518FE"/>
    <w:rsid w:val="00751A77"/>
    <w:rsid w:val="00751A87"/>
    <w:rsid w:val="00751B9E"/>
    <w:rsid w:val="00751BAE"/>
    <w:rsid w:val="00751E9E"/>
    <w:rsid w:val="00751ECD"/>
    <w:rsid w:val="00751F4B"/>
    <w:rsid w:val="00751F63"/>
    <w:rsid w:val="00751FA0"/>
    <w:rsid w:val="00751FB1"/>
    <w:rsid w:val="00751FF0"/>
    <w:rsid w:val="007521D8"/>
    <w:rsid w:val="0075248A"/>
    <w:rsid w:val="0075259F"/>
    <w:rsid w:val="007527A4"/>
    <w:rsid w:val="00752A39"/>
    <w:rsid w:val="00752B92"/>
    <w:rsid w:val="00752C24"/>
    <w:rsid w:val="00752CB9"/>
    <w:rsid w:val="00752DC4"/>
    <w:rsid w:val="00752DF8"/>
    <w:rsid w:val="00752F22"/>
    <w:rsid w:val="00752F61"/>
    <w:rsid w:val="00752FE3"/>
    <w:rsid w:val="00753066"/>
    <w:rsid w:val="00753081"/>
    <w:rsid w:val="00753222"/>
    <w:rsid w:val="0075329C"/>
    <w:rsid w:val="007533CE"/>
    <w:rsid w:val="00753443"/>
    <w:rsid w:val="00753508"/>
    <w:rsid w:val="00753514"/>
    <w:rsid w:val="0075352A"/>
    <w:rsid w:val="00753562"/>
    <w:rsid w:val="00753575"/>
    <w:rsid w:val="007535D2"/>
    <w:rsid w:val="0075365F"/>
    <w:rsid w:val="00753781"/>
    <w:rsid w:val="007537B1"/>
    <w:rsid w:val="00753975"/>
    <w:rsid w:val="00753B57"/>
    <w:rsid w:val="00753C71"/>
    <w:rsid w:val="00753CB1"/>
    <w:rsid w:val="00753DF3"/>
    <w:rsid w:val="00753E55"/>
    <w:rsid w:val="00753EE5"/>
    <w:rsid w:val="00753FFB"/>
    <w:rsid w:val="00754202"/>
    <w:rsid w:val="007543D6"/>
    <w:rsid w:val="00754408"/>
    <w:rsid w:val="007547AC"/>
    <w:rsid w:val="007548E8"/>
    <w:rsid w:val="007549D1"/>
    <w:rsid w:val="00754A30"/>
    <w:rsid w:val="00754AC0"/>
    <w:rsid w:val="00754B3A"/>
    <w:rsid w:val="00754C9A"/>
    <w:rsid w:val="00754D1B"/>
    <w:rsid w:val="00754D1C"/>
    <w:rsid w:val="00754E6D"/>
    <w:rsid w:val="00754E81"/>
    <w:rsid w:val="00754FDA"/>
    <w:rsid w:val="007550AC"/>
    <w:rsid w:val="0075529E"/>
    <w:rsid w:val="0075536B"/>
    <w:rsid w:val="0075547C"/>
    <w:rsid w:val="00755598"/>
    <w:rsid w:val="007555D9"/>
    <w:rsid w:val="00755652"/>
    <w:rsid w:val="00755757"/>
    <w:rsid w:val="00755A85"/>
    <w:rsid w:val="00755CDB"/>
    <w:rsid w:val="00755D7A"/>
    <w:rsid w:val="00755DF6"/>
    <w:rsid w:val="00755F26"/>
    <w:rsid w:val="00755F69"/>
    <w:rsid w:val="00755FF9"/>
    <w:rsid w:val="0075617E"/>
    <w:rsid w:val="007561C9"/>
    <w:rsid w:val="00756239"/>
    <w:rsid w:val="0075627E"/>
    <w:rsid w:val="007562D0"/>
    <w:rsid w:val="007563B5"/>
    <w:rsid w:val="007565EB"/>
    <w:rsid w:val="0075668C"/>
    <w:rsid w:val="007566AE"/>
    <w:rsid w:val="007567B1"/>
    <w:rsid w:val="0075696B"/>
    <w:rsid w:val="00756A1D"/>
    <w:rsid w:val="00756ABE"/>
    <w:rsid w:val="00756AC9"/>
    <w:rsid w:val="00756B07"/>
    <w:rsid w:val="00756B13"/>
    <w:rsid w:val="00756B22"/>
    <w:rsid w:val="00756C64"/>
    <w:rsid w:val="00756D85"/>
    <w:rsid w:val="00756D99"/>
    <w:rsid w:val="00756E87"/>
    <w:rsid w:val="00757392"/>
    <w:rsid w:val="00757581"/>
    <w:rsid w:val="007575F5"/>
    <w:rsid w:val="00757728"/>
    <w:rsid w:val="00757756"/>
    <w:rsid w:val="00757836"/>
    <w:rsid w:val="00757B5C"/>
    <w:rsid w:val="00757BC4"/>
    <w:rsid w:val="00757C88"/>
    <w:rsid w:val="00757D5F"/>
    <w:rsid w:val="00757DBA"/>
    <w:rsid w:val="00757DCE"/>
    <w:rsid w:val="00757ED9"/>
    <w:rsid w:val="00757F07"/>
    <w:rsid w:val="00757F0B"/>
    <w:rsid w:val="007600E4"/>
    <w:rsid w:val="00760163"/>
    <w:rsid w:val="00760219"/>
    <w:rsid w:val="00760334"/>
    <w:rsid w:val="0076034A"/>
    <w:rsid w:val="00760370"/>
    <w:rsid w:val="0076038D"/>
    <w:rsid w:val="00760487"/>
    <w:rsid w:val="007605D8"/>
    <w:rsid w:val="0076060D"/>
    <w:rsid w:val="00760653"/>
    <w:rsid w:val="007606C1"/>
    <w:rsid w:val="0076070A"/>
    <w:rsid w:val="00760851"/>
    <w:rsid w:val="007608C0"/>
    <w:rsid w:val="00760B9F"/>
    <w:rsid w:val="00760C84"/>
    <w:rsid w:val="00760DDA"/>
    <w:rsid w:val="00760E47"/>
    <w:rsid w:val="00760E7B"/>
    <w:rsid w:val="00760FD8"/>
    <w:rsid w:val="00761066"/>
    <w:rsid w:val="00761074"/>
    <w:rsid w:val="00761122"/>
    <w:rsid w:val="00761129"/>
    <w:rsid w:val="007611BE"/>
    <w:rsid w:val="00761202"/>
    <w:rsid w:val="0076122D"/>
    <w:rsid w:val="00761303"/>
    <w:rsid w:val="00761849"/>
    <w:rsid w:val="007619ED"/>
    <w:rsid w:val="00761A35"/>
    <w:rsid w:val="00761B5C"/>
    <w:rsid w:val="00761B6A"/>
    <w:rsid w:val="00761BF9"/>
    <w:rsid w:val="00761C9E"/>
    <w:rsid w:val="00761CB6"/>
    <w:rsid w:val="00761D05"/>
    <w:rsid w:val="00761D07"/>
    <w:rsid w:val="00761EA3"/>
    <w:rsid w:val="00761F02"/>
    <w:rsid w:val="00762114"/>
    <w:rsid w:val="00762251"/>
    <w:rsid w:val="00762276"/>
    <w:rsid w:val="00762292"/>
    <w:rsid w:val="0076230D"/>
    <w:rsid w:val="007623A2"/>
    <w:rsid w:val="007623B3"/>
    <w:rsid w:val="00762493"/>
    <w:rsid w:val="0076251D"/>
    <w:rsid w:val="00762523"/>
    <w:rsid w:val="007625B7"/>
    <w:rsid w:val="0076260F"/>
    <w:rsid w:val="007626BC"/>
    <w:rsid w:val="007626EB"/>
    <w:rsid w:val="007627E8"/>
    <w:rsid w:val="007628D5"/>
    <w:rsid w:val="007629A0"/>
    <w:rsid w:val="007629F2"/>
    <w:rsid w:val="00762A7B"/>
    <w:rsid w:val="00762B9D"/>
    <w:rsid w:val="00762BD7"/>
    <w:rsid w:val="00762BE3"/>
    <w:rsid w:val="00762C20"/>
    <w:rsid w:val="00762E9E"/>
    <w:rsid w:val="00762EE0"/>
    <w:rsid w:val="00762F09"/>
    <w:rsid w:val="00762F60"/>
    <w:rsid w:val="00762FA1"/>
    <w:rsid w:val="00763072"/>
    <w:rsid w:val="007630A8"/>
    <w:rsid w:val="00763201"/>
    <w:rsid w:val="00763264"/>
    <w:rsid w:val="007633DC"/>
    <w:rsid w:val="007636BA"/>
    <w:rsid w:val="007636E3"/>
    <w:rsid w:val="00763760"/>
    <w:rsid w:val="0076398B"/>
    <w:rsid w:val="00763ABB"/>
    <w:rsid w:val="00763B05"/>
    <w:rsid w:val="00763BE9"/>
    <w:rsid w:val="00763C21"/>
    <w:rsid w:val="00763CAB"/>
    <w:rsid w:val="00763DDB"/>
    <w:rsid w:val="00763DF5"/>
    <w:rsid w:val="00763E59"/>
    <w:rsid w:val="00763F32"/>
    <w:rsid w:val="007640A8"/>
    <w:rsid w:val="007640E5"/>
    <w:rsid w:val="0076464F"/>
    <w:rsid w:val="00764720"/>
    <w:rsid w:val="0076476F"/>
    <w:rsid w:val="00764861"/>
    <w:rsid w:val="007648E7"/>
    <w:rsid w:val="00764A79"/>
    <w:rsid w:val="00764A85"/>
    <w:rsid w:val="00764AD7"/>
    <w:rsid w:val="00764B0A"/>
    <w:rsid w:val="00764B55"/>
    <w:rsid w:val="00764B65"/>
    <w:rsid w:val="00764D3A"/>
    <w:rsid w:val="00764D4C"/>
    <w:rsid w:val="00764DAE"/>
    <w:rsid w:val="00764E10"/>
    <w:rsid w:val="00764F00"/>
    <w:rsid w:val="00764FA2"/>
    <w:rsid w:val="007650C3"/>
    <w:rsid w:val="007650FA"/>
    <w:rsid w:val="00765115"/>
    <w:rsid w:val="007651CD"/>
    <w:rsid w:val="00765290"/>
    <w:rsid w:val="0076534E"/>
    <w:rsid w:val="00765396"/>
    <w:rsid w:val="007653E4"/>
    <w:rsid w:val="00765539"/>
    <w:rsid w:val="0076570B"/>
    <w:rsid w:val="007657BE"/>
    <w:rsid w:val="007657C7"/>
    <w:rsid w:val="00765813"/>
    <w:rsid w:val="00765A28"/>
    <w:rsid w:val="00765B4A"/>
    <w:rsid w:val="00765B7E"/>
    <w:rsid w:val="00765BFA"/>
    <w:rsid w:val="00765C19"/>
    <w:rsid w:val="00765C3E"/>
    <w:rsid w:val="00765F33"/>
    <w:rsid w:val="0076600E"/>
    <w:rsid w:val="00766020"/>
    <w:rsid w:val="007661D1"/>
    <w:rsid w:val="007662C9"/>
    <w:rsid w:val="0076638F"/>
    <w:rsid w:val="007664A4"/>
    <w:rsid w:val="00766571"/>
    <w:rsid w:val="0076675D"/>
    <w:rsid w:val="007667E7"/>
    <w:rsid w:val="007668A5"/>
    <w:rsid w:val="00766924"/>
    <w:rsid w:val="00766A58"/>
    <w:rsid w:val="00766B10"/>
    <w:rsid w:val="00766C41"/>
    <w:rsid w:val="00766C5F"/>
    <w:rsid w:val="00766C73"/>
    <w:rsid w:val="00766D6E"/>
    <w:rsid w:val="00766DE3"/>
    <w:rsid w:val="00766E2C"/>
    <w:rsid w:val="00766EDD"/>
    <w:rsid w:val="00766EEF"/>
    <w:rsid w:val="00767349"/>
    <w:rsid w:val="007673B4"/>
    <w:rsid w:val="00767436"/>
    <w:rsid w:val="007674F9"/>
    <w:rsid w:val="0076757E"/>
    <w:rsid w:val="00767591"/>
    <w:rsid w:val="007675D1"/>
    <w:rsid w:val="00767689"/>
    <w:rsid w:val="0076775C"/>
    <w:rsid w:val="007677D1"/>
    <w:rsid w:val="00767946"/>
    <w:rsid w:val="00767990"/>
    <w:rsid w:val="007679DF"/>
    <w:rsid w:val="00767AD3"/>
    <w:rsid w:val="00767BA9"/>
    <w:rsid w:val="00767C6C"/>
    <w:rsid w:val="00767D5E"/>
    <w:rsid w:val="00767D87"/>
    <w:rsid w:val="00767D99"/>
    <w:rsid w:val="00767EE9"/>
    <w:rsid w:val="00767F84"/>
    <w:rsid w:val="0077012D"/>
    <w:rsid w:val="00770163"/>
    <w:rsid w:val="0077048C"/>
    <w:rsid w:val="007704F9"/>
    <w:rsid w:val="007704FF"/>
    <w:rsid w:val="007705D3"/>
    <w:rsid w:val="007705DC"/>
    <w:rsid w:val="00770608"/>
    <w:rsid w:val="00770759"/>
    <w:rsid w:val="007707C2"/>
    <w:rsid w:val="00770851"/>
    <w:rsid w:val="00770B00"/>
    <w:rsid w:val="00770DB5"/>
    <w:rsid w:val="00770F95"/>
    <w:rsid w:val="00771116"/>
    <w:rsid w:val="00771206"/>
    <w:rsid w:val="00771259"/>
    <w:rsid w:val="00771339"/>
    <w:rsid w:val="007715E7"/>
    <w:rsid w:val="0077160C"/>
    <w:rsid w:val="00771695"/>
    <w:rsid w:val="00771807"/>
    <w:rsid w:val="00771970"/>
    <w:rsid w:val="0077198A"/>
    <w:rsid w:val="007719CC"/>
    <w:rsid w:val="00771B0D"/>
    <w:rsid w:val="00771B21"/>
    <w:rsid w:val="00771C00"/>
    <w:rsid w:val="00771C31"/>
    <w:rsid w:val="00771CC7"/>
    <w:rsid w:val="00771D35"/>
    <w:rsid w:val="00771F29"/>
    <w:rsid w:val="00771F9D"/>
    <w:rsid w:val="0077214D"/>
    <w:rsid w:val="007721A0"/>
    <w:rsid w:val="00772453"/>
    <w:rsid w:val="0077245F"/>
    <w:rsid w:val="00772481"/>
    <w:rsid w:val="0077254F"/>
    <w:rsid w:val="00772575"/>
    <w:rsid w:val="00772586"/>
    <w:rsid w:val="007725B8"/>
    <w:rsid w:val="007725B9"/>
    <w:rsid w:val="00772665"/>
    <w:rsid w:val="007726A6"/>
    <w:rsid w:val="007727F6"/>
    <w:rsid w:val="0077281B"/>
    <w:rsid w:val="007728F6"/>
    <w:rsid w:val="0077293B"/>
    <w:rsid w:val="0077298C"/>
    <w:rsid w:val="007729AF"/>
    <w:rsid w:val="00772B60"/>
    <w:rsid w:val="00772BF6"/>
    <w:rsid w:val="00772C32"/>
    <w:rsid w:val="00772E9E"/>
    <w:rsid w:val="00772F32"/>
    <w:rsid w:val="00772F6D"/>
    <w:rsid w:val="00772F77"/>
    <w:rsid w:val="007730E8"/>
    <w:rsid w:val="00773133"/>
    <w:rsid w:val="007731B7"/>
    <w:rsid w:val="00773248"/>
    <w:rsid w:val="0077327B"/>
    <w:rsid w:val="00773404"/>
    <w:rsid w:val="00773585"/>
    <w:rsid w:val="007737D9"/>
    <w:rsid w:val="00773827"/>
    <w:rsid w:val="00773874"/>
    <w:rsid w:val="00773957"/>
    <w:rsid w:val="00773A40"/>
    <w:rsid w:val="00773A54"/>
    <w:rsid w:val="00773A7B"/>
    <w:rsid w:val="00773B4F"/>
    <w:rsid w:val="00773BC9"/>
    <w:rsid w:val="00773BD0"/>
    <w:rsid w:val="00773C90"/>
    <w:rsid w:val="00773E31"/>
    <w:rsid w:val="00774126"/>
    <w:rsid w:val="0077415A"/>
    <w:rsid w:val="007741D3"/>
    <w:rsid w:val="0077427A"/>
    <w:rsid w:val="0077428E"/>
    <w:rsid w:val="0077430B"/>
    <w:rsid w:val="0077438A"/>
    <w:rsid w:val="007743AB"/>
    <w:rsid w:val="00774472"/>
    <w:rsid w:val="007744BB"/>
    <w:rsid w:val="007745D6"/>
    <w:rsid w:val="0077460F"/>
    <w:rsid w:val="00774641"/>
    <w:rsid w:val="007747C6"/>
    <w:rsid w:val="007748CC"/>
    <w:rsid w:val="00774C8C"/>
    <w:rsid w:val="00774D3D"/>
    <w:rsid w:val="00774E3A"/>
    <w:rsid w:val="00774EBC"/>
    <w:rsid w:val="00774FE4"/>
    <w:rsid w:val="007750ED"/>
    <w:rsid w:val="0077513E"/>
    <w:rsid w:val="0077524B"/>
    <w:rsid w:val="00775274"/>
    <w:rsid w:val="00775290"/>
    <w:rsid w:val="007752A0"/>
    <w:rsid w:val="00775541"/>
    <w:rsid w:val="007757EE"/>
    <w:rsid w:val="00775821"/>
    <w:rsid w:val="00775996"/>
    <w:rsid w:val="00775A2C"/>
    <w:rsid w:val="00775ACD"/>
    <w:rsid w:val="00775BC8"/>
    <w:rsid w:val="00775BD9"/>
    <w:rsid w:val="00775D73"/>
    <w:rsid w:val="00775D83"/>
    <w:rsid w:val="00775DE0"/>
    <w:rsid w:val="00775E01"/>
    <w:rsid w:val="00775EB1"/>
    <w:rsid w:val="00775F0B"/>
    <w:rsid w:val="00776138"/>
    <w:rsid w:val="00776246"/>
    <w:rsid w:val="00776312"/>
    <w:rsid w:val="00776445"/>
    <w:rsid w:val="00776567"/>
    <w:rsid w:val="00776633"/>
    <w:rsid w:val="00776777"/>
    <w:rsid w:val="00776784"/>
    <w:rsid w:val="00776839"/>
    <w:rsid w:val="00776A7D"/>
    <w:rsid w:val="00776A91"/>
    <w:rsid w:val="00776AF4"/>
    <w:rsid w:val="00776C4F"/>
    <w:rsid w:val="00776D3D"/>
    <w:rsid w:val="00776DF0"/>
    <w:rsid w:val="00776E53"/>
    <w:rsid w:val="00776FA4"/>
    <w:rsid w:val="00776FF0"/>
    <w:rsid w:val="00776FF5"/>
    <w:rsid w:val="00777079"/>
    <w:rsid w:val="0077707A"/>
    <w:rsid w:val="00777103"/>
    <w:rsid w:val="0077722C"/>
    <w:rsid w:val="00777253"/>
    <w:rsid w:val="007773E1"/>
    <w:rsid w:val="007774B4"/>
    <w:rsid w:val="007775AE"/>
    <w:rsid w:val="00777661"/>
    <w:rsid w:val="007777FE"/>
    <w:rsid w:val="0077785F"/>
    <w:rsid w:val="0077797E"/>
    <w:rsid w:val="00777A8D"/>
    <w:rsid w:val="00777AA8"/>
    <w:rsid w:val="00777B88"/>
    <w:rsid w:val="00777BB8"/>
    <w:rsid w:val="00777C22"/>
    <w:rsid w:val="00777C67"/>
    <w:rsid w:val="00777CD4"/>
    <w:rsid w:val="00777F13"/>
    <w:rsid w:val="00777F30"/>
    <w:rsid w:val="0078023A"/>
    <w:rsid w:val="0078033B"/>
    <w:rsid w:val="00780430"/>
    <w:rsid w:val="00780481"/>
    <w:rsid w:val="00780487"/>
    <w:rsid w:val="007804A0"/>
    <w:rsid w:val="0078062A"/>
    <w:rsid w:val="007806DF"/>
    <w:rsid w:val="0078078F"/>
    <w:rsid w:val="00780815"/>
    <w:rsid w:val="00780883"/>
    <w:rsid w:val="007808E5"/>
    <w:rsid w:val="00780942"/>
    <w:rsid w:val="007809EF"/>
    <w:rsid w:val="00780A0A"/>
    <w:rsid w:val="00780ABF"/>
    <w:rsid w:val="00780B81"/>
    <w:rsid w:val="00780C36"/>
    <w:rsid w:val="00780CD1"/>
    <w:rsid w:val="00780E49"/>
    <w:rsid w:val="00780EA4"/>
    <w:rsid w:val="00780EED"/>
    <w:rsid w:val="00780F12"/>
    <w:rsid w:val="00780FE4"/>
    <w:rsid w:val="00781033"/>
    <w:rsid w:val="0078103A"/>
    <w:rsid w:val="007811E3"/>
    <w:rsid w:val="00781527"/>
    <w:rsid w:val="0078175A"/>
    <w:rsid w:val="0078177C"/>
    <w:rsid w:val="00781835"/>
    <w:rsid w:val="00781843"/>
    <w:rsid w:val="007818D3"/>
    <w:rsid w:val="00781910"/>
    <w:rsid w:val="007819AD"/>
    <w:rsid w:val="00781AB8"/>
    <w:rsid w:val="00781B8E"/>
    <w:rsid w:val="00781B90"/>
    <w:rsid w:val="00781BA6"/>
    <w:rsid w:val="00781BCF"/>
    <w:rsid w:val="00781DA3"/>
    <w:rsid w:val="00781DB8"/>
    <w:rsid w:val="00781F75"/>
    <w:rsid w:val="00781F89"/>
    <w:rsid w:val="00781FDD"/>
    <w:rsid w:val="0078210C"/>
    <w:rsid w:val="007821DC"/>
    <w:rsid w:val="00782212"/>
    <w:rsid w:val="00782228"/>
    <w:rsid w:val="00782275"/>
    <w:rsid w:val="007822EE"/>
    <w:rsid w:val="00782363"/>
    <w:rsid w:val="007823D8"/>
    <w:rsid w:val="0078245D"/>
    <w:rsid w:val="007825CF"/>
    <w:rsid w:val="007825E8"/>
    <w:rsid w:val="00782614"/>
    <w:rsid w:val="00782617"/>
    <w:rsid w:val="0078266A"/>
    <w:rsid w:val="007826E5"/>
    <w:rsid w:val="00782703"/>
    <w:rsid w:val="00782764"/>
    <w:rsid w:val="007828AA"/>
    <w:rsid w:val="007829E2"/>
    <w:rsid w:val="00782A71"/>
    <w:rsid w:val="00782DF9"/>
    <w:rsid w:val="00782E00"/>
    <w:rsid w:val="00782E5F"/>
    <w:rsid w:val="00782F9A"/>
    <w:rsid w:val="0078306B"/>
    <w:rsid w:val="0078306F"/>
    <w:rsid w:val="0078317F"/>
    <w:rsid w:val="00783236"/>
    <w:rsid w:val="007832BB"/>
    <w:rsid w:val="00783389"/>
    <w:rsid w:val="007833C4"/>
    <w:rsid w:val="007834C8"/>
    <w:rsid w:val="0078353A"/>
    <w:rsid w:val="007835E0"/>
    <w:rsid w:val="00783662"/>
    <w:rsid w:val="00783676"/>
    <w:rsid w:val="0078372F"/>
    <w:rsid w:val="00783748"/>
    <w:rsid w:val="007837DC"/>
    <w:rsid w:val="00783922"/>
    <w:rsid w:val="00783971"/>
    <w:rsid w:val="00783AEF"/>
    <w:rsid w:val="00783B39"/>
    <w:rsid w:val="00783BC6"/>
    <w:rsid w:val="00783C61"/>
    <w:rsid w:val="00783FA2"/>
    <w:rsid w:val="00783FC8"/>
    <w:rsid w:val="007840FB"/>
    <w:rsid w:val="0078420E"/>
    <w:rsid w:val="00784263"/>
    <w:rsid w:val="007842C4"/>
    <w:rsid w:val="0078436F"/>
    <w:rsid w:val="00784375"/>
    <w:rsid w:val="007843EE"/>
    <w:rsid w:val="007844FE"/>
    <w:rsid w:val="007845BA"/>
    <w:rsid w:val="007845C9"/>
    <w:rsid w:val="007845F8"/>
    <w:rsid w:val="0078461A"/>
    <w:rsid w:val="00784746"/>
    <w:rsid w:val="00784811"/>
    <w:rsid w:val="00784952"/>
    <w:rsid w:val="007849AB"/>
    <w:rsid w:val="00784AA2"/>
    <w:rsid w:val="00784C04"/>
    <w:rsid w:val="00784C91"/>
    <w:rsid w:val="00784CE3"/>
    <w:rsid w:val="00784D8C"/>
    <w:rsid w:val="00784F63"/>
    <w:rsid w:val="00784FEF"/>
    <w:rsid w:val="0078500A"/>
    <w:rsid w:val="00785061"/>
    <w:rsid w:val="007850AE"/>
    <w:rsid w:val="007850D1"/>
    <w:rsid w:val="00785140"/>
    <w:rsid w:val="0078514B"/>
    <w:rsid w:val="007851FC"/>
    <w:rsid w:val="00785228"/>
    <w:rsid w:val="0078532E"/>
    <w:rsid w:val="00785492"/>
    <w:rsid w:val="007855A3"/>
    <w:rsid w:val="0078578A"/>
    <w:rsid w:val="007858B1"/>
    <w:rsid w:val="00785A36"/>
    <w:rsid w:val="00785A7B"/>
    <w:rsid w:val="00785BBC"/>
    <w:rsid w:val="00785C6A"/>
    <w:rsid w:val="00785C6D"/>
    <w:rsid w:val="00785CF1"/>
    <w:rsid w:val="00785FB2"/>
    <w:rsid w:val="00786041"/>
    <w:rsid w:val="00786307"/>
    <w:rsid w:val="00786398"/>
    <w:rsid w:val="00786421"/>
    <w:rsid w:val="00786482"/>
    <w:rsid w:val="00786486"/>
    <w:rsid w:val="00786602"/>
    <w:rsid w:val="00786729"/>
    <w:rsid w:val="00786863"/>
    <w:rsid w:val="007868EF"/>
    <w:rsid w:val="00786948"/>
    <w:rsid w:val="007869AA"/>
    <w:rsid w:val="00786B72"/>
    <w:rsid w:val="00786BCE"/>
    <w:rsid w:val="00786C63"/>
    <w:rsid w:val="00786E42"/>
    <w:rsid w:val="00786E8D"/>
    <w:rsid w:val="00786E8E"/>
    <w:rsid w:val="00786F57"/>
    <w:rsid w:val="00786F59"/>
    <w:rsid w:val="00786FD0"/>
    <w:rsid w:val="007870C5"/>
    <w:rsid w:val="007870E5"/>
    <w:rsid w:val="0078713F"/>
    <w:rsid w:val="0078723A"/>
    <w:rsid w:val="0078726A"/>
    <w:rsid w:val="00787411"/>
    <w:rsid w:val="00787419"/>
    <w:rsid w:val="007874D0"/>
    <w:rsid w:val="007874DD"/>
    <w:rsid w:val="0078768F"/>
    <w:rsid w:val="0078775F"/>
    <w:rsid w:val="007878A5"/>
    <w:rsid w:val="00787A74"/>
    <w:rsid w:val="00787B64"/>
    <w:rsid w:val="00787B88"/>
    <w:rsid w:val="00787C22"/>
    <w:rsid w:val="00787C30"/>
    <w:rsid w:val="00787F14"/>
    <w:rsid w:val="00787F49"/>
    <w:rsid w:val="00787FF7"/>
    <w:rsid w:val="0079014E"/>
    <w:rsid w:val="007904A0"/>
    <w:rsid w:val="007904CE"/>
    <w:rsid w:val="00790541"/>
    <w:rsid w:val="0079059A"/>
    <w:rsid w:val="0079061F"/>
    <w:rsid w:val="0079067C"/>
    <w:rsid w:val="007907BA"/>
    <w:rsid w:val="007907F1"/>
    <w:rsid w:val="00790843"/>
    <w:rsid w:val="00790862"/>
    <w:rsid w:val="0079095C"/>
    <w:rsid w:val="00790AB9"/>
    <w:rsid w:val="00790AEE"/>
    <w:rsid w:val="00790B1D"/>
    <w:rsid w:val="00790BC5"/>
    <w:rsid w:val="00790C59"/>
    <w:rsid w:val="00790C86"/>
    <w:rsid w:val="00790CCC"/>
    <w:rsid w:val="00790D1A"/>
    <w:rsid w:val="00790E64"/>
    <w:rsid w:val="00790E97"/>
    <w:rsid w:val="00790FF5"/>
    <w:rsid w:val="0079114C"/>
    <w:rsid w:val="00791263"/>
    <w:rsid w:val="00791372"/>
    <w:rsid w:val="007913F7"/>
    <w:rsid w:val="0079140E"/>
    <w:rsid w:val="00791425"/>
    <w:rsid w:val="00791469"/>
    <w:rsid w:val="00791667"/>
    <w:rsid w:val="00791779"/>
    <w:rsid w:val="007918BE"/>
    <w:rsid w:val="00791AA5"/>
    <w:rsid w:val="00791BCD"/>
    <w:rsid w:val="00791BF9"/>
    <w:rsid w:val="00791C03"/>
    <w:rsid w:val="00791FA0"/>
    <w:rsid w:val="00791FFE"/>
    <w:rsid w:val="00792014"/>
    <w:rsid w:val="0079216F"/>
    <w:rsid w:val="0079220E"/>
    <w:rsid w:val="00792349"/>
    <w:rsid w:val="007924CD"/>
    <w:rsid w:val="00792590"/>
    <w:rsid w:val="0079264F"/>
    <w:rsid w:val="00792677"/>
    <w:rsid w:val="007926BC"/>
    <w:rsid w:val="007927D0"/>
    <w:rsid w:val="0079286A"/>
    <w:rsid w:val="00792895"/>
    <w:rsid w:val="0079292F"/>
    <w:rsid w:val="007929AF"/>
    <w:rsid w:val="00792AEF"/>
    <w:rsid w:val="00792BB9"/>
    <w:rsid w:val="00792C16"/>
    <w:rsid w:val="00792C70"/>
    <w:rsid w:val="00792CC9"/>
    <w:rsid w:val="00792D88"/>
    <w:rsid w:val="00792DEF"/>
    <w:rsid w:val="00792E2C"/>
    <w:rsid w:val="00792E53"/>
    <w:rsid w:val="00792EC5"/>
    <w:rsid w:val="00792F1D"/>
    <w:rsid w:val="0079303D"/>
    <w:rsid w:val="007930E5"/>
    <w:rsid w:val="007932F8"/>
    <w:rsid w:val="00793326"/>
    <w:rsid w:val="00793329"/>
    <w:rsid w:val="0079351C"/>
    <w:rsid w:val="007935DC"/>
    <w:rsid w:val="00793664"/>
    <w:rsid w:val="00793770"/>
    <w:rsid w:val="0079381F"/>
    <w:rsid w:val="00793828"/>
    <w:rsid w:val="00793865"/>
    <w:rsid w:val="0079388A"/>
    <w:rsid w:val="007939AF"/>
    <w:rsid w:val="00793A12"/>
    <w:rsid w:val="00793AA8"/>
    <w:rsid w:val="00793B93"/>
    <w:rsid w:val="00793BFC"/>
    <w:rsid w:val="00793C21"/>
    <w:rsid w:val="00793D24"/>
    <w:rsid w:val="00793D6D"/>
    <w:rsid w:val="00793E04"/>
    <w:rsid w:val="00793F92"/>
    <w:rsid w:val="00794016"/>
    <w:rsid w:val="0079419B"/>
    <w:rsid w:val="007942A3"/>
    <w:rsid w:val="00794306"/>
    <w:rsid w:val="00794316"/>
    <w:rsid w:val="00794379"/>
    <w:rsid w:val="007944C7"/>
    <w:rsid w:val="007944D1"/>
    <w:rsid w:val="007946A3"/>
    <w:rsid w:val="007946F1"/>
    <w:rsid w:val="0079478E"/>
    <w:rsid w:val="007947F5"/>
    <w:rsid w:val="0079483E"/>
    <w:rsid w:val="0079485D"/>
    <w:rsid w:val="0079488C"/>
    <w:rsid w:val="007948A3"/>
    <w:rsid w:val="007948BB"/>
    <w:rsid w:val="00794900"/>
    <w:rsid w:val="0079492D"/>
    <w:rsid w:val="00794B14"/>
    <w:rsid w:val="00794B78"/>
    <w:rsid w:val="00794C25"/>
    <w:rsid w:val="00794D91"/>
    <w:rsid w:val="00794F64"/>
    <w:rsid w:val="00795009"/>
    <w:rsid w:val="00795286"/>
    <w:rsid w:val="007953EE"/>
    <w:rsid w:val="007954B4"/>
    <w:rsid w:val="007954D6"/>
    <w:rsid w:val="00795501"/>
    <w:rsid w:val="0079552F"/>
    <w:rsid w:val="00795544"/>
    <w:rsid w:val="0079554F"/>
    <w:rsid w:val="00795551"/>
    <w:rsid w:val="0079555D"/>
    <w:rsid w:val="007955DB"/>
    <w:rsid w:val="007955F3"/>
    <w:rsid w:val="0079564E"/>
    <w:rsid w:val="0079571E"/>
    <w:rsid w:val="007957AF"/>
    <w:rsid w:val="007957B5"/>
    <w:rsid w:val="00795807"/>
    <w:rsid w:val="00795882"/>
    <w:rsid w:val="00795903"/>
    <w:rsid w:val="0079592D"/>
    <w:rsid w:val="00795A6A"/>
    <w:rsid w:val="00795A6C"/>
    <w:rsid w:val="00795BE1"/>
    <w:rsid w:val="00795BED"/>
    <w:rsid w:val="00795C0D"/>
    <w:rsid w:val="00795C51"/>
    <w:rsid w:val="00795D6D"/>
    <w:rsid w:val="00795DD6"/>
    <w:rsid w:val="00795E43"/>
    <w:rsid w:val="00795EAD"/>
    <w:rsid w:val="00795EFC"/>
    <w:rsid w:val="0079615D"/>
    <w:rsid w:val="00796268"/>
    <w:rsid w:val="0079632C"/>
    <w:rsid w:val="00796428"/>
    <w:rsid w:val="007964A1"/>
    <w:rsid w:val="0079672C"/>
    <w:rsid w:val="0079676B"/>
    <w:rsid w:val="0079685D"/>
    <w:rsid w:val="007968C8"/>
    <w:rsid w:val="00796928"/>
    <w:rsid w:val="00796AB7"/>
    <w:rsid w:val="00796B73"/>
    <w:rsid w:val="00796B75"/>
    <w:rsid w:val="00796CB5"/>
    <w:rsid w:val="00796D9D"/>
    <w:rsid w:val="0079720B"/>
    <w:rsid w:val="00797271"/>
    <w:rsid w:val="0079745C"/>
    <w:rsid w:val="007975E0"/>
    <w:rsid w:val="0079777D"/>
    <w:rsid w:val="007977DC"/>
    <w:rsid w:val="007979F3"/>
    <w:rsid w:val="00797B8D"/>
    <w:rsid w:val="00797C79"/>
    <w:rsid w:val="00797D15"/>
    <w:rsid w:val="00797F31"/>
    <w:rsid w:val="007A0049"/>
    <w:rsid w:val="007A0156"/>
    <w:rsid w:val="007A01D4"/>
    <w:rsid w:val="007A020E"/>
    <w:rsid w:val="007A0233"/>
    <w:rsid w:val="007A0258"/>
    <w:rsid w:val="007A0451"/>
    <w:rsid w:val="007A045B"/>
    <w:rsid w:val="007A04B1"/>
    <w:rsid w:val="007A06FB"/>
    <w:rsid w:val="007A07D7"/>
    <w:rsid w:val="007A07F7"/>
    <w:rsid w:val="007A082E"/>
    <w:rsid w:val="007A0839"/>
    <w:rsid w:val="007A08DC"/>
    <w:rsid w:val="007A093F"/>
    <w:rsid w:val="007A0942"/>
    <w:rsid w:val="007A0987"/>
    <w:rsid w:val="007A0AAA"/>
    <w:rsid w:val="007A0AFB"/>
    <w:rsid w:val="007A0C28"/>
    <w:rsid w:val="007A0DFD"/>
    <w:rsid w:val="007A0E71"/>
    <w:rsid w:val="007A0E74"/>
    <w:rsid w:val="007A0EE9"/>
    <w:rsid w:val="007A0F66"/>
    <w:rsid w:val="007A0F9D"/>
    <w:rsid w:val="007A1181"/>
    <w:rsid w:val="007A142D"/>
    <w:rsid w:val="007A14A7"/>
    <w:rsid w:val="007A1594"/>
    <w:rsid w:val="007A1B30"/>
    <w:rsid w:val="007A1BFB"/>
    <w:rsid w:val="007A1C4A"/>
    <w:rsid w:val="007A1F08"/>
    <w:rsid w:val="007A1F37"/>
    <w:rsid w:val="007A20C0"/>
    <w:rsid w:val="007A22A7"/>
    <w:rsid w:val="007A2474"/>
    <w:rsid w:val="007A2629"/>
    <w:rsid w:val="007A264D"/>
    <w:rsid w:val="007A2A15"/>
    <w:rsid w:val="007A2A23"/>
    <w:rsid w:val="007A2B61"/>
    <w:rsid w:val="007A2C52"/>
    <w:rsid w:val="007A2CAB"/>
    <w:rsid w:val="007A2CD3"/>
    <w:rsid w:val="007A2E0C"/>
    <w:rsid w:val="007A2F09"/>
    <w:rsid w:val="007A31CC"/>
    <w:rsid w:val="007A31E6"/>
    <w:rsid w:val="007A320F"/>
    <w:rsid w:val="007A332D"/>
    <w:rsid w:val="007A3465"/>
    <w:rsid w:val="007A3483"/>
    <w:rsid w:val="007A348E"/>
    <w:rsid w:val="007A34F2"/>
    <w:rsid w:val="007A3620"/>
    <w:rsid w:val="007A36AC"/>
    <w:rsid w:val="007A3738"/>
    <w:rsid w:val="007A3844"/>
    <w:rsid w:val="007A3A38"/>
    <w:rsid w:val="007A3BAA"/>
    <w:rsid w:val="007A3C0E"/>
    <w:rsid w:val="007A3D12"/>
    <w:rsid w:val="007A3D38"/>
    <w:rsid w:val="007A3D3C"/>
    <w:rsid w:val="007A3EEF"/>
    <w:rsid w:val="007A3F95"/>
    <w:rsid w:val="007A3FF9"/>
    <w:rsid w:val="007A4195"/>
    <w:rsid w:val="007A427B"/>
    <w:rsid w:val="007A4346"/>
    <w:rsid w:val="007A4446"/>
    <w:rsid w:val="007A44B6"/>
    <w:rsid w:val="007A464E"/>
    <w:rsid w:val="007A4703"/>
    <w:rsid w:val="007A47A4"/>
    <w:rsid w:val="007A481D"/>
    <w:rsid w:val="007A484E"/>
    <w:rsid w:val="007A48C9"/>
    <w:rsid w:val="007A48D4"/>
    <w:rsid w:val="007A491F"/>
    <w:rsid w:val="007A498C"/>
    <w:rsid w:val="007A4A0A"/>
    <w:rsid w:val="007A4AE1"/>
    <w:rsid w:val="007A4B62"/>
    <w:rsid w:val="007A4C91"/>
    <w:rsid w:val="007A4D08"/>
    <w:rsid w:val="007A4D8B"/>
    <w:rsid w:val="007A4E8B"/>
    <w:rsid w:val="007A4F24"/>
    <w:rsid w:val="007A4F8F"/>
    <w:rsid w:val="007A5001"/>
    <w:rsid w:val="007A5158"/>
    <w:rsid w:val="007A51A4"/>
    <w:rsid w:val="007A51BB"/>
    <w:rsid w:val="007A52DA"/>
    <w:rsid w:val="007A534C"/>
    <w:rsid w:val="007A5375"/>
    <w:rsid w:val="007A53A2"/>
    <w:rsid w:val="007A546C"/>
    <w:rsid w:val="007A54D2"/>
    <w:rsid w:val="007A571C"/>
    <w:rsid w:val="007A5770"/>
    <w:rsid w:val="007A5834"/>
    <w:rsid w:val="007A585B"/>
    <w:rsid w:val="007A58B4"/>
    <w:rsid w:val="007A59F3"/>
    <w:rsid w:val="007A5A7C"/>
    <w:rsid w:val="007A5C70"/>
    <w:rsid w:val="007A5CC3"/>
    <w:rsid w:val="007A5E30"/>
    <w:rsid w:val="007A5EE9"/>
    <w:rsid w:val="007A5F4C"/>
    <w:rsid w:val="007A6050"/>
    <w:rsid w:val="007A609D"/>
    <w:rsid w:val="007A6111"/>
    <w:rsid w:val="007A624B"/>
    <w:rsid w:val="007A63BB"/>
    <w:rsid w:val="007A63C9"/>
    <w:rsid w:val="007A6410"/>
    <w:rsid w:val="007A6457"/>
    <w:rsid w:val="007A645E"/>
    <w:rsid w:val="007A658B"/>
    <w:rsid w:val="007A65E3"/>
    <w:rsid w:val="007A6629"/>
    <w:rsid w:val="007A66CA"/>
    <w:rsid w:val="007A677C"/>
    <w:rsid w:val="007A6788"/>
    <w:rsid w:val="007A67BA"/>
    <w:rsid w:val="007A6878"/>
    <w:rsid w:val="007A68D8"/>
    <w:rsid w:val="007A69D9"/>
    <w:rsid w:val="007A6A2B"/>
    <w:rsid w:val="007A6B61"/>
    <w:rsid w:val="007A6BD0"/>
    <w:rsid w:val="007A6D5B"/>
    <w:rsid w:val="007A6DBF"/>
    <w:rsid w:val="007A6ED3"/>
    <w:rsid w:val="007A706B"/>
    <w:rsid w:val="007A71C0"/>
    <w:rsid w:val="007A71DD"/>
    <w:rsid w:val="007A720C"/>
    <w:rsid w:val="007A727C"/>
    <w:rsid w:val="007A72D4"/>
    <w:rsid w:val="007A73C5"/>
    <w:rsid w:val="007A74A4"/>
    <w:rsid w:val="007A7537"/>
    <w:rsid w:val="007A7564"/>
    <w:rsid w:val="007A797A"/>
    <w:rsid w:val="007A79BF"/>
    <w:rsid w:val="007A79D7"/>
    <w:rsid w:val="007A7C04"/>
    <w:rsid w:val="007A7C3A"/>
    <w:rsid w:val="007A7E63"/>
    <w:rsid w:val="007A7E74"/>
    <w:rsid w:val="007A7EED"/>
    <w:rsid w:val="007A7F1B"/>
    <w:rsid w:val="007A7F43"/>
    <w:rsid w:val="007A7F5D"/>
    <w:rsid w:val="007A7FDC"/>
    <w:rsid w:val="007A7FE7"/>
    <w:rsid w:val="007B0072"/>
    <w:rsid w:val="007B011E"/>
    <w:rsid w:val="007B01A7"/>
    <w:rsid w:val="007B01EA"/>
    <w:rsid w:val="007B01F3"/>
    <w:rsid w:val="007B02CD"/>
    <w:rsid w:val="007B0353"/>
    <w:rsid w:val="007B048E"/>
    <w:rsid w:val="007B0524"/>
    <w:rsid w:val="007B05E2"/>
    <w:rsid w:val="007B07F9"/>
    <w:rsid w:val="007B0941"/>
    <w:rsid w:val="007B0960"/>
    <w:rsid w:val="007B0B78"/>
    <w:rsid w:val="007B0DF7"/>
    <w:rsid w:val="007B0E04"/>
    <w:rsid w:val="007B0E3E"/>
    <w:rsid w:val="007B0E94"/>
    <w:rsid w:val="007B11F8"/>
    <w:rsid w:val="007B1485"/>
    <w:rsid w:val="007B1503"/>
    <w:rsid w:val="007B15C3"/>
    <w:rsid w:val="007B16EC"/>
    <w:rsid w:val="007B16F4"/>
    <w:rsid w:val="007B17D4"/>
    <w:rsid w:val="007B198C"/>
    <w:rsid w:val="007B1996"/>
    <w:rsid w:val="007B19D0"/>
    <w:rsid w:val="007B1A15"/>
    <w:rsid w:val="007B1D77"/>
    <w:rsid w:val="007B1E06"/>
    <w:rsid w:val="007B1E44"/>
    <w:rsid w:val="007B1E8B"/>
    <w:rsid w:val="007B2318"/>
    <w:rsid w:val="007B23DF"/>
    <w:rsid w:val="007B2400"/>
    <w:rsid w:val="007B24ED"/>
    <w:rsid w:val="007B24F6"/>
    <w:rsid w:val="007B2597"/>
    <w:rsid w:val="007B25C4"/>
    <w:rsid w:val="007B2691"/>
    <w:rsid w:val="007B2795"/>
    <w:rsid w:val="007B2818"/>
    <w:rsid w:val="007B2900"/>
    <w:rsid w:val="007B2A2F"/>
    <w:rsid w:val="007B2A56"/>
    <w:rsid w:val="007B2B9E"/>
    <w:rsid w:val="007B2BE3"/>
    <w:rsid w:val="007B2E1D"/>
    <w:rsid w:val="007B2E44"/>
    <w:rsid w:val="007B2F35"/>
    <w:rsid w:val="007B2F3A"/>
    <w:rsid w:val="007B323D"/>
    <w:rsid w:val="007B325F"/>
    <w:rsid w:val="007B3292"/>
    <w:rsid w:val="007B32A9"/>
    <w:rsid w:val="007B3564"/>
    <w:rsid w:val="007B3675"/>
    <w:rsid w:val="007B36D1"/>
    <w:rsid w:val="007B393D"/>
    <w:rsid w:val="007B3ABD"/>
    <w:rsid w:val="007B3CD5"/>
    <w:rsid w:val="007B3CF1"/>
    <w:rsid w:val="007B3E0A"/>
    <w:rsid w:val="007B3E9E"/>
    <w:rsid w:val="007B3EE5"/>
    <w:rsid w:val="007B41A0"/>
    <w:rsid w:val="007B425C"/>
    <w:rsid w:val="007B42F1"/>
    <w:rsid w:val="007B4353"/>
    <w:rsid w:val="007B4480"/>
    <w:rsid w:val="007B4568"/>
    <w:rsid w:val="007B45A7"/>
    <w:rsid w:val="007B467D"/>
    <w:rsid w:val="007B46EA"/>
    <w:rsid w:val="007B4704"/>
    <w:rsid w:val="007B47C1"/>
    <w:rsid w:val="007B47D1"/>
    <w:rsid w:val="007B4810"/>
    <w:rsid w:val="007B484B"/>
    <w:rsid w:val="007B48F5"/>
    <w:rsid w:val="007B492A"/>
    <w:rsid w:val="007B4982"/>
    <w:rsid w:val="007B4A04"/>
    <w:rsid w:val="007B4B2F"/>
    <w:rsid w:val="007B4DD9"/>
    <w:rsid w:val="007B4E04"/>
    <w:rsid w:val="007B4E4B"/>
    <w:rsid w:val="007B4F9B"/>
    <w:rsid w:val="007B5257"/>
    <w:rsid w:val="007B532E"/>
    <w:rsid w:val="007B53AE"/>
    <w:rsid w:val="007B54D9"/>
    <w:rsid w:val="007B5516"/>
    <w:rsid w:val="007B5571"/>
    <w:rsid w:val="007B5675"/>
    <w:rsid w:val="007B56B1"/>
    <w:rsid w:val="007B5704"/>
    <w:rsid w:val="007B58F5"/>
    <w:rsid w:val="007B599C"/>
    <w:rsid w:val="007B59ED"/>
    <w:rsid w:val="007B5A40"/>
    <w:rsid w:val="007B5A95"/>
    <w:rsid w:val="007B5C82"/>
    <w:rsid w:val="007B5EDF"/>
    <w:rsid w:val="007B6022"/>
    <w:rsid w:val="007B6056"/>
    <w:rsid w:val="007B60EB"/>
    <w:rsid w:val="007B61E4"/>
    <w:rsid w:val="007B622C"/>
    <w:rsid w:val="007B626C"/>
    <w:rsid w:val="007B6345"/>
    <w:rsid w:val="007B641C"/>
    <w:rsid w:val="007B6473"/>
    <w:rsid w:val="007B647B"/>
    <w:rsid w:val="007B64FF"/>
    <w:rsid w:val="007B65E3"/>
    <w:rsid w:val="007B67CE"/>
    <w:rsid w:val="007B68BE"/>
    <w:rsid w:val="007B68E4"/>
    <w:rsid w:val="007B68F4"/>
    <w:rsid w:val="007B69B1"/>
    <w:rsid w:val="007B6C0B"/>
    <w:rsid w:val="007B6C1D"/>
    <w:rsid w:val="007B6DB7"/>
    <w:rsid w:val="007B6EA0"/>
    <w:rsid w:val="007B6F0C"/>
    <w:rsid w:val="007B6F80"/>
    <w:rsid w:val="007B6FEF"/>
    <w:rsid w:val="007B6FF3"/>
    <w:rsid w:val="007B7187"/>
    <w:rsid w:val="007B7257"/>
    <w:rsid w:val="007B730D"/>
    <w:rsid w:val="007B7931"/>
    <w:rsid w:val="007B7976"/>
    <w:rsid w:val="007B7A7C"/>
    <w:rsid w:val="007B7A90"/>
    <w:rsid w:val="007B7B0C"/>
    <w:rsid w:val="007B7C1A"/>
    <w:rsid w:val="007B7C93"/>
    <w:rsid w:val="007B7CCF"/>
    <w:rsid w:val="007B7DB5"/>
    <w:rsid w:val="007B7EA1"/>
    <w:rsid w:val="007B7F32"/>
    <w:rsid w:val="007BFD14"/>
    <w:rsid w:val="007C0133"/>
    <w:rsid w:val="007C0294"/>
    <w:rsid w:val="007C02A2"/>
    <w:rsid w:val="007C02B2"/>
    <w:rsid w:val="007C0382"/>
    <w:rsid w:val="007C0433"/>
    <w:rsid w:val="007C0500"/>
    <w:rsid w:val="007C0547"/>
    <w:rsid w:val="007C0573"/>
    <w:rsid w:val="007C058F"/>
    <w:rsid w:val="007C0618"/>
    <w:rsid w:val="007C0636"/>
    <w:rsid w:val="007C0641"/>
    <w:rsid w:val="007C0668"/>
    <w:rsid w:val="007C06D6"/>
    <w:rsid w:val="007C06FD"/>
    <w:rsid w:val="007C0701"/>
    <w:rsid w:val="007C0728"/>
    <w:rsid w:val="007C088F"/>
    <w:rsid w:val="007C09C9"/>
    <w:rsid w:val="007C0A13"/>
    <w:rsid w:val="007C0A3E"/>
    <w:rsid w:val="007C0A53"/>
    <w:rsid w:val="007C0AA1"/>
    <w:rsid w:val="007C0AE8"/>
    <w:rsid w:val="007C0C24"/>
    <w:rsid w:val="007C0E05"/>
    <w:rsid w:val="007C1149"/>
    <w:rsid w:val="007C11A4"/>
    <w:rsid w:val="007C11B3"/>
    <w:rsid w:val="007C123E"/>
    <w:rsid w:val="007C126E"/>
    <w:rsid w:val="007C1546"/>
    <w:rsid w:val="007C15FB"/>
    <w:rsid w:val="007C17B8"/>
    <w:rsid w:val="007C193D"/>
    <w:rsid w:val="007C19BB"/>
    <w:rsid w:val="007C1A04"/>
    <w:rsid w:val="007C1B50"/>
    <w:rsid w:val="007C1B5F"/>
    <w:rsid w:val="007C1BFD"/>
    <w:rsid w:val="007C1D08"/>
    <w:rsid w:val="007C1D9D"/>
    <w:rsid w:val="007C1E31"/>
    <w:rsid w:val="007C1E47"/>
    <w:rsid w:val="007C1EA3"/>
    <w:rsid w:val="007C1F32"/>
    <w:rsid w:val="007C1F55"/>
    <w:rsid w:val="007C1FD0"/>
    <w:rsid w:val="007C201C"/>
    <w:rsid w:val="007C2054"/>
    <w:rsid w:val="007C2071"/>
    <w:rsid w:val="007C21F4"/>
    <w:rsid w:val="007C22DA"/>
    <w:rsid w:val="007C2379"/>
    <w:rsid w:val="007C23DC"/>
    <w:rsid w:val="007C23F3"/>
    <w:rsid w:val="007C23FA"/>
    <w:rsid w:val="007C25EB"/>
    <w:rsid w:val="007C25FA"/>
    <w:rsid w:val="007C26AD"/>
    <w:rsid w:val="007C2789"/>
    <w:rsid w:val="007C2ABC"/>
    <w:rsid w:val="007C2B55"/>
    <w:rsid w:val="007C2B88"/>
    <w:rsid w:val="007C2CCA"/>
    <w:rsid w:val="007C3025"/>
    <w:rsid w:val="007C35C9"/>
    <w:rsid w:val="007C3671"/>
    <w:rsid w:val="007C3777"/>
    <w:rsid w:val="007C3807"/>
    <w:rsid w:val="007C3959"/>
    <w:rsid w:val="007C39E4"/>
    <w:rsid w:val="007C3A81"/>
    <w:rsid w:val="007C3A84"/>
    <w:rsid w:val="007C3B15"/>
    <w:rsid w:val="007C3B4B"/>
    <w:rsid w:val="007C3C06"/>
    <w:rsid w:val="007C3E94"/>
    <w:rsid w:val="007C3EDF"/>
    <w:rsid w:val="007C3FE5"/>
    <w:rsid w:val="007C411F"/>
    <w:rsid w:val="007C413C"/>
    <w:rsid w:val="007C4189"/>
    <w:rsid w:val="007C4198"/>
    <w:rsid w:val="007C4319"/>
    <w:rsid w:val="007C433D"/>
    <w:rsid w:val="007C4478"/>
    <w:rsid w:val="007C4724"/>
    <w:rsid w:val="007C47E7"/>
    <w:rsid w:val="007C484B"/>
    <w:rsid w:val="007C4D08"/>
    <w:rsid w:val="007C4E16"/>
    <w:rsid w:val="007C4E94"/>
    <w:rsid w:val="007C5076"/>
    <w:rsid w:val="007C5182"/>
    <w:rsid w:val="007C5461"/>
    <w:rsid w:val="007C5490"/>
    <w:rsid w:val="007C550C"/>
    <w:rsid w:val="007C5579"/>
    <w:rsid w:val="007C55BF"/>
    <w:rsid w:val="007C5662"/>
    <w:rsid w:val="007C56F8"/>
    <w:rsid w:val="007C5710"/>
    <w:rsid w:val="007C581C"/>
    <w:rsid w:val="007C5882"/>
    <w:rsid w:val="007C58D5"/>
    <w:rsid w:val="007C59DE"/>
    <w:rsid w:val="007C5C2C"/>
    <w:rsid w:val="007C5DFD"/>
    <w:rsid w:val="007C5E14"/>
    <w:rsid w:val="007C5E1F"/>
    <w:rsid w:val="007C5ED9"/>
    <w:rsid w:val="007C5EF8"/>
    <w:rsid w:val="007C5FB4"/>
    <w:rsid w:val="007C5FCE"/>
    <w:rsid w:val="007C6082"/>
    <w:rsid w:val="007C60F0"/>
    <w:rsid w:val="007C6185"/>
    <w:rsid w:val="007C6205"/>
    <w:rsid w:val="007C629B"/>
    <w:rsid w:val="007C63B5"/>
    <w:rsid w:val="007C6499"/>
    <w:rsid w:val="007C6585"/>
    <w:rsid w:val="007C65CD"/>
    <w:rsid w:val="007C65DF"/>
    <w:rsid w:val="007C6741"/>
    <w:rsid w:val="007C6753"/>
    <w:rsid w:val="007C685A"/>
    <w:rsid w:val="007C6863"/>
    <w:rsid w:val="007C6939"/>
    <w:rsid w:val="007C69C7"/>
    <w:rsid w:val="007C69FF"/>
    <w:rsid w:val="007C6A9A"/>
    <w:rsid w:val="007C6B8E"/>
    <w:rsid w:val="007C6BD4"/>
    <w:rsid w:val="007C6CD3"/>
    <w:rsid w:val="007C6E36"/>
    <w:rsid w:val="007C6F80"/>
    <w:rsid w:val="007C7163"/>
    <w:rsid w:val="007C7224"/>
    <w:rsid w:val="007C723A"/>
    <w:rsid w:val="007C7294"/>
    <w:rsid w:val="007C741B"/>
    <w:rsid w:val="007C74E3"/>
    <w:rsid w:val="007C752F"/>
    <w:rsid w:val="007C7608"/>
    <w:rsid w:val="007C7691"/>
    <w:rsid w:val="007C7693"/>
    <w:rsid w:val="007C7720"/>
    <w:rsid w:val="007C7772"/>
    <w:rsid w:val="007C7792"/>
    <w:rsid w:val="007C7826"/>
    <w:rsid w:val="007C78F2"/>
    <w:rsid w:val="007C7917"/>
    <w:rsid w:val="007C7A7A"/>
    <w:rsid w:val="007C7A7B"/>
    <w:rsid w:val="007C7C44"/>
    <w:rsid w:val="007D0121"/>
    <w:rsid w:val="007D01D3"/>
    <w:rsid w:val="007D0339"/>
    <w:rsid w:val="007D035C"/>
    <w:rsid w:val="007D05C1"/>
    <w:rsid w:val="007D0694"/>
    <w:rsid w:val="007D080F"/>
    <w:rsid w:val="007D0847"/>
    <w:rsid w:val="007D08BB"/>
    <w:rsid w:val="007D09C3"/>
    <w:rsid w:val="007D0A6B"/>
    <w:rsid w:val="007D0AA6"/>
    <w:rsid w:val="007D0FA0"/>
    <w:rsid w:val="007D1032"/>
    <w:rsid w:val="007D1145"/>
    <w:rsid w:val="007D1146"/>
    <w:rsid w:val="007D1289"/>
    <w:rsid w:val="007D128A"/>
    <w:rsid w:val="007D138E"/>
    <w:rsid w:val="007D13F2"/>
    <w:rsid w:val="007D13FD"/>
    <w:rsid w:val="007D147A"/>
    <w:rsid w:val="007D15EB"/>
    <w:rsid w:val="007D1600"/>
    <w:rsid w:val="007D1683"/>
    <w:rsid w:val="007D16DB"/>
    <w:rsid w:val="007D1881"/>
    <w:rsid w:val="007D1889"/>
    <w:rsid w:val="007D18EB"/>
    <w:rsid w:val="007D18ED"/>
    <w:rsid w:val="007D1982"/>
    <w:rsid w:val="007D1A06"/>
    <w:rsid w:val="007D1A25"/>
    <w:rsid w:val="007D1B9C"/>
    <w:rsid w:val="007D1DA9"/>
    <w:rsid w:val="007D1E87"/>
    <w:rsid w:val="007D2045"/>
    <w:rsid w:val="007D20ED"/>
    <w:rsid w:val="007D2216"/>
    <w:rsid w:val="007D229B"/>
    <w:rsid w:val="007D239F"/>
    <w:rsid w:val="007D25EA"/>
    <w:rsid w:val="007D26C0"/>
    <w:rsid w:val="007D26E4"/>
    <w:rsid w:val="007D270C"/>
    <w:rsid w:val="007D2720"/>
    <w:rsid w:val="007D27B2"/>
    <w:rsid w:val="007D27E6"/>
    <w:rsid w:val="007D286F"/>
    <w:rsid w:val="007D29BE"/>
    <w:rsid w:val="007D2B2D"/>
    <w:rsid w:val="007D2C17"/>
    <w:rsid w:val="007D2C2C"/>
    <w:rsid w:val="007D2C89"/>
    <w:rsid w:val="007D2CEC"/>
    <w:rsid w:val="007D2E54"/>
    <w:rsid w:val="007D2F2C"/>
    <w:rsid w:val="007D2F7E"/>
    <w:rsid w:val="007D2FD0"/>
    <w:rsid w:val="007D3102"/>
    <w:rsid w:val="007D3261"/>
    <w:rsid w:val="007D330A"/>
    <w:rsid w:val="007D35EE"/>
    <w:rsid w:val="007D3690"/>
    <w:rsid w:val="007D3715"/>
    <w:rsid w:val="007D3770"/>
    <w:rsid w:val="007D37BF"/>
    <w:rsid w:val="007D3840"/>
    <w:rsid w:val="007D385F"/>
    <w:rsid w:val="007D389D"/>
    <w:rsid w:val="007D38A9"/>
    <w:rsid w:val="007D3944"/>
    <w:rsid w:val="007D39EB"/>
    <w:rsid w:val="007D3AF0"/>
    <w:rsid w:val="007D3B02"/>
    <w:rsid w:val="007D3C50"/>
    <w:rsid w:val="007D3C66"/>
    <w:rsid w:val="007D3C7F"/>
    <w:rsid w:val="007D3D15"/>
    <w:rsid w:val="007D3D71"/>
    <w:rsid w:val="007D3D8E"/>
    <w:rsid w:val="007D3DC2"/>
    <w:rsid w:val="007D3DF6"/>
    <w:rsid w:val="007D3E00"/>
    <w:rsid w:val="007D3E17"/>
    <w:rsid w:val="007D3EFE"/>
    <w:rsid w:val="007D3F9B"/>
    <w:rsid w:val="007D40A6"/>
    <w:rsid w:val="007D40F1"/>
    <w:rsid w:val="007D43A3"/>
    <w:rsid w:val="007D44FA"/>
    <w:rsid w:val="007D457E"/>
    <w:rsid w:val="007D463A"/>
    <w:rsid w:val="007D4704"/>
    <w:rsid w:val="007D4735"/>
    <w:rsid w:val="007D4888"/>
    <w:rsid w:val="007D48AE"/>
    <w:rsid w:val="007D4969"/>
    <w:rsid w:val="007D49CB"/>
    <w:rsid w:val="007D4A50"/>
    <w:rsid w:val="007D4E99"/>
    <w:rsid w:val="007D4F2C"/>
    <w:rsid w:val="007D4FCA"/>
    <w:rsid w:val="007D50AE"/>
    <w:rsid w:val="007D511D"/>
    <w:rsid w:val="007D5133"/>
    <w:rsid w:val="007D5216"/>
    <w:rsid w:val="007D527D"/>
    <w:rsid w:val="007D5377"/>
    <w:rsid w:val="007D53CB"/>
    <w:rsid w:val="007D53F2"/>
    <w:rsid w:val="007D5451"/>
    <w:rsid w:val="007D5536"/>
    <w:rsid w:val="007D5883"/>
    <w:rsid w:val="007D5955"/>
    <w:rsid w:val="007D5A8E"/>
    <w:rsid w:val="007D5AE3"/>
    <w:rsid w:val="007D5AE5"/>
    <w:rsid w:val="007D5C14"/>
    <w:rsid w:val="007D5C4D"/>
    <w:rsid w:val="007D5D6A"/>
    <w:rsid w:val="007D5F15"/>
    <w:rsid w:val="007D5F16"/>
    <w:rsid w:val="007D5F2E"/>
    <w:rsid w:val="007D601E"/>
    <w:rsid w:val="007D6214"/>
    <w:rsid w:val="007D63C7"/>
    <w:rsid w:val="007D6428"/>
    <w:rsid w:val="007D6669"/>
    <w:rsid w:val="007D6797"/>
    <w:rsid w:val="007D67BC"/>
    <w:rsid w:val="007D67D9"/>
    <w:rsid w:val="007D689C"/>
    <w:rsid w:val="007D6913"/>
    <w:rsid w:val="007D6A5D"/>
    <w:rsid w:val="007D6AC5"/>
    <w:rsid w:val="007D6AFE"/>
    <w:rsid w:val="007D6B02"/>
    <w:rsid w:val="007D6B3E"/>
    <w:rsid w:val="007D6C4A"/>
    <w:rsid w:val="007D6C66"/>
    <w:rsid w:val="007D6CD6"/>
    <w:rsid w:val="007D6DC0"/>
    <w:rsid w:val="007D6E53"/>
    <w:rsid w:val="007D6FB9"/>
    <w:rsid w:val="007D6FD2"/>
    <w:rsid w:val="007D6FF4"/>
    <w:rsid w:val="007D7066"/>
    <w:rsid w:val="007D70A5"/>
    <w:rsid w:val="007D7115"/>
    <w:rsid w:val="007D73B7"/>
    <w:rsid w:val="007D7451"/>
    <w:rsid w:val="007D755F"/>
    <w:rsid w:val="007D76BF"/>
    <w:rsid w:val="007D7711"/>
    <w:rsid w:val="007D7755"/>
    <w:rsid w:val="007D7766"/>
    <w:rsid w:val="007D77AD"/>
    <w:rsid w:val="007D7970"/>
    <w:rsid w:val="007D799C"/>
    <w:rsid w:val="007D7A78"/>
    <w:rsid w:val="007D7B42"/>
    <w:rsid w:val="007D7C6E"/>
    <w:rsid w:val="007D7CC0"/>
    <w:rsid w:val="007D7D32"/>
    <w:rsid w:val="007D7D3A"/>
    <w:rsid w:val="007D7DD5"/>
    <w:rsid w:val="007D7E8B"/>
    <w:rsid w:val="007E0031"/>
    <w:rsid w:val="007E0034"/>
    <w:rsid w:val="007E012F"/>
    <w:rsid w:val="007E0136"/>
    <w:rsid w:val="007E015A"/>
    <w:rsid w:val="007E0236"/>
    <w:rsid w:val="007E0260"/>
    <w:rsid w:val="007E0368"/>
    <w:rsid w:val="007E03C7"/>
    <w:rsid w:val="007E058B"/>
    <w:rsid w:val="007E061C"/>
    <w:rsid w:val="007E06E6"/>
    <w:rsid w:val="007E0755"/>
    <w:rsid w:val="007E080A"/>
    <w:rsid w:val="007E087F"/>
    <w:rsid w:val="007E0895"/>
    <w:rsid w:val="007E0929"/>
    <w:rsid w:val="007E0A60"/>
    <w:rsid w:val="007E0ACD"/>
    <w:rsid w:val="007E0B94"/>
    <w:rsid w:val="007E0BB7"/>
    <w:rsid w:val="007E0C31"/>
    <w:rsid w:val="007E0DAE"/>
    <w:rsid w:val="007E0E89"/>
    <w:rsid w:val="007E0F33"/>
    <w:rsid w:val="007E1202"/>
    <w:rsid w:val="007E1259"/>
    <w:rsid w:val="007E1304"/>
    <w:rsid w:val="007E131E"/>
    <w:rsid w:val="007E1352"/>
    <w:rsid w:val="007E13BB"/>
    <w:rsid w:val="007E14A7"/>
    <w:rsid w:val="007E14D4"/>
    <w:rsid w:val="007E167B"/>
    <w:rsid w:val="007E16F6"/>
    <w:rsid w:val="007E17D1"/>
    <w:rsid w:val="007E18C7"/>
    <w:rsid w:val="007E18F0"/>
    <w:rsid w:val="007E1A42"/>
    <w:rsid w:val="007E1A76"/>
    <w:rsid w:val="007E1A9B"/>
    <w:rsid w:val="007E1B5E"/>
    <w:rsid w:val="007E1BE7"/>
    <w:rsid w:val="007E1C6C"/>
    <w:rsid w:val="007E1EAF"/>
    <w:rsid w:val="007E1FC5"/>
    <w:rsid w:val="007E1FFB"/>
    <w:rsid w:val="007E2020"/>
    <w:rsid w:val="007E20BD"/>
    <w:rsid w:val="007E20CF"/>
    <w:rsid w:val="007E210E"/>
    <w:rsid w:val="007E24AA"/>
    <w:rsid w:val="007E252B"/>
    <w:rsid w:val="007E25E1"/>
    <w:rsid w:val="007E2707"/>
    <w:rsid w:val="007E28C3"/>
    <w:rsid w:val="007E28C7"/>
    <w:rsid w:val="007E2AE3"/>
    <w:rsid w:val="007E2B95"/>
    <w:rsid w:val="007E2BB7"/>
    <w:rsid w:val="007E2BD9"/>
    <w:rsid w:val="007E2D21"/>
    <w:rsid w:val="007E2F5E"/>
    <w:rsid w:val="007E2FDC"/>
    <w:rsid w:val="007E31EC"/>
    <w:rsid w:val="007E3338"/>
    <w:rsid w:val="007E3361"/>
    <w:rsid w:val="007E370A"/>
    <w:rsid w:val="007E375C"/>
    <w:rsid w:val="007E377F"/>
    <w:rsid w:val="007E3806"/>
    <w:rsid w:val="007E3920"/>
    <w:rsid w:val="007E3984"/>
    <w:rsid w:val="007E3A72"/>
    <w:rsid w:val="007E3B2B"/>
    <w:rsid w:val="007E3CFB"/>
    <w:rsid w:val="007E3E1C"/>
    <w:rsid w:val="007E3E3D"/>
    <w:rsid w:val="007E3EC7"/>
    <w:rsid w:val="007E3ED9"/>
    <w:rsid w:val="007E3F91"/>
    <w:rsid w:val="007E43C0"/>
    <w:rsid w:val="007E452E"/>
    <w:rsid w:val="007E45AC"/>
    <w:rsid w:val="007E45FF"/>
    <w:rsid w:val="007E4742"/>
    <w:rsid w:val="007E48FC"/>
    <w:rsid w:val="007E4B4A"/>
    <w:rsid w:val="007E4B9D"/>
    <w:rsid w:val="007E4C27"/>
    <w:rsid w:val="007E4C43"/>
    <w:rsid w:val="007E4D00"/>
    <w:rsid w:val="007E4F95"/>
    <w:rsid w:val="007E4FAF"/>
    <w:rsid w:val="007E5095"/>
    <w:rsid w:val="007E50A8"/>
    <w:rsid w:val="007E5113"/>
    <w:rsid w:val="007E517C"/>
    <w:rsid w:val="007E5195"/>
    <w:rsid w:val="007E536E"/>
    <w:rsid w:val="007E5578"/>
    <w:rsid w:val="007E573A"/>
    <w:rsid w:val="007E5827"/>
    <w:rsid w:val="007E58D9"/>
    <w:rsid w:val="007E5933"/>
    <w:rsid w:val="007E5980"/>
    <w:rsid w:val="007E5A5F"/>
    <w:rsid w:val="007E5C28"/>
    <w:rsid w:val="007E5ED0"/>
    <w:rsid w:val="007E616B"/>
    <w:rsid w:val="007E61D1"/>
    <w:rsid w:val="007E6279"/>
    <w:rsid w:val="007E62F6"/>
    <w:rsid w:val="007E63B4"/>
    <w:rsid w:val="007E63E2"/>
    <w:rsid w:val="007E640E"/>
    <w:rsid w:val="007E6546"/>
    <w:rsid w:val="007E6559"/>
    <w:rsid w:val="007E65D1"/>
    <w:rsid w:val="007E664C"/>
    <w:rsid w:val="007E6714"/>
    <w:rsid w:val="007E6855"/>
    <w:rsid w:val="007E688C"/>
    <w:rsid w:val="007E6976"/>
    <w:rsid w:val="007E6A1D"/>
    <w:rsid w:val="007E6A37"/>
    <w:rsid w:val="007E6A97"/>
    <w:rsid w:val="007E6AFA"/>
    <w:rsid w:val="007E6BCD"/>
    <w:rsid w:val="007E6CE0"/>
    <w:rsid w:val="007E6DA7"/>
    <w:rsid w:val="007E6DE9"/>
    <w:rsid w:val="007E6DF9"/>
    <w:rsid w:val="007E6E38"/>
    <w:rsid w:val="007E6EB1"/>
    <w:rsid w:val="007E71AB"/>
    <w:rsid w:val="007E71D8"/>
    <w:rsid w:val="007E71E2"/>
    <w:rsid w:val="007E7261"/>
    <w:rsid w:val="007E74BA"/>
    <w:rsid w:val="007E7517"/>
    <w:rsid w:val="007E7520"/>
    <w:rsid w:val="007E7538"/>
    <w:rsid w:val="007E756C"/>
    <w:rsid w:val="007E7703"/>
    <w:rsid w:val="007E7720"/>
    <w:rsid w:val="007E78A5"/>
    <w:rsid w:val="007E78AE"/>
    <w:rsid w:val="007E79BD"/>
    <w:rsid w:val="007E79C9"/>
    <w:rsid w:val="007E79DC"/>
    <w:rsid w:val="007E7A9E"/>
    <w:rsid w:val="007E7B31"/>
    <w:rsid w:val="007E7B60"/>
    <w:rsid w:val="007E7BE0"/>
    <w:rsid w:val="007E7BE1"/>
    <w:rsid w:val="007E7C31"/>
    <w:rsid w:val="007E7C55"/>
    <w:rsid w:val="007E7C61"/>
    <w:rsid w:val="007E7CFB"/>
    <w:rsid w:val="007E7DA8"/>
    <w:rsid w:val="007E7E9D"/>
    <w:rsid w:val="007F003F"/>
    <w:rsid w:val="007F0165"/>
    <w:rsid w:val="007F024C"/>
    <w:rsid w:val="007F03BF"/>
    <w:rsid w:val="007F049C"/>
    <w:rsid w:val="007F0572"/>
    <w:rsid w:val="007F065B"/>
    <w:rsid w:val="007F078E"/>
    <w:rsid w:val="007F07E2"/>
    <w:rsid w:val="007F0854"/>
    <w:rsid w:val="007F08B2"/>
    <w:rsid w:val="007F090D"/>
    <w:rsid w:val="007F09D2"/>
    <w:rsid w:val="007F0BE6"/>
    <w:rsid w:val="007F0E27"/>
    <w:rsid w:val="007F0E48"/>
    <w:rsid w:val="007F0E5A"/>
    <w:rsid w:val="007F0E95"/>
    <w:rsid w:val="007F0ED6"/>
    <w:rsid w:val="007F0F12"/>
    <w:rsid w:val="007F0FC6"/>
    <w:rsid w:val="007F107B"/>
    <w:rsid w:val="007F10D6"/>
    <w:rsid w:val="007F1228"/>
    <w:rsid w:val="007F1465"/>
    <w:rsid w:val="007F1476"/>
    <w:rsid w:val="007F1798"/>
    <w:rsid w:val="007F17D8"/>
    <w:rsid w:val="007F1829"/>
    <w:rsid w:val="007F1880"/>
    <w:rsid w:val="007F1946"/>
    <w:rsid w:val="007F1955"/>
    <w:rsid w:val="007F1AE8"/>
    <w:rsid w:val="007F1AFD"/>
    <w:rsid w:val="007F1E7A"/>
    <w:rsid w:val="007F1E80"/>
    <w:rsid w:val="007F1F0B"/>
    <w:rsid w:val="007F2140"/>
    <w:rsid w:val="007F21F4"/>
    <w:rsid w:val="007F2365"/>
    <w:rsid w:val="007F236F"/>
    <w:rsid w:val="007F2434"/>
    <w:rsid w:val="007F2465"/>
    <w:rsid w:val="007F2476"/>
    <w:rsid w:val="007F257B"/>
    <w:rsid w:val="007F257E"/>
    <w:rsid w:val="007F2648"/>
    <w:rsid w:val="007F2662"/>
    <w:rsid w:val="007F2751"/>
    <w:rsid w:val="007F28C2"/>
    <w:rsid w:val="007F28CA"/>
    <w:rsid w:val="007F29D3"/>
    <w:rsid w:val="007F2C08"/>
    <w:rsid w:val="007F2CB0"/>
    <w:rsid w:val="007F2D0A"/>
    <w:rsid w:val="007F2D87"/>
    <w:rsid w:val="007F2D9E"/>
    <w:rsid w:val="007F2E67"/>
    <w:rsid w:val="007F2E97"/>
    <w:rsid w:val="007F2F44"/>
    <w:rsid w:val="007F30A2"/>
    <w:rsid w:val="007F30D2"/>
    <w:rsid w:val="007F30EC"/>
    <w:rsid w:val="007F314D"/>
    <w:rsid w:val="007F3186"/>
    <w:rsid w:val="007F3216"/>
    <w:rsid w:val="007F3483"/>
    <w:rsid w:val="007F34F5"/>
    <w:rsid w:val="007F3565"/>
    <w:rsid w:val="007F38E7"/>
    <w:rsid w:val="007F39FD"/>
    <w:rsid w:val="007F3BA5"/>
    <w:rsid w:val="007F3CA0"/>
    <w:rsid w:val="007F3CB6"/>
    <w:rsid w:val="007F3CDE"/>
    <w:rsid w:val="007F3DA3"/>
    <w:rsid w:val="007F3F2C"/>
    <w:rsid w:val="007F3FD7"/>
    <w:rsid w:val="007F40DD"/>
    <w:rsid w:val="007F41AB"/>
    <w:rsid w:val="007F41EB"/>
    <w:rsid w:val="007F42AC"/>
    <w:rsid w:val="007F42B3"/>
    <w:rsid w:val="007F42BE"/>
    <w:rsid w:val="007F42F0"/>
    <w:rsid w:val="007F42F4"/>
    <w:rsid w:val="007F4416"/>
    <w:rsid w:val="007F4461"/>
    <w:rsid w:val="007F449E"/>
    <w:rsid w:val="007F4509"/>
    <w:rsid w:val="007F459C"/>
    <w:rsid w:val="007F46A4"/>
    <w:rsid w:val="007F46B3"/>
    <w:rsid w:val="007F4742"/>
    <w:rsid w:val="007F47FC"/>
    <w:rsid w:val="007F4921"/>
    <w:rsid w:val="007F49E7"/>
    <w:rsid w:val="007F4B53"/>
    <w:rsid w:val="007F4BD5"/>
    <w:rsid w:val="007F4DA2"/>
    <w:rsid w:val="007F504B"/>
    <w:rsid w:val="007F531E"/>
    <w:rsid w:val="007F534F"/>
    <w:rsid w:val="007F5545"/>
    <w:rsid w:val="007F5563"/>
    <w:rsid w:val="007F558A"/>
    <w:rsid w:val="007F5615"/>
    <w:rsid w:val="007F56B7"/>
    <w:rsid w:val="007F56CE"/>
    <w:rsid w:val="007F5A16"/>
    <w:rsid w:val="007F5A9A"/>
    <w:rsid w:val="007F5B8C"/>
    <w:rsid w:val="007F5CC0"/>
    <w:rsid w:val="007F5E13"/>
    <w:rsid w:val="007F5E70"/>
    <w:rsid w:val="007F5F33"/>
    <w:rsid w:val="007F5FCE"/>
    <w:rsid w:val="007F5FFA"/>
    <w:rsid w:val="007F60CB"/>
    <w:rsid w:val="007F626E"/>
    <w:rsid w:val="007F6376"/>
    <w:rsid w:val="007F639A"/>
    <w:rsid w:val="007F644E"/>
    <w:rsid w:val="007F6604"/>
    <w:rsid w:val="007F67C0"/>
    <w:rsid w:val="007F698F"/>
    <w:rsid w:val="007F6AA5"/>
    <w:rsid w:val="007F6AFC"/>
    <w:rsid w:val="007F6EF6"/>
    <w:rsid w:val="007F6F4D"/>
    <w:rsid w:val="007F7077"/>
    <w:rsid w:val="007F70C0"/>
    <w:rsid w:val="007F7163"/>
    <w:rsid w:val="007F71C0"/>
    <w:rsid w:val="007F72C2"/>
    <w:rsid w:val="007F7556"/>
    <w:rsid w:val="007F75E2"/>
    <w:rsid w:val="007F7697"/>
    <w:rsid w:val="007F7722"/>
    <w:rsid w:val="007F7742"/>
    <w:rsid w:val="007F7757"/>
    <w:rsid w:val="007F77D5"/>
    <w:rsid w:val="007F7828"/>
    <w:rsid w:val="007F7A1F"/>
    <w:rsid w:val="007F7A28"/>
    <w:rsid w:val="007F7AC2"/>
    <w:rsid w:val="007F7ADB"/>
    <w:rsid w:val="007F7BD7"/>
    <w:rsid w:val="007F7C5C"/>
    <w:rsid w:val="007F7E28"/>
    <w:rsid w:val="007F7F5A"/>
    <w:rsid w:val="00800037"/>
    <w:rsid w:val="00800047"/>
    <w:rsid w:val="00800052"/>
    <w:rsid w:val="0080031E"/>
    <w:rsid w:val="0080039B"/>
    <w:rsid w:val="008005CC"/>
    <w:rsid w:val="00800630"/>
    <w:rsid w:val="008006BF"/>
    <w:rsid w:val="008006EA"/>
    <w:rsid w:val="0080072D"/>
    <w:rsid w:val="0080073C"/>
    <w:rsid w:val="0080087A"/>
    <w:rsid w:val="008008B5"/>
    <w:rsid w:val="00800A0A"/>
    <w:rsid w:val="00800AF2"/>
    <w:rsid w:val="00800B24"/>
    <w:rsid w:val="00800BCB"/>
    <w:rsid w:val="00800D2F"/>
    <w:rsid w:val="00800D4E"/>
    <w:rsid w:val="00800E30"/>
    <w:rsid w:val="00800F05"/>
    <w:rsid w:val="00801068"/>
    <w:rsid w:val="00801166"/>
    <w:rsid w:val="008011BC"/>
    <w:rsid w:val="00801227"/>
    <w:rsid w:val="00801267"/>
    <w:rsid w:val="008012E4"/>
    <w:rsid w:val="008012F2"/>
    <w:rsid w:val="008013B7"/>
    <w:rsid w:val="008014F5"/>
    <w:rsid w:val="008017D3"/>
    <w:rsid w:val="008017EB"/>
    <w:rsid w:val="008019F8"/>
    <w:rsid w:val="00801B7A"/>
    <w:rsid w:val="00801C3A"/>
    <w:rsid w:val="00801DF3"/>
    <w:rsid w:val="00802010"/>
    <w:rsid w:val="0080201F"/>
    <w:rsid w:val="008020F6"/>
    <w:rsid w:val="00802183"/>
    <w:rsid w:val="008022D7"/>
    <w:rsid w:val="00802417"/>
    <w:rsid w:val="00802430"/>
    <w:rsid w:val="0080278E"/>
    <w:rsid w:val="008028A6"/>
    <w:rsid w:val="008028C3"/>
    <w:rsid w:val="008029EC"/>
    <w:rsid w:val="00802AE6"/>
    <w:rsid w:val="00802B04"/>
    <w:rsid w:val="00802BA3"/>
    <w:rsid w:val="00802EAC"/>
    <w:rsid w:val="00802F00"/>
    <w:rsid w:val="00802FA6"/>
    <w:rsid w:val="00803169"/>
    <w:rsid w:val="008032AF"/>
    <w:rsid w:val="0080335A"/>
    <w:rsid w:val="00803559"/>
    <w:rsid w:val="0080368F"/>
    <w:rsid w:val="00803948"/>
    <w:rsid w:val="008039B3"/>
    <w:rsid w:val="00803A92"/>
    <w:rsid w:val="00803B28"/>
    <w:rsid w:val="00803B50"/>
    <w:rsid w:val="00803BE4"/>
    <w:rsid w:val="00803C3D"/>
    <w:rsid w:val="00803CBD"/>
    <w:rsid w:val="00803CC3"/>
    <w:rsid w:val="00803D2F"/>
    <w:rsid w:val="00803DAB"/>
    <w:rsid w:val="0080420A"/>
    <w:rsid w:val="00804264"/>
    <w:rsid w:val="00804291"/>
    <w:rsid w:val="008042BA"/>
    <w:rsid w:val="008042F5"/>
    <w:rsid w:val="00804325"/>
    <w:rsid w:val="0080436A"/>
    <w:rsid w:val="0080437F"/>
    <w:rsid w:val="0080442E"/>
    <w:rsid w:val="008044F0"/>
    <w:rsid w:val="0080457B"/>
    <w:rsid w:val="00804595"/>
    <w:rsid w:val="00804600"/>
    <w:rsid w:val="008046A6"/>
    <w:rsid w:val="00804717"/>
    <w:rsid w:val="0080475F"/>
    <w:rsid w:val="008047B3"/>
    <w:rsid w:val="0080482A"/>
    <w:rsid w:val="008049EF"/>
    <w:rsid w:val="00804A7A"/>
    <w:rsid w:val="00804B26"/>
    <w:rsid w:val="00804B57"/>
    <w:rsid w:val="00804BA4"/>
    <w:rsid w:val="00804C72"/>
    <w:rsid w:val="00804C8D"/>
    <w:rsid w:val="00804CC2"/>
    <w:rsid w:val="00804D7B"/>
    <w:rsid w:val="00804E00"/>
    <w:rsid w:val="00804FAB"/>
    <w:rsid w:val="0080509A"/>
    <w:rsid w:val="008050F5"/>
    <w:rsid w:val="00805406"/>
    <w:rsid w:val="00805475"/>
    <w:rsid w:val="0080551B"/>
    <w:rsid w:val="008055B6"/>
    <w:rsid w:val="008055D7"/>
    <w:rsid w:val="008056EF"/>
    <w:rsid w:val="0080570D"/>
    <w:rsid w:val="00805782"/>
    <w:rsid w:val="00805894"/>
    <w:rsid w:val="008058A7"/>
    <w:rsid w:val="008058B0"/>
    <w:rsid w:val="00805952"/>
    <w:rsid w:val="00805AA4"/>
    <w:rsid w:val="00805BA3"/>
    <w:rsid w:val="00805C1B"/>
    <w:rsid w:val="00805DB0"/>
    <w:rsid w:val="00805FA6"/>
    <w:rsid w:val="00806040"/>
    <w:rsid w:val="00806060"/>
    <w:rsid w:val="00806082"/>
    <w:rsid w:val="0080624A"/>
    <w:rsid w:val="008062F9"/>
    <w:rsid w:val="0080632B"/>
    <w:rsid w:val="0080642F"/>
    <w:rsid w:val="008065BB"/>
    <w:rsid w:val="008065D3"/>
    <w:rsid w:val="00806740"/>
    <w:rsid w:val="00806752"/>
    <w:rsid w:val="008067A3"/>
    <w:rsid w:val="008067E5"/>
    <w:rsid w:val="00806887"/>
    <w:rsid w:val="00806B65"/>
    <w:rsid w:val="00806C52"/>
    <w:rsid w:val="00806CB5"/>
    <w:rsid w:val="00806D0F"/>
    <w:rsid w:val="00806D1C"/>
    <w:rsid w:val="00806EC6"/>
    <w:rsid w:val="008070C5"/>
    <w:rsid w:val="008070CE"/>
    <w:rsid w:val="0080728A"/>
    <w:rsid w:val="008072F8"/>
    <w:rsid w:val="00807325"/>
    <w:rsid w:val="008074D6"/>
    <w:rsid w:val="0080753B"/>
    <w:rsid w:val="00807628"/>
    <w:rsid w:val="008076A5"/>
    <w:rsid w:val="008076E9"/>
    <w:rsid w:val="008076F6"/>
    <w:rsid w:val="00807735"/>
    <w:rsid w:val="0080780F"/>
    <w:rsid w:val="0080789F"/>
    <w:rsid w:val="00807925"/>
    <w:rsid w:val="008079D6"/>
    <w:rsid w:val="00807A33"/>
    <w:rsid w:val="00807A63"/>
    <w:rsid w:val="00807A95"/>
    <w:rsid w:val="00807B30"/>
    <w:rsid w:val="00807B51"/>
    <w:rsid w:val="00807BAF"/>
    <w:rsid w:val="00807BB4"/>
    <w:rsid w:val="00807BDC"/>
    <w:rsid w:val="00807C0E"/>
    <w:rsid w:val="00807DF6"/>
    <w:rsid w:val="00807EE2"/>
    <w:rsid w:val="00807F7D"/>
    <w:rsid w:val="0081003D"/>
    <w:rsid w:val="008100EA"/>
    <w:rsid w:val="008100FE"/>
    <w:rsid w:val="00810257"/>
    <w:rsid w:val="008103AC"/>
    <w:rsid w:val="008103C1"/>
    <w:rsid w:val="00810419"/>
    <w:rsid w:val="0081042D"/>
    <w:rsid w:val="0081061C"/>
    <w:rsid w:val="008106B3"/>
    <w:rsid w:val="008106D0"/>
    <w:rsid w:val="008107B4"/>
    <w:rsid w:val="0081081D"/>
    <w:rsid w:val="0081086A"/>
    <w:rsid w:val="0081087D"/>
    <w:rsid w:val="008108B1"/>
    <w:rsid w:val="008108FD"/>
    <w:rsid w:val="0081093E"/>
    <w:rsid w:val="00810996"/>
    <w:rsid w:val="00810B9B"/>
    <w:rsid w:val="00810B9D"/>
    <w:rsid w:val="00810D2E"/>
    <w:rsid w:val="00810D3C"/>
    <w:rsid w:val="00810DCC"/>
    <w:rsid w:val="00810F39"/>
    <w:rsid w:val="00811197"/>
    <w:rsid w:val="008111BA"/>
    <w:rsid w:val="008112F5"/>
    <w:rsid w:val="00811354"/>
    <w:rsid w:val="008113E2"/>
    <w:rsid w:val="0081140D"/>
    <w:rsid w:val="008114B3"/>
    <w:rsid w:val="00811679"/>
    <w:rsid w:val="0081169C"/>
    <w:rsid w:val="00811783"/>
    <w:rsid w:val="0081184A"/>
    <w:rsid w:val="00811966"/>
    <w:rsid w:val="008119D9"/>
    <w:rsid w:val="00811B1A"/>
    <w:rsid w:val="00811B51"/>
    <w:rsid w:val="00811BAA"/>
    <w:rsid w:val="00811BD0"/>
    <w:rsid w:val="00811C06"/>
    <w:rsid w:val="00811D26"/>
    <w:rsid w:val="00811DCF"/>
    <w:rsid w:val="00811EC1"/>
    <w:rsid w:val="00812105"/>
    <w:rsid w:val="0081221C"/>
    <w:rsid w:val="00812273"/>
    <w:rsid w:val="008122D4"/>
    <w:rsid w:val="008124F9"/>
    <w:rsid w:val="00812522"/>
    <w:rsid w:val="0081257D"/>
    <w:rsid w:val="0081258C"/>
    <w:rsid w:val="00812761"/>
    <w:rsid w:val="0081279F"/>
    <w:rsid w:val="00812A00"/>
    <w:rsid w:val="00812A0B"/>
    <w:rsid w:val="00812A2A"/>
    <w:rsid w:val="00812A30"/>
    <w:rsid w:val="00812AED"/>
    <w:rsid w:val="00812C6D"/>
    <w:rsid w:val="00812D93"/>
    <w:rsid w:val="00812DD2"/>
    <w:rsid w:val="00812F32"/>
    <w:rsid w:val="00812FEA"/>
    <w:rsid w:val="0081308D"/>
    <w:rsid w:val="008132B3"/>
    <w:rsid w:val="008133F6"/>
    <w:rsid w:val="00813402"/>
    <w:rsid w:val="0081357E"/>
    <w:rsid w:val="00813581"/>
    <w:rsid w:val="00813632"/>
    <w:rsid w:val="0081379F"/>
    <w:rsid w:val="00813A37"/>
    <w:rsid w:val="00813AB6"/>
    <w:rsid w:val="00813CE0"/>
    <w:rsid w:val="00813D92"/>
    <w:rsid w:val="00813DC8"/>
    <w:rsid w:val="00813E00"/>
    <w:rsid w:val="00813FF9"/>
    <w:rsid w:val="00814051"/>
    <w:rsid w:val="0081405C"/>
    <w:rsid w:val="00814489"/>
    <w:rsid w:val="00814640"/>
    <w:rsid w:val="00814837"/>
    <w:rsid w:val="008148AC"/>
    <w:rsid w:val="008148B0"/>
    <w:rsid w:val="0081493B"/>
    <w:rsid w:val="00814A32"/>
    <w:rsid w:val="00814A57"/>
    <w:rsid w:val="00814D28"/>
    <w:rsid w:val="00814D55"/>
    <w:rsid w:val="00814E0F"/>
    <w:rsid w:val="00814E63"/>
    <w:rsid w:val="008150BE"/>
    <w:rsid w:val="00815128"/>
    <w:rsid w:val="0081513E"/>
    <w:rsid w:val="00815142"/>
    <w:rsid w:val="008151D3"/>
    <w:rsid w:val="0081522E"/>
    <w:rsid w:val="00815252"/>
    <w:rsid w:val="0081525E"/>
    <w:rsid w:val="00815304"/>
    <w:rsid w:val="00815318"/>
    <w:rsid w:val="0081553F"/>
    <w:rsid w:val="008155A9"/>
    <w:rsid w:val="00815616"/>
    <w:rsid w:val="008156C9"/>
    <w:rsid w:val="0081574C"/>
    <w:rsid w:val="00815831"/>
    <w:rsid w:val="0081589B"/>
    <w:rsid w:val="0081591E"/>
    <w:rsid w:val="00815983"/>
    <w:rsid w:val="008159BF"/>
    <w:rsid w:val="008159C2"/>
    <w:rsid w:val="00815ABC"/>
    <w:rsid w:val="00815AC8"/>
    <w:rsid w:val="00815BC5"/>
    <w:rsid w:val="00815BF7"/>
    <w:rsid w:val="00815C8D"/>
    <w:rsid w:val="00815D0F"/>
    <w:rsid w:val="00815EC1"/>
    <w:rsid w:val="00815FC3"/>
    <w:rsid w:val="0081610B"/>
    <w:rsid w:val="008161BE"/>
    <w:rsid w:val="008161FC"/>
    <w:rsid w:val="008163E1"/>
    <w:rsid w:val="00816774"/>
    <w:rsid w:val="0081681A"/>
    <w:rsid w:val="0081697C"/>
    <w:rsid w:val="008169DB"/>
    <w:rsid w:val="008169ED"/>
    <w:rsid w:val="00816A99"/>
    <w:rsid w:val="00816BB4"/>
    <w:rsid w:val="00816CDC"/>
    <w:rsid w:val="00816D0B"/>
    <w:rsid w:val="00816D2C"/>
    <w:rsid w:val="00816D36"/>
    <w:rsid w:val="00816DF1"/>
    <w:rsid w:val="00816EC4"/>
    <w:rsid w:val="00816EE2"/>
    <w:rsid w:val="00816F13"/>
    <w:rsid w:val="0081707D"/>
    <w:rsid w:val="008170FA"/>
    <w:rsid w:val="00817163"/>
    <w:rsid w:val="008171C6"/>
    <w:rsid w:val="008172DC"/>
    <w:rsid w:val="0081736C"/>
    <w:rsid w:val="00817441"/>
    <w:rsid w:val="008174CB"/>
    <w:rsid w:val="008174DC"/>
    <w:rsid w:val="00817557"/>
    <w:rsid w:val="008175C1"/>
    <w:rsid w:val="00817652"/>
    <w:rsid w:val="008178C3"/>
    <w:rsid w:val="00817954"/>
    <w:rsid w:val="00817955"/>
    <w:rsid w:val="00817A0B"/>
    <w:rsid w:val="00817A9A"/>
    <w:rsid w:val="00817C19"/>
    <w:rsid w:val="00817E0E"/>
    <w:rsid w:val="00817E65"/>
    <w:rsid w:val="00817EDA"/>
    <w:rsid w:val="00817F64"/>
    <w:rsid w:val="00817FEA"/>
    <w:rsid w:val="0082023D"/>
    <w:rsid w:val="00820266"/>
    <w:rsid w:val="008202B9"/>
    <w:rsid w:val="008202EF"/>
    <w:rsid w:val="0082047B"/>
    <w:rsid w:val="00820649"/>
    <w:rsid w:val="008206CA"/>
    <w:rsid w:val="008206CE"/>
    <w:rsid w:val="00820737"/>
    <w:rsid w:val="008207D7"/>
    <w:rsid w:val="0082084C"/>
    <w:rsid w:val="008209FC"/>
    <w:rsid w:val="00820A3F"/>
    <w:rsid w:val="00820A61"/>
    <w:rsid w:val="00820ABF"/>
    <w:rsid w:val="00820B0C"/>
    <w:rsid w:val="00820B80"/>
    <w:rsid w:val="00820BDF"/>
    <w:rsid w:val="00820C73"/>
    <w:rsid w:val="00820CD0"/>
    <w:rsid w:val="00820D5D"/>
    <w:rsid w:val="00820D88"/>
    <w:rsid w:val="00820DB4"/>
    <w:rsid w:val="00820E68"/>
    <w:rsid w:val="00820F09"/>
    <w:rsid w:val="00820F93"/>
    <w:rsid w:val="00821014"/>
    <w:rsid w:val="0082111F"/>
    <w:rsid w:val="00821224"/>
    <w:rsid w:val="00821239"/>
    <w:rsid w:val="0082134F"/>
    <w:rsid w:val="0082165A"/>
    <w:rsid w:val="00821662"/>
    <w:rsid w:val="0082166F"/>
    <w:rsid w:val="008216D1"/>
    <w:rsid w:val="00821780"/>
    <w:rsid w:val="008217AB"/>
    <w:rsid w:val="008218C2"/>
    <w:rsid w:val="008219D1"/>
    <w:rsid w:val="00821A7C"/>
    <w:rsid w:val="00821A84"/>
    <w:rsid w:val="00821AE3"/>
    <w:rsid w:val="00821BB3"/>
    <w:rsid w:val="00821C25"/>
    <w:rsid w:val="00821C3A"/>
    <w:rsid w:val="00821CD2"/>
    <w:rsid w:val="00821D3A"/>
    <w:rsid w:val="00821E8F"/>
    <w:rsid w:val="00821EF1"/>
    <w:rsid w:val="00821F6F"/>
    <w:rsid w:val="008223DD"/>
    <w:rsid w:val="0082245F"/>
    <w:rsid w:val="00822483"/>
    <w:rsid w:val="00822552"/>
    <w:rsid w:val="00822614"/>
    <w:rsid w:val="008226BB"/>
    <w:rsid w:val="0082270E"/>
    <w:rsid w:val="0082293A"/>
    <w:rsid w:val="00822B26"/>
    <w:rsid w:val="00822B2C"/>
    <w:rsid w:val="00822B3C"/>
    <w:rsid w:val="00822BA6"/>
    <w:rsid w:val="00822C4B"/>
    <w:rsid w:val="00822D30"/>
    <w:rsid w:val="00822D70"/>
    <w:rsid w:val="00822EE5"/>
    <w:rsid w:val="0082311A"/>
    <w:rsid w:val="00823223"/>
    <w:rsid w:val="008232C9"/>
    <w:rsid w:val="00823367"/>
    <w:rsid w:val="0082351A"/>
    <w:rsid w:val="00823567"/>
    <w:rsid w:val="008236F2"/>
    <w:rsid w:val="00823733"/>
    <w:rsid w:val="008237EA"/>
    <w:rsid w:val="0082385C"/>
    <w:rsid w:val="00823967"/>
    <w:rsid w:val="00823AA1"/>
    <w:rsid w:val="00823BBD"/>
    <w:rsid w:val="00823BDA"/>
    <w:rsid w:val="00823CCA"/>
    <w:rsid w:val="00823D68"/>
    <w:rsid w:val="00823DB4"/>
    <w:rsid w:val="00823DD1"/>
    <w:rsid w:val="00823E15"/>
    <w:rsid w:val="00823EBC"/>
    <w:rsid w:val="00823F68"/>
    <w:rsid w:val="008240A0"/>
    <w:rsid w:val="008240A7"/>
    <w:rsid w:val="0082432F"/>
    <w:rsid w:val="0082440E"/>
    <w:rsid w:val="00824448"/>
    <w:rsid w:val="0082458E"/>
    <w:rsid w:val="00824597"/>
    <w:rsid w:val="00824776"/>
    <w:rsid w:val="00824991"/>
    <w:rsid w:val="008249A1"/>
    <w:rsid w:val="008249AA"/>
    <w:rsid w:val="00824A01"/>
    <w:rsid w:val="00824C3C"/>
    <w:rsid w:val="00824C84"/>
    <w:rsid w:val="00824E08"/>
    <w:rsid w:val="00824E17"/>
    <w:rsid w:val="00824E64"/>
    <w:rsid w:val="00824FF0"/>
    <w:rsid w:val="008250A7"/>
    <w:rsid w:val="0082510C"/>
    <w:rsid w:val="0082515F"/>
    <w:rsid w:val="00825162"/>
    <w:rsid w:val="0082526D"/>
    <w:rsid w:val="00825336"/>
    <w:rsid w:val="00825518"/>
    <w:rsid w:val="00825794"/>
    <w:rsid w:val="008258AA"/>
    <w:rsid w:val="008258AF"/>
    <w:rsid w:val="008259A3"/>
    <w:rsid w:val="00825A72"/>
    <w:rsid w:val="00825CF4"/>
    <w:rsid w:val="00825D3A"/>
    <w:rsid w:val="00825E53"/>
    <w:rsid w:val="00825EC8"/>
    <w:rsid w:val="00825F04"/>
    <w:rsid w:val="00825F0A"/>
    <w:rsid w:val="00825FC2"/>
    <w:rsid w:val="008260F5"/>
    <w:rsid w:val="00826336"/>
    <w:rsid w:val="00826456"/>
    <w:rsid w:val="00826607"/>
    <w:rsid w:val="0082672E"/>
    <w:rsid w:val="008267BF"/>
    <w:rsid w:val="008267F8"/>
    <w:rsid w:val="0082681E"/>
    <w:rsid w:val="0082691B"/>
    <w:rsid w:val="0082692F"/>
    <w:rsid w:val="00826943"/>
    <w:rsid w:val="00826A7B"/>
    <w:rsid w:val="00826AE2"/>
    <w:rsid w:val="00826B24"/>
    <w:rsid w:val="00826C5D"/>
    <w:rsid w:val="00826C61"/>
    <w:rsid w:val="00826DC4"/>
    <w:rsid w:val="00826DDA"/>
    <w:rsid w:val="00826DFA"/>
    <w:rsid w:val="00826E3D"/>
    <w:rsid w:val="00826E4E"/>
    <w:rsid w:val="00826F11"/>
    <w:rsid w:val="008272BE"/>
    <w:rsid w:val="00827307"/>
    <w:rsid w:val="00827355"/>
    <w:rsid w:val="008273E4"/>
    <w:rsid w:val="008273FB"/>
    <w:rsid w:val="0082770E"/>
    <w:rsid w:val="008277AF"/>
    <w:rsid w:val="008277C4"/>
    <w:rsid w:val="0082781F"/>
    <w:rsid w:val="00827950"/>
    <w:rsid w:val="00827C0E"/>
    <w:rsid w:val="00827CDD"/>
    <w:rsid w:val="00827D2A"/>
    <w:rsid w:val="00827ED2"/>
    <w:rsid w:val="00827F06"/>
    <w:rsid w:val="00827F0F"/>
    <w:rsid w:val="008300FA"/>
    <w:rsid w:val="00830131"/>
    <w:rsid w:val="00830201"/>
    <w:rsid w:val="008302B8"/>
    <w:rsid w:val="0083030C"/>
    <w:rsid w:val="0083037A"/>
    <w:rsid w:val="008303D5"/>
    <w:rsid w:val="0083045B"/>
    <w:rsid w:val="008306EA"/>
    <w:rsid w:val="00830798"/>
    <w:rsid w:val="008309C6"/>
    <w:rsid w:val="008309DA"/>
    <w:rsid w:val="00830A0F"/>
    <w:rsid w:val="00830B04"/>
    <w:rsid w:val="00830B71"/>
    <w:rsid w:val="00830BFA"/>
    <w:rsid w:val="00830C57"/>
    <w:rsid w:val="00830CDA"/>
    <w:rsid w:val="00830D4C"/>
    <w:rsid w:val="00830DB8"/>
    <w:rsid w:val="00830E8D"/>
    <w:rsid w:val="00830E97"/>
    <w:rsid w:val="00831233"/>
    <w:rsid w:val="00831282"/>
    <w:rsid w:val="008312A4"/>
    <w:rsid w:val="0083136A"/>
    <w:rsid w:val="00831392"/>
    <w:rsid w:val="008313CA"/>
    <w:rsid w:val="0083143D"/>
    <w:rsid w:val="00831536"/>
    <w:rsid w:val="0083157B"/>
    <w:rsid w:val="008315A2"/>
    <w:rsid w:val="008317F5"/>
    <w:rsid w:val="008318C4"/>
    <w:rsid w:val="00831AEF"/>
    <w:rsid w:val="00831B6E"/>
    <w:rsid w:val="00831CD5"/>
    <w:rsid w:val="00831D57"/>
    <w:rsid w:val="00831DAD"/>
    <w:rsid w:val="00831FB0"/>
    <w:rsid w:val="00831FFF"/>
    <w:rsid w:val="00832367"/>
    <w:rsid w:val="00832397"/>
    <w:rsid w:val="0083249D"/>
    <w:rsid w:val="00832547"/>
    <w:rsid w:val="0083259B"/>
    <w:rsid w:val="00832692"/>
    <w:rsid w:val="008326B8"/>
    <w:rsid w:val="008327C5"/>
    <w:rsid w:val="008327DF"/>
    <w:rsid w:val="00832802"/>
    <w:rsid w:val="008328AA"/>
    <w:rsid w:val="008329B5"/>
    <w:rsid w:val="00832A71"/>
    <w:rsid w:val="00832A9B"/>
    <w:rsid w:val="00832AF1"/>
    <w:rsid w:val="00832E68"/>
    <w:rsid w:val="00832F5D"/>
    <w:rsid w:val="008330BC"/>
    <w:rsid w:val="00833147"/>
    <w:rsid w:val="00833290"/>
    <w:rsid w:val="00833341"/>
    <w:rsid w:val="0083346C"/>
    <w:rsid w:val="0083352E"/>
    <w:rsid w:val="00833803"/>
    <w:rsid w:val="00833848"/>
    <w:rsid w:val="00833883"/>
    <w:rsid w:val="0083389E"/>
    <w:rsid w:val="008339B9"/>
    <w:rsid w:val="008339CE"/>
    <w:rsid w:val="00833BA1"/>
    <w:rsid w:val="00833CCD"/>
    <w:rsid w:val="00833CF6"/>
    <w:rsid w:val="00833D38"/>
    <w:rsid w:val="00833D8A"/>
    <w:rsid w:val="00833D94"/>
    <w:rsid w:val="00833FB1"/>
    <w:rsid w:val="008340EF"/>
    <w:rsid w:val="0083411C"/>
    <w:rsid w:val="00834151"/>
    <w:rsid w:val="00834154"/>
    <w:rsid w:val="00834197"/>
    <w:rsid w:val="008341C5"/>
    <w:rsid w:val="008342A4"/>
    <w:rsid w:val="008342B3"/>
    <w:rsid w:val="0083433F"/>
    <w:rsid w:val="00834467"/>
    <w:rsid w:val="008344CA"/>
    <w:rsid w:val="008344D3"/>
    <w:rsid w:val="008345E3"/>
    <w:rsid w:val="008345FE"/>
    <w:rsid w:val="00834671"/>
    <w:rsid w:val="0083485A"/>
    <w:rsid w:val="008348E3"/>
    <w:rsid w:val="008349D5"/>
    <w:rsid w:val="00834AE6"/>
    <w:rsid w:val="00834C57"/>
    <w:rsid w:val="00834C66"/>
    <w:rsid w:val="00834D40"/>
    <w:rsid w:val="00834D4C"/>
    <w:rsid w:val="00834DA9"/>
    <w:rsid w:val="00834DD3"/>
    <w:rsid w:val="00834F2A"/>
    <w:rsid w:val="0083506B"/>
    <w:rsid w:val="008350B3"/>
    <w:rsid w:val="008350CC"/>
    <w:rsid w:val="008351F9"/>
    <w:rsid w:val="00835215"/>
    <w:rsid w:val="0083537B"/>
    <w:rsid w:val="008353D6"/>
    <w:rsid w:val="008354A5"/>
    <w:rsid w:val="008354C9"/>
    <w:rsid w:val="0083554D"/>
    <w:rsid w:val="00835643"/>
    <w:rsid w:val="00835793"/>
    <w:rsid w:val="008357B9"/>
    <w:rsid w:val="00835896"/>
    <w:rsid w:val="00835A4B"/>
    <w:rsid w:val="00835BE3"/>
    <w:rsid w:val="00835C01"/>
    <w:rsid w:val="00835C65"/>
    <w:rsid w:val="00835C67"/>
    <w:rsid w:val="00835EA5"/>
    <w:rsid w:val="00835EBB"/>
    <w:rsid w:val="00835F7D"/>
    <w:rsid w:val="00836008"/>
    <w:rsid w:val="00836114"/>
    <w:rsid w:val="008361A5"/>
    <w:rsid w:val="008363B4"/>
    <w:rsid w:val="008363EF"/>
    <w:rsid w:val="00836435"/>
    <w:rsid w:val="008367C1"/>
    <w:rsid w:val="00836844"/>
    <w:rsid w:val="00836AA0"/>
    <w:rsid w:val="00836AF5"/>
    <w:rsid w:val="00836BCB"/>
    <w:rsid w:val="00836C8E"/>
    <w:rsid w:val="00836CA5"/>
    <w:rsid w:val="00836CA8"/>
    <w:rsid w:val="00836CEA"/>
    <w:rsid w:val="00836FD8"/>
    <w:rsid w:val="00837055"/>
    <w:rsid w:val="00837191"/>
    <w:rsid w:val="00837230"/>
    <w:rsid w:val="008373EA"/>
    <w:rsid w:val="00837453"/>
    <w:rsid w:val="00837594"/>
    <w:rsid w:val="00837665"/>
    <w:rsid w:val="0083768F"/>
    <w:rsid w:val="00837690"/>
    <w:rsid w:val="008376E4"/>
    <w:rsid w:val="00837718"/>
    <w:rsid w:val="0083775D"/>
    <w:rsid w:val="008377B9"/>
    <w:rsid w:val="00837873"/>
    <w:rsid w:val="0083799E"/>
    <w:rsid w:val="00837D2B"/>
    <w:rsid w:val="00837DD0"/>
    <w:rsid w:val="00837E26"/>
    <w:rsid w:val="00837E31"/>
    <w:rsid w:val="00837F15"/>
    <w:rsid w:val="00837F63"/>
    <w:rsid w:val="00837F8B"/>
    <w:rsid w:val="0084000A"/>
    <w:rsid w:val="0084007D"/>
    <w:rsid w:val="00840306"/>
    <w:rsid w:val="0084035B"/>
    <w:rsid w:val="008403D6"/>
    <w:rsid w:val="00840472"/>
    <w:rsid w:val="008404EB"/>
    <w:rsid w:val="008405A1"/>
    <w:rsid w:val="008405CA"/>
    <w:rsid w:val="0084062A"/>
    <w:rsid w:val="0084064E"/>
    <w:rsid w:val="008406BC"/>
    <w:rsid w:val="008406E6"/>
    <w:rsid w:val="0084074D"/>
    <w:rsid w:val="008408A7"/>
    <w:rsid w:val="008408DB"/>
    <w:rsid w:val="00840999"/>
    <w:rsid w:val="008409DB"/>
    <w:rsid w:val="008409E5"/>
    <w:rsid w:val="00840A85"/>
    <w:rsid w:val="00840AFC"/>
    <w:rsid w:val="00840AFD"/>
    <w:rsid w:val="00840C59"/>
    <w:rsid w:val="00840C8E"/>
    <w:rsid w:val="00840CEA"/>
    <w:rsid w:val="00840D13"/>
    <w:rsid w:val="00840F37"/>
    <w:rsid w:val="00840F3B"/>
    <w:rsid w:val="00840FCC"/>
    <w:rsid w:val="00841020"/>
    <w:rsid w:val="008410C6"/>
    <w:rsid w:val="008411B7"/>
    <w:rsid w:val="00841206"/>
    <w:rsid w:val="0084121D"/>
    <w:rsid w:val="0084123D"/>
    <w:rsid w:val="00841273"/>
    <w:rsid w:val="00841423"/>
    <w:rsid w:val="008414E7"/>
    <w:rsid w:val="00841549"/>
    <w:rsid w:val="008415D0"/>
    <w:rsid w:val="0084167B"/>
    <w:rsid w:val="008416B8"/>
    <w:rsid w:val="00841753"/>
    <w:rsid w:val="008418D3"/>
    <w:rsid w:val="008419A4"/>
    <w:rsid w:val="00841A4D"/>
    <w:rsid w:val="00841ACB"/>
    <w:rsid w:val="00841B2A"/>
    <w:rsid w:val="00841BDC"/>
    <w:rsid w:val="00841C17"/>
    <w:rsid w:val="00841C50"/>
    <w:rsid w:val="00841F51"/>
    <w:rsid w:val="00841F93"/>
    <w:rsid w:val="00841FC4"/>
    <w:rsid w:val="00842207"/>
    <w:rsid w:val="0084227F"/>
    <w:rsid w:val="0084229E"/>
    <w:rsid w:val="008422D4"/>
    <w:rsid w:val="008423AD"/>
    <w:rsid w:val="00842446"/>
    <w:rsid w:val="00842525"/>
    <w:rsid w:val="008425A4"/>
    <w:rsid w:val="0084264E"/>
    <w:rsid w:val="008429BB"/>
    <w:rsid w:val="00842A0D"/>
    <w:rsid w:val="00842AC9"/>
    <w:rsid w:val="00842FCF"/>
    <w:rsid w:val="00843001"/>
    <w:rsid w:val="0084301F"/>
    <w:rsid w:val="00843029"/>
    <w:rsid w:val="0084303D"/>
    <w:rsid w:val="0084303F"/>
    <w:rsid w:val="0084309E"/>
    <w:rsid w:val="00843174"/>
    <w:rsid w:val="00843327"/>
    <w:rsid w:val="00843357"/>
    <w:rsid w:val="0084349E"/>
    <w:rsid w:val="00843515"/>
    <w:rsid w:val="008435C3"/>
    <w:rsid w:val="00843647"/>
    <w:rsid w:val="00843652"/>
    <w:rsid w:val="008436E3"/>
    <w:rsid w:val="00843715"/>
    <w:rsid w:val="00843BFE"/>
    <w:rsid w:val="00843DDC"/>
    <w:rsid w:val="008440C3"/>
    <w:rsid w:val="008440F9"/>
    <w:rsid w:val="00844131"/>
    <w:rsid w:val="00844215"/>
    <w:rsid w:val="0084423C"/>
    <w:rsid w:val="008442AA"/>
    <w:rsid w:val="0084431E"/>
    <w:rsid w:val="00844393"/>
    <w:rsid w:val="008444C5"/>
    <w:rsid w:val="008448EF"/>
    <w:rsid w:val="00844A1C"/>
    <w:rsid w:val="00844D10"/>
    <w:rsid w:val="00844D34"/>
    <w:rsid w:val="00844DCE"/>
    <w:rsid w:val="00844E84"/>
    <w:rsid w:val="00844F24"/>
    <w:rsid w:val="00844FA4"/>
    <w:rsid w:val="00844FF1"/>
    <w:rsid w:val="0084507A"/>
    <w:rsid w:val="008452A6"/>
    <w:rsid w:val="008452EA"/>
    <w:rsid w:val="00845550"/>
    <w:rsid w:val="00845670"/>
    <w:rsid w:val="008458F5"/>
    <w:rsid w:val="00845923"/>
    <w:rsid w:val="0084594B"/>
    <w:rsid w:val="0084597C"/>
    <w:rsid w:val="00845A32"/>
    <w:rsid w:val="00845A73"/>
    <w:rsid w:val="00845AEA"/>
    <w:rsid w:val="00845AF1"/>
    <w:rsid w:val="00845BD5"/>
    <w:rsid w:val="00845CB5"/>
    <w:rsid w:val="00845DD2"/>
    <w:rsid w:val="00845DD3"/>
    <w:rsid w:val="00845EE0"/>
    <w:rsid w:val="00845EF6"/>
    <w:rsid w:val="00845F55"/>
    <w:rsid w:val="00845F82"/>
    <w:rsid w:val="00846022"/>
    <w:rsid w:val="00846201"/>
    <w:rsid w:val="0084621D"/>
    <w:rsid w:val="0084634D"/>
    <w:rsid w:val="0084641E"/>
    <w:rsid w:val="008466A6"/>
    <w:rsid w:val="00846778"/>
    <w:rsid w:val="00846830"/>
    <w:rsid w:val="00846884"/>
    <w:rsid w:val="00846885"/>
    <w:rsid w:val="008469F9"/>
    <w:rsid w:val="00846CED"/>
    <w:rsid w:val="00846D56"/>
    <w:rsid w:val="00846E3F"/>
    <w:rsid w:val="00846EC1"/>
    <w:rsid w:val="00847043"/>
    <w:rsid w:val="0084731B"/>
    <w:rsid w:val="0084753B"/>
    <w:rsid w:val="0084777F"/>
    <w:rsid w:val="008477B4"/>
    <w:rsid w:val="00847908"/>
    <w:rsid w:val="00847912"/>
    <w:rsid w:val="008479EC"/>
    <w:rsid w:val="00847A65"/>
    <w:rsid w:val="00847A83"/>
    <w:rsid w:val="00847B0F"/>
    <w:rsid w:val="00847C56"/>
    <w:rsid w:val="00847CA2"/>
    <w:rsid w:val="00847CAA"/>
    <w:rsid w:val="00847E0E"/>
    <w:rsid w:val="008500DE"/>
    <w:rsid w:val="00850118"/>
    <w:rsid w:val="00850191"/>
    <w:rsid w:val="008501F6"/>
    <w:rsid w:val="00850250"/>
    <w:rsid w:val="00850268"/>
    <w:rsid w:val="00850295"/>
    <w:rsid w:val="008503A0"/>
    <w:rsid w:val="008503E3"/>
    <w:rsid w:val="008503EE"/>
    <w:rsid w:val="008503FE"/>
    <w:rsid w:val="00850409"/>
    <w:rsid w:val="0085058C"/>
    <w:rsid w:val="00850623"/>
    <w:rsid w:val="0085065D"/>
    <w:rsid w:val="00850666"/>
    <w:rsid w:val="00850775"/>
    <w:rsid w:val="0085078E"/>
    <w:rsid w:val="00850948"/>
    <w:rsid w:val="00850A6C"/>
    <w:rsid w:val="00850C17"/>
    <w:rsid w:val="00850D5A"/>
    <w:rsid w:val="00850E38"/>
    <w:rsid w:val="00850E8B"/>
    <w:rsid w:val="00850FE8"/>
    <w:rsid w:val="0085102D"/>
    <w:rsid w:val="00851398"/>
    <w:rsid w:val="008513DD"/>
    <w:rsid w:val="00851408"/>
    <w:rsid w:val="0085140A"/>
    <w:rsid w:val="0085143D"/>
    <w:rsid w:val="008515DF"/>
    <w:rsid w:val="00851631"/>
    <w:rsid w:val="0085166A"/>
    <w:rsid w:val="0085187C"/>
    <w:rsid w:val="008518CF"/>
    <w:rsid w:val="008518DC"/>
    <w:rsid w:val="00851BD8"/>
    <w:rsid w:val="00851C73"/>
    <w:rsid w:val="00851D1A"/>
    <w:rsid w:val="00851E65"/>
    <w:rsid w:val="00851E7D"/>
    <w:rsid w:val="00851E81"/>
    <w:rsid w:val="00851F8E"/>
    <w:rsid w:val="00852002"/>
    <w:rsid w:val="0085206D"/>
    <w:rsid w:val="0085224E"/>
    <w:rsid w:val="00852304"/>
    <w:rsid w:val="00852355"/>
    <w:rsid w:val="008523B2"/>
    <w:rsid w:val="00852427"/>
    <w:rsid w:val="008525A2"/>
    <w:rsid w:val="008525C1"/>
    <w:rsid w:val="008525F9"/>
    <w:rsid w:val="00852714"/>
    <w:rsid w:val="00852766"/>
    <w:rsid w:val="0085285A"/>
    <w:rsid w:val="008528F9"/>
    <w:rsid w:val="0085291B"/>
    <w:rsid w:val="00852B04"/>
    <w:rsid w:val="00852B80"/>
    <w:rsid w:val="00852C37"/>
    <w:rsid w:val="00852C77"/>
    <w:rsid w:val="00852D75"/>
    <w:rsid w:val="00852EA0"/>
    <w:rsid w:val="00853087"/>
    <w:rsid w:val="008530E3"/>
    <w:rsid w:val="00853122"/>
    <w:rsid w:val="00853169"/>
    <w:rsid w:val="00853396"/>
    <w:rsid w:val="0085346E"/>
    <w:rsid w:val="00853491"/>
    <w:rsid w:val="008535D4"/>
    <w:rsid w:val="008537E4"/>
    <w:rsid w:val="00853812"/>
    <w:rsid w:val="008538B5"/>
    <w:rsid w:val="0085394C"/>
    <w:rsid w:val="00853A92"/>
    <w:rsid w:val="00853B60"/>
    <w:rsid w:val="00853BC1"/>
    <w:rsid w:val="00853C5C"/>
    <w:rsid w:val="00853C86"/>
    <w:rsid w:val="00853CDC"/>
    <w:rsid w:val="00853E91"/>
    <w:rsid w:val="00853EC0"/>
    <w:rsid w:val="00853FB5"/>
    <w:rsid w:val="008541B5"/>
    <w:rsid w:val="0085421C"/>
    <w:rsid w:val="008542B4"/>
    <w:rsid w:val="008543BE"/>
    <w:rsid w:val="008543E6"/>
    <w:rsid w:val="008544B3"/>
    <w:rsid w:val="008544DD"/>
    <w:rsid w:val="00854533"/>
    <w:rsid w:val="008545F2"/>
    <w:rsid w:val="00854797"/>
    <w:rsid w:val="0085495B"/>
    <w:rsid w:val="00854AD0"/>
    <w:rsid w:val="00854C47"/>
    <w:rsid w:val="00854CAD"/>
    <w:rsid w:val="00854D2B"/>
    <w:rsid w:val="00854E41"/>
    <w:rsid w:val="00854E89"/>
    <w:rsid w:val="00854EB7"/>
    <w:rsid w:val="00854FEE"/>
    <w:rsid w:val="00855003"/>
    <w:rsid w:val="0085503A"/>
    <w:rsid w:val="00855083"/>
    <w:rsid w:val="008550E5"/>
    <w:rsid w:val="008550EE"/>
    <w:rsid w:val="00855159"/>
    <w:rsid w:val="0085526B"/>
    <w:rsid w:val="008554A6"/>
    <w:rsid w:val="008554FA"/>
    <w:rsid w:val="0085558B"/>
    <w:rsid w:val="008555B3"/>
    <w:rsid w:val="00855677"/>
    <w:rsid w:val="00855737"/>
    <w:rsid w:val="008557C7"/>
    <w:rsid w:val="008558B1"/>
    <w:rsid w:val="00855998"/>
    <w:rsid w:val="008559E0"/>
    <w:rsid w:val="00855A30"/>
    <w:rsid w:val="00855A3A"/>
    <w:rsid w:val="00855ADF"/>
    <w:rsid w:val="00855CE1"/>
    <w:rsid w:val="00855F9C"/>
    <w:rsid w:val="0085602D"/>
    <w:rsid w:val="008560DE"/>
    <w:rsid w:val="0085612B"/>
    <w:rsid w:val="008561C4"/>
    <w:rsid w:val="008561F0"/>
    <w:rsid w:val="00856594"/>
    <w:rsid w:val="00856768"/>
    <w:rsid w:val="00856933"/>
    <w:rsid w:val="00856983"/>
    <w:rsid w:val="00856A9D"/>
    <w:rsid w:val="00856AD9"/>
    <w:rsid w:val="00856BAC"/>
    <w:rsid w:val="00856BFD"/>
    <w:rsid w:val="00856C30"/>
    <w:rsid w:val="00856D4D"/>
    <w:rsid w:val="00856DC7"/>
    <w:rsid w:val="00856E18"/>
    <w:rsid w:val="00856EF0"/>
    <w:rsid w:val="00856FA4"/>
    <w:rsid w:val="0085702C"/>
    <w:rsid w:val="008570B4"/>
    <w:rsid w:val="00857228"/>
    <w:rsid w:val="0085723B"/>
    <w:rsid w:val="0085724D"/>
    <w:rsid w:val="008572D0"/>
    <w:rsid w:val="008572F0"/>
    <w:rsid w:val="0085740F"/>
    <w:rsid w:val="0085742D"/>
    <w:rsid w:val="00857437"/>
    <w:rsid w:val="008577BB"/>
    <w:rsid w:val="00857803"/>
    <w:rsid w:val="00857810"/>
    <w:rsid w:val="00857851"/>
    <w:rsid w:val="00857852"/>
    <w:rsid w:val="0085798F"/>
    <w:rsid w:val="00857B1B"/>
    <w:rsid w:val="00857B4B"/>
    <w:rsid w:val="00857BDA"/>
    <w:rsid w:val="00857C3C"/>
    <w:rsid w:val="00857C6F"/>
    <w:rsid w:val="00857CA0"/>
    <w:rsid w:val="00857CCC"/>
    <w:rsid w:val="00857D72"/>
    <w:rsid w:val="008601F2"/>
    <w:rsid w:val="008601F5"/>
    <w:rsid w:val="00860369"/>
    <w:rsid w:val="0086057F"/>
    <w:rsid w:val="008605A5"/>
    <w:rsid w:val="00860684"/>
    <w:rsid w:val="008606E1"/>
    <w:rsid w:val="00860876"/>
    <w:rsid w:val="0086091A"/>
    <w:rsid w:val="00860944"/>
    <w:rsid w:val="00860A32"/>
    <w:rsid w:val="00860CFB"/>
    <w:rsid w:val="00860D8E"/>
    <w:rsid w:val="00860E86"/>
    <w:rsid w:val="00860FF1"/>
    <w:rsid w:val="0086111F"/>
    <w:rsid w:val="008611DE"/>
    <w:rsid w:val="008614DB"/>
    <w:rsid w:val="00861505"/>
    <w:rsid w:val="00861571"/>
    <w:rsid w:val="008615BA"/>
    <w:rsid w:val="0086164E"/>
    <w:rsid w:val="008616D4"/>
    <w:rsid w:val="0086175C"/>
    <w:rsid w:val="0086178C"/>
    <w:rsid w:val="00861AAA"/>
    <w:rsid w:val="00861C74"/>
    <w:rsid w:val="00861CE4"/>
    <w:rsid w:val="00861D1D"/>
    <w:rsid w:val="00861D43"/>
    <w:rsid w:val="00861D79"/>
    <w:rsid w:val="00861EFE"/>
    <w:rsid w:val="00861F32"/>
    <w:rsid w:val="00861FFD"/>
    <w:rsid w:val="00862193"/>
    <w:rsid w:val="008621BE"/>
    <w:rsid w:val="00862229"/>
    <w:rsid w:val="0086227D"/>
    <w:rsid w:val="00862371"/>
    <w:rsid w:val="008624CA"/>
    <w:rsid w:val="00862501"/>
    <w:rsid w:val="00862521"/>
    <w:rsid w:val="008625A5"/>
    <w:rsid w:val="00862657"/>
    <w:rsid w:val="00862689"/>
    <w:rsid w:val="008626A2"/>
    <w:rsid w:val="008626D5"/>
    <w:rsid w:val="008627D9"/>
    <w:rsid w:val="0086282D"/>
    <w:rsid w:val="0086285A"/>
    <w:rsid w:val="00862902"/>
    <w:rsid w:val="00862C70"/>
    <w:rsid w:val="00862D9A"/>
    <w:rsid w:val="008632E5"/>
    <w:rsid w:val="008633E8"/>
    <w:rsid w:val="008636F5"/>
    <w:rsid w:val="008636FA"/>
    <w:rsid w:val="00863700"/>
    <w:rsid w:val="0086371B"/>
    <w:rsid w:val="00863733"/>
    <w:rsid w:val="0086377E"/>
    <w:rsid w:val="0086383A"/>
    <w:rsid w:val="008639FE"/>
    <w:rsid w:val="00863A84"/>
    <w:rsid w:val="00863A9E"/>
    <w:rsid w:val="00863B91"/>
    <w:rsid w:val="00863C35"/>
    <w:rsid w:val="00863C37"/>
    <w:rsid w:val="00863CC9"/>
    <w:rsid w:val="00863D34"/>
    <w:rsid w:val="00863F94"/>
    <w:rsid w:val="008640C7"/>
    <w:rsid w:val="008641C8"/>
    <w:rsid w:val="00864304"/>
    <w:rsid w:val="00864321"/>
    <w:rsid w:val="00864369"/>
    <w:rsid w:val="0086449B"/>
    <w:rsid w:val="008644B9"/>
    <w:rsid w:val="008644E9"/>
    <w:rsid w:val="00864509"/>
    <w:rsid w:val="0086450C"/>
    <w:rsid w:val="00864589"/>
    <w:rsid w:val="00864736"/>
    <w:rsid w:val="0086486C"/>
    <w:rsid w:val="00864888"/>
    <w:rsid w:val="00864895"/>
    <w:rsid w:val="00864941"/>
    <w:rsid w:val="00864A23"/>
    <w:rsid w:val="00864C61"/>
    <w:rsid w:val="00864E6C"/>
    <w:rsid w:val="00864E8A"/>
    <w:rsid w:val="00864EB8"/>
    <w:rsid w:val="00864EDA"/>
    <w:rsid w:val="008650A1"/>
    <w:rsid w:val="0086543F"/>
    <w:rsid w:val="00865485"/>
    <w:rsid w:val="00865516"/>
    <w:rsid w:val="008656EC"/>
    <w:rsid w:val="008658A4"/>
    <w:rsid w:val="00865A27"/>
    <w:rsid w:val="00865B0C"/>
    <w:rsid w:val="00865C6A"/>
    <w:rsid w:val="00865C9E"/>
    <w:rsid w:val="00865CA7"/>
    <w:rsid w:val="00865D71"/>
    <w:rsid w:val="00865DC4"/>
    <w:rsid w:val="00865E16"/>
    <w:rsid w:val="00865E17"/>
    <w:rsid w:val="00865E2A"/>
    <w:rsid w:val="00865E8A"/>
    <w:rsid w:val="00865F16"/>
    <w:rsid w:val="00865F4C"/>
    <w:rsid w:val="00866104"/>
    <w:rsid w:val="00866111"/>
    <w:rsid w:val="00866292"/>
    <w:rsid w:val="008662AD"/>
    <w:rsid w:val="0086658A"/>
    <w:rsid w:val="00866594"/>
    <w:rsid w:val="008665C5"/>
    <w:rsid w:val="008665E5"/>
    <w:rsid w:val="008666A0"/>
    <w:rsid w:val="008666F5"/>
    <w:rsid w:val="00866755"/>
    <w:rsid w:val="00866766"/>
    <w:rsid w:val="008667FB"/>
    <w:rsid w:val="00866852"/>
    <w:rsid w:val="00866A7E"/>
    <w:rsid w:val="00866B56"/>
    <w:rsid w:val="00866BC1"/>
    <w:rsid w:val="00866BE5"/>
    <w:rsid w:val="00866C22"/>
    <w:rsid w:val="00866D22"/>
    <w:rsid w:val="00866DB6"/>
    <w:rsid w:val="00866EE6"/>
    <w:rsid w:val="00866F20"/>
    <w:rsid w:val="00866F22"/>
    <w:rsid w:val="00866F93"/>
    <w:rsid w:val="008672A0"/>
    <w:rsid w:val="0086737A"/>
    <w:rsid w:val="0086737F"/>
    <w:rsid w:val="0086746B"/>
    <w:rsid w:val="008675D3"/>
    <w:rsid w:val="008675EF"/>
    <w:rsid w:val="00867695"/>
    <w:rsid w:val="008679F5"/>
    <w:rsid w:val="00867A44"/>
    <w:rsid w:val="00867AB9"/>
    <w:rsid w:val="00867B2F"/>
    <w:rsid w:val="00867C22"/>
    <w:rsid w:val="00867CA8"/>
    <w:rsid w:val="00867D80"/>
    <w:rsid w:val="00867FFE"/>
    <w:rsid w:val="0087001D"/>
    <w:rsid w:val="00870099"/>
    <w:rsid w:val="008700D4"/>
    <w:rsid w:val="00870144"/>
    <w:rsid w:val="0087021F"/>
    <w:rsid w:val="008702E8"/>
    <w:rsid w:val="00870300"/>
    <w:rsid w:val="00870316"/>
    <w:rsid w:val="00870521"/>
    <w:rsid w:val="008705F3"/>
    <w:rsid w:val="00870676"/>
    <w:rsid w:val="0087069A"/>
    <w:rsid w:val="00870743"/>
    <w:rsid w:val="008707C3"/>
    <w:rsid w:val="00870806"/>
    <w:rsid w:val="00870812"/>
    <w:rsid w:val="008709BC"/>
    <w:rsid w:val="00870A5E"/>
    <w:rsid w:val="00870AAC"/>
    <w:rsid w:val="00870B8F"/>
    <w:rsid w:val="00870BC9"/>
    <w:rsid w:val="00870BDD"/>
    <w:rsid w:val="00870C7D"/>
    <w:rsid w:val="00870E24"/>
    <w:rsid w:val="00870E31"/>
    <w:rsid w:val="00870F6F"/>
    <w:rsid w:val="00870F8A"/>
    <w:rsid w:val="008711DF"/>
    <w:rsid w:val="0087122A"/>
    <w:rsid w:val="00871352"/>
    <w:rsid w:val="0087139C"/>
    <w:rsid w:val="00871629"/>
    <w:rsid w:val="00871660"/>
    <w:rsid w:val="00871793"/>
    <w:rsid w:val="008717C7"/>
    <w:rsid w:val="008718A9"/>
    <w:rsid w:val="00871ADD"/>
    <w:rsid w:val="00871BA5"/>
    <w:rsid w:val="00871BF5"/>
    <w:rsid w:val="00871E9F"/>
    <w:rsid w:val="00871EC6"/>
    <w:rsid w:val="00871ED2"/>
    <w:rsid w:val="00871F6B"/>
    <w:rsid w:val="00871F78"/>
    <w:rsid w:val="008720AF"/>
    <w:rsid w:val="0087236A"/>
    <w:rsid w:val="0087240A"/>
    <w:rsid w:val="00872597"/>
    <w:rsid w:val="00872614"/>
    <w:rsid w:val="0087261B"/>
    <w:rsid w:val="008726A9"/>
    <w:rsid w:val="008728BC"/>
    <w:rsid w:val="00872AB0"/>
    <w:rsid w:val="00872C0C"/>
    <w:rsid w:val="00872ECB"/>
    <w:rsid w:val="00872F51"/>
    <w:rsid w:val="00872F72"/>
    <w:rsid w:val="00873040"/>
    <w:rsid w:val="008730FA"/>
    <w:rsid w:val="0087335E"/>
    <w:rsid w:val="00873574"/>
    <w:rsid w:val="008735AD"/>
    <w:rsid w:val="00873605"/>
    <w:rsid w:val="0087362E"/>
    <w:rsid w:val="0087365C"/>
    <w:rsid w:val="008736A7"/>
    <w:rsid w:val="00873978"/>
    <w:rsid w:val="008739C2"/>
    <w:rsid w:val="008739E2"/>
    <w:rsid w:val="008739F9"/>
    <w:rsid w:val="00873A10"/>
    <w:rsid w:val="00873B36"/>
    <w:rsid w:val="00873B97"/>
    <w:rsid w:val="00873FF2"/>
    <w:rsid w:val="008740B5"/>
    <w:rsid w:val="008740DC"/>
    <w:rsid w:val="008741D7"/>
    <w:rsid w:val="0087424D"/>
    <w:rsid w:val="00874282"/>
    <w:rsid w:val="008742DF"/>
    <w:rsid w:val="00874330"/>
    <w:rsid w:val="008743FC"/>
    <w:rsid w:val="0087442F"/>
    <w:rsid w:val="008744F0"/>
    <w:rsid w:val="00874527"/>
    <w:rsid w:val="008746AF"/>
    <w:rsid w:val="008748D2"/>
    <w:rsid w:val="0087494A"/>
    <w:rsid w:val="00874B9E"/>
    <w:rsid w:val="00874CE8"/>
    <w:rsid w:val="00874D9D"/>
    <w:rsid w:val="00874E37"/>
    <w:rsid w:val="00874F46"/>
    <w:rsid w:val="00874F57"/>
    <w:rsid w:val="00874FAC"/>
    <w:rsid w:val="00875056"/>
    <w:rsid w:val="0087543E"/>
    <w:rsid w:val="008755C6"/>
    <w:rsid w:val="008755E3"/>
    <w:rsid w:val="00875693"/>
    <w:rsid w:val="00875716"/>
    <w:rsid w:val="008758DA"/>
    <w:rsid w:val="008759DD"/>
    <w:rsid w:val="008759E4"/>
    <w:rsid w:val="00875CB6"/>
    <w:rsid w:val="00875DCD"/>
    <w:rsid w:val="00875E43"/>
    <w:rsid w:val="00875E9E"/>
    <w:rsid w:val="00875F73"/>
    <w:rsid w:val="00875FAE"/>
    <w:rsid w:val="008761CA"/>
    <w:rsid w:val="0087620F"/>
    <w:rsid w:val="0087621F"/>
    <w:rsid w:val="0087631A"/>
    <w:rsid w:val="00876337"/>
    <w:rsid w:val="00876348"/>
    <w:rsid w:val="00876371"/>
    <w:rsid w:val="0087646B"/>
    <w:rsid w:val="00876516"/>
    <w:rsid w:val="008765CD"/>
    <w:rsid w:val="008765E1"/>
    <w:rsid w:val="008765E6"/>
    <w:rsid w:val="0087669F"/>
    <w:rsid w:val="008767A6"/>
    <w:rsid w:val="008767B2"/>
    <w:rsid w:val="008767F0"/>
    <w:rsid w:val="00876909"/>
    <w:rsid w:val="00876A74"/>
    <w:rsid w:val="00876C0B"/>
    <w:rsid w:val="00876D35"/>
    <w:rsid w:val="00876D91"/>
    <w:rsid w:val="00876E99"/>
    <w:rsid w:val="00876EA5"/>
    <w:rsid w:val="00876EAD"/>
    <w:rsid w:val="00876EF7"/>
    <w:rsid w:val="00876F07"/>
    <w:rsid w:val="0087713C"/>
    <w:rsid w:val="00877205"/>
    <w:rsid w:val="008773E6"/>
    <w:rsid w:val="0087750F"/>
    <w:rsid w:val="008775CD"/>
    <w:rsid w:val="008775E9"/>
    <w:rsid w:val="00877764"/>
    <w:rsid w:val="008778C4"/>
    <w:rsid w:val="008778C8"/>
    <w:rsid w:val="008778DF"/>
    <w:rsid w:val="00877A5F"/>
    <w:rsid w:val="00877A71"/>
    <w:rsid w:val="00877BC8"/>
    <w:rsid w:val="00877C49"/>
    <w:rsid w:val="00877D8C"/>
    <w:rsid w:val="00877F77"/>
    <w:rsid w:val="00877F86"/>
    <w:rsid w:val="00877F9A"/>
    <w:rsid w:val="0088011C"/>
    <w:rsid w:val="008801AF"/>
    <w:rsid w:val="00880200"/>
    <w:rsid w:val="00880231"/>
    <w:rsid w:val="00880385"/>
    <w:rsid w:val="008805AE"/>
    <w:rsid w:val="00880634"/>
    <w:rsid w:val="0088073D"/>
    <w:rsid w:val="008807AA"/>
    <w:rsid w:val="008807D5"/>
    <w:rsid w:val="008808DD"/>
    <w:rsid w:val="00880B5A"/>
    <w:rsid w:val="00880C0A"/>
    <w:rsid w:val="00880D6D"/>
    <w:rsid w:val="00880E1D"/>
    <w:rsid w:val="00880E90"/>
    <w:rsid w:val="008811FB"/>
    <w:rsid w:val="0088129C"/>
    <w:rsid w:val="008812C6"/>
    <w:rsid w:val="0088132E"/>
    <w:rsid w:val="0088136A"/>
    <w:rsid w:val="008813F7"/>
    <w:rsid w:val="00881469"/>
    <w:rsid w:val="008814CF"/>
    <w:rsid w:val="00881507"/>
    <w:rsid w:val="0088156E"/>
    <w:rsid w:val="00881596"/>
    <w:rsid w:val="008815BF"/>
    <w:rsid w:val="00881643"/>
    <w:rsid w:val="008817AD"/>
    <w:rsid w:val="008817E1"/>
    <w:rsid w:val="008818ED"/>
    <w:rsid w:val="0088190B"/>
    <w:rsid w:val="00881937"/>
    <w:rsid w:val="00881944"/>
    <w:rsid w:val="008819AE"/>
    <w:rsid w:val="00881B5C"/>
    <w:rsid w:val="00881C1E"/>
    <w:rsid w:val="00881C34"/>
    <w:rsid w:val="00881D8E"/>
    <w:rsid w:val="00881EBF"/>
    <w:rsid w:val="00881EC7"/>
    <w:rsid w:val="0088208A"/>
    <w:rsid w:val="008820AA"/>
    <w:rsid w:val="0088219F"/>
    <w:rsid w:val="008822EC"/>
    <w:rsid w:val="00882476"/>
    <w:rsid w:val="008824DE"/>
    <w:rsid w:val="00882600"/>
    <w:rsid w:val="00882756"/>
    <w:rsid w:val="0088275F"/>
    <w:rsid w:val="00882814"/>
    <w:rsid w:val="0088289B"/>
    <w:rsid w:val="008828C4"/>
    <w:rsid w:val="00882990"/>
    <w:rsid w:val="00882A1B"/>
    <w:rsid w:val="00882AD4"/>
    <w:rsid w:val="00882BFE"/>
    <w:rsid w:val="00882DD6"/>
    <w:rsid w:val="00882EC9"/>
    <w:rsid w:val="00883024"/>
    <w:rsid w:val="00883041"/>
    <w:rsid w:val="008831B2"/>
    <w:rsid w:val="0088343A"/>
    <w:rsid w:val="0088346B"/>
    <w:rsid w:val="00883541"/>
    <w:rsid w:val="00883611"/>
    <w:rsid w:val="008836C4"/>
    <w:rsid w:val="008837E7"/>
    <w:rsid w:val="0088383F"/>
    <w:rsid w:val="008838FF"/>
    <w:rsid w:val="008839D8"/>
    <w:rsid w:val="00883AB4"/>
    <w:rsid w:val="00883BF5"/>
    <w:rsid w:val="00883D5D"/>
    <w:rsid w:val="00883DB1"/>
    <w:rsid w:val="00883DB9"/>
    <w:rsid w:val="00883DC9"/>
    <w:rsid w:val="00883E4B"/>
    <w:rsid w:val="00883F38"/>
    <w:rsid w:val="00883FFC"/>
    <w:rsid w:val="00884053"/>
    <w:rsid w:val="00884210"/>
    <w:rsid w:val="008845D0"/>
    <w:rsid w:val="00884942"/>
    <w:rsid w:val="00884A91"/>
    <w:rsid w:val="00884B17"/>
    <w:rsid w:val="00884B68"/>
    <w:rsid w:val="00884B9F"/>
    <w:rsid w:val="00884BA7"/>
    <w:rsid w:val="00884CC9"/>
    <w:rsid w:val="00884F03"/>
    <w:rsid w:val="00884F5D"/>
    <w:rsid w:val="008850E5"/>
    <w:rsid w:val="0088525D"/>
    <w:rsid w:val="00885277"/>
    <w:rsid w:val="0088535B"/>
    <w:rsid w:val="00885379"/>
    <w:rsid w:val="0088549C"/>
    <w:rsid w:val="008854F3"/>
    <w:rsid w:val="00885544"/>
    <w:rsid w:val="008855C7"/>
    <w:rsid w:val="00885633"/>
    <w:rsid w:val="008856E4"/>
    <w:rsid w:val="008856E8"/>
    <w:rsid w:val="00885703"/>
    <w:rsid w:val="00885718"/>
    <w:rsid w:val="00885825"/>
    <w:rsid w:val="00885866"/>
    <w:rsid w:val="00885967"/>
    <w:rsid w:val="008859E6"/>
    <w:rsid w:val="00885B81"/>
    <w:rsid w:val="00885C44"/>
    <w:rsid w:val="00885F30"/>
    <w:rsid w:val="00885FD7"/>
    <w:rsid w:val="00885FF8"/>
    <w:rsid w:val="00886033"/>
    <w:rsid w:val="0088603C"/>
    <w:rsid w:val="00886053"/>
    <w:rsid w:val="0088605B"/>
    <w:rsid w:val="00886090"/>
    <w:rsid w:val="008862EE"/>
    <w:rsid w:val="00886335"/>
    <w:rsid w:val="008863B5"/>
    <w:rsid w:val="008863D0"/>
    <w:rsid w:val="0088649D"/>
    <w:rsid w:val="008864F3"/>
    <w:rsid w:val="00886528"/>
    <w:rsid w:val="0088655A"/>
    <w:rsid w:val="008866AB"/>
    <w:rsid w:val="00886741"/>
    <w:rsid w:val="00886A19"/>
    <w:rsid w:val="00886AB8"/>
    <w:rsid w:val="00886C3D"/>
    <w:rsid w:val="00886D80"/>
    <w:rsid w:val="00886E82"/>
    <w:rsid w:val="00886EB3"/>
    <w:rsid w:val="008871AE"/>
    <w:rsid w:val="00887227"/>
    <w:rsid w:val="0088731E"/>
    <w:rsid w:val="008873C1"/>
    <w:rsid w:val="00887668"/>
    <w:rsid w:val="00887776"/>
    <w:rsid w:val="008877C1"/>
    <w:rsid w:val="00887841"/>
    <w:rsid w:val="008879AB"/>
    <w:rsid w:val="00887A6F"/>
    <w:rsid w:val="00887D43"/>
    <w:rsid w:val="008900C9"/>
    <w:rsid w:val="00890167"/>
    <w:rsid w:val="008903BC"/>
    <w:rsid w:val="008903FD"/>
    <w:rsid w:val="00890402"/>
    <w:rsid w:val="008904B3"/>
    <w:rsid w:val="00890565"/>
    <w:rsid w:val="00890590"/>
    <w:rsid w:val="008907A0"/>
    <w:rsid w:val="008907C0"/>
    <w:rsid w:val="008908F9"/>
    <w:rsid w:val="00890914"/>
    <w:rsid w:val="00890984"/>
    <w:rsid w:val="00890AAA"/>
    <w:rsid w:val="00890B5E"/>
    <w:rsid w:val="00890BF6"/>
    <w:rsid w:val="00890C18"/>
    <w:rsid w:val="00890C30"/>
    <w:rsid w:val="00890D05"/>
    <w:rsid w:val="00890D40"/>
    <w:rsid w:val="00890D7C"/>
    <w:rsid w:val="00890E05"/>
    <w:rsid w:val="00890E19"/>
    <w:rsid w:val="00890E79"/>
    <w:rsid w:val="00890F19"/>
    <w:rsid w:val="00890F33"/>
    <w:rsid w:val="00891145"/>
    <w:rsid w:val="0089125E"/>
    <w:rsid w:val="0089128B"/>
    <w:rsid w:val="00891291"/>
    <w:rsid w:val="00891512"/>
    <w:rsid w:val="0089155E"/>
    <w:rsid w:val="008915CA"/>
    <w:rsid w:val="00891625"/>
    <w:rsid w:val="0089166B"/>
    <w:rsid w:val="00891773"/>
    <w:rsid w:val="008918C1"/>
    <w:rsid w:val="00891986"/>
    <w:rsid w:val="00891A5B"/>
    <w:rsid w:val="00891A75"/>
    <w:rsid w:val="00891A84"/>
    <w:rsid w:val="00891B38"/>
    <w:rsid w:val="00891B66"/>
    <w:rsid w:val="00891CBB"/>
    <w:rsid w:val="00891D51"/>
    <w:rsid w:val="00891D8B"/>
    <w:rsid w:val="00891E0D"/>
    <w:rsid w:val="00891E39"/>
    <w:rsid w:val="00891E3B"/>
    <w:rsid w:val="00892211"/>
    <w:rsid w:val="00892241"/>
    <w:rsid w:val="0089225C"/>
    <w:rsid w:val="0089258F"/>
    <w:rsid w:val="008925BF"/>
    <w:rsid w:val="008927E6"/>
    <w:rsid w:val="00892829"/>
    <w:rsid w:val="008928A7"/>
    <w:rsid w:val="00892A2E"/>
    <w:rsid w:val="00892A42"/>
    <w:rsid w:val="00892BCB"/>
    <w:rsid w:val="00892C2F"/>
    <w:rsid w:val="00892CF0"/>
    <w:rsid w:val="00892D33"/>
    <w:rsid w:val="00892DA8"/>
    <w:rsid w:val="00892E0D"/>
    <w:rsid w:val="00892E5F"/>
    <w:rsid w:val="00892E9E"/>
    <w:rsid w:val="00892F1A"/>
    <w:rsid w:val="00893008"/>
    <w:rsid w:val="008931FA"/>
    <w:rsid w:val="008932AB"/>
    <w:rsid w:val="008932FC"/>
    <w:rsid w:val="008933EE"/>
    <w:rsid w:val="008934F7"/>
    <w:rsid w:val="00893625"/>
    <w:rsid w:val="00893647"/>
    <w:rsid w:val="008936A6"/>
    <w:rsid w:val="00893866"/>
    <w:rsid w:val="00893933"/>
    <w:rsid w:val="00893942"/>
    <w:rsid w:val="00893953"/>
    <w:rsid w:val="00893987"/>
    <w:rsid w:val="00893990"/>
    <w:rsid w:val="00893AAA"/>
    <w:rsid w:val="00893B59"/>
    <w:rsid w:val="00893B66"/>
    <w:rsid w:val="00893B75"/>
    <w:rsid w:val="00893BF6"/>
    <w:rsid w:val="00893D97"/>
    <w:rsid w:val="00893F52"/>
    <w:rsid w:val="00894000"/>
    <w:rsid w:val="00894076"/>
    <w:rsid w:val="008940E0"/>
    <w:rsid w:val="008941BE"/>
    <w:rsid w:val="008941E6"/>
    <w:rsid w:val="00894376"/>
    <w:rsid w:val="008943C0"/>
    <w:rsid w:val="00894472"/>
    <w:rsid w:val="008945C4"/>
    <w:rsid w:val="0089464B"/>
    <w:rsid w:val="0089465B"/>
    <w:rsid w:val="00894688"/>
    <w:rsid w:val="00894A37"/>
    <w:rsid w:val="00894A65"/>
    <w:rsid w:val="00894C20"/>
    <w:rsid w:val="00894D92"/>
    <w:rsid w:val="00894D98"/>
    <w:rsid w:val="00894E94"/>
    <w:rsid w:val="00894FE5"/>
    <w:rsid w:val="00895092"/>
    <w:rsid w:val="008950C9"/>
    <w:rsid w:val="00895155"/>
    <w:rsid w:val="00895184"/>
    <w:rsid w:val="008952BD"/>
    <w:rsid w:val="008952F2"/>
    <w:rsid w:val="008952FD"/>
    <w:rsid w:val="0089545F"/>
    <w:rsid w:val="0089549B"/>
    <w:rsid w:val="00895503"/>
    <w:rsid w:val="008956A4"/>
    <w:rsid w:val="008958F2"/>
    <w:rsid w:val="0089590F"/>
    <w:rsid w:val="00895A3C"/>
    <w:rsid w:val="00895A50"/>
    <w:rsid w:val="00895AAC"/>
    <w:rsid w:val="00895B6B"/>
    <w:rsid w:val="00895C96"/>
    <w:rsid w:val="00895E48"/>
    <w:rsid w:val="00895E9F"/>
    <w:rsid w:val="00895EBD"/>
    <w:rsid w:val="00895EF8"/>
    <w:rsid w:val="008961F4"/>
    <w:rsid w:val="008961FC"/>
    <w:rsid w:val="0089635A"/>
    <w:rsid w:val="008963AC"/>
    <w:rsid w:val="008963AF"/>
    <w:rsid w:val="00896480"/>
    <w:rsid w:val="00896550"/>
    <w:rsid w:val="008967C6"/>
    <w:rsid w:val="008967E9"/>
    <w:rsid w:val="008968BD"/>
    <w:rsid w:val="00896C49"/>
    <w:rsid w:val="00896D25"/>
    <w:rsid w:val="00896EA6"/>
    <w:rsid w:val="00896EDF"/>
    <w:rsid w:val="0089704E"/>
    <w:rsid w:val="0089711F"/>
    <w:rsid w:val="008971B9"/>
    <w:rsid w:val="00897384"/>
    <w:rsid w:val="00897465"/>
    <w:rsid w:val="00897579"/>
    <w:rsid w:val="0089768D"/>
    <w:rsid w:val="00897985"/>
    <w:rsid w:val="00897D2E"/>
    <w:rsid w:val="00897F13"/>
    <w:rsid w:val="00897F71"/>
    <w:rsid w:val="008A016F"/>
    <w:rsid w:val="008A01EA"/>
    <w:rsid w:val="008A0240"/>
    <w:rsid w:val="008A027E"/>
    <w:rsid w:val="008A067C"/>
    <w:rsid w:val="008A0723"/>
    <w:rsid w:val="008A0743"/>
    <w:rsid w:val="008A07A9"/>
    <w:rsid w:val="008A07F8"/>
    <w:rsid w:val="008A0865"/>
    <w:rsid w:val="008A08AA"/>
    <w:rsid w:val="008A08D9"/>
    <w:rsid w:val="008A0A2E"/>
    <w:rsid w:val="008A0AA7"/>
    <w:rsid w:val="008A0D7D"/>
    <w:rsid w:val="008A0DD5"/>
    <w:rsid w:val="008A0E29"/>
    <w:rsid w:val="008A0E3B"/>
    <w:rsid w:val="008A0F2D"/>
    <w:rsid w:val="008A101E"/>
    <w:rsid w:val="008A1131"/>
    <w:rsid w:val="008A12A1"/>
    <w:rsid w:val="008A12A3"/>
    <w:rsid w:val="008A12F3"/>
    <w:rsid w:val="008A15DC"/>
    <w:rsid w:val="008A16DA"/>
    <w:rsid w:val="008A1762"/>
    <w:rsid w:val="008A1B53"/>
    <w:rsid w:val="008A1B56"/>
    <w:rsid w:val="008A1B63"/>
    <w:rsid w:val="008A1C8A"/>
    <w:rsid w:val="008A1CDF"/>
    <w:rsid w:val="008A1F63"/>
    <w:rsid w:val="008A1FB1"/>
    <w:rsid w:val="008A21D9"/>
    <w:rsid w:val="008A2205"/>
    <w:rsid w:val="008A2455"/>
    <w:rsid w:val="008A2746"/>
    <w:rsid w:val="008A2787"/>
    <w:rsid w:val="008A27FD"/>
    <w:rsid w:val="008A284D"/>
    <w:rsid w:val="008A296A"/>
    <w:rsid w:val="008A2A07"/>
    <w:rsid w:val="008A2A78"/>
    <w:rsid w:val="008A2AA3"/>
    <w:rsid w:val="008A2ABD"/>
    <w:rsid w:val="008A2BBD"/>
    <w:rsid w:val="008A2BF2"/>
    <w:rsid w:val="008A2C36"/>
    <w:rsid w:val="008A2C68"/>
    <w:rsid w:val="008A2DB5"/>
    <w:rsid w:val="008A2E3F"/>
    <w:rsid w:val="008A2E8E"/>
    <w:rsid w:val="008A2EF7"/>
    <w:rsid w:val="008A2F18"/>
    <w:rsid w:val="008A301B"/>
    <w:rsid w:val="008A3043"/>
    <w:rsid w:val="008A31B0"/>
    <w:rsid w:val="008A3211"/>
    <w:rsid w:val="008A32FC"/>
    <w:rsid w:val="008A335E"/>
    <w:rsid w:val="008A3362"/>
    <w:rsid w:val="008A34F4"/>
    <w:rsid w:val="008A35ED"/>
    <w:rsid w:val="008A375A"/>
    <w:rsid w:val="008A3876"/>
    <w:rsid w:val="008A387A"/>
    <w:rsid w:val="008A39F6"/>
    <w:rsid w:val="008A3D46"/>
    <w:rsid w:val="008A3E02"/>
    <w:rsid w:val="008A3EC9"/>
    <w:rsid w:val="008A3FF5"/>
    <w:rsid w:val="008A4045"/>
    <w:rsid w:val="008A4114"/>
    <w:rsid w:val="008A423A"/>
    <w:rsid w:val="008A4363"/>
    <w:rsid w:val="008A438D"/>
    <w:rsid w:val="008A44F0"/>
    <w:rsid w:val="008A4686"/>
    <w:rsid w:val="008A4730"/>
    <w:rsid w:val="008A4810"/>
    <w:rsid w:val="008A4AB6"/>
    <w:rsid w:val="008A4BB5"/>
    <w:rsid w:val="008A4D5B"/>
    <w:rsid w:val="008A4EF8"/>
    <w:rsid w:val="008A4F01"/>
    <w:rsid w:val="008A5015"/>
    <w:rsid w:val="008A51FB"/>
    <w:rsid w:val="008A5387"/>
    <w:rsid w:val="008A539A"/>
    <w:rsid w:val="008A5497"/>
    <w:rsid w:val="008A5526"/>
    <w:rsid w:val="008A558D"/>
    <w:rsid w:val="008A5604"/>
    <w:rsid w:val="008A5888"/>
    <w:rsid w:val="008A58B9"/>
    <w:rsid w:val="008A58D5"/>
    <w:rsid w:val="008A5B15"/>
    <w:rsid w:val="008A5C42"/>
    <w:rsid w:val="008A5C7A"/>
    <w:rsid w:val="008A5E3D"/>
    <w:rsid w:val="008A5F45"/>
    <w:rsid w:val="008A5FA5"/>
    <w:rsid w:val="008A611A"/>
    <w:rsid w:val="008A6160"/>
    <w:rsid w:val="008A63B8"/>
    <w:rsid w:val="008A66DA"/>
    <w:rsid w:val="008A6A16"/>
    <w:rsid w:val="008A6A92"/>
    <w:rsid w:val="008A6B0B"/>
    <w:rsid w:val="008A6B38"/>
    <w:rsid w:val="008A6B3C"/>
    <w:rsid w:val="008A6B6E"/>
    <w:rsid w:val="008A6C72"/>
    <w:rsid w:val="008A6F6F"/>
    <w:rsid w:val="008A7149"/>
    <w:rsid w:val="008A7355"/>
    <w:rsid w:val="008A735F"/>
    <w:rsid w:val="008A73D7"/>
    <w:rsid w:val="008A73F9"/>
    <w:rsid w:val="008A7608"/>
    <w:rsid w:val="008A78CA"/>
    <w:rsid w:val="008A79CE"/>
    <w:rsid w:val="008A7CF4"/>
    <w:rsid w:val="008A7D52"/>
    <w:rsid w:val="008A7DC2"/>
    <w:rsid w:val="008A7DD6"/>
    <w:rsid w:val="008A7E2B"/>
    <w:rsid w:val="008A7E94"/>
    <w:rsid w:val="008A7F61"/>
    <w:rsid w:val="008A7FBF"/>
    <w:rsid w:val="008B0034"/>
    <w:rsid w:val="008B004E"/>
    <w:rsid w:val="008B00C9"/>
    <w:rsid w:val="008B00FC"/>
    <w:rsid w:val="008B027A"/>
    <w:rsid w:val="008B0393"/>
    <w:rsid w:val="008B0417"/>
    <w:rsid w:val="008B0536"/>
    <w:rsid w:val="008B053D"/>
    <w:rsid w:val="008B05DF"/>
    <w:rsid w:val="008B06C7"/>
    <w:rsid w:val="008B0722"/>
    <w:rsid w:val="008B098A"/>
    <w:rsid w:val="008B09D6"/>
    <w:rsid w:val="008B0A29"/>
    <w:rsid w:val="008B0A5F"/>
    <w:rsid w:val="008B0AF7"/>
    <w:rsid w:val="008B0BC8"/>
    <w:rsid w:val="008B0C3D"/>
    <w:rsid w:val="008B0CE5"/>
    <w:rsid w:val="008B0D22"/>
    <w:rsid w:val="008B0E00"/>
    <w:rsid w:val="008B0EA7"/>
    <w:rsid w:val="008B0F66"/>
    <w:rsid w:val="008B0FB0"/>
    <w:rsid w:val="008B0FC5"/>
    <w:rsid w:val="008B1029"/>
    <w:rsid w:val="008B1040"/>
    <w:rsid w:val="008B122B"/>
    <w:rsid w:val="008B1451"/>
    <w:rsid w:val="008B14DE"/>
    <w:rsid w:val="008B1572"/>
    <w:rsid w:val="008B15D6"/>
    <w:rsid w:val="008B16A0"/>
    <w:rsid w:val="008B1842"/>
    <w:rsid w:val="008B1A58"/>
    <w:rsid w:val="008B1B97"/>
    <w:rsid w:val="008B1C27"/>
    <w:rsid w:val="008B1C2E"/>
    <w:rsid w:val="008B1C6E"/>
    <w:rsid w:val="008B1D85"/>
    <w:rsid w:val="008B20C9"/>
    <w:rsid w:val="008B21F3"/>
    <w:rsid w:val="008B227B"/>
    <w:rsid w:val="008B22EC"/>
    <w:rsid w:val="008B26CE"/>
    <w:rsid w:val="008B27D1"/>
    <w:rsid w:val="008B27D9"/>
    <w:rsid w:val="008B27F6"/>
    <w:rsid w:val="008B281D"/>
    <w:rsid w:val="008B2879"/>
    <w:rsid w:val="008B2BE7"/>
    <w:rsid w:val="008B2C28"/>
    <w:rsid w:val="008B2D3F"/>
    <w:rsid w:val="008B2D97"/>
    <w:rsid w:val="008B2DA1"/>
    <w:rsid w:val="008B2EB1"/>
    <w:rsid w:val="008B2F0A"/>
    <w:rsid w:val="008B30AB"/>
    <w:rsid w:val="008B3104"/>
    <w:rsid w:val="008B3233"/>
    <w:rsid w:val="008B324A"/>
    <w:rsid w:val="008B32C2"/>
    <w:rsid w:val="008B332F"/>
    <w:rsid w:val="008B3384"/>
    <w:rsid w:val="008B36D9"/>
    <w:rsid w:val="008B36DC"/>
    <w:rsid w:val="008B3829"/>
    <w:rsid w:val="008B3B18"/>
    <w:rsid w:val="008B3DAA"/>
    <w:rsid w:val="008B3F12"/>
    <w:rsid w:val="008B3F87"/>
    <w:rsid w:val="008B40B1"/>
    <w:rsid w:val="008B422B"/>
    <w:rsid w:val="008B42CD"/>
    <w:rsid w:val="008B43E2"/>
    <w:rsid w:val="008B4594"/>
    <w:rsid w:val="008B46E0"/>
    <w:rsid w:val="008B46F1"/>
    <w:rsid w:val="008B4723"/>
    <w:rsid w:val="008B475C"/>
    <w:rsid w:val="008B47BE"/>
    <w:rsid w:val="008B48C6"/>
    <w:rsid w:val="008B48E2"/>
    <w:rsid w:val="008B49E7"/>
    <w:rsid w:val="008B4AB7"/>
    <w:rsid w:val="008B4BE6"/>
    <w:rsid w:val="008B4CB7"/>
    <w:rsid w:val="008B4D8E"/>
    <w:rsid w:val="008B4DB9"/>
    <w:rsid w:val="008B4F4E"/>
    <w:rsid w:val="008B4F82"/>
    <w:rsid w:val="008B5061"/>
    <w:rsid w:val="008B506A"/>
    <w:rsid w:val="008B50CB"/>
    <w:rsid w:val="008B522B"/>
    <w:rsid w:val="008B535A"/>
    <w:rsid w:val="008B53AF"/>
    <w:rsid w:val="008B53E4"/>
    <w:rsid w:val="008B5440"/>
    <w:rsid w:val="008B5552"/>
    <w:rsid w:val="008B55FC"/>
    <w:rsid w:val="008B5724"/>
    <w:rsid w:val="008B5801"/>
    <w:rsid w:val="008B5875"/>
    <w:rsid w:val="008B58CA"/>
    <w:rsid w:val="008B59D7"/>
    <w:rsid w:val="008B5B08"/>
    <w:rsid w:val="008B5B99"/>
    <w:rsid w:val="008B5B9D"/>
    <w:rsid w:val="008B5C8B"/>
    <w:rsid w:val="008B5DA8"/>
    <w:rsid w:val="008B5FE6"/>
    <w:rsid w:val="008B60EF"/>
    <w:rsid w:val="008B613E"/>
    <w:rsid w:val="008B617D"/>
    <w:rsid w:val="008B61AF"/>
    <w:rsid w:val="008B61CF"/>
    <w:rsid w:val="008B631E"/>
    <w:rsid w:val="008B635A"/>
    <w:rsid w:val="008B6675"/>
    <w:rsid w:val="008B6695"/>
    <w:rsid w:val="008B6733"/>
    <w:rsid w:val="008B6764"/>
    <w:rsid w:val="008B67C2"/>
    <w:rsid w:val="008B685A"/>
    <w:rsid w:val="008B68C0"/>
    <w:rsid w:val="008B6975"/>
    <w:rsid w:val="008B6A58"/>
    <w:rsid w:val="008B6A7A"/>
    <w:rsid w:val="008B6A9B"/>
    <w:rsid w:val="008B6AF4"/>
    <w:rsid w:val="008B6B12"/>
    <w:rsid w:val="008B6B9B"/>
    <w:rsid w:val="008B6C70"/>
    <w:rsid w:val="008B6CAC"/>
    <w:rsid w:val="008B6DE1"/>
    <w:rsid w:val="008B6F27"/>
    <w:rsid w:val="008B6FB5"/>
    <w:rsid w:val="008B70E6"/>
    <w:rsid w:val="008B70EF"/>
    <w:rsid w:val="008B71A0"/>
    <w:rsid w:val="008B738B"/>
    <w:rsid w:val="008B76AA"/>
    <w:rsid w:val="008B77EF"/>
    <w:rsid w:val="008B7994"/>
    <w:rsid w:val="008B79A9"/>
    <w:rsid w:val="008B7A3F"/>
    <w:rsid w:val="008B7B8C"/>
    <w:rsid w:val="008B7C0A"/>
    <w:rsid w:val="008B7D77"/>
    <w:rsid w:val="008B7E17"/>
    <w:rsid w:val="008B7F33"/>
    <w:rsid w:val="008C0071"/>
    <w:rsid w:val="008C01ED"/>
    <w:rsid w:val="008C0287"/>
    <w:rsid w:val="008C07A1"/>
    <w:rsid w:val="008C0926"/>
    <w:rsid w:val="008C098D"/>
    <w:rsid w:val="008C0C95"/>
    <w:rsid w:val="008C0E11"/>
    <w:rsid w:val="008C0E54"/>
    <w:rsid w:val="008C0E64"/>
    <w:rsid w:val="008C0EFC"/>
    <w:rsid w:val="008C0F1B"/>
    <w:rsid w:val="008C10F1"/>
    <w:rsid w:val="008C1121"/>
    <w:rsid w:val="008C127F"/>
    <w:rsid w:val="008C133D"/>
    <w:rsid w:val="008C187E"/>
    <w:rsid w:val="008C18CC"/>
    <w:rsid w:val="008C18D4"/>
    <w:rsid w:val="008C19B3"/>
    <w:rsid w:val="008C19F4"/>
    <w:rsid w:val="008C1A4E"/>
    <w:rsid w:val="008C1ACC"/>
    <w:rsid w:val="008C1BE0"/>
    <w:rsid w:val="008C1BF8"/>
    <w:rsid w:val="008C1C66"/>
    <w:rsid w:val="008C1D57"/>
    <w:rsid w:val="008C1DDF"/>
    <w:rsid w:val="008C1E12"/>
    <w:rsid w:val="008C1EE5"/>
    <w:rsid w:val="008C20CF"/>
    <w:rsid w:val="008C2144"/>
    <w:rsid w:val="008C2148"/>
    <w:rsid w:val="008C216B"/>
    <w:rsid w:val="008C2231"/>
    <w:rsid w:val="008C22FC"/>
    <w:rsid w:val="008C24CF"/>
    <w:rsid w:val="008C24E3"/>
    <w:rsid w:val="008C2591"/>
    <w:rsid w:val="008C25E9"/>
    <w:rsid w:val="008C272E"/>
    <w:rsid w:val="008C282F"/>
    <w:rsid w:val="008C293B"/>
    <w:rsid w:val="008C297D"/>
    <w:rsid w:val="008C2A48"/>
    <w:rsid w:val="008C2AA7"/>
    <w:rsid w:val="008C2BC7"/>
    <w:rsid w:val="008C2D0D"/>
    <w:rsid w:val="008C2D93"/>
    <w:rsid w:val="008C2DE4"/>
    <w:rsid w:val="008C2F1B"/>
    <w:rsid w:val="008C2F88"/>
    <w:rsid w:val="008C3033"/>
    <w:rsid w:val="008C3263"/>
    <w:rsid w:val="008C3305"/>
    <w:rsid w:val="008C3354"/>
    <w:rsid w:val="008C33A3"/>
    <w:rsid w:val="008C33A7"/>
    <w:rsid w:val="008C3460"/>
    <w:rsid w:val="008C349B"/>
    <w:rsid w:val="008C3533"/>
    <w:rsid w:val="008C363F"/>
    <w:rsid w:val="008C37AC"/>
    <w:rsid w:val="008C37C3"/>
    <w:rsid w:val="008C37E9"/>
    <w:rsid w:val="008C3831"/>
    <w:rsid w:val="008C388E"/>
    <w:rsid w:val="008C389B"/>
    <w:rsid w:val="008C38B0"/>
    <w:rsid w:val="008C3C38"/>
    <w:rsid w:val="008C3CD7"/>
    <w:rsid w:val="008C3E38"/>
    <w:rsid w:val="008C3E42"/>
    <w:rsid w:val="008C3E52"/>
    <w:rsid w:val="008C4096"/>
    <w:rsid w:val="008C4269"/>
    <w:rsid w:val="008C4294"/>
    <w:rsid w:val="008C4329"/>
    <w:rsid w:val="008C43E6"/>
    <w:rsid w:val="008C443E"/>
    <w:rsid w:val="008C44B1"/>
    <w:rsid w:val="008C4540"/>
    <w:rsid w:val="008C45AD"/>
    <w:rsid w:val="008C45D3"/>
    <w:rsid w:val="008C4754"/>
    <w:rsid w:val="008C47F8"/>
    <w:rsid w:val="008C48B0"/>
    <w:rsid w:val="008C4959"/>
    <w:rsid w:val="008C4A59"/>
    <w:rsid w:val="008C4B95"/>
    <w:rsid w:val="008C4C83"/>
    <w:rsid w:val="008C4E7D"/>
    <w:rsid w:val="008C4F2F"/>
    <w:rsid w:val="008C5047"/>
    <w:rsid w:val="008C5219"/>
    <w:rsid w:val="008C5230"/>
    <w:rsid w:val="008C5385"/>
    <w:rsid w:val="008C53D8"/>
    <w:rsid w:val="008C5408"/>
    <w:rsid w:val="008C5437"/>
    <w:rsid w:val="008C54AE"/>
    <w:rsid w:val="008C54C0"/>
    <w:rsid w:val="008C54EC"/>
    <w:rsid w:val="008C551E"/>
    <w:rsid w:val="008C5627"/>
    <w:rsid w:val="008C5670"/>
    <w:rsid w:val="008C57AB"/>
    <w:rsid w:val="008C57C5"/>
    <w:rsid w:val="008C57F6"/>
    <w:rsid w:val="008C58C1"/>
    <w:rsid w:val="008C5913"/>
    <w:rsid w:val="008C5A4C"/>
    <w:rsid w:val="008C5DFE"/>
    <w:rsid w:val="008C5F92"/>
    <w:rsid w:val="008C60FA"/>
    <w:rsid w:val="008C618E"/>
    <w:rsid w:val="008C61B8"/>
    <w:rsid w:val="008C61C6"/>
    <w:rsid w:val="008C62CE"/>
    <w:rsid w:val="008C647B"/>
    <w:rsid w:val="008C64B2"/>
    <w:rsid w:val="008C64EE"/>
    <w:rsid w:val="008C65B9"/>
    <w:rsid w:val="008C6825"/>
    <w:rsid w:val="008C6856"/>
    <w:rsid w:val="008C6868"/>
    <w:rsid w:val="008C68B2"/>
    <w:rsid w:val="008C68F5"/>
    <w:rsid w:val="008C6932"/>
    <w:rsid w:val="008C6937"/>
    <w:rsid w:val="008C695D"/>
    <w:rsid w:val="008C69BD"/>
    <w:rsid w:val="008C6A18"/>
    <w:rsid w:val="008C6A66"/>
    <w:rsid w:val="008C6B01"/>
    <w:rsid w:val="008C6D66"/>
    <w:rsid w:val="008C6D74"/>
    <w:rsid w:val="008C6E8D"/>
    <w:rsid w:val="008C6FC5"/>
    <w:rsid w:val="008C7094"/>
    <w:rsid w:val="008C712E"/>
    <w:rsid w:val="008C72B6"/>
    <w:rsid w:val="008C737A"/>
    <w:rsid w:val="008C749F"/>
    <w:rsid w:val="008C763F"/>
    <w:rsid w:val="008C7838"/>
    <w:rsid w:val="008C7885"/>
    <w:rsid w:val="008C7A36"/>
    <w:rsid w:val="008C7B07"/>
    <w:rsid w:val="008C7B9C"/>
    <w:rsid w:val="008C7CCC"/>
    <w:rsid w:val="008C7E46"/>
    <w:rsid w:val="008C7FE4"/>
    <w:rsid w:val="008D00FA"/>
    <w:rsid w:val="008D0181"/>
    <w:rsid w:val="008D01BF"/>
    <w:rsid w:val="008D0576"/>
    <w:rsid w:val="008D0702"/>
    <w:rsid w:val="008D072E"/>
    <w:rsid w:val="008D0868"/>
    <w:rsid w:val="008D08C1"/>
    <w:rsid w:val="008D0903"/>
    <w:rsid w:val="008D0959"/>
    <w:rsid w:val="008D096C"/>
    <w:rsid w:val="008D0B21"/>
    <w:rsid w:val="008D0C36"/>
    <w:rsid w:val="008D0CA3"/>
    <w:rsid w:val="008D0DF0"/>
    <w:rsid w:val="008D0F33"/>
    <w:rsid w:val="008D0F6C"/>
    <w:rsid w:val="008D108F"/>
    <w:rsid w:val="008D10E3"/>
    <w:rsid w:val="008D1486"/>
    <w:rsid w:val="008D149D"/>
    <w:rsid w:val="008D166C"/>
    <w:rsid w:val="008D16B4"/>
    <w:rsid w:val="008D1776"/>
    <w:rsid w:val="008D17E0"/>
    <w:rsid w:val="008D1914"/>
    <w:rsid w:val="008D1A0F"/>
    <w:rsid w:val="008D1A1E"/>
    <w:rsid w:val="008D1A25"/>
    <w:rsid w:val="008D1ACB"/>
    <w:rsid w:val="008D1C92"/>
    <w:rsid w:val="008D1CE0"/>
    <w:rsid w:val="008D1EAF"/>
    <w:rsid w:val="008D1ED8"/>
    <w:rsid w:val="008D1F92"/>
    <w:rsid w:val="008D1F94"/>
    <w:rsid w:val="008D203D"/>
    <w:rsid w:val="008D20EF"/>
    <w:rsid w:val="008D2134"/>
    <w:rsid w:val="008D21BE"/>
    <w:rsid w:val="008D21FC"/>
    <w:rsid w:val="008D2529"/>
    <w:rsid w:val="008D2691"/>
    <w:rsid w:val="008D2755"/>
    <w:rsid w:val="008D27A5"/>
    <w:rsid w:val="008D280F"/>
    <w:rsid w:val="008D2844"/>
    <w:rsid w:val="008D2952"/>
    <w:rsid w:val="008D29CB"/>
    <w:rsid w:val="008D29EB"/>
    <w:rsid w:val="008D2BF3"/>
    <w:rsid w:val="008D2C3A"/>
    <w:rsid w:val="008D2C52"/>
    <w:rsid w:val="008D2D75"/>
    <w:rsid w:val="008D2E3D"/>
    <w:rsid w:val="008D2E3E"/>
    <w:rsid w:val="008D2E99"/>
    <w:rsid w:val="008D2ECA"/>
    <w:rsid w:val="008D2EF6"/>
    <w:rsid w:val="008D2FF6"/>
    <w:rsid w:val="008D33C2"/>
    <w:rsid w:val="008D345F"/>
    <w:rsid w:val="008D3542"/>
    <w:rsid w:val="008D35BA"/>
    <w:rsid w:val="008D3704"/>
    <w:rsid w:val="008D3840"/>
    <w:rsid w:val="008D38EB"/>
    <w:rsid w:val="008D3942"/>
    <w:rsid w:val="008D3A3A"/>
    <w:rsid w:val="008D3B02"/>
    <w:rsid w:val="008D3B48"/>
    <w:rsid w:val="008D3E0D"/>
    <w:rsid w:val="008D3E5C"/>
    <w:rsid w:val="008D3F22"/>
    <w:rsid w:val="008D3F32"/>
    <w:rsid w:val="008D40C3"/>
    <w:rsid w:val="008D40FD"/>
    <w:rsid w:val="008D41CF"/>
    <w:rsid w:val="008D42D9"/>
    <w:rsid w:val="008D4311"/>
    <w:rsid w:val="008D45DE"/>
    <w:rsid w:val="008D462A"/>
    <w:rsid w:val="008D466A"/>
    <w:rsid w:val="008D4786"/>
    <w:rsid w:val="008D4853"/>
    <w:rsid w:val="008D4976"/>
    <w:rsid w:val="008D49B4"/>
    <w:rsid w:val="008D4A78"/>
    <w:rsid w:val="008D4FAF"/>
    <w:rsid w:val="008D5107"/>
    <w:rsid w:val="008D5130"/>
    <w:rsid w:val="008D5147"/>
    <w:rsid w:val="008D5159"/>
    <w:rsid w:val="008D5177"/>
    <w:rsid w:val="008D5312"/>
    <w:rsid w:val="008D5357"/>
    <w:rsid w:val="008D540E"/>
    <w:rsid w:val="008D5472"/>
    <w:rsid w:val="008D5540"/>
    <w:rsid w:val="008D567A"/>
    <w:rsid w:val="008D57E6"/>
    <w:rsid w:val="008D57EC"/>
    <w:rsid w:val="008D5807"/>
    <w:rsid w:val="008D5811"/>
    <w:rsid w:val="008D58D5"/>
    <w:rsid w:val="008D5982"/>
    <w:rsid w:val="008D5C48"/>
    <w:rsid w:val="008D5C62"/>
    <w:rsid w:val="008D5C80"/>
    <w:rsid w:val="008D5CFB"/>
    <w:rsid w:val="008D5D6E"/>
    <w:rsid w:val="008D5E3F"/>
    <w:rsid w:val="008D5EC2"/>
    <w:rsid w:val="008D5FB2"/>
    <w:rsid w:val="008D6006"/>
    <w:rsid w:val="008D61F8"/>
    <w:rsid w:val="008D6201"/>
    <w:rsid w:val="008D6255"/>
    <w:rsid w:val="008D63E0"/>
    <w:rsid w:val="008D640B"/>
    <w:rsid w:val="008D659D"/>
    <w:rsid w:val="008D6638"/>
    <w:rsid w:val="008D67A7"/>
    <w:rsid w:val="008D67FA"/>
    <w:rsid w:val="008D6A61"/>
    <w:rsid w:val="008D6A82"/>
    <w:rsid w:val="008D6B86"/>
    <w:rsid w:val="008D6BCB"/>
    <w:rsid w:val="008D6C25"/>
    <w:rsid w:val="008D6C50"/>
    <w:rsid w:val="008D6D11"/>
    <w:rsid w:val="008D6D69"/>
    <w:rsid w:val="008D6DF1"/>
    <w:rsid w:val="008D6E9E"/>
    <w:rsid w:val="008D7045"/>
    <w:rsid w:val="008D704C"/>
    <w:rsid w:val="008D714D"/>
    <w:rsid w:val="008D72C8"/>
    <w:rsid w:val="008D7357"/>
    <w:rsid w:val="008D7518"/>
    <w:rsid w:val="008D7573"/>
    <w:rsid w:val="008D7621"/>
    <w:rsid w:val="008D77B4"/>
    <w:rsid w:val="008D7968"/>
    <w:rsid w:val="008D7AAF"/>
    <w:rsid w:val="008D7BE1"/>
    <w:rsid w:val="008D7D50"/>
    <w:rsid w:val="008D7E50"/>
    <w:rsid w:val="008D7FB4"/>
    <w:rsid w:val="008E00BE"/>
    <w:rsid w:val="008E00DC"/>
    <w:rsid w:val="008E018C"/>
    <w:rsid w:val="008E0323"/>
    <w:rsid w:val="008E0420"/>
    <w:rsid w:val="008E04CE"/>
    <w:rsid w:val="008E04E1"/>
    <w:rsid w:val="008E0685"/>
    <w:rsid w:val="008E074C"/>
    <w:rsid w:val="008E0800"/>
    <w:rsid w:val="008E0904"/>
    <w:rsid w:val="008E0997"/>
    <w:rsid w:val="008E0A00"/>
    <w:rsid w:val="008E0A74"/>
    <w:rsid w:val="008E0ECE"/>
    <w:rsid w:val="008E0F1D"/>
    <w:rsid w:val="008E0F25"/>
    <w:rsid w:val="008E0FE7"/>
    <w:rsid w:val="008E10C9"/>
    <w:rsid w:val="008E118E"/>
    <w:rsid w:val="008E11E0"/>
    <w:rsid w:val="008E1263"/>
    <w:rsid w:val="008E129E"/>
    <w:rsid w:val="008E12B6"/>
    <w:rsid w:val="008E12C6"/>
    <w:rsid w:val="008E12D6"/>
    <w:rsid w:val="008E13BC"/>
    <w:rsid w:val="008E14C8"/>
    <w:rsid w:val="008E14CC"/>
    <w:rsid w:val="008E14ED"/>
    <w:rsid w:val="008E1623"/>
    <w:rsid w:val="008E169D"/>
    <w:rsid w:val="008E16B4"/>
    <w:rsid w:val="008E171B"/>
    <w:rsid w:val="008E1794"/>
    <w:rsid w:val="008E1912"/>
    <w:rsid w:val="008E194A"/>
    <w:rsid w:val="008E1BDF"/>
    <w:rsid w:val="008E1C29"/>
    <w:rsid w:val="008E1C47"/>
    <w:rsid w:val="008E1D51"/>
    <w:rsid w:val="008E1D87"/>
    <w:rsid w:val="008E1D95"/>
    <w:rsid w:val="008E1D9C"/>
    <w:rsid w:val="008E1DCD"/>
    <w:rsid w:val="008E1DCF"/>
    <w:rsid w:val="008E1DE2"/>
    <w:rsid w:val="008E1E27"/>
    <w:rsid w:val="008E20C0"/>
    <w:rsid w:val="008E217D"/>
    <w:rsid w:val="008E22A1"/>
    <w:rsid w:val="008E2428"/>
    <w:rsid w:val="008E2795"/>
    <w:rsid w:val="008E279D"/>
    <w:rsid w:val="008E2AD4"/>
    <w:rsid w:val="008E2C19"/>
    <w:rsid w:val="008E2C2D"/>
    <w:rsid w:val="008E2E43"/>
    <w:rsid w:val="008E2ED2"/>
    <w:rsid w:val="008E302F"/>
    <w:rsid w:val="008E319F"/>
    <w:rsid w:val="008E321D"/>
    <w:rsid w:val="008E3275"/>
    <w:rsid w:val="008E356B"/>
    <w:rsid w:val="008E368E"/>
    <w:rsid w:val="008E378C"/>
    <w:rsid w:val="008E3798"/>
    <w:rsid w:val="008E38BC"/>
    <w:rsid w:val="008E38CC"/>
    <w:rsid w:val="008E3A7A"/>
    <w:rsid w:val="008E3ACB"/>
    <w:rsid w:val="008E3BE6"/>
    <w:rsid w:val="008E3DB1"/>
    <w:rsid w:val="008E3E75"/>
    <w:rsid w:val="008E3EB1"/>
    <w:rsid w:val="008E3F9E"/>
    <w:rsid w:val="008E3FF4"/>
    <w:rsid w:val="008E4026"/>
    <w:rsid w:val="008E4045"/>
    <w:rsid w:val="008E40A8"/>
    <w:rsid w:val="008E4255"/>
    <w:rsid w:val="008E42EA"/>
    <w:rsid w:val="008E4332"/>
    <w:rsid w:val="008E4402"/>
    <w:rsid w:val="008E4404"/>
    <w:rsid w:val="008E44E7"/>
    <w:rsid w:val="008E45F3"/>
    <w:rsid w:val="008E4670"/>
    <w:rsid w:val="008E468A"/>
    <w:rsid w:val="008E4692"/>
    <w:rsid w:val="008E46A1"/>
    <w:rsid w:val="008E4775"/>
    <w:rsid w:val="008E478F"/>
    <w:rsid w:val="008E48A9"/>
    <w:rsid w:val="008E48F7"/>
    <w:rsid w:val="008E499E"/>
    <w:rsid w:val="008E49E5"/>
    <w:rsid w:val="008E4CB8"/>
    <w:rsid w:val="008E4D25"/>
    <w:rsid w:val="008E4E4F"/>
    <w:rsid w:val="008E504C"/>
    <w:rsid w:val="008E5134"/>
    <w:rsid w:val="008E5144"/>
    <w:rsid w:val="008E51B2"/>
    <w:rsid w:val="008E5264"/>
    <w:rsid w:val="008E538F"/>
    <w:rsid w:val="008E549C"/>
    <w:rsid w:val="008E554E"/>
    <w:rsid w:val="008E557F"/>
    <w:rsid w:val="008E55B6"/>
    <w:rsid w:val="008E565B"/>
    <w:rsid w:val="008E570A"/>
    <w:rsid w:val="008E57F7"/>
    <w:rsid w:val="008E5835"/>
    <w:rsid w:val="008E58E3"/>
    <w:rsid w:val="008E5948"/>
    <w:rsid w:val="008E5B7E"/>
    <w:rsid w:val="008E5BD6"/>
    <w:rsid w:val="008E5CCC"/>
    <w:rsid w:val="008E5D04"/>
    <w:rsid w:val="008E5D50"/>
    <w:rsid w:val="008E5E6C"/>
    <w:rsid w:val="008E6128"/>
    <w:rsid w:val="008E615D"/>
    <w:rsid w:val="008E61AD"/>
    <w:rsid w:val="008E61BF"/>
    <w:rsid w:val="008E61CF"/>
    <w:rsid w:val="008E61E2"/>
    <w:rsid w:val="008E620B"/>
    <w:rsid w:val="008E6263"/>
    <w:rsid w:val="008E6312"/>
    <w:rsid w:val="008E6385"/>
    <w:rsid w:val="008E642F"/>
    <w:rsid w:val="008E6475"/>
    <w:rsid w:val="008E652E"/>
    <w:rsid w:val="008E6588"/>
    <w:rsid w:val="008E6694"/>
    <w:rsid w:val="008E6709"/>
    <w:rsid w:val="008E67DF"/>
    <w:rsid w:val="008E684A"/>
    <w:rsid w:val="008E68CD"/>
    <w:rsid w:val="008E68FD"/>
    <w:rsid w:val="008E6906"/>
    <w:rsid w:val="008E694D"/>
    <w:rsid w:val="008E6AC7"/>
    <w:rsid w:val="008E6B04"/>
    <w:rsid w:val="008E6BA7"/>
    <w:rsid w:val="008E6BD1"/>
    <w:rsid w:val="008E6C51"/>
    <w:rsid w:val="008E6C7C"/>
    <w:rsid w:val="008E6C9C"/>
    <w:rsid w:val="008E6D56"/>
    <w:rsid w:val="008E6E12"/>
    <w:rsid w:val="008E6E75"/>
    <w:rsid w:val="008E6E90"/>
    <w:rsid w:val="008E6FF5"/>
    <w:rsid w:val="008E7265"/>
    <w:rsid w:val="008E72A3"/>
    <w:rsid w:val="008E72FA"/>
    <w:rsid w:val="008E7458"/>
    <w:rsid w:val="008E749A"/>
    <w:rsid w:val="008E74C4"/>
    <w:rsid w:val="008E74E3"/>
    <w:rsid w:val="008E7541"/>
    <w:rsid w:val="008E767F"/>
    <w:rsid w:val="008E769C"/>
    <w:rsid w:val="008E772D"/>
    <w:rsid w:val="008E77D0"/>
    <w:rsid w:val="008E77D5"/>
    <w:rsid w:val="008E784B"/>
    <w:rsid w:val="008E7981"/>
    <w:rsid w:val="008E79D4"/>
    <w:rsid w:val="008E79F3"/>
    <w:rsid w:val="008E7A95"/>
    <w:rsid w:val="008E7BA4"/>
    <w:rsid w:val="008E7CDD"/>
    <w:rsid w:val="008E7DB8"/>
    <w:rsid w:val="008E7DE0"/>
    <w:rsid w:val="008E7E68"/>
    <w:rsid w:val="008E7F0B"/>
    <w:rsid w:val="008E7F16"/>
    <w:rsid w:val="008E7F1D"/>
    <w:rsid w:val="008E7F56"/>
    <w:rsid w:val="008F0112"/>
    <w:rsid w:val="008F0286"/>
    <w:rsid w:val="008F02C3"/>
    <w:rsid w:val="008F0304"/>
    <w:rsid w:val="008F030D"/>
    <w:rsid w:val="008F0388"/>
    <w:rsid w:val="008F059C"/>
    <w:rsid w:val="008F0639"/>
    <w:rsid w:val="008F0799"/>
    <w:rsid w:val="008F07F4"/>
    <w:rsid w:val="008F07FA"/>
    <w:rsid w:val="008F087D"/>
    <w:rsid w:val="008F088B"/>
    <w:rsid w:val="008F08A3"/>
    <w:rsid w:val="008F0927"/>
    <w:rsid w:val="008F09D6"/>
    <w:rsid w:val="008F0B53"/>
    <w:rsid w:val="008F0B5D"/>
    <w:rsid w:val="008F0BAB"/>
    <w:rsid w:val="008F0C1D"/>
    <w:rsid w:val="008F0C7D"/>
    <w:rsid w:val="008F0CBD"/>
    <w:rsid w:val="008F0D20"/>
    <w:rsid w:val="008F0D25"/>
    <w:rsid w:val="008F0D27"/>
    <w:rsid w:val="008F0DF5"/>
    <w:rsid w:val="008F0E29"/>
    <w:rsid w:val="008F0F00"/>
    <w:rsid w:val="008F0FD7"/>
    <w:rsid w:val="008F105D"/>
    <w:rsid w:val="008F115C"/>
    <w:rsid w:val="008F123E"/>
    <w:rsid w:val="008F12BB"/>
    <w:rsid w:val="008F134E"/>
    <w:rsid w:val="008F1363"/>
    <w:rsid w:val="008F137E"/>
    <w:rsid w:val="008F14DF"/>
    <w:rsid w:val="008F1521"/>
    <w:rsid w:val="008F16A2"/>
    <w:rsid w:val="008F16E1"/>
    <w:rsid w:val="008F195F"/>
    <w:rsid w:val="008F1AB9"/>
    <w:rsid w:val="008F1ACF"/>
    <w:rsid w:val="008F1B4D"/>
    <w:rsid w:val="008F1BC3"/>
    <w:rsid w:val="008F2051"/>
    <w:rsid w:val="008F20BF"/>
    <w:rsid w:val="008F21DF"/>
    <w:rsid w:val="008F21E3"/>
    <w:rsid w:val="008F222F"/>
    <w:rsid w:val="008F240B"/>
    <w:rsid w:val="008F242B"/>
    <w:rsid w:val="008F2446"/>
    <w:rsid w:val="008F248D"/>
    <w:rsid w:val="008F2512"/>
    <w:rsid w:val="008F2513"/>
    <w:rsid w:val="008F2546"/>
    <w:rsid w:val="008F2591"/>
    <w:rsid w:val="008F25DC"/>
    <w:rsid w:val="008F2744"/>
    <w:rsid w:val="008F27E9"/>
    <w:rsid w:val="008F27EB"/>
    <w:rsid w:val="008F2826"/>
    <w:rsid w:val="008F289E"/>
    <w:rsid w:val="008F29BB"/>
    <w:rsid w:val="008F2A6C"/>
    <w:rsid w:val="008F2AF7"/>
    <w:rsid w:val="008F2BA3"/>
    <w:rsid w:val="008F2BA9"/>
    <w:rsid w:val="008F2E72"/>
    <w:rsid w:val="008F2E7F"/>
    <w:rsid w:val="008F2ED1"/>
    <w:rsid w:val="008F304E"/>
    <w:rsid w:val="008F3124"/>
    <w:rsid w:val="008F31EE"/>
    <w:rsid w:val="008F3244"/>
    <w:rsid w:val="008F3249"/>
    <w:rsid w:val="008F32EA"/>
    <w:rsid w:val="008F32F6"/>
    <w:rsid w:val="008F338B"/>
    <w:rsid w:val="008F344A"/>
    <w:rsid w:val="008F356B"/>
    <w:rsid w:val="008F37DB"/>
    <w:rsid w:val="008F380A"/>
    <w:rsid w:val="008F381B"/>
    <w:rsid w:val="008F3862"/>
    <w:rsid w:val="008F387C"/>
    <w:rsid w:val="008F38AC"/>
    <w:rsid w:val="008F3909"/>
    <w:rsid w:val="008F399D"/>
    <w:rsid w:val="008F39E8"/>
    <w:rsid w:val="008F3A36"/>
    <w:rsid w:val="008F3D00"/>
    <w:rsid w:val="008F3D2E"/>
    <w:rsid w:val="008F3DE0"/>
    <w:rsid w:val="008F3E7E"/>
    <w:rsid w:val="008F407B"/>
    <w:rsid w:val="008F414D"/>
    <w:rsid w:val="008F4244"/>
    <w:rsid w:val="008F4269"/>
    <w:rsid w:val="008F4569"/>
    <w:rsid w:val="008F45CE"/>
    <w:rsid w:val="008F477A"/>
    <w:rsid w:val="008F47E7"/>
    <w:rsid w:val="008F47F4"/>
    <w:rsid w:val="008F4888"/>
    <w:rsid w:val="008F48C7"/>
    <w:rsid w:val="008F4905"/>
    <w:rsid w:val="008F4977"/>
    <w:rsid w:val="008F4B30"/>
    <w:rsid w:val="008F4B58"/>
    <w:rsid w:val="008F4BA9"/>
    <w:rsid w:val="008F4D6A"/>
    <w:rsid w:val="008F503E"/>
    <w:rsid w:val="008F5137"/>
    <w:rsid w:val="008F51AF"/>
    <w:rsid w:val="008F523F"/>
    <w:rsid w:val="008F5273"/>
    <w:rsid w:val="008F53CB"/>
    <w:rsid w:val="008F54D2"/>
    <w:rsid w:val="008F54E8"/>
    <w:rsid w:val="008F58D2"/>
    <w:rsid w:val="008F59ED"/>
    <w:rsid w:val="008F5B3C"/>
    <w:rsid w:val="008F5E1E"/>
    <w:rsid w:val="008F5F15"/>
    <w:rsid w:val="008F6050"/>
    <w:rsid w:val="008F60E7"/>
    <w:rsid w:val="008F6159"/>
    <w:rsid w:val="008F61A2"/>
    <w:rsid w:val="008F6259"/>
    <w:rsid w:val="008F625C"/>
    <w:rsid w:val="008F627C"/>
    <w:rsid w:val="008F62AC"/>
    <w:rsid w:val="008F6444"/>
    <w:rsid w:val="008F64FF"/>
    <w:rsid w:val="008F6580"/>
    <w:rsid w:val="008F6670"/>
    <w:rsid w:val="008F673F"/>
    <w:rsid w:val="008F67D0"/>
    <w:rsid w:val="008F68C4"/>
    <w:rsid w:val="008F68F9"/>
    <w:rsid w:val="008F6910"/>
    <w:rsid w:val="008F694B"/>
    <w:rsid w:val="008F6ADD"/>
    <w:rsid w:val="008F6B54"/>
    <w:rsid w:val="008F6D46"/>
    <w:rsid w:val="008F6E94"/>
    <w:rsid w:val="008F7104"/>
    <w:rsid w:val="008F71B7"/>
    <w:rsid w:val="008F726B"/>
    <w:rsid w:val="008F72F3"/>
    <w:rsid w:val="008F7422"/>
    <w:rsid w:val="008F762F"/>
    <w:rsid w:val="008F76D8"/>
    <w:rsid w:val="008F7884"/>
    <w:rsid w:val="008F7992"/>
    <w:rsid w:val="008F79A5"/>
    <w:rsid w:val="008F79E9"/>
    <w:rsid w:val="008F7A91"/>
    <w:rsid w:val="008F7AE1"/>
    <w:rsid w:val="008F7B3C"/>
    <w:rsid w:val="008F7B4F"/>
    <w:rsid w:val="008F7B89"/>
    <w:rsid w:val="008F7CD2"/>
    <w:rsid w:val="008F7D49"/>
    <w:rsid w:val="008F7E71"/>
    <w:rsid w:val="008F7EA2"/>
    <w:rsid w:val="008F7F7E"/>
    <w:rsid w:val="008F7FFC"/>
    <w:rsid w:val="00900073"/>
    <w:rsid w:val="00900082"/>
    <w:rsid w:val="009000C4"/>
    <w:rsid w:val="009001B8"/>
    <w:rsid w:val="009002BB"/>
    <w:rsid w:val="00900319"/>
    <w:rsid w:val="00900406"/>
    <w:rsid w:val="00900488"/>
    <w:rsid w:val="00900604"/>
    <w:rsid w:val="00900752"/>
    <w:rsid w:val="009008C0"/>
    <w:rsid w:val="009008DC"/>
    <w:rsid w:val="00900B1E"/>
    <w:rsid w:val="00900BAA"/>
    <w:rsid w:val="00900C42"/>
    <w:rsid w:val="00900E4D"/>
    <w:rsid w:val="00900F47"/>
    <w:rsid w:val="00901034"/>
    <w:rsid w:val="00901059"/>
    <w:rsid w:val="0090109F"/>
    <w:rsid w:val="009012C1"/>
    <w:rsid w:val="00901516"/>
    <w:rsid w:val="009016D1"/>
    <w:rsid w:val="00901780"/>
    <w:rsid w:val="009017B4"/>
    <w:rsid w:val="009018D2"/>
    <w:rsid w:val="009018D4"/>
    <w:rsid w:val="00901C89"/>
    <w:rsid w:val="00901CE8"/>
    <w:rsid w:val="00901D0E"/>
    <w:rsid w:val="00901D26"/>
    <w:rsid w:val="00901DA5"/>
    <w:rsid w:val="00901DEF"/>
    <w:rsid w:val="00901E4D"/>
    <w:rsid w:val="00901EA8"/>
    <w:rsid w:val="0090209B"/>
    <w:rsid w:val="009020A8"/>
    <w:rsid w:val="00902287"/>
    <w:rsid w:val="00902289"/>
    <w:rsid w:val="009024D8"/>
    <w:rsid w:val="00902535"/>
    <w:rsid w:val="00902669"/>
    <w:rsid w:val="0090266D"/>
    <w:rsid w:val="0090273E"/>
    <w:rsid w:val="009027D2"/>
    <w:rsid w:val="0090284B"/>
    <w:rsid w:val="0090288E"/>
    <w:rsid w:val="009028BC"/>
    <w:rsid w:val="0090290C"/>
    <w:rsid w:val="00902A50"/>
    <w:rsid w:val="00902BB4"/>
    <w:rsid w:val="00902C64"/>
    <w:rsid w:val="00902E37"/>
    <w:rsid w:val="00902E3B"/>
    <w:rsid w:val="00902F63"/>
    <w:rsid w:val="0090303C"/>
    <w:rsid w:val="0090310A"/>
    <w:rsid w:val="009031FC"/>
    <w:rsid w:val="009034DE"/>
    <w:rsid w:val="009035C0"/>
    <w:rsid w:val="00903779"/>
    <w:rsid w:val="00903869"/>
    <w:rsid w:val="009038D2"/>
    <w:rsid w:val="00903A9D"/>
    <w:rsid w:val="00903AB0"/>
    <w:rsid w:val="00903C8E"/>
    <w:rsid w:val="00903D7F"/>
    <w:rsid w:val="00903DFE"/>
    <w:rsid w:val="00903E14"/>
    <w:rsid w:val="00903E24"/>
    <w:rsid w:val="00903E88"/>
    <w:rsid w:val="00903FC1"/>
    <w:rsid w:val="00903FFD"/>
    <w:rsid w:val="00904046"/>
    <w:rsid w:val="009040A6"/>
    <w:rsid w:val="009041CB"/>
    <w:rsid w:val="009043C9"/>
    <w:rsid w:val="0090458E"/>
    <w:rsid w:val="0090475B"/>
    <w:rsid w:val="00904935"/>
    <w:rsid w:val="00904986"/>
    <w:rsid w:val="009049EC"/>
    <w:rsid w:val="00904ACC"/>
    <w:rsid w:val="00904B54"/>
    <w:rsid w:val="00904C6E"/>
    <w:rsid w:val="00904C9E"/>
    <w:rsid w:val="00904DEC"/>
    <w:rsid w:val="00904E63"/>
    <w:rsid w:val="00904EF7"/>
    <w:rsid w:val="009050CA"/>
    <w:rsid w:val="0090523D"/>
    <w:rsid w:val="0090526D"/>
    <w:rsid w:val="009052E6"/>
    <w:rsid w:val="009053F2"/>
    <w:rsid w:val="0090540D"/>
    <w:rsid w:val="0090540E"/>
    <w:rsid w:val="00905456"/>
    <w:rsid w:val="00905586"/>
    <w:rsid w:val="0090567B"/>
    <w:rsid w:val="0090573D"/>
    <w:rsid w:val="0090592B"/>
    <w:rsid w:val="009059AE"/>
    <w:rsid w:val="00905BFE"/>
    <w:rsid w:val="00905CBC"/>
    <w:rsid w:val="00905D5E"/>
    <w:rsid w:val="00905D83"/>
    <w:rsid w:val="00905FFE"/>
    <w:rsid w:val="0090609A"/>
    <w:rsid w:val="00906118"/>
    <w:rsid w:val="009061B6"/>
    <w:rsid w:val="00906463"/>
    <w:rsid w:val="0090647B"/>
    <w:rsid w:val="009064D0"/>
    <w:rsid w:val="009066CB"/>
    <w:rsid w:val="00906752"/>
    <w:rsid w:val="00906891"/>
    <w:rsid w:val="009068AD"/>
    <w:rsid w:val="00906920"/>
    <w:rsid w:val="00906A9F"/>
    <w:rsid w:val="00906ACB"/>
    <w:rsid w:val="00906B3B"/>
    <w:rsid w:val="00906E96"/>
    <w:rsid w:val="00906F14"/>
    <w:rsid w:val="00906F51"/>
    <w:rsid w:val="00906FDB"/>
    <w:rsid w:val="00907204"/>
    <w:rsid w:val="00907240"/>
    <w:rsid w:val="00907339"/>
    <w:rsid w:val="00907392"/>
    <w:rsid w:val="009074AA"/>
    <w:rsid w:val="00907542"/>
    <w:rsid w:val="00907568"/>
    <w:rsid w:val="00907621"/>
    <w:rsid w:val="00907626"/>
    <w:rsid w:val="00907978"/>
    <w:rsid w:val="00907A4B"/>
    <w:rsid w:val="00907CA5"/>
    <w:rsid w:val="00907E29"/>
    <w:rsid w:val="0091005E"/>
    <w:rsid w:val="00910116"/>
    <w:rsid w:val="00910124"/>
    <w:rsid w:val="00910280"/>
    <w:rsid w:val="00910309"/>
    <w:rsid w:val="00910333"/>
    <w:rsid w:val="009103D7"/>
    <w:rsid w:val="009107B7"/>
    <w:rsid w:val="0091081A"/>
    <w:rsid w:val="009108BC"/>
    <w:rsid w:val="009108ED"/>
    <w:rsid w:val="0091091D"/>
    <w:rsid w:val="00910969"/>
    <w:rsid w:val="00910A8E"/>
    <w:rsid w:val="00910AE7"/>
    <w:rsid w:val="00910B4C"/>
    <w:rsid w:val="00910C8D"/>
    <w:rsid w:val="00910D5C"/>
    <w:rsid w:val="00910DDB"/>
    <w:rsid w:val="00910EF2"/>
    <w:rsid w:val="00910F20"/>
    <w:rsid w:val="00910F80"/>
    <w:rsid w:val="009110C4"/>
    <w:rsid w:val="00911109"/>
    <w:rsid w:val="00911242"/>
    <w:rsid w:val="009112C6"/>
    <w:rsid w:val="009113D6"/>
    <w:rsid w:val="00911551"/>
    <w:rsid w:val="009115EA"/>
    <w:rsid w:val="0091163C"/>
    <w:rsid w:val="00911774"/>
    <w:rsid w:val="0091177B"/>
    <w:rsid w:val="009117A1"/>
    <w:rsid w:val="009117AE"/>
    <w:rsid w:val="009118F2"/>
    <w:rsid w:val="00911A13"/>
    <w:rsid w:val="00911B1E"/>
    <w:rsid w:val="00911CD8"/>
    <w:rsid w:val="00911D4A"/>
    <w:rsid w:val="00911DE6"/>
    <w:rsid w:val="00911FF2"/>
    <w:rsid w:val="00912104"/>
    <w:rsid w:val="00912139"/>
    <w:rsid w:val="009121B3"/>
    <w:rsid w:val="00912259"/>
    <w:rsid w:val="009122A9"/>
    <w:rsid w:val="00912301"/>
    <w:rsid w:val="00912443"/>
    <w:rsid w:val="00912477"/>
    <w:rsid w:val="009124BC"/>
    <w:rsid w:val="009125FC"/>
    <w:rsid w:val="00912B04"/>
    <w:rsid w:val="00912CF0"/>
    <w:rsid w:val="00912E62"/>
    <w:rsid w:val="00912EAA"/>
    <w:rsid w:val="00912EB9"/>
    <w:rsid w:val="00912EBE"/>
    <w:rsid w:val="00912EFE"/>
    <w:rsid w:val="00912FD9"/>
    <w:rsid w:val="00912FE6"/>
    <w:rsid w:val="00913151"/>
    <w:rsid w:val="00913213"/>
    <w:rsid w:val="00913289"/>
    <w:rsid w:val="00913298"/>
    <w:rsid w:val="009133AB"/>
    <w:rsid w:val="00913516"/>
    <w:rsid w:val="0091357F"/>
    <w:rsid w:val="009135C7"/>
    <w:rsid w:val="009135D1"/>
    <w:rsid w:val="00913870"/>
    <w:rsid w:val="009138A1"/>
    <w:rsid w:val="0091391C"/>
    <w:rsid w:val="00913932"/>
    <w:rsid w:val="00913964"/>
    <w:rsid w:val="00913A6A"/>
    <w:rsid w:val="00913AEF"/>
    <w:rsid w:val="00913BDC"/>
    <w:rsid w:val="00913C1A"/>
    <w:rsid w:val="00913DC6"/>
    <w:rsid w:val="00913E32"/>
    <w:rsid w:val="00913EDC"/>
    <w:rsid w:val="00913F5D"/>
    <w:rsid w:val="00913FC9"/>
    <w:rsid w:val="0091417C"/>
    <w:rsid w:val="009142F6"/>
    <w:rsid w:val="0091436F"/>
    <w:rsid w:val="00914516"/>
    <w:rsid w:val="00914878"/>
    <w:rsid w:val="00914B1A"/>
    <w:rsid w:val="00914B2C"/>
    <w:rsid w:val="00914B80"/>
    <w:rsid w:val="00914BE1"/>
    <w:rsid w:val="00914CF4"/>
    <w:rsid w:val="00914D98"/>
    <w:rsid w:val="00914EA2"/>
    <w:rsid w:val="00914F0E"/>
    <w:rsid w:val="009150CB"/>
    <w:rsid w:val="009151FA"/>
    <w:rsid w:val="0091561F"/>
    <w:rsid w:val="0091580E"/>
    <w:rsid w:val="009158A6"/>
    <w:rsid w:val="00915979"/>
    <w:rsid w:val="00915B3D"/>
    <w:rsid w:val="00915B89"/>
    <w:rsid w:val="00915BAF"/>
    <w:rsid w:val="00915BE0"/>
    <w:rsid w:val="00915C38"/>
    <w:rsid w:val="00915CA6"/>
    <w:rsid w:val="00915D13"/>
    <w:rsid w:val="00915D9F"/>
    <w:rsid w:val="00915EB7"/>
    <w:rsid w:val="00915F6C"/>
    <w:rsid w:val="00916077"/>
    <w:rsid w:val="00916324"/>
    <w:rsid w:val="00916509"/>
    <w:rsid w:val="0091653B"/>
    <w:rsid w:val="009165BE"/>
    <w:rsid w:val="0091662D"/>
    <w:rsid w:val="00916647"/>
    <w:rsid w:val="009167DD"/>
    <w:rsid w:val="009167FE"/>
    <w:rsid w:val="00916888"/>
    <w:rsid w:val="0091691F"/>
    <w:rsid w:val="0091693C"/>
    <w:rsid w:val="0091697F"/>
    <w:rsid w:val="00916AEF"/>
    <w:rsid w:val="00916BFF"/>
    <w:rsid w:val="00916C22"/>
    <w:rsid w:val="00916C3B"/>
    <w:rsid w:val="00916F9A"/>
    <w:rsid w:val="00916FCC"/>
    <w:rsid w:val="00916FD9"/>
    <w:rsid w:val="00917111"/>
    <w:rsid w:val="009171C3"/>
    <w:rsid w:val="009171EB"/>
    <w:rsid w:val="0091749A"/>
    <w:rsid w:val="009174A3"/>
    <w:rsid w:val="009174AE"/>
    <w:rsid w:val="0091761F"/>
    <w:rsid w:val="00917832"/>
    <w:rsid w:val="009179BD"/>
    <w:rsid w:val="00917B51"/>
    <w:rsid w:val="00917C1A"/>
    <w:rsid w:val="00917C8A"/>
    <w:rsid w:val="00917D14"/>
    <w:rsid w:val="00917D8C"/>
    <w:rsid w:val="00917DF1"/>
    <w:rsid w:val="00917ED4"/>
    <w:rsid w:val="00917F3E"/>
    <w:rsid w:val="00917F93"/>
    <w:rsid w:val="00917FAD"/>
    <w:rsid w:val="009201AC"/>
    <w:rsid w:val="009203AA"/>
    <w:rsid w:val="00920465"/>
    <w:rsid w:val="00920471"/>
    <w:rsid w:val="009204DE"/>
    <w:rsid w:val="009204F1"/>
    <w:rsid w:val="00920550"/>
    <w:rsid w:val="009205D1"/>
    <w:rsid w:val="009205E2"/>
    <w:rsid w:val="00920755"/>
    <w:rsid w:val="0092085B"/>
    <w:rsid w:val="00920903"/>
    <w:rsid w:val="0092091F"/>
    <w:rsid w:val="009209C8"/>
    <w:rsid w:val="00920A96"/>
    <w:rsid w:val="00920AD2"/>
    <w:rsid w:val="00920B40"/>
    <w:rsid w:val="00920D66"/>
    <w:rsid w:val="00920DB7"/>
    <w:rsid w:val="00920F6E"/>
    <w:rsid w:val="00920FCE"/>
    <w:rsid w:val="00920FE1"/>
    <w:rsid w:val="00920FFD"/>
    <w:rsid w:val="00921013"/>
    <w:rsid w:val="00921119"/>
    <w:rsid w:val="00921134"/>
    <w:rsid w:val="00921408"/>
    <w:rsid w:val="009214C4"/>
    <w:rsid w:val="009214EF"/>
    <w:rsid w:val="00921529"/>
    <w:rsid w:val="009216F4"/>
    <w:rsid w:val="0092170A"/>
    <w:rsid w:val="00921936"/>
    <w:rsid w:val="00921AA3"/>
    <w:rsid w:val="00921AC7"/>
    <w:rsid w:val="00921AD7"/>
    <w:rsid w:val="00921B64"/>
    <w:rsid w:val="00921E8F"/>
    <w:rsid w:val="00922221"/>
    <w:rsid w:val="00922353"/>
    <w:rsid w:val="009223B8"/>
    <w:rsid w:val="009223F4"/>
    <w:rsid w:val="009224E8"/>
    <w:rsid w:val="009226AD"/>
    <w:rsid w:val="009226F6"/>
    <w:rsid w:val="0092284B"/>
    <w:rsid w:val="00922872"/>
    <w:rsid w:val="00922962"/>
    <w:rsid w:val="009229B0"/>
    <w:rsid w:val="00922B66"/>
    <w:rsid w:val="00922C17"/>
    <w:rsid w:val="00922CF3"/>
    <w:rsid w:val="00922D91"/>
    <w:rsid w:val="00922DED"/>
    <w:rsid w:val="00922DF4"/>
    <w:rsid w:val="00922EB6"/>
    <w:rsid w:val="00922ED0"/>
    <w:rsid w:val="00922ED4"/>
    <w:rsid w:val="00922FD3"/>
    <w:rsid w:val="00923164"/>
    <w:rsid w:val="009231B2"/>
    <w:rsid w:val="0092338A"/>
    <w:rsid w:val="009233EA"/>
    <w:rsid w:val="009236E9"/>
    <w:rsid w:val="00923774"/>
    <w:rsid w:val="00923B1B"/>
    <w:rsid w:val="00923B51"/>
    <w:rsid w:val="00923B8A"/>
    <w:rsid w:val="00923C37"/>
    <w:rsid w:val="00923CB3"/>
    <w:rsid w:val="00923CFB"/>
    <w:rsid w:val="00923E79"/>
    <w:rsid w:val="00924020"/>
    <w:rsid w:val="009240A2"/>
    <w:rsid w:val="00924135"/>
    <w:rsid w:val="00924196"/>
    <w:rsid w:val="00924224"/>
    <w:rsid w:val="00924234"/>
    <w:rsid w:val="009242A9"/>
    <w:rsid w:val="00924318"/>
    <w:rsid w:val="00924386"/>
    <w:rsid w:val="00924576"/>
    <w:rsid w:val="00924581"/>
    <w:rsid w:val="009245E4"/>
    <w:rsid w:val="00924661"/>
    <w:rsid w:val="0092466A"/>
    <w:rsid w:val="0092470B"/>
    <w:rsid w:val="00924944"/>
    <w:rsid w:val="00924A76"/>
    <w:rsid w:val="00924AC5"/>
    <w:rsid w:val="00924B29"/>
    <w:rsid w:val="00924C03"/>
    <w:rsid w:val="00924D26"/>
    <w:rsid w:val="00924D58"/>
    <w:rsid w:val="00924EE0"/>
    <w:rsid w:val="00924EE7"/>
    <w:rsid w:val="00924F41"/>
    <w:rsid w:val="009250B5"/>
    <w:rsid w:val="009250B9"/>
    <w:rsid w:val="0092528A"/>
    <w:rsid w:val="00925309"/>
    <w:rsid w:val="00925467"/>
    <w:rsid w:val="0092554C"/>
    <w:rsid w:val="00925586"/>
    <w:rsid w:val="00925784"/>
    <w:rsid w:val="00925808"/>
    <w:rsid w:val="009258C7"/>
    <w:rsid w:val="00925A47"/>
    <w:rsid w:val="00925AC3"/>
    <w:rsid w:val="00925AF2"/>
    <w:rsid w:val="00925C06"/>
    <w:rsid w:val="00925D04"/>
    <w:rsid w:val="00925D83"/>
    <w:rsid w:val="00925DDC"/>
    <w:rsid w:val="00925E23"/>
    <w:rsid w:val="00925E30"/>
    <w:rsid w:val="00925E7B"/>
    <w:rsid w:val="00925EFC"/>
    <w:rsid w:val="00926049"/>
    <w:rsid w:val="009260BF"/>
    <w:rsid w:val="009260F7"/>
    <w:rsid w:val="009261B8"/>
    <w:rsid w:val="009263A0"/>
    <w:rsid w:val="009263D6"/>
    <w:rsid w:val="00926469"/>
    <w:rsid w:val="0092647B"/>
    <w:rsid w:val="00926486"/>
    <w:rsid w:val="00926569"/>
    <w:rsid w:val="009265C3"/>
    <w:rsid w:val="00926667"/>
    <w:rsid w:val="009266DD"/>
    <w:rsid w:val="00926712"/>
    <w:rsid w:val="00926732"/>
    <w:rsid w:val="00926737"/>
    <w:rsid w:val="00926769"/>
    <w:rsid w:val="00926788"/>
    <w:rsid w:val="00926890"/>
    <w:rsid w:val="009269D6"/>
    <w:rsid w:val="00926A15"/>
    <w:rsid w:val="00926A6B"/>
    <w:rsid w:val="00926ADF"/>
    <w:rsid w:val="00926B1C"/>
    <w:rsid w:val="00926B6A"/>
    <w:rsid w:val="00926B73"/>
    <w:rsid w:val="00926CAC"/>
    <w:rsid w:val="00926CD7"/>
    <w:rsid w:val="00926DC8"/>
    <w:rsid w:val="00926E07"/>
    <w:rsid w:val="00926EA0"/>
    <w:rsid w:val="00926ECB"/>
    <w:rsid w:val="00926F0A"/>
    <w:rsid w:val="009270EE"/>
    <w:rsid w:val="0092711D"/>
    <w:rsid w:val="00927164"/>
    <w:rsid w:val="00927284"/>
    <w:rsid w:val="009272D9"/>
    <w:rsid w:val="00927315"/>
    <w:rsid w:val="00927321"/>
    <w:rsid w:val="00927439"/>
    <w:rsid w:val="00927504"/>
    <w:rsid w:val="00927596"/>
    <w:rsid w:val="0092768A"/>
    <w:rsid w:val="00927701"/>
    <w:rsid w:val="00927705"/>
    <w:rsid w:val="00927707"/>
    <w:rsid w:val="00927740"/>
    <w:rsid w:val="00927958"/>
    <w:rsid w:val="0092798F"/>
    <w:rsid w:val="009279F9"/>
    <w:rsid w:val="00927AB2"/>
    <w:rsid w:val="00927AF8"/>
    <w:rsid w:val="00927B57"/>
    <w:rsid w:val="00927EA9"/>
    <w:rsid w:val="00927F4A"/>
    <w:rsid w:val="009300AB"/>
    <w:rsid w:val="009300E7"/>
    <w:rsid w:val="00930196"/>
    <w:rsid w:val="009303DA"/>
    <w:rsid w:val="00930564"/>
    <w:rsid w:val="009307D4"/>
    <w:rsid w:val="009308F4"/>
    <w:rsid w:val="00930955"/>
    <w:rsid w:val="00930977"/>
    <w:rsid w:val="0093097D"/>
    <w:rsid w:val="00930A03"/>
    <w:rsid w:val="00930A66"/>
    <w:rsid w:val="00930C29"/>
    <w:rsid w:val="00930D14"/>
    <w:rsid w:val="00930D1E"/>
    <w:rsid w:val="00930D91"/>
    <w:rsid w:val="00930D9E"/>
    <w:rsid w:val="00930EDF"/>
    <w:rsid w:val="00930F10"/>
    <w:rsid w:val="00930F37"/>
    <w:rsid w:val="00931002"/>
    <w:rsid w:val="0093101F"/>
    <w:rsid w:val="00931154"/>
    <w:rsid w:val="00931176"/>
    <w:rsid w:val="00931183"/>
    <w:rsid w:val="00931199"/>
    <w:rsid w:val="009312F9"/>
    <w:rsid w:val="00931310"/>
    <w:rsid w:val="009314A3"/>
    <w:rsid w:val="009314A7"/>
    <w:rsid w:val="0093165F"/>
    <w:rsid w:val="009316C2"/>
    <w:rsid w:val="00931725"/>
    <w:rsid w:val="009317A5"/>
    <w:rsid w:val="009317C9"/>
    <w:rsid w:val="00931982"/>
    <w:rsid w:val="00931DB4"/>
    <w:rsid w:val="00931DF8"/>
    <w:rsid w:val="00931DFD"/>
    <w:rsid w:val="00931E5D"/>
    <w:rsid w:val="00931F33"/>
    <w:rsid w:val="00931F67"/>
    <w:rsid w:val="00931FB3"/>
    <w:rsid w:val="0093201C"/>
    <w:rsid w:val="00932319"/>
    <w:rsid w:val="0093236E"/>
    <w:rsid w:val="009325BF"/>
    <w:rsid w:val="00932C77"/>
    <w:rsid w:val="00932FC0"/>
    <w:rsid w:val="00933147"/>
    <w:rsid w:val="00933171"/>
    <w:rsid w:val="00933300"/>
    <w:rsid w:val="009333AC"/>
    <w:rsid w:val="009333FA"/>
    <w:rsid w:val="009334BA"/>
    <w:rsid w:val="009334E6"/>
    <w:rsid w:val="009335A2"/>
    <w:rsid w:val="009336E7"/>
    <w:rsid w:val="00933772"/>
    <w:rsid w:val="009338D8"/>
    <w:rsid w:val="009339A7"/>
    <w:rsid w:val="00933A3F"/>
    <w:rsid w:val="00933A5F"/>
    <w:rsid w:val="00933B60"/>
    <w:rsid w:val="00933B68"/>
    <w:rsid w:val="00933CEC"/>
    <w:rsid w:val="00933D42"/>
    <w:rsid w:val="00933DCC"/>
    <w:rsid w:val="00933E58"/>
    <w:rsid w:val="00933F0E"/>
    <w:rsid w:val="00933F2D"/>
    <w:rsid w:val="00933FC8"/>
    <w:rsid w:val="00933FF7"/>
    <w:rsid w:val="0093426F"/>
    <w:rsid w:val="0093430A"/>
    <w:rsid w:val="0093432B"/>
    <w:rsid w:val="0093434B"/>
    <w:rsid w:val="00934384"/>
    <w:rsid w:val="00934423"/>
    <w:rsid w:val="009344EE"/>
    <w:rsid w:val="009345C5"/>
    <w:rsid w:val="009345E0"/>
    <w:rsid w:val="009346EF"/>
    <w:rsid w:val="0093470E"/>
    <w:rsid w:val="00934883"/>
    <w:rsid w:val="00934931"/>
    <w:rsid w:val="00934959"/>
    <w:rsid w:val="00934A0F"/>
    <w:rsid w:val="00934A58"/>
    <w:rsid w:val="00934B8F"/>
    <w:rsid w:val="00934CB5"/>
    <w:rsid w:val="00934FD5"/>
    <w:rsid w:val="009350E6"/>
    <w:rsid w:val="0093530D"/>
    <w:rsid w:val="009357BF"/>
    <w:rsid w:val="00935899"/>
    <w:rsid w:val="009359A0"/>
    <w:rsid w:val="00935A81"/>
    <w:rsid w:val="00935A88"/>
    <w:rsid w:val="00935BB6"/>
    <w:rsid w:val="00935C1A"/>
    <w:rsid w:val="00935D35"/>
    <w:rsid w:val="00935E77"/>
    <w:rsid w:val="009360BE"/>
    <w:rsid w:val="0093626C"/>
    <w:rsid w:val="00936306"/>
    <w:rsid w:val="00936338"/>
    <w:rsid w:val="009363A7"/>
    <w:rsid w:val="009365CE"/>
    <w:rsid w:val="0093675C"/>
    <w:rsid w:val="0093683B"/>
    <w:rsid w:val="009369B7"/>
    <w:rsid w:val="00936BCE"/>
    <w:rsid w:val="00936C56"/>
    <w:rsid w:val="00936CBA"/>
    <w:rsid w:val="00936D62"/>
    <w:rsid w:val="00936E2C"/>
    <w:rsid w:val="00936E4A"/>
    <w:rsid w:val="00936EE5"/>
    <w:rsid w:val="00936F52"/>
    <w:rsid w:val="00936F78"/>
    <w:rsid w:val="00936FA6"/>
    <w:rsid w:val="0093702D"/>
    <w:rsid w:val="00937116"/>
    <w:rsid w:val="00937196"/>
    <w:rsid w:val="009371C5"/>
    <w:rsid w:val="009372C7"/>
    <w:rsid w:val="009372D6"/>
    <w:rsid w:val="009373DB"/>
    <w:rsid w:val="0093742A"/>
    <w:rsid w:val="00937493"/>
    <w:rsid w:val="009375F4"/>
    <w:rsid w:val="00937840"/>
    <w:rsid w:val="009378A0"/>
    <w:rsid w:val="00937914"/>
    <w:rsid w:val="009379D7"/>
    <w:rsid w:val="00937A84"/>
    <w:rsid w:val="00937B02"/>
    <w:rsid w:val="00937B50"/>
    <w:rsid w:val="00937BB7"/>
    <w:rsid w:val="00937C22"/>
    <w:rsid w:val="00937C4D"/>
    <w:rsid w:val="00937C8A"/>
    <w:rsid w:val="00937E06"/>
    <w:rsid w:val="0094024F"/>
    <w:rsid w:val="0094029A"/>
    <w:rsid w:val="0094033F"/>
    <w:rsid w:val="00940375"/>
    <w:rsid w:val="009404FD"/>
    <w:rsid w:val="00940577"/>
    <w:rsid w:val="0094066C"/>
    <w:rsid w:val="00940796"/>
    <w:rsid w:val="00940849"/>
    <w:rsid w:val="00940A81"/>
    <w:rsid w:val="00940B9B"/>
    <w:rsid w:val="00940C04"/>
    <w:rsid w:val="00940C54"/>
    <w:rsid w:val="00940D2D"/>
    <w:rsid w:val="00940DCC"/>
    <w:rsid w:val="00940E9F"/>
    <w:rsid w:val="00940FB6"/>
    <w:rsid w:val="00941094"/>
    <w:rsid w:val="0094128A"/>
    <w:rsid w:val="009412BA"/>
    <w:rsid w:val="0094130A"/>
    <w:rsid w:val="009413F5"/>
    <w:rsid w:val="0094146B"/>
    <w:rsid w:val="009414CD"/>
    <w:rsid w:val="00941694"/>
    <w:rsid w:val="009418DB"/>
    <w:rsid w:val="00941914"/>
    <w:rsid w:val="00941967"/>
    <w:rsid w:val="009419E3"/>
    <w:rsid w:val="00941AEF"/>
    <w:rsid w:val="00941BB8"/>
    <w:rsid w:val="00941C06"/>
    <w:rsid w:val="00941D5F"/>
    <w:rsid w:val="00941D67"/>
    <w:rsid w:val="00941DCB"/>
    <w:rsid w:val="00941F17"/>
    <w:rsid w:val="009420E3"/>
    <w:rsid w:val="00942139"/>
    <w:rsid w:val="009422DD"/>
    <w:rsid w:val="009423B6"/>
    <w:rsid w:val="009423E8"/>
    <w:rsid w:val="0094266B"/>
    <w:rsid w:val="00942784"/>
    <w:rsid w:val="009428F7"/>
    <w:rsid w:val="009428FC"/>
    <w:rsid w:val="009429E4"/>
    <w:rsid w:val="009429F3"/>
    <w:rsid w:val="00942A79"/>
    <w:rsid w:val="00942AA7"/>
    <w:rsid w:val="00942ADC"/>
    <w:rsid w:val="00942B00"/>
    <w:rsid w:val="00942BAC"/>
    <w:rsid w:val="00942C15"/>
    <w:rsid w:val="00942C56"/>
    <w:rsid w:val="00942EF4"/>
    <w:rsid w:val="00942FC7"/>
    <w:rsid w:val="00942FF0"/>
    <w:rsid w:val="00943053"/>
    <w:rsid w:val="009430B7"/>
    <w:rsid w:val="009430F6"/>
    <w:rsid w:val="009431AC"/>
    <w:rsid w:val="009431C8"/>
    <w:rsid w:val="009431E8"/>
    <w:rsid w:val="00943240"/>
    <w:rsid w:val="00943248"/>
    <w:rsid w:val="0094333D"/>
    <w:rsid w:val="00943342"/>
    <w:rsid w:val="009433A3"/>
    <w:rsid w:val="00943417"/>
    <w:rsid w:val="00943526"/>
    <w:rsid w:val="009436D4"/>
    <w:rsid w:val="00943703"/>
    <w:rsid w:val="0094378B"/>
    <w:rsid w:val="009437A0"/>
    <w:rsid w:val="009438CE"/>
    <w:rsid w:val="009438EB"/>
    <w:rsid w:val="00943BEB"/>
    <w:rsid w:val="00943D0D"/>
    <w:rsid w:val="00943D2F"/>
    <w:rsid w:val="00943DD0"/>
    <w:rsid w:val="00943E2D"/>
    <w:rsid w:val="00943E5A"/>
    <w:rsid w:val="00943FEC"/>
    <w:rsid w:val="00944051"/>
    <w:rsid w:val="009440A7"/>
    <w:rsid w:val="009440D8"/>
    <w:rsid w:val="00944307"/>
    <w:rsid w:val="0094431E"/>
    <w:rsid w:val="0094441A"/>
    <w:rsid w:val="0094454A"/>
    <w:rsid w:val="00944589"/>
    <w:rsid w:val="00944658"/>
    <w:rsid w:val="00944805"/>
    <w:rsid w:val="00944808"/>
    <w:rsid w:val="00944955"/>
    <w:rsid w:val="00944A2F"/>
    <w:rsid w:val="00944C66"/>
    <w:rsid w:val="00944D40"/>
    <w:rsid w:val="00944DF7"/>
    <w:rsid w:val="00944EB5"/>
    <w:rsid w:val="00944F7A"/>
    <w:rsid w:val="00944F86"/>
    <w:rsid w:val="00944FCF"/>
    <w:rsid w:val="00945045"/>
    <w:rsid w:val="00945151"/>
    <w:rsid w:val="00945168"/>
    <w:rsid w:val="009452CF"/>
    <w:rsid w:val="009452D9"/>
    <w:rsid w:val="009453D7"/>
    <w:rsid w:val="0094569E"/>
    <w:rsid w:val="00945722"/>
    <w:rsid w:val="0094596F"/>
    <w:rsid w:val="009459E1"/>
    <w:rsid w:val="00945AC0"/>
    <w:rsid w:val="00945B91"/>
    <w:rsid w:val="00945CF5"/>
    <w:rsid w:val="00945DB8"/>
    <w:rsid w:val="00945DC1"/>
    <w:rsid w:val="00945DF6"/>
    <w:rsid w:val="00945DFC"/>
    <w:rsid w:val="00945E6B"/>
    <w:rsid w:val="00946095"/>
    <w:rsid w:val="0094616C"/>
    <w:rsid w:val="00946206"/>
    <w:rsid w:val="00946237"/>
    <w:rsid w:val="009462D9"/>
    <w:rsid w:val="009463B1"/>
    <w:rsid w:val="009463F1"/>
    <w:rsid w:val="0094653E"/>
    <w:rsid w:val="0094654D"/>
    <w:rsid w:val="0094668C"/>
    <w:rsid w:val="00946747"/>
    <w:rsid w:val="009467C3"/>
    <w:rsid w:val="00946966"/>
    <w:rsid w:val="0094697A"/>
    <w:rsid w:val="00946A8C"/>
    <w:rsid w:val="00946B3F"/>
    <w:rsid w:val="00946B7E"/>
    <w:rsid w:val="0094703A"/>
    <w:rsid w:val="009471ED"/>
    <w:rsid w:val="00947225"/>
    <w:rsid w:val="00947295"/>
    <w:rsid w:val="0094765F"/>
    <w:rsid w:val="00947766"/>
    <w:rsid w:val="009477DA"/>
    <w:rsid w:val="009478DB"/>
    <w:rsid w:val="0094791B"/>
    <w:rsid w:val="0094792A"/>
    <w:rsid w:val="00947975"/>
    <w:rsid w:val="0094799F"/>
    <w:rsid w:val="00947AE6"/>
    <w:rsid w:val="00947B00"/>
    <w:rsid w:val="00947B86"/>
    <w:rsid w:val="00947C7B"/>
    <w:rsid w:val="00947CC1"/>
    <w:rsid w:val="00947D18"/>
    <w:rsid w:val="00947D6B"/>
    <w:rsid w:val="00947FFD"/>
    <w:rsid w:val="00950207"/>
    <w:rsid w:val="00950390"/>
    <w:rsid w:val="009503D1"/>
    <w:rsid w:val="00950485"/>
    <w:rsid w:val="00950614"/>
    <w:rsid w:val="00950687"/>
    <w:rsid w:val="0095068D"/>
    <w:rsid w:val="009506AF"/>
    <w:rsid w:val="0095086E"/>
    <w:rsid w:val="00950997"/>
    <w:rsid w:val="00950ACA"/>
    <w:rsid w:val="00950C26"/>
    <w:rsid w:val="00950D18"/>
    <w:rsid w:val="00950DBE"/>
    <w:rsid w:val="00950F56"/>
    <w:rsid w:val="0095100F"/>
    <w:rsid w:val="00951085"/>
    <w:rsid w:val="00951120"/>
    <w:rsid w:val="00951138"/>
    <w:rsid w:val="009511B7"/>
    <w:rsid w:val="009511ED"/>
    <w:rsid w:val="009513B9"/>
    <w:rsid w:val="0095149E"/>
    <w:rsid w:val="009514AC"/>
    <w:rsid w:val="009514B1"/>
    <w:rsid w:val="009514BF"/>
    <w:rsid w:val="009514EA"/>
    <w:rsid w:val="00951744"/>
    <w:rsid w:val="00951925"/>
    <w:rsid w:val="00951A02"/>
    <w:rsid w:val="00951A5E"/>
    <w:rsid w:val="00951A64"/>
    <w:rsid w:val="00951AB5"/>
    <w:rsid w:val="00951AC1"/>
    <w:rsid w:val="00951B04"/>
    <w:rsid w:val="00951C5D"/>
    <w:rsid w:val="00951CFA"/>
    <w:rsid w:val="00951DE6"/>
    <w:rsid w:val="00951E15"/>
    <w:rsid w:val="009521B1"/>
    <w:rsid w:val="0095221F"/>
    <w:rsid w:val="009522FD"/>
    <w:rsid w:val="0095238C"/>
    <w:rsid w:val="009523B4"/>
    <w:rsid w:val="009524E0"/>
    <w:rsid w:val="00952509"/>
    <w:rsid w:val="0095255F"/>
    <w:rsid w:val="00952615"/>
    <w:rsid w:val="009526AF"/>
    <w:rsid w:val="00952811"/>
    <w:rsid w:val="00952949"/>
    <w:rsid w:val="00952AB3"/>
    <w:rsid w:val="00952BE5"/>
    <w:rsid w:val="00952C3C"/>
    <w:rsid w:val="00952C48"/>
    <w:rsid w:val="00952C5C"/>
    <w:rsid w:val="00952CA2"/>
    <w:rsid w:val="00952D97"/>
    <w:rsid w:val="00952E28"/>
    <w:rsid w:val="00952F93"/>
    <w:rsid w:val="0095307B"/>
    <w:rsid w:val="009531F3"/>
    <w:rsid w:val="009531F9"/>
    <w:rsid w:val="0095334A"/>
    <w:rsid w:val="00953413"/>
    <w:rsid w:val="00953724"/>
    <w:rsid w:val="00953831"/>
    <w:rsid w:val="0095390B"/>
    <w:rsid w:val="00953A45"/>
    <w:rsid w:val="00953AF2"/>
    <w:rsid w:val="00953B69"/>
    <w:rsid w:val="00953C74"/>
    <w:rsid w:val="00953C7B"/>
    <w:rsid w:val="00953C87"/>
    <w:rsid w:val="00953CCA"/>
    <w:rsid w:val="00953D6F"/>
    <w:rsid w:val="00953D92"/>
    <w:rsid w:val="00953D97"/>
    <w:rsid w:val="00953E71"/>
    <w:rsid w:val="0095419A"/>
    <w:rsid w:val="009541C8"/>
    <w:rsid w:val="009544CE"/>
    <w:rsid w:val="00954651"/>
    <w:rsid w:val="0095465A"/>
    <w:rsid w:val="00954664"/>
    <w:rsid w:val="00954684"/>
    <w:rsid w:val="00954765"/>
    <w:rsid w:val="009549E2"/>
    <w:rsid w:val="00954BB3"/>
    <w:rsid w:val="00954E2B"/>
    <w:rsid w:val="00954E6E"/>
    <w:rsid w:val="00954F36"/>
    <w:rsid w:val="00954F88"/>
    <w:rsid w:val="00954FB0"/>
    <w:rsid w:val="00955014"/>
    <w:rsid w:val="009550F6"/>
    <w:rsid w:val="00955187"/>
    <w:rsid w:val="009551E5"/>
    <w:rsid w:val="0095520F"/>
    <w:rsid w:val="0095535B"/>
    <w:rsid w:val="009554A4"/>
    <w:rsid w:val="009557F9"/>
    <w:rsid w:val="00955838"/>
    <w:rsid w:val="00955840"/>
    <w:rsid w:val="00955894"/>
    <w:rsid w:val="00955A7E"/>
    <w:rsid w:val="00955BBC"/>
    <w:rsid w:val="00955D33"/>
    <w:rsid w:val="00955EDE"/>
    <w:rsid w:val="00956031"/>
    <w:rsid w:val="0095603D"/>
    <w:rsid w:val="00956090"/>
    <w:rsid w:val="00956150"/>
    <w:rsid w:val="0095619B"/>
    <w:rsid w:val="00956287"/>
    <w:rsid w:val="00956490"/>
    <w:rsid w:val="009564EB"/>
    <w:rsid w:val="0095655C"/>
    <w:rsid w:val="00956667"/>
    <w:rsid w:val="00956757"/>
    <w:rsid w:val="0095684F"/>
    <w:rsid w:val="00956921"/>
    <w:rsid w:val="00956AD4"/>
    <w:rsid w:val="00956AE3"/>
    <w:rsid w:val="00956AEA"/>
    <w:rsid w:val="00956C54"/>
    <w:rsid w:val="00956C85"/>
    <w:rsid w:val="00956D49"/>
    <w:rsid w:val="00956DB1"/>
    <w:rsid w:val="00956E91"/>
    <w:rsid w:val="00956EDD"/>
    <w:rsid w:val="00956F2F"/>
    <w:rsid w:val="00956F43"/>
    <w:rsid w:val="00956FB0"/>
    <w:rsid w:val="0095700A"/>
    <w:rsid w:val="0095701A"/>
    <w:rsid w:val="00957194"/>
    <w:rsid w:val="009572F3"/>
    <w:rsid w:val="0095730E"/>
    <w:rsid w:val="00957421"/>
    <w:rsid w:val="00957439"/>
    <w:rsid w:val="0095748C"/>
    <w:rsid w:val="00957632"/>
    <w:rsid w:val="009576B3"/>
    <w:rsid w:val="009576EE"/>
    <w:rsid w:val="009576F5"/>
    <w:rsid w:val="0095773A"/>
    <w:rsid w:val="009577D0"/>
    <w:rsid w:val="00957CA0"/>
    <w:rsid w:val="00957D9E"/>
    <w:rsid w:val="00957DBC"/>
    <w:rsid w:val="00957E6D"/>
    <w:rsid w:val="00957FD7"/>
    <w:rsid w:val="00960004"/>
    <w:rsid w:val="00960055"/>
    <w:rsid w:val="009600DA"/>
    <w:rsid w:val="00960110"/>
    <w:rsid w:val="009601F7"/>
    <w:rsid w:val="009602B5"/>
    <w:rsid w:val="009603AA"/>
    <w:rsid w:val="009603E0"/>
    <w:rsid w:val="009604AF"/>
    <w:rsid w:val="009604B5"/>
    <w:rsid w:val="00960574"/>
    <w:rsid w:val="0096059D"/>
    <w:rsid w:val="00960863"/>
    <w:rsid w:val="009608AD"/>
    <w:rsid w:val="009608C5"/>
    <w:rsid w:val="00960ABF"/>
    <w:rsid w:val="00960B1B"/>
    <w:rsid w:val="00960BD7"/>
    <w:rsid w:val="00960C0B"/>
    <w:rsid w:val="00960E5D"/>
    <w:rsid w:val="00960F02"/>
    <w:rsid w:val="0096103F"/>
    <w:rsid w:val="0096128B"/>
    <w:rsid w:val="0096129A"/>
    <w:rsid w:val="009614D2"/>
    <w:rsid w:val="0096163C"/>
    <w:rsid w:val="009619CF"/>
    <w:rsid w:val="00961AE3"/>
    <w:rsid w:val="00961BF8"/>
    <w:rsid w:val="00961DEF"/>
    <w:rsid w:val="00961EEC"/>
    <w:rsid w:val="00961F1F"/>
    <w:rsid w:val="00961F4B"/>
    <w:rsid w:val="0096202B"/>
    <w:rsid w:val="0096209C"/>
    <w:rsid w:val="009620EA"/>
    <w:rsid w:val="0096221E"/>
    <w:rsid w:val="0096248D"/>
    <w:rsid w:val="00962532"/>
    <w:rsid w:val="0096264F"/>
    <w:rsid w:val="009626AB"/>
    <w:rsid w:val="00962869"/>
    <w:rsid w:val="009629A8"/>
    <w:rsid w:val="00962A2F"/>
    <w:rsid w:val="00962A8E"/>
    <w:rsid w:val="00962ABA"/>
    <w:rsid w:val="00962B55"/>
    <w:rsid w:val="00962C23"/>
    <w:rsid w:val="00962C4F"/>
    <w:rsid w:val="00962CD4"/>
    <w:rsid w:val="00962CEB"/>
    <w:rsid w:val="00962DF8"/>
    <w:rsid w:val="00962E1C"/>
    <w:rsid w:val="00962E4A"/>
    <w:rsid w:val="00962F57"/>
    <w:rsid w:val="00962F5A"/>
    <w:rsid w:val="00962F74"/>
    <w:rsid w:val="0096306F"/>
    <w:rsid w:val="0096308B"/>
    <w:rsid w:val="00963098"/>
    <w:rsid w:val="009630BF"/>
    <w:rsid w:val="009630DE"/>
    <w:rsid w:val="009631EC"/>
    <w:rsid w:val="009632DB"/>
    <w:rsid w:val="00963306"/>
    <w:rsid w:val="009633CE"/>
    <w:rsid w:val="009633DC"/>
    <w:rsid w:val="009635B2"/>
    <w:rsid w:val="009635C2"/>
    <w:rsid w:val="00963648"/>
    <w:rsid w:val="00963833"/>
    <w:rsid w:val="009639A9"/>
    <w:rsid w:val="00963AA9"/>
    <w:rsid w:val="00963AD9"/>
    <w:rsid w:val="00963C8D"/>
    <w:rsid w:val="00963CC6"/>
    <w:rsid w:val="00963CEA"/>
    <w:rsid w:val="00963EEC"/>
    <w:rsid w:val="00964133"/>
    <w:rsid w:val="0096437C"/>
    <w:rsid w:val="009644D4"/>
    <w:rsid w:val="009646F8"/>
    <w:rsid w:val="00964728"/>
    <w:rsid w:val="0096473C"/>
    <w:rsid w:val="0096475F"/>
    <w:rsid w:val="00964833"/>
    <w:rsid w:val="009648CD"/>
    <w:rsid w:val="00964915"/>
    <w:rsid w:val="009649A1"/>
    <w:rsid w:val="009649B3"/>
    <w:rsid w:val="00964BEC"/>
    <w:rsid w:val="00964C61"/>
    <w:rsid w:val="00964E42"/>
    <w:rsid w:val="00964EF9"/>
    <w:rsid w:val="00964F91"/>
    <w:rsid w:val="0096504F"/>
    <w:rsid w:val="0096509E"/>
    <w:rsid w:val="009650A1"/>
    <w:rsid w:val="009650CF"/>
    <w:rsid w:val="00965160"/>
    <w:rsid w:val="00965173"/>
    <w:rsid w:val="00965286"/>
    <w:rsid w:val="0096529D"/>
    <w:rsid w:val="0096531B"/>
    <w:rsid w:val="00965421"/>
    <w:rsid w:val="009656DE"/>
    <w:rsid w:val="00965858"/>
    <w:rsid w:val="0096586F"/>
    <w:rsid w:val="0096588B"/>
    <w:rsid w:val="00965A1C"/>
    <w:rsid w:val="00965AB4"/>
    <w:rsid w:val="00965B88"/>
    <w:rsid w:val="00965DCD"/>
    <w:rsid w:val="00965EBD"/>
    <w:rsid w:val="00965F62"/>
    <w:rsid w:val="00965FA4"/>
    <w:rsid w:val="00965FD1"/>
    <w:rsid w:val="00966047"/>
    <w:rsid w:val="009661CD"/>
    <w:rsid w:val="00966241"/>
    <w:rsid w:val="00966251"/>
    <w:rsid w:val="00966389"/>
    <w:rsid w:val="009663BF"/>
    <w:rsid w:val="009664B3"/>
    <w:rsid w:val="00966556"/>
    <w:rsid w:val="009665D5"/>
    <w:rsid w:val="009665FD"/>
    <w:rsid w:val="0096684A"/>
    <w:rsid w:val="009668C9"/>
    <w:rsid w:val="0096697E"/>
    <w:rsid w:val="00966B2B"/>
    <w:rsid w:val="00966BFC"/>
    <w:rsid w:val="00966C41"/>
    <w:rsid w:val="00966C42"/>
    <w:rsid w:val="00966D08"/>
    <w:rsid w:val="00966D41"/>
    <w:rsid w:val="00966EC7"/>
    <w:rsid w:val="00966F44"/>
    <w:rsid w:val="009670B2"/>
    <w:rsid w:val="009670CE"/>
    <w:rsid w:val="00967179"/>
    <w:rsid w:val="0096724B"/>
    <w:rsid w:val="009672CE"/>
    <w:rsid w:val="009672EC"/>
    <w:rsid w:val="009673F1"/>
    <w:rsid w:val="0096742C"/>
    <w:rsid w:val="00967825"/>
    <w:rsid w:val="00967834"/>
    <w:rsid w:val="0096788D"/>
    <w:rsid w:val="009679B3"/>
    <w:rsid w:val="00967A23"/>
    <w:rsid w:val="00967A6F"/>
    <w:rsid w:val="00967B2E"/>
    <w:rsid w:val="00967BBD"/>
    <w:rsid w:val="00967C0B"/>
    <w:rsid w:val="00967C0C"/>
    <w:rsid w:val="00967CE3"/>
    <w:rsid w:val="00967E26"/>
    <w:rsid w:val="00967E52"/>
    <w:rsid w:val="009700AD"/>
    <w:rsid w:val="009700C4"/>
    <w:rsid w:val="0097023B"/>
    <w:rsid w:val="0097028D"/>
    <w:rsid w:val="00970629"/>
    <w:rsid w:val="009706B3"/>
    <w:rsid w:val="0097077D"/>
    <w:rsid w:val="0097083E"/>
    <w:rsid w:val="009708A2"/>
    <w:rsid w:val="0097090C"/>
    <w:rsid w:val="009709ED"/>
    <w:rsid w:val="009709F1"/>
    <w:rsid w:val="00970AC7"/>
    <w:rsid w:val="00970B08"/>
    <w:rsid w:val="00970B37"/>
    <w:rsid w:val="00970B80"/>
    <w:rsid w:val="00970BB1"/>
    <w:rsid w:val="00970C81"/>
    <w:rsid w:val="00970DD4"/>
    <w:rsid w:val="00970E1A"/>
    <w:rsid w:val="00970E21"/>
    <w:rsid w:val="00970E2E"/>
    <w:rsid w:val="00970E51"/>
    <w:rsid w:val="00970F00"/>
    <w:rsid w:val="00970F17"/>
    <w:rsid w:val="00970F58"/>
    <w:rsid w:val="00971021"/>
    <w:rsid w:val="009710A5"/>
    <w:rsid w:val="00971150"/>
    <w:rsid w:val="00971195"/>
    <w:rsid w:val="009711A2"/>
    <w:rsid w:val="009711A9"/>
    <w:rsid w:val="009712E1"/>
    <w:rsid w:val="009715CD"/>
    <w:rsid w:val="009715E6"/>
    <w:rsid w:val="00971602"/>
    <w:rsid w:val="00971626"/>
    <w:rsid w:val="00971726"/>
    <w:rsid w:val="0097172A"/>
    <w:rsid w:val="00971736"/>
    <w:rsid w:val="00971823"/>
    <w:rsid w:val="00971872"/>
    <w:rsid w:val="00971876"/>
    <w:rsid w:val="00971AA9"/>
    <w:rsid w:val="00971B2F"/>
    <w:rsid w:val="00971B7F"/>
    <w:rsid w:val="00971BD1"/>
    <w:rsid w:val="00971BEF"/>
    <w:rsid w:val="00971C68"/>
    <w:rsid w:val="00971CC8"/>
    <w:rsid w:val="00971F27"/>
    <w:rsid w:val="009720DA"/>
    <w:rsid w:val="0097254B"/>
    <w:rsid w:val="009726D8"/>
    <w:rsid w:val="00972785"/>
    <w:rsid w:val="009727A2"/>
    <w:rsid w:val="00972882"/>
    <w:rsid w:val="00972931"/>
    <w:rsid w:val="009729F1"/>
    <w:rsid w:val="00972A4F"/>
    <w:rsid w:val="00972CF0"/>
    <w:rsid w:val="00972D11"/>
    <w:rsid w:val="00972D96"/>
    <w:rsid w:val="00972FFB"/>
    <w:rsid w:val="00973061"/>
    <w:rsid w:val="0097307E"/>
    <w:rsid w:val="009730BB"/>
    <w:rsid w:val="009730F7"/>
    <w:rsid w:val="00973207"/>
    <w:rsid w:val="00973210"/>
    <w:rsid w:val="009732A8"/>
    <w:rsid w:val="009733A0"/>
    <w:rsid w:val="00973532"/>
    <w:rsid w:val="00973554"/>
    <w:rsid w:val="0097356F"/>
    <w:rsid w:val="00973570"/>
    <w:rsid w:val="009735C0"/>
    <w:rsid w:val="009735DB"/>
    <w:rsid w:val="00973917"/>
    <w:rsid w:val="0097394E"/>
    <w:rsid w:val="0097399D"/>
    <w:rsid w:val="009739B6"/>
    <w:rsid w:val="00973B00"/>
    <w:rsid w:val="00973B2E"/>
    <w:rsid w:val="00973BED"/>
    <w:rsid w:val="00973CE6"/>
    <w:rsid w:val="00973D1F"/>
    <w:rsid w:val="00973E65"/>
    <w:rsid w:val="00973EE6"/>
    <w:rsid w:val="00973F6C"/>
    <w:rsid w:val="0097407E"/>
    <w:rsid w:val="009740AC"/>
    <w:rsid w:val="00974193"/>
    <w:rsid w:val="009741A8"/>
    <w:rsid w:val="009744F0"/>
    <w:rsid w:val="00974559"/>
    <w:rsid w:val="0097464B"/>
    <w:rsid w:val="00974651"/>
    <w:rsid w:val="00974665"/>
    <w:rsid w:val="009746FF"/>
    <w:rsid w:val="009747C3"/>
    <w:rsid w:val="00974875"/>
    <w:rsid w:val="009749AC"/>
    <w:rsid w:val="009749F2"/>
    <w:rsid w:val="00974A88"/>
    <w:rsid w:val="00974B89"/>
    <w:rsid w:val="00974C25"/>
    <w:rsid w:val="00974FD0"/>
    <w:rsid w:val="0097526D"/>
    <w:rsid w:val="009752D2"/>
    <w:rsid w:val="00975356"/>
    <w:rsid w:val="0097537B"/>
    <w:rsid w:val="009753F0"/>
    <w:rsid w:val="009755AF"/>
    <w:rsid w:val="00975677"/>
    <w:rsid w:val="00975AF2"/>
    <w:rsid w:val="00975C9F"/>
    <w:rsid w:val="00975EC0"/>
    <w:rsid w:val="00975EF6"/>
    <w:rsid w:val="00975EFA"/>
    <w:rsid w:val="00975F26"/>
    <w:rsid w:val="00976044"/>
    <w:rsid w:val="009760E6"/>
    <w:rsid w:val="0097612A"/>
    <w:rsid w:val="00976190"/>
    <w:rsid w:val="00976199"/>
    <w:rsid w:val="009761A2"/>
    <w:rsid w:val="009761B2"/>
    <w:rsid w:val="0097629F"/>
    <w:rsid w:val="009762E3"/>
    <w:rsid w:val="00976305"/>
    <w:rsid w:val="00976491"/>
    <w:rsid w:val="009764F5"/>
    <w:rsid w:val="0097655B"/>
    <w:rsid w:val="009766E7"/>
    <w:rsid w:val="0097677F"/>
    <w:rsid w:val="009768BF"/>
    <w:rsid w:val="00976A91"/>
    <w:rsid w:val="00976ABC"/>
    <w:rsid w:val="00976B3B"/>
    <w:rsid w:val="00976B48"/>
    <w:rsid w:val="00976BBD"/>
    <w:rsid w:val="00976C38"/>
    <w:rsid w:val="00976C76"/>
    <w:rsid w:val="00976C84"/>
    <w:rsid w:val="00976CF8"/>
    <w:rsid w:val="00976D0F"/>
    <w:rsid w:val="00976E03"/>
    <w:rsid w:val="00976E12"/>
    <w:rsid w:val="00976E93"/>
    <w:rsid w:val="00976F5C"/>
    <w:rsid w:val="00977010"/>
    <w:rsid w:val="0097708E"/>
    <w:rsid w:val="009770A3"/>
    <w:rsid w:val="0097711C"/>
    <w:rsid w:val="0097717F"/>
    <w:rsid w:val="00977231"/>
    <w:rsid w:val="009772B2"/>
    <w:rsid w:val="009772E1"/>
    <w:rsid w:val="00977436"/>
    <w:rsid w:val="0097756A"/>
    <w:rsid w:val="009775B5"/>
    <w:rsid w:val="00977602"/>
    <w:rsid w:val="00977615"/>
    <w:rsid w:val="00977635"/>
    <w:rsid w:val="00977961"/>
    <w:rsid w:val="00977B65"/>
    <w:rsid w:val="00977DAA"/>
    <w:rsid w:val="00977EB5"/>
    <w:rsid w:val="00977EE9"/>
    <w:rsid w:val="00977F15"/>
    <w:rsid w:val="00977F4B"/>
    <w:rsid w:val="00980150"/>
    <w:rsid w:val="009801FE"/>
    <w:rsid w:val="00980221"/>
    <w:rsid w:val="009802E3"/>
    <w:rsid w:val="0098040C"/>
    <w:rsid w:val="00980590"/>
    <w:rsid w:val="00980594"/>
    <w:rsid w:val="009805AB"/>
    <w:rsid w:val="009805F2"/>
    <w:rsid w:val="0098060C"/>
    <w:rsid w:val="0098060F"/>
    <w:rsid w:val="0098063B"/>
    <w:rsid w:val="009806C9"/>
    <w:rsid w:val="00980704"/>
    <w:rsid w:val="00980776"/>
    <w:rsid w:val="009807C9"/>
    <w:rsid w:val="0098083B"/>
    <w:rsid w:val="009809D6"/>
    <w:rsid w:val="00980A25"/>
    <w:rsid w:val="00980A3E"/>
    <w:rsid w:val="00980CE0"/>
    <w:rsid w:val="00980D14"/>
    <w:rsid w:val="00980D70"/>
    <w:rsid w:val="00980DA2"/>
    <w:rsid w:val="00980E22"/>
    <w:rsid w:val="00980EAF"/>
    <w:rsid w:val="00981041"/>
    <w:rsid w:val="009810BA"/>
    <w:rsid w:val="0098115E"/>
    <w:rsid w:val="00981177"/>
    <w:rsid w:val="009811B3"/>
    <w:rsid w:val="009814EC"/>
    <w:rsid w:val="00981650"/>
    <w:rsid w:val="0098171B"/>
    <w:rsid w:val="0098189F"/>
    <w:rsid w:val="00981A2E"/>
    <w:rsid w:val="00981D61"/>
    <w:rsid w:val="00981F2A"/>
    <w:rsid w:val="00981F40"/>
    <w:rsid w:val="00981FC8"/>
    <w:rsid w:val="00982042"/>
    <w:rsid w:val="00982083"/>
    <w:rsid w:val="009820CB"/>
    <w:rsid w:val="009820D6"/>
    <w:rsid w:val="009820F9"/>
    <w:rsid w:val="0098217C"/>
    <w:rsid w:val="009822B7"/>
    <w:rsid w:val="00982360"/>
    <w:rsid w:val="00982372"/>
    <w:rsid w:val="0098239B"/>
    <w:rsid w:val="00982408"/>
    <w:rsid w:val="009824F5"/>
    <w:rsid w:val="009825AB"/>
    <w:rsid w:val="009825BD"/>
    <w:rsid w:val="009825F5"/>
    <w:rsid w:val="009825FE"/>
    <w:rsid w:val="009826C8"/>
    <w:rsid w:val="009826FB"/>
    <w:rsid w:val="0098272B"/>
    <w:rsid w:val="00982790"/>
    <w:rsid w:val="009827CF"/>
    <w:rsid w:val="009827F6"/>
    <w:rsid w:val="00982875"/>
    <w:rsid w:val="009828C6"/>
    <w:rsid w:val="009829D1"/>
    <w:rsid w:val="009829D6"/>
    <w:rsid w:val="00982A27"/>
    <w:rsid w:val="00982B16"/>
    <w:rsid w:val="00982B9A"/>
    <w:rsid w:val="00982BFC"/>
    <w:rsid w:val="00982C90"/>
    <w:rsid w:val="00982CCD"/>
    <w:rsid w:val="00982EF1"/>
    <w:rsid w:val="00982EF7"/>
    <w:rsid w:val="0098319F"/>
    <w:rsid w:val="0098321D"/>
    <w:rsid w:val="00983314"/>
    <w:rsid w:val="00983643"/>
    <w:rsid w:val="00983723"/>
    <w:rsid w:val="00983869"/>
    <w:rsid w:val="00983928"/>
    <w:rsid w:val="00983974"/>
    <w:rsid w:val="00983A8E"/>
    <w:rsid w:val="00983BAF"/>
    <w:rsid w:val="00983C60"/>
    <w:rsid w:val="00983E1A"/>
    <w:rsid w:val="00983E92"/>
    <w:rsid w:val="00983E9B"/>
    <w:rsid w:val="00983EAB"/>
    <w:rsid w:val="00983ED9"/>
    <w:rsid w:val="00983F14"/>
    <w:rsid w:val="00983FB8"/>
    <w:rsid w:val="00984067"/>
    <w:rsid w:val="009840C0"/>
    <w:rsid w:val="00984148"/>
    <w:rsid w:val="0098415E"/>
    <w:rsid w:val="00984168"/>
    <w:rsid w:val="009841FF"/>
    <w:rsid w:val="00984287"/>
    <w:rsid w:val="00984395"/>
    <w:rsid w:val="009844CC"/>
    <w:rsid w:val="00984524"/>
    <w:rsid w:val="0098465B"/>
    <w:rsid w:val="00984778"/>
    <w:rsid w:val="0098479E"/>
    <w:rsid w:val="009847FF"/>
    <w:rsid w:val="0098485D"/>
    <w:rsid w:val="0098492C"/>
    <w:rsid w:val="00984975"/>
    <w:rsid w:val="00984C3A"/>
    <w:rsid w:val="00984C3B"/>
    <w:rsid w:val="00984E5A"/>
    <w:rsid w:val="00984F41"/>
    <w:rsid w:val="009851FD"/>
    <w:rsid w:val="009852A4"/>
    <w:rsid w:val="00985302"/>
    <w:rsid w:val="00985461"/>
    <w:rsid w:val="00985577"/>
    <w:rsid w:val="009856B0"/>
    <w:rsid w:val="009856CE"/>
    <w:rsid w:val="0098571A"/>
    <w:rsid w:val="0098572E"/>
    <w:rsid w:val="009858B1"/>
    <w:rsid w:val="0098592E"/>
    <w:rsid w:val="009859DA"/>
    <w:rsid w:val="00985A36"/>
    <w:rsid w:val="00985D71"/>
    <w:rsid w:val="00985E12"/>
    <w:rsid w:val="00985E2A"/>
    <w:rsid w:val="00985EBB"/>
    <w:rsid w:val="00985F92"/>
    <w:rsid w:val="009862B2"/>
    <w:rsid w:val="00986348"/>
    <w:rsid w:val="00986591"/>
    <w:rsid w:val="009865E0"/>
    <w:rsid w:val="0098662D"/>
    <w:rsid w:val="009867B7"/>
    <w:rsid w:val="00986811"/>
    <w:rsid w:val="00986868"/>
    <w:rsid w:val="0098687F"/>
    <w:rsid w:val="009868F9"/>
    <w:rsid w:val="009869EC"/>
    <w:rsid w:val="00986A9F"/>
    <w:rsid w:val="00986AC2"/>
    <w:rsid w:val="00986B66"/>
    <w:rsid w:val="00986B94"/>
    <w:rsid w:val="00986DBC"/>
    <w:rsid w:val="00986E5E"/>
    <w:rsid w:val="00986F27"/>
    <w:rsid w:val="00986F59"/>
    <w:rsid w:val="00987117"/>
    <w:rsid w:val="00987123"/>
    <w:rsid w:val="0098726A"/>
    <w:rsid w:val="009873E6"/>
    <w:rsid w:val="0098747B"/>
    <w:rsid w:val="0098755E"/>
    <w:rsid w:val="0098757A"/>
    <w:rsid w:val="009877E6"/>
    <w:rsid w:val="00987905"/>
    <w:rsid w:val="00987AE9"/>
    <w:rsid w:val="00987B64"/>
    <w:rsid w:val="00987BF7"/>
    <w:rsid w:val="00987C38"/>
    <w:rsid w:val="00987C96"/>
    <w:rsid w:val="00987E2A"/>
    <w:rsid w:val="00987E3E"/>
    <w:rsid w:val="00987E73"/>
    <w:rsid w:val="00987EA4"/>
    <w:rsid w:val="00987F1A"/>
    <w:rsid w:val="00987FF1"/>
    <w:rsid w:val="009900D3"/>
    <w:rsid w:val="00990192"/>
    <w:rsid w:val="009904B2"/>
    <w:rsid w:val="009904B7"/>
    <w:rsid w:val="009904C5"/>
    <w:rsid w:val="00990699"/>
    <w:rsid w:val="00990716"/>
    <w:rsid w:val="00990741"/>
    <w:rsid w:val="00990754"/>
    <w:rsid w:val="00990942"/>
    <w:rsid w:val="00990959"/>
    <w:rsid w:val="009909D9"/>
    <w:rsid w:val="009909E1"/>
    <w:rsid w:val="00990AF5"/>
    <w:rsid w:val="00990B12"/>
    <w:rsid w:val="00990BCC"/>
    <w:rsid w:val="00990BE5"/>
    <w:rsid w:val="00990C44"/>
    <w:rsid w:val="00990CB7"/>
    <w:rsid w:val="00990F72"/>
    <w:rsid w:val="00991291"/>
    <w:rsid w:val="00991327"/>
    <w:rsid w:val="009913D2"/>
    <w:rsid w:val="00991456"/>
    <w:rsid w:val="00991502"/>
    <w:rsid w:val="00991585"/>
    <w:rsid w:val="00991689"/>
    <w:rsid w:val="00991751"/>
    <w:rsid w:val="009917E6"/>
    <w:rsid w:val="0099190E"/>
    <w:rsid w:val="00991A0D"/>
    <w:rsid w:val="00991B67"/>
    <w:rsid w:val="00991B71"/>
    <w:rsid w:val="00991CA3"/>
    <w:rsid w:val="00991D6D"/>
    <w:rsid w:val="00991D9C"/>
    <w:rsid w:val="009920F9"/>
    <w:rsid w:val="0099219D"/>
    <w:rsid w:val="009921BF"/>
    <w:rsid w:val="00992208"/>
    <w:rsid w:val="0099235E"/>
    <w:rsid w:val="009924A1"/>
    <w:rsid w:val="0099258F"/>
    <w:rsid w:val="0099264A"/>
    <w:rsid w:val="0099265F"/>
    <w:rsid w:val="00992768"/>
    <w:rsid w:val="009927E9"/>
    <w:rsid w:val="009927EA"/>
    <w:rsid w:val="009927FD"/>
    <w:rsid w:val="00992880"/>
    <w:rsid w:val="0099293C"/>
    <w:rsid w:val="00992CA2"/>
    <w:rsid w:val="00992CB1"/>
    <w:rsid w:val="00992D03"/>
    <w:rsid w:val="00992DB5"/>
    <w:rsid w:val="00992F1F"/>
    <w:rsid w:val="00992FA3"/>
    <w:rsid w:val="00992FF2"/>
    <w:rsid w:val="00993007"/>
    <w:rsid w:val="00993008"/>
    <w:rsid w:val="00993028"/>
    <w:rsid w:val="0099329E"/>
    <w:rsid w:val="009933F8"/>
    <w:rsid w:val="0099342B"/>
    <w:rsid w:val="009936CE"/>
    <w:rsid w:val="00993785"/>
    <w:rsid w:val="009938D3"/>
    <w:rsid w:val="00993901"/>
    <w:rsid w:val="00993A41"/>
    <w:rsid w:val="00993BD2"/>
    <w:rsid w:val="00993BDC"/>
    <w:rsid w:val="00993C95"/>
    <w:rsid w:val="00993CB4"/>
    <w:rsid w:val="00993D32"/>
    <w:rsid w:val="00993DA4"/>
    <w:rsid w:val="0099408D"/>
    <w:rsid w:val="00994171"/>
    <w:rsid w:val="00994365"/>
    <w:rsid w:val="009943BB"/>
    <w:rsid w:val="009943D7"/>
    <w:rsid w:val="0099460A"/>
    <w:rsid w:val="009946D0"/>
    <w:rsid w:val="00994814"/>
    <w:rsid w:val="0099484C"/>
    <w:rsid w:val="009949C6"/>
    <w:rsid w:val="00994A49"/>
    <w:rsid w:val="00994AD0"/>
    <w:rsid w:val="00994BBF"/>
    <w:rsid w:val="00994C68"/>
    <w:rsid w:val="00994C78"/>
    <w:rsid w:val="00994CD5"/>
    <w:rsid w:val="00994EE2"/>
    <w:rsid w:val="00994FBF"/>
    <w:rsid w:val="009950D4"/>
    <w:rsid w:val="00995287"/>
    <w:rsid w:val="009956E1"/>
    <w:rsid w:val="0099589A"/>
    <w:rsid w:val="00995966"/>
    <w:rsid w:val="00995A6F"/>
    <w:rsid w:val="00995ACE"/>
    <w:rsid w:val="00995BCC"/>
    <w:rsid w:val="00995C71"/>
    <w:rsid w:val="00995D45"/>
    <w:rsid w:val="00995D5B"/>
    <w:rsid w:val="00995D6E"/>
    <w:rsid w:val="00995E1F"/>
    <w:rsid w:val="00995E48"/>
    <w:rsid w:val="0099621F"/>
    <w:rsid w:val="009964BE"/>
    <w:rsid w:val="00996524"/>
    <w:rsid w:val="00996594"/>
    <w:rsid w:val="00996620"/>
    <w:rsid w:val="009966E1"/>
    <w:rsid w:val="009966F6"/>
    <w:rsid w:val="0099674E"/>
    <w:rsid w:val="00996781"/>
    <w:rsid w:val="0099680D"/>
    <w:rsid w:val="0099682E"/>
    <w:rsid w:val="009969FC"/>
    <w:rsid w:val="00996A43"/>
    <w:rsid w:val="00996AEE"/>
    <w:rsid w:val="00996D46"/>
    <w:rsid w:val="00996E1B"/>
    <w:rsid w:val="00996E48"/>
    <w:rsid w:val="00996EC8"/>
    <w:rsid w:val="00996F79"/>
    <w:rsid w:val="0099702B"/>
    <w:rsid w:val="00997077"/>
    <w:rsid w:val="0099725D"/>
    <w:rsid w:val="00997273"/>
    <w:rsid w:val="0099727E"/>
    <w:rsid w:val="00997341"/>
    <w:rsid w:val="009976D6"/>
    <w:rsid w:val="0099776D"/>
    <w:rsid w:val="009977FC"/>
    <w:rsid w:val="009977FF"/>
    <w:rsid w:val="0099782D"/>
    <w:rsid w:val="00997873"/>
    <w:rsid w:val="00997954"/>
    <w:rsid w:val="00997A15"/>
    <w:rsid w:val="00997C02"/>
    <w:rsid w:val="00997C3F"/>
    <w:rsid w:val="00997C8D"/>
    <w:rsid w:val="00997CE4"/>
    <w:rsid w:val="00997CF9"/>
    <w:rsid w:val="00997D72"/>
    <w:rsid w:val="00997E30"/>
    <w:rsid w:val="00997E93"/>
    <w:rsid w:val="009A0204"/>
    <w:rsid w:val="009A0239"/>
    <w:rsid w:val="009A02A3"/>
    <w:rsid w:val="009A0357"/>
    <w:rsid w:val="009A0AFC"/>
    <w:rsid w:val="009A0B8F"/>
    <w:rsid w:val="009A0C45"/>
    <w:rsid w:val="009A0D15"/>
    <w:rsid w:val="009A0D86"/>
    <w:rsid w:val="009A0E46"/>
    <w:rsid w:val="009A0E91"/>
    <w:rsid w:val="009A0E99"/>
    <w:rsid w:val="009A0EE0"/>
    <w:rsid w:val="009A0EE2"/>
    <w:rsid w:val="009A0EFF"/>
    <w:rsid w:val="009A0F27"/>
    <w:rsid w:val="009A0F40"/>
    <w:rsid w:val="009A1170"/>
    <w:rsid w:val="009A144E"/>
    <w:rsid w:val="009A14C9"/>
    <w:rsid w:val="009A14EF"/>
    <w:rsid w:val="009A1505"/>
    <w:rsid w:val="009A15A8"/>
    <w:rsid w:val="009A1789"/>
    <w:rsid w:val="009A1790"/>
    <w:rsid w:val="009A1841"/>
    <w:rsid w:val="009A1AC9"/>
    <w:rsid w:val="009A1AFA"/>
    <w:rsid w:val="009A1C81"/>
    <w:rsid w:val="009A1CFA"/>
    <w:rsid w:val="009A1D93"/>
    <w:rsid w:val="009A1DC2"/>
    <w:rsid w:val="009A1E5F"/>
    <w:rsid w:val="009A1EF5"/>
    <w:rsid w:val="009A209A"/>
    <w:rsid w:val="009A226D"/>
    <w:rsid w:val="009A23B2"/>
    <w:rsid w:val="009A23E7"/>
    <w:rsid w:val="009A24A8"/>
    <w:rsid w:val="009A2525"/>
    <w:rsid w:val="009A253D"/>
    <w:rsid w:val="009A27DC"/>
    <w:rsid w:val="009A2811"/>
    <w:rsid w:val="009A2887"/>
    <w:rsid w:val="009A291C"/>
    <w:rsid w:val="009A2ABE"/>
    <w:rsid w:val="009A2C2E"/>
    <w:rsid w:val="009A2C49"/>
    <w:rsid w:val="009A2C50"/>
    <w:rsid w:val="009A2F42"/>
    <w:rsid w:val="009A2F4A"/>
    <w:rsid w:val="009A31F7"/>
    <w:rsid w:val="009A331C"/>
    <w:rsid w:val="009A3356"/>
    <w:rsid w:val="009A34AB"/>
    <w:rsid w:val="009A352E"/>
    <w:rsid w:val="009A3625"/>
    <w:rsid w:val="009A37B0"/>
    <w:rsid w:val="009A3923"/>
    <w:rsid w:val="009A3A7A"/>
    <w:rsid w:val="009A3D5B"/>
    <w:rsid w:val="009A3DBC"/>
    <w:rsid w:val="009A3DEB"/>
    <w:rsid w:val="009A3DF2"/>
    <w:rsid w:val="009A3F3B"/>
    <w:rsid w:val="009A4143"/>
    <w:rsid w:val="009A42EF"/>
    <w:rsid w:val="009A4498"/>
    <w:rsid w:val="009A4655"/>
    <w:rsid w:val="009A47BB"/>
    <w:rsid w:val="009A4882"/>
    <w:rsid w:val="009A4982"/>
    <w:rsid w:val="009A4A3B"/>
    <w:rsid w:val="009A4A87"/>
    <w:rsid w:val="009A4BA9"/>
    <w:rsid w:val="009A4BD7"/>
    <w:rsid w:val="009A4C13"/>
    <w:rsid w:val="009A4CF1"/>
    <w:rsid w:val="009A4D53"/>
    <w:rsid w:val="009A4E1B"/>
    <w:rsid w:val="009A4E60"/>
    <w:rsid w:val="009A4E65"/>
    <w:rsid w:val="009A4ECF"/>
    <w:rsid w:val="009A4EF0"/>
    <w:rsid w:val="009A5058"/>
    <w:rsid w:val="009A52FE"/>
    <w:rsid w:val="009A533C"/>
    <w:rsid w:val="009A536A"/>
    <w:rsid w:val="009A53F4"/>
    <w:rsid w:val="009A5426"/>
    <w:rsid w:val="009A547C"/>
    <w:rsid w:val="009A5496"/>
    <w:rsid w:val="009A5584"/>
    <w:rsid w:val="009A55BA"/>
    <w:rsid w:val="009A56DE"/>
    <w:rsid w:val="009A56F4"/>
    <w:rsid w:val="009A582F"/>
    <w:rsid w:val="009A5955"/>
    <w:rsid w:val="009A59D4"/>
    <w:rsid w:val="009A5A3A"/>
    <w:rsid w:val="009A5B9C"/>
    <w:rsid w:val="009A5BAF"/>
    <w:rsid w:val="009A5BE2"/>
    <w:rsid w:val="009A5C5A"/>
    <w:rsid w:val="009A5CC9"/>
    <w:rsid w:val="009A5D07"/>
    <w:rsid w:val="009A5DD4"/>
    <w:rsid w:val="009A5F90"/>
    <w:rsid w:val="009A6068"/>
    <w:rsid w:val="009A60DB"/>
    <w:rsid w:val="009A61EE"/>
    <w:rsid w:val="009A6416"/>
    <w:rsid w:val="009A6442"/>
    <w:rsid w:val="009A660D"/>
    <w:rsid w:val="009A67DA"/>
    <w:rsid w:val="009A6A42"/>
    <w:rsid w:val="009A6A7F"/>
    <w:rsid w:val="009A6CDB"/>
    <w:rsid w:val="009A6D97"/>
    <w:rsid w:val="009A6E32"/>
    <w:rsid w:val="009A6E6C"/>
    <w:rsid w:val="009A6E77"/>
    <w:rsid w:val="009A6EEB"/>
    <w:rsid w:val="009A703C"/>
    <w:rsid w:val="009A7186"/>
    <w:rsid w:val="009A7267"/>
    <w:rsid w:val="009A73AD"/>
    <w:rsid w:val="009A73CF"/>
    <w:rsid w:val="009A7557"/>
    <w:rsid w:val="009A7596"/>
    <w:rsid w:val="009A75C3"/>
    <w:rsid w:val="009A76D4"/>
    <w:rsid w:val="009A772E"/>
    <w:rsid w:val="009A7743"/>
    <w:rsid w:val="009A78A3"/>
    <w:rsid w:val="009A78C6"/>
    <w:rsid w:val="009A78E8"/>
    <w:rsid w:val="009A7940"/>
    <w:rsid w:val="009A7A12"/>
    <w:rsid w:val="009A7A72"/>
    <w:rsid w:val="009A7B0A"/>
    <w:rsid w:val="009A7BC4"/>
    <w:rsid w:val="009A7D98"/>
    <w:rsid w:val="009B0114"/>
    <w:rsid w:val="009B01A0"/>
    <w:rsid w:val="009B0265"/>
    <w:rsid w:val="009B027D"/>
    <w:rsid w:val="009B0314"/>
    <w:rsid w:val="009B05C9"/>
    <w:rsid w:val="009B077A"/>
    <w:rsid w:val="009B087C"/>
    <w:rsid w:val="009B0888"/>
    <w:rsid w:val="009B09DC"/>
    <w:rsid w:val="009B0DBE"/>
    <w:rsid w:val="009B0DD6"/>
    <w:rsid w:val="009B0F56"/>
    <w:rsid w:val="009B0FAB"/>
    <w:rsid w:val="009B0FC5"/>
    <w:rsid w:val="009B0FF1"/>
    <w:rsid w:val="009B1035"/>
    <w:rsid w:val="009B1101"/>
    <w:rsid w:val="009B117E"/>
    <w:rsid w:val="009B164F"/>
    <w:rsid w:val="009B1653"/>
    <w:rsid w:val="009B185F"/>
    <w:rsid w:val="009B1999"/>
    <w:rsid w:val="009B1BA1"/>
    <w:rsid w:val="009B1C52"/>
    <w:rsid w:val="009B1CB8"/>
    <w:rsid w:val="009B1D5E"/>
    <w:rsid w:val="009B1D99"/>
    <w:rsid w:val="009B1DC9"/>
    <w:rsid w:val="009B1DEF"/>
    <w:rsid w:val="009B1E48"/>
    <w:rsid w:val="009B1E68"/>
    <w:rsid w:val="009B1F35"/>
    <w:rsid w:val="009B1FCE"/>
    <w:rsid w:val="009B20A5"/>
    <w:rsid w:val="009B233E"/>
    <w:rsid w:val="009B2490"/>
    <w:rsid w:val="009B249E"/>
    <w:rsid w:val="009B251B"/>
    <w:rsid w:val="009B2599"/>
    <w:rsid w:val="009B2766"/>
    <w:rsid w:val="009B283E"/>
    <w:rsid w:val="009B2880"/>
    <w:rsid w:val="009B28B8"/>
    <w:rsid w:val="009B28F2"/>
    <w:rsid w:val="009B2983"/>
    <w:rsid w:val="009B2A8B"/>
    <w:rsid w:val="009B2B9B"/>
    <w:rsid w:val="009B2BFE"/>
    <w:rsid w:val="009B2EF1"/>
    <w:rsid w:val="009B307D"/>
    <w:rsid w:val="009B3094"/>
    <w:rsid w:val="009B341C"/>
    <w:rsid w:val="009B34E6"/>
    <w:rsid w:val="009B34EB"/>
    <w:rsid w:val="009B3560"/>
    <w:rsid w:val="009B3584"/>
    <w:rsid w:val="009B3590"/>
    <w:rsid w:val="009B35F5"/>
    <w:rsid w:val="009B36E4"/>
    <w:rsid w:val="009B3768"/>
    <w:rsid w:val="009B3829"/>
    <w:rsid w:val="009B386D"/>
    <w:rsid w:val="009B3897"/>
    <w:rsid w:val="009B38CD"/>
    <w:rsid w:val="009B3A9E"/>
    <w:rsid w:val="009B3AE5"/>
    <w:rsid w:val="009B3B60"/>
    <w:rsid w:val="009B3BA3"/>
    <w:rsid w:val="009B3C7B"/>
    <w:rsid w:val="009B3CB8"/>
    <w:rsid w:val="009B3CBF"/>
    <w:rsid w:val="009B3D0D"/>
    <w:rsid w:val="009B3E5A"/>
    <w:rsid w:val="009B4053"/>
    <w:rsid w:val="009B41FC"/>
    <w:rsid w:val="009B42A4"/>
    <w:rsid w:val="009B42D2"/>
    <w:rsid w:val="009B438C"/>
    <w:rsid w:val="009B4439"/>
    <w:rsid w:val="009B449C"/>
    <w:rsid w:val="009B4548"/>
    <w:rsid w:val="009B4586"/>
    <w:rsid w:val="009B46E9"/>
    <w:rsid w:val="009B4A25"/>
    <w:rsid w:val="009B4AF3"/>
    <w:rsid w:val="009B4B55"/>
    <w:rsid w:val="009B4C6B"/>
    <w:rsid w:val="009B4E46"/>
    <w:rsid w:val="009B4F6A"/>
    <w:rsid w:val="009B4FD3"/>
    <w:rsid w:val="009B4FF7"/>
    <w:rsid w:val="009B5004"/>
    <w:rsid w:val="009B5018"/>
    <w:rsid w:val="009B5034"/>
    <w:rsid w:val="009B5091"/>
    <w:rsid w:val="009B509D"/>
    <w:rsid w:val="009B51C6"/>
    <w:rsid w:val="009B5231"/>
    <w:rsid w:val="009B52AF"/>
    <w:rsid w:val="009B52D3"/>
    <w:rsid w:val="009B52DC"/>
    <w:rsid w:val="009B53DC"/>
    <w:rsid w:val="009B547A"/>
    <w:rsid w:val="009B5494"/>
    <w:rsid w:val="009B54CC"/>
    <w:rsid w:val="009B54CD"/>
    <w:rsid w:val="009B5510"/>
    <w:rsid w:val="009B55F6"/>
    <w:rsid w:val="009B56E2"/>
    <w:rsid w:val="009B5862"/>
    <w:rsid w:val="009B593B"/>
    <w:rsid w:val="009B59F3"/>
    <w:rsid w:val="009B5A10"/>
    <w:rsid w:val="009B5A1C"/>
    <w:rsid w:val="009B5BC1"/>
    <w:rsid w:val="009B5BF2"/>
    <w:rsid w:val="009B5C80"/>
    <w:rsid w:val="009B5D2C"/>
    <w:rsid w:val="009B5DA5"/>
    <w:rsid w:val="009B5DEC"/>
    <w:rsid w:val="009B5F4A"/>
    <w:rsid w:val="009B5F82"/>
    <w:rsid w:val="009B5FA4"/>
    <w:rsid w:val="009B5FDD"/>
    <w:rsid w:val="009B6026"/>
    <w:rsid w:val="009B60D8"/>
    <w:rsid w:val="009B6115"/>
    <w:rsid w:val="009B61A3"/>
    <w:rsid w:val="009B61A8"/>
    <w:rsid w:val="009B633A"/>
    <w:rsid w:val="009B63AE"/>
    <w:rsid w:val="009B6569"/>
    <w:rsid w:val="009B65CB"/>
    <w:rsid w:val="009B661B"/>
    <w:rsid w:val="009B6710"/>
    <w:rsid w:val="009B679C"/>
    <w:rsid w:val="009B6804"/>
    <w:rsid w:val="009B6817"/>
    <w:rsid w:val="009B6852"/>
    <w:rsid w:val="009B696F"/>
    <w:rsid w:val="009B6A97"/>
    <w:rsid w:val="009B6B42"/>
    <w:rsid w:val="009B6CAE"/>
    <w:rsid w:val="009B6CC0"/>
    <w:rsid w:val="009B6CDE"/>
    <w:rsid w:val="009B6E02"/>
    <w:rsid w:val="009B6ED6"/>
    <w:rsid w:val="009B6EE6"/>
    <w:rsid w:val="009B6FAB"/>
    <w:rsid w:val="009B7221"/>
    <w:rsid w:val="009B731B"/>
    <w:rsid w:val="009B7393"/>
    <w:rsid w:val="009B755D"/>
    <w:rsid w:val="009B75B1"/>
    <w:rsid w:val="009B778D"/>
    <w:rsid w:val="009B783C"/>
    <w:rsid w:val="009B79A1"/>
    <w:rsid w:val="009B79DF"/>
    <w:rsid w:val="009B7AE2"/>
    <w:rsid w:val="009B7B9C"/>
    <w:rsid w:val="009B7C59"/>
    <w:rsid w:val="009B7CFE"/>
    <w:rsid w:val="009B7D44"/>
    <w:rsid w:val="009B7F56"/>
    <w:rsid w:val="009C0031"/>
    <w:rsid w:val="009C020D"/>
    <w:rsid w:val="009C024D"/>
    <w:rsid w:val="009C0296"/>
    <w:rsid w:val="009C02D8"/>
    <w:rsid w:val="009C0431"/>
    <w:rsid w:val="009C0622"/>
    <w:rsid w:val="009C0635"/>
    <w:rsid w:val="009C0664"/>
    <w:rsid w:val="009C06B7"/>
    <w:rsid w:val="009C072C"/>
    <w:rsid w:val="009C0954"/>
    <w:rsid w:val="009C0A8F"/>
    <w:rsid w:val="009C0AD1"/>
    <w:rsid w:val="009C0C23"/>
    <w:rsid w:val="009C0C97"/>
    <w:rsid w:val="009C0CD9"/>
    <w:rsid w:val="009C0D11"/>
    <w:rsid w:val="009C0D50"/>
    <w:rsid w:val="009C0DF4"/>
    <w:rsid w:val="009C0E0B"/>
    <w:rsid w:val="009C0F32"/>
    <w:rsid w:val="009C1022"/>
    <w:rsid w:val="009C1271"/>
    <w:rsid w:val="009C140C"/>
    <w:rsid w:val="009C14D7"/>
    <w:rsid w:val="009C1543"/>
    <w:rsid w:val="009C1622"/>
    <w:rsid w:val="009C165C"/>
    <w:rsid w:val="009C1834"/>
    <w:rsid w:val="009C1859"/>
    <w:rsid w:val="009C1A0E"/>
    <w:rsid w:val="009C1D71"/>
    <w:rsid w:val="009C1DB3"/>
    <w:rsid w:val="009C1E97"/>
    <w:rsid w:val="009C20B6"/>
    <w:rsid w:val="009C2182"/>
    <w:rsid w:val="009C21E6"/>
    <w:rsid w:val="009C2264"/>
    <w:rsid w:val="009C22DF"/>
    <w:rsid w:val="009C2356"/>
    <w:rsid w:val="009C23B6"/>
    <w:rsid w:val="009C2403"/>
    <w:rsid w:val="009C2404"/>
    <w:rsid w:val="009C2451"/>
    <w:rsid w:val="009C2562"/>
    <w:rsid w:val="009C2589"/>
    <w:rsid w:val="009C2600"/>
    <w:rsid w:val="009C2620"/>
    <w:rsid w:val="009C267A"/>
    <w:rsid w:val="009C26A7"/>
    <w:rsid w:val="009C26F2"/>
    <w:rsid w:val="009C2947"/>
    <w:rsid w:val="009C29B0"/>
    <w:rsid w:val="009C29BB"/>
    <w:rsid w:val="009C29E3"/>
    <w:rsid w:val="009C2A25"/>
    <w:rsid w:val="009C2AD3"/>
    <w:rsid w:val="009C2C71"/>
    <w:rsid w:val="009C2D53"/>
    <w:rsid w:val="009C2DEC"/>
    <w:rsid w:val="009C2DF4"/>
    <w:rsid w:val="009C3070"/>
    <w:rsid w:val="009C3150"/>
    <w:rsid w:val="009C3197"/>
    <w:rsid w:val="009C3222"/>
    <w:rsid w:val="009C3265"/>
    <w:rsid w:val="009C3473"/>
    <w:rsid w:val="009C34CC"/>
    <w:rsid w:val="009C34DA"/>
    <w:rsid w:val="009C3719"/>
    <w:rsid w:val="009C371A"/>
    <w:rsid w:val="009C3771"/>
    <w:rsid w:val="009C39FD"/>
    <w:rsid w:val="009C3C52"/>
    <w:rsid w:val="009C3D58"/>
    <w:rsid w:val="009C3FE1"/>
    <w:rsid w:val="009C4006"/>
    <w:rsid w:val="009C4124"/>
    <w:rsid w:val="009C4133"/>
    <w:rsid w:val="009C4335"/>
    <w:rsid w:val="009C446E"/>
    <w:rsid w:val="009C44EC"/>
    <w:rsid w:val="009C456B"/>
    <w:rsid w:val="009C4646"/>
    <w:rsid w:val="009C4787"/>
    <w:rsid w:val="009C4798"/>
    <w:rsid w:val="009C47A6"/>
    <w:rsid w:val="009C4A35"/>
    <w:rsid w:val="009C4B30"/>
    <w:rsid w:val="009C4D65"/>
    <w:rsid w:val="009C4DBA"/>
    <w:rsid w:val="009C50DF"/>
    <w:rsid w:val="009C510F"/>
    <w:rsid w:val="009C5167"/>
    <w:rsid w:val="009C5168"/>
    <w:rsid w:val="009C5360"/>
    <w:rsid w:val="009C54DE"/>
    <w:rsid w:val="009C563F"/>
    <w:rsid w:val="009C566A"/>
    <w:rsid w:val="009C56FC"/>
    <w:rsid w:val="009C579B"/>
    <w:rsid w:val="009C59AF"/>
    <w:rsid w:val="009C5A93"/>
    <w:rsid w:val="009C5C32"/>
    <w:rsid w:val="009C5C3B"/>
    <w:rsid w:val="009C5C51"/>
    <w:rsid w:val="009C5CA8"/>
    <w:rsid w:val="009C5D4A"/>
    <w:rsid w:val="009C5DE1"/>
    <w:rsid w:val="009C5E48"/>
    <w:rsid w:val="009C5E6D"/>
    <w:rsid w:val="009C5F0B"/>
    <w:rsid w:val="009C5FA9"/>
    <w:rsid w:val="009C604C"/>
    <w:rsid w:val="009C60D9"/>
    <w:rsid w:val="009C618D"/>
    <w:rsid w:val="009C61A4"/>
    <w:rsid w:val="009C623C"/>
    <w:rsid w:val="009C6297"/>
    <w:rsid w:val="009C644C"/>
    <w:rsid w:val="009C6462"/>
    <w:rsid w:val="009C6735"/>
    <w:rsid w:val="009C6780"/>
    <w:rsid w:val="009C686F"/>
    <w:rsid w:val="009C689A"/>
    <w:rsid w:val="009C69D1"/>
    <w:rsid w:val="009C6A1F"/>
    <w:rsid w:val="009C6A88"/>
    <w:rsid w:val="009C6BAD"/>
    <w:rsid w:val="009C6BAE"/>
    <w:rsid w:val="009C6C85"/>
    <w:rsid w:val="009C6F2A"/>
    <w:rsid w:val="009C6F7E"/>
    <w:rsid w:val="009C7050"/>
    <w:rsid w:val="009C713A"/>
    <w:rsid w:val="009C71A5"/>
    <w:rsid w:val="009C7420"/>
    <w:rsid w:val="009C746B"/>
    <w:rsid w:val="009C74EA"/>
    <w:rsid w:val="009C751A"/>
    <w:rsid w:val="009C75AB"/>
    <w:rsid w:val="009C7604"/>
    <w:rsid w:val="009C7667"/>
    <w:rsid w:val="009C7674"/>
    <w:rsid w:val="009C777D"/>
    <w:rsid w:val="009C78D3"/>
    <w:rsid w:val="009C791C"/>
    <w:rsid w:val="009C7AA6"/>
    <w:rsid w:val="009C7B05"/>
    <w:rsid w:val="009C7CA8"/>
    <w:rsid w:val="009C7CCA"/>
    <w:rsid w:val="009C7CE5"/>
    <w:rsid w:val="009C7EFC"/>
    <w:rsid w:val="009D02CA"/>
    <w:rsid w:val="009D0492"/>
    <w:rsid w:val="009D051A"/>
    <w:rsid w:val="009D0722"/>
    <w:rsid w:val="009D08DE"/>
    <w:rsid w:val="009D091A"/>
    <w:rsid w:val="009D09D3"/>
    <w:rsid w:val="009D0A95"/>
    <w:rsid w:val="009D0B25"/>
    <w:rsid w:val="009D0B3A"/>
    <w:rsid w:val="009D0C3A"/>
    <w:rsid w:val="009D0DEC"/>
    <w:rsid w:val="009D0DFB"/>
    <w:rsid w:val="009D0F0A"/>
    <w:rsid w:val="009D0F3D"/>
    <w:rsid w:val="009D10F9"/>
    <w:rsid w:val="009D1296"/>
    <w:rsid w:val="009D12A5"/>
    <w:rsid w:val="009D12E1"/>
    <w:rsid w:val="009D1304"/>
    <w:rsid w:val="009D1347"/>
    <w:rsid w:val="009D1606"/>
    <w:rsid w:val="009D1644"/>
    <w:rsid w:val="009D16B5"/>
    <w:rsid w:val="009D1750"/>
    <w:rsid w:val="009D18BB"/>
    <w:rsid w:val="009D1920"/>
    <w:rsid w:val="009D194C"/>
    <w:rsid w:val="009D1995"/>
    <w:rsid w:val="009D1A12"/>
    <w:rsid w:val="009D1B63"/>
    <w:rsid w:val="009D1BE4"/>
    <w:rsid w:val="009D1C37"/>
    <w:rsid w:val="009D1C3A"/>
    <w:rsid w:val="009D1E57"/>
    <w:rsid w:val="009D1F9A"/>
    <w:rsid w:val="009D1FC6"/>
    <w:rsid w:val="009D21E3"/>
    <w:rsid w:val="009D2314"/>
    <w:rsid w:val="009D237B"/>
    <w:rsid w:val="009D2387"/>
    <w:rsid w:val="009D23E2"/>
    <w:rsid w:val="009D2699"/>
    <w:rsid w:val="009D269B"/>
    <w:rsid w:val="009D27B8"/>
    <w:rsid w:val="009D2851"/>
    <w:rsid w:val="009D2A72"/>
    <w:rsid w:val="009D2B2A"/>
    <w:rsid w:val="009D2B90"/>
    <w:rsid w:val="009D2CA7"/>
    <w:rsid w:val="009D2CA8"/>
    <w:rsid w:val="009D2DDA"/>
    <w:rsid w:val="009D2E89"/>
    <w:rsid w:val="009D2FC6"/>
    <w:rsid w:val="009D3073"/>
    <w:rsid w:val="009D3291"/>
    <w:rsid w:val="009D3354"/>
    <w:rsid w:val="009D3372"/>
    <w:rsid w:val="009D33F1"/>
    <w:rsid w:val="009D357C"/>
    <w:rsid w:val="009D380E"/>
    <w:rsid w:val="009D387F"/>
    <w:rsid w:val="009D3994"/>
    <w:rsid w:val="009D3A51"/>
    <w:rsid w:val="009D3AEE"/>
    <w:rsid w:val="009D3AF8"/>
    <w:rsid w:val="009D3B18"/>
    <w:rsid w:val="009D3B3D"/>
    <w:rsid w:val="009D3BFA"/>
    <w:rsid w:val="009D3CF5"/>
    <w:rsid w:val="009D3EFC"/>
    <w:rsid w:val="009D4032"/>
    <w:rsid w:val="009D416F"/>
    <w:rsid w:val="009D428F"/>
    <w:rsid w:val="009D431A"/>
    <w:rsid w:val="009D43EF"/>
    <w:rsid w:val="009D4892"/>
    <w:rsid w:val="009D48C6"/>
    <w:rsid w:val="009D49C8"/>
    <w:rsid w:val="009D4A27"/>
    <w:rsid w:val="009D4A5D"/>
    <w:rsid w:val="009D4AA1"/>
    <w:rsid w:val="009D4B17"/>
    <w:rsid w:val="009D4CF5"/>
    <w:rsid w:val="009D4E2F"/>
    <w:rsid w:val="009D4F36"/>
    <w:rsid w:val="009D50B7"/>
    <w:rsid w:val="009D51CB"/>
    <w:rsid w:val="009D5272"/>
    <w:rsid w:val="009D53D7"/>
    <w:rsid w:val="009D53DF"/>
    <w:rsid w:val="009D5427"/>
    <w:rsid w:val="009D5468"/>
    <w:rsid w:val="009D54B8"/>
    <w:rsid w:val="009D560E"/>
    <w:rsid w:val="009D569A"/>
    <w:rsid w:val="009D577D"/>
    <w:rsid w:val="009D57BF"/>
    <w:rsid w:val="009D59E9"/>
    <w:rsid w:val="009D5A11"/>
    <w:rsid w:val="009D5B38"/>
    <w:rsid w:val="009D5C5A"/>
    <w:rsid w:val="009D5DA4"/>
    <w:rsid w:val="009D5E57"/>
    <w:rsid w:val="009D5F3D"/>
    <w:rsid w:val="009D5FA9"/>
    <w:rsid w:val="009D6005"/>
    <w:rsid w:val="009D60A6"/>
    <w:rsid w:val="009D61EB"/>
    <w:rsid w:val="009D623E"/>
    <w:rsid w:val="009D6260"/>
    <w:rsid w:val="009D62C3"/>
    <w:rsid w:val="009D631C"/>
    <w:rsid w:val="009D6489"/>
    <w:rsid w:val="009D6497"/>
    <w:rsid w:val="009D654C"/>
    <w:rsid w:val="009D65A3"/>
    <w:rsid w:val="009D65A4"/>
    <w:rsid w:val="009D6617"/>
    <w:rsid w:val="009D6728"/>
    <w:rsid w:val="009D67E3"/>
    <w:rsid w:val="009D6857"/>
    <w:rsid w:val="009D6963"/>
    <w:rsid w:val="009D6D44"/>
    <w:rsid w:val="009D6EC7"/>
    <w:rsid w:val="009D6F7C"/>
    <w:rsid w:val="009D704F"/>
    <w:rsid w:val="009D748A"/>
    <w:rsid w:val="009D75E6"/>
    <w:rsid w:val="009D75F9"/>
    <w:rsid w:val="009D7629"/>
    <w:rsid w:val="009D7804"/>
    <w:rsid w:val="009D79D4"/>
    <w:rsid w:val="009D7A2E"/>
    <w:rsid w:val="009D7AAB"/>
    <w:rsid w:val="009D7B81"/>
    <w:rsid w:val="009D7D81"/>
    <w:rsid w:val="009D7EA6"/>
    <w:rsid w:val="009D7EE6"/>
    <w:rsid w:val="009D7F4D"/>
    <w:rsid w:val="009D7F54"/>
    <w:rsid w:val="009D7F9C"/>
    <w:rsid w:val="009E0083"/>
    <w:rsid w:val="009E0153"/>
    <w:rsid w:val="009E02A2"/>
    <w:rsid w:val="009E030A"/>
    <w:rsid w:val="009E0383"/>
    <w:rsid w:val="009E0496"/>
    <w:rsid w:val="009E0628"/>
    <w:rsid w:val="009E06FF"/>
    <w:rsid w:val="009E0754"/>
    <w:rsid w:val="009E08DB"/>
    <w:rsid w:val="009E0966"/>
    <w:rsid w:val="009E0BED"/>
    <w:rsid w:val="009E0C3F"/>
    <w:rsid w:val="009E0DCA"/>
    <w:rsid w:val="009E0E77"/>
    <w:rsid w:val="009E0EC5"/>
    <w:rsid w:val="009E0F8F"/>
    <w:rsid w:val="009E0F98"/>
    <w:rsid w:val="009E1226"/>
    <w:rsid w:val="009E13AA"/>
    <w:rsid w:val="009E15BE"/>
    <w:rsid w:val="009E16CD"/>
    <w:rsid w:val="009E1750"/>
    <w:rsid w:val="009E182C"/>
    <w:rsid w:val="009E189A"/>
    <w:rsid w:val="009E18FC"/>
    <w:rsid w:val="009E1991"/>
    <w:rsid w:val="009E1C38"/>
    <w:rsid w:val="009E1C6F"/>
    <w:rsid w:val="009E1C77"/>
    <w:rsid w:val="009E1CCC"/>
    <w:rsid w:val="009E1CDF"/>
    <w:rsid w:val="009E1DAC"/>
    <w:rsid w:val="009E1EB1"/>
    <w:rsid w:val="009E1F68"/>
    <w:rsid w:val="009E1F94"/>
    <w:rsid w:val="009E2094"/>
    <w:rsid w:val="009E209C"/>
    <w:rsid w:val="009E216B"/>
    <w:rsid w:val="009E2484"/>
    <w:rsid w:val="009E2580"/>
    <w:rsid w:val="009E2649"/>
    <w:rsid w:val="009E265B"/>
    <w:rsid w:val="009E26BF"/>
    <w:rsid w:val="009E2728"/>
    <w:rsid w:val="009E2781"/>
    <w:rsid w:val="009E2917"/>
    <w:rsid w:val="009E29BC"/>
    <w:rsid w:val="009E29C6"/>
    <w:rsid w:val="009E29D2"/>
    <w:rsid w:val="009E2A2B"/>
    <w:rsid w:val="009E2C03"/>
    <w:rsid w:val="009E2C6F"/>
    <w:rsid w:val="009E2CA0"/>
    <w:rsid w:val="009E2D4F"/>
    <w:rsid w:val="009E30CF"/>
    <w:rsid w:val="009E3118"/>
    <w:rsid w:val="009E31EB"/>
    <w:rsid w:val="009E320F"/>
    <w:rsid w:val="009E3211"/>
    <w:rsid w:val="009E32FA"/>
    <w:rsid w:val="009E332F"/>
    <w:rsid w:val="009E3420"/>
    <w:rsid w:val="009E3560"/>
    <w:rsid w:val="009E35F5"/>
    <w:rsid w:val="009E3649"/>
    <w:rsid w:val="009E367C"/>
    <w:rsid w:val="009E36C3"/>
    <w:rsid w:val="009E3838"/>
    <w:rsid w:val="009E39F2"/>
    <w:rsid w:val="009E3A15"/>
    <w:rsid w:val="009E3A75"/>
    <w:rsid w:val="009E3AC0"/>
    <w:rsid w:val="009E3B0B"/>
    <w:rsid w:val="009E3B7D"/>
    <w:rsid w:val="009E3DC6"/>
    <w:rsid w:val="009E3E8C"/>
    <w:rsid w:val="009E3F6E"/>
    <w:rsid w:val="009E3FD7"/>
    <w:rsid w:val="009E419E"/>
    <w:rsid w:val="009E428A"/>
    <w:rsid w:val="009E434C"/>
    <w:rsid w:val="009E43A2"/>
    <w:rsid w:val="009E4409"/>
    <w:rsid w:val="009E446E"/>
    <w:rsid w:val="009E4627"/>
    <w:rsid w:val="009E468A"/>
    <w:rsid w:val="009E46D6"/>
    <w:rsid w:val="009E46F5"/>
    <w:rsid w:val="009E472E"/>
    <w:rsid w:val="009E478C"/>
    <w:rsid w:val="009E4A39"/>
    <w:rsid w:val="009E4A5B"/>
    <w:rsid w:val="009E4A79"/>
    <w:rsid w:val="009E4AD4"/>
    <w:rsid w:val="009E4BBB"/>
    <w:rsid w:val="009E4BE6"/>
    <w:rsid w:val="009E4BEF"/>
    <w:rsid w:val="009E4C73"/>
    <w:rsid w:val="009E4D67"/>
    <w:rsid w:val="009E4F04"/>
    <w:rsid w:val="009E4F0C"/>
    <w:rsid w:val="009E4F17"/>
    <w:rsid w:val="009E4FC9"/>
    <w:rsid w:val="009E5015"/>
    <w:rsid w:val="009E508F"/>
    <w:rsid w:val="009E50E8"/>
    <w:rsid w:val="009E519E"/>
    <w:rsid w:val="009E526E"/>
    <w:rsid w:val="009E52B8"/>
    <w:rsid w:val="009E5353"/>
    <w:rsid w:val="009E54AA"/>
    <w:rsid w:val="009E559E"/>
    <w:rsid w:val="009E561C"/>
    <w:rsid w:val="009E56D3"/>
    <w:rsid w:val="009E579C"/>
    <w:rsid w:val="009E57C6"/>
    <w:rsid w:val="009E57EB"/>
    <w:rsid w:val="009E58EB"/>
    <w:rsid w:val="009E596F"/>
    <w:rsid w:val="009E59A4"/>
    <w:rsid w:val="009E5A54"/>
    <w:rsid w:val="009E5AA7"/>
    <w:rsid w:val="009E5AB5"/>
    <w:rsid w:val="009E5CD1"/>
    <w:rsid w:val="009E5DE3"/>
    <w:rsid w:val="009E5DEF"/>
    <w:rsid w:val="009E5E45"/>
    <w:rsid w:val="009E6019"/>
    <w:rsid w:val="009E60B0"/>
    <w:rsid w:val="009E6211"/>
    <w:rsid w:val="009E6269"/>
    <w:rsid w:val="009E63AA"/>
    <w:rsid w:val="009E64C6"/>
    <w:rsid w:val="009E64F6"/>
    <w:rsid w:val="009E64FD"/>
    <w:rsid w:val="009E6544"/>
    <w:rsid w:val="009E6583"/>
    <w:rsid w:val="009E6640"/>
    <w:rsid w:val="009E66BE"/>
    <w:rsid w:val="009E6765"/>
    <w:rsid w:val="009E679F"/>
    <w:rsid w:val="009E67DF"/>
    <w:rsid w:val="009E6867"/>
    <w:rsid w:val="009E68DF"/>
    <w:rsid w:val="009E6918"/>
    <w:rsid w:val="009E6AEF"/>
    <w:rsid w:val="009E6ED6"/>
    <w:rsid w:val="009E6F0D"/>
    <w:rsid w:val="009E6FFC"/>
    <w:rsid w:val="009E727D"/>
    <w:rsid w:val="009E7287"/>
    <w:rsid w:val="009E7296"/>
    <w:rsid w:val="009E7421"/>
    <w:rsid w:val="009E74CB"/>
    <w:rsid w:val="009E751D"/>
    <w:rsid w:val="009E7648"/>
    <w:rsid w:val="009E7657"/>
    <w:rsid w:val="009E772F"/>
    <w:rsid w:val="009E77B0"/>
    <w:rsid w:val="009E7867"/>
    <w:rsid w:val="009E796A"/>
    <w:rsid w:val="009E79A3"/>
    <w:rsid w:val="009E7E14"/>
    <w:rsid w:val="009E7E17"/>
    <w:rsid w:val="009E7EAC"/>
    <w:rsid w:val="009F004E"/>
    <w:rsid w:val="009F00A7"/>
    <w:rsid w:val="009F01FD"/>
    <w:rsid w:val="009F028D"/>
    <w:rsid w:val="009F046D"/>
    <w:rsid w:val="009F0488"/>
    <w:rsid w:val="009F05D5"/>
    <w:rsid w:val="009F064B"/>
    <w:rsid w:val="009F07AA"/>
    <w:rsid w:val="009F084B"/>
    <w:rsid w:val="009F0883"/>
    <w:rsid w:val="009F0955"/>
    <w:rsid w:val="009F0985"/>
    <w:rsid w:val="009F0ABE"/>
    <w:rsid w:val="009F0AC8"/>
    <w:rsid w:val="009F0B10"/>
    <w:rsid w:val="009F0C40"/>
    <w:rsid w:val="009F0C5C"/>
    <w:rsid w:val="009F0CA2"/>
    <w:rsid w:val="009F0EBF"/>
    <w:rsid w:val="009F0F11"/>
    <w:rsid w:val="009F0F2D"/>
    <w:rsid w:val="009F0F5D"/>
    <w:rsid w:val="009F0FAD"/>
    <w:rsid w:val="009F0FD6"/>
    <w:rsid w:val="009F1078"/>
    <w:rsid w:val="009F117F"/>
    <w:rsid w:val="009F12D0"/>
    <w:rsid w:val="009F13BF"/>
    <w:rsid w:val="009F147F"/>
    <w:rsid w:val="009F14D2"/>
    <w:rsid w:val="009F14E8"/>
    <w:rsid w:val="009F157A"/>
    <w:rsid w:val="009F16B6"/>
    <w:rsid w:val="009F17E1"/>
    <w:rsid w:val="009F1891"/>
    <w:rsid w:val="009F18A5"/>
    <w:rsid w:val="009F18B2"/>
    <w:rsid w:val="009F19F0"/>
    <w:rsid w:val="009F1C60"/>
    <w:rsid w:val="009F1D7C"/>
    <w:rsid w:val="009F1DBE"/>
    <w:rsid w:val="009F1E8A"/>
    <w:rsid w:val="009F210A"/>
    <w:rsid w:val="009F2196"/>
    <w:rsid w:val="009F2230"/>
    <w:rsid w:val="009F22A8"/>
    <w:rsid w:val="009F22E4"/>
    <w:rsid w:val="009F23C5"/>
    <w:rsid w:val="009F243E"/>
    <w:rsid w:val="009F244C"/>
    <w:rsid w:val="009F24AC"/>
    <w:rsid w:val="009F2535"/>
    <w:rsid w:val="009F25AD"/>
    <w:rsid w:val="009F25DE"/>
    <w:rsid w:val="009F27DC"/>
    <w:rsid w:val="009F2918"/>
    <w:rsid w:val="009F2A33"/>
    <w:rsid w:val="009F2B7B"/>
    <w:rsid w:val="009F2C42"/>
    <w:rsid w:val="009F2CAF"/>
    <w:rsid w:val="009F2CE2"/>
    <w:rsid w:val="009F2D3E"/>
    <w:rsid w:val="009F2E12"/>
    <w:rsid w:val="009F2E61"/>
    <w:rsid w:val="009F2F4A"/>
    <w:rsid w:val="009F2FFF"/>
    <w:rsid w:val="009F308B"/>
    <w:rsid w:val="009F3196"/>
    <w:rsid w:val="009F324B"/>
    <w:rsid w:val="009F327C"/>
    <w:rsid w:val="009F347A"/>
    <w:rsid w:val="009F34F4"/>
    <w:rsid w:val="009F35CE"/>
    <w:rsid w:val="009F360E"/>
    <w:rsid w:val="009F3617"/>
    <w:rsid w:val="009F3640"/>
    <w:rsid w:val="009F36BB"/>
    <w:rsid w:val="009F3719"/>
    <w:rsid w:val="009F3721"/>
    <w:rsid w:val="009F37D5"/>
    <w:rsid w:val="009F3853"/>
    <w:rsid w:val="009F3969"/>
    <w:rsid w:val="009F39BC"/>
    <w:rsid w:val="009F3A22"/>
    <w:rsid w:val="009F3A3F"/>
    <w:rsid w:val="009F3A90"/>
    <w:rsid w:val="009F3A97"/>
    <w:rsid w:val="009F3AC4"/>
    <w:rsid w:val="009F3B34"/>
    <w:rsid w:val="009F3BEA"/>
    <w:rsid w:val="009F3D2A"/>
    <w:rsid w:val="009F3DDD"/>
    <w:rsid w:val="009F3E9B"/>
    <w:rsid w:val="009F3F4C"/>
    <w:rsid w:val="009F400C"/>
    <w:rsid w:val="009F41D1"/>
    <w:rsid w:val="009F43C5"/>
    <w:rsid w:val="009F443B"/>
    <w:rsid w:val="009F4583"/>
    <w:rsid w:val="009F495E"/>
    <w:rsid w:val="009F498D"/>
    <w:rsid w:val="009F4A54"/>
    <w:rsid w:val="009F4A6F"/>
    <w:rsid w:val="009F4AF7"/>
    <w:rsid w:val="009F4B47"/>
    <w:rsid w:val="009F4BD7"/>
    <w:rsid w:val="009F4BDD"/>
    <w:rsid w:val="009F4C82"/>
    <w:rsid w:val="009F4C8B"/>
    <w:rsid w:val="009F4CC8"/>
    <w:rsid w:val="009F4D4E"/>
    <w:rsid w:val="009F5020"/>
    <w:rsid w:val="009F5221"/>
    <w:rsid w:val="009F5246"/>
    <w:rsid w:val="009F5478"/>
    <w:rsid w:val="009F5485"/>
    <w:rsid w:val="009F5933"/>
    <w:rsid w:val="009F5965"/>
    <w:rsid w:val="009F59C3"/>
    <w:rsid w:val="009F5A68"/>
    <w:rsid w:val="009F5B25"/>
    <w:rsid w:val="009F5B97"/>
    <w:rsid w:val="009F5E6B"/>
    <w:rsid w:val="009F6100"/>
    <w:rsid w:val="009F6160"/>
    <w:rsid w:val="009F620B"/>
    <w:rsid w:val="009F62F5"/>
    <w:rsid w:val="009F6318"/>
    <w:rsid w:val="009F6349"/>
    <w:rsid w:val="009F6399"/>
    <w:rsid w:val="009F6756"/>
    <w:rsid w:val="009F67A7"/>
    <w:rsid w:val="009F6824"/>
    <w:rsid w:val="009F6888"/>
    <w:rsid w:val="009F6C07"/>
    <w:rsid w:val="009F6D10"/>
    <w:rsid w:val="009F6D92"/>
    <w:rsid w:val="009F7022"/>
    <w:rsid w:val="009F7080"/>
    <w:rsid w:val="009F7233"/>
    <w:rsid w:val="009F7245"/>
    <w:rsid w:val="009F726A"/>
    <w:rsid w:val="009F72A9"/>
    <w:rsid w:val="009F7367"/>
    <w:rsid w:val="009F74AF"/>
    <w:rsid w:val="009F756A"/>
    <w:rsid w:val="009F763C"/>
    <w:rsid w:val="009F7676"/>
    <w:rsid w:val="009F7726"/>
    <w:rsid w:val="009F7835"/>
    <w:rsid w:val="009F78A5"/>
    <w:rsid w:val="009F78BB"/>
    <w:rsid w:val="009F7A97"/>
    <w:rsid w:val="009F7BC0"/>
    <w:rsid w:val="009F7BE3"/>
    <w:rsid w:val="009F7C16"/>
    <w:rsid w:val="009F7C3F"/>
    <w:rsid w:val="009F7C5F"/>
    <w:rsid w:val="009F7C7D"/>
    <w:rsid w:val="009F7D00"/>
    <w:rsid w:val="009F7F19"/>
    <w:rsid w:val="009F7F31"/>
    <w:rsid w:val="009F7FA4"/>
    <w:rsid w:val="00A000AB"/>
    <w:rsid w:val="00A00107"/>
    <w:rsid w:val="00A0011A"/>
    <w:rsid w:val="00A00152"/>
    <w:rsid w:val="00A001AC"/>
    <w:rsid w:val="00A00249"/>
    <w:rsid w:val="00A0024D"/>
    <w:rsid w:val="00A00259"/>
    <w:rsid w:val="00A003C7"/>
    <w:rsid w:val="00A00441"/>
    <w:rsid w:val="00A0048C"/>
    <w:rsid w:val="00A00580"/>
    <w:rsid w:val="00A009AC"/>
    <w:rsid w:val="00A00B22"/>
    <w:rsid w:val="00A00C42"/>
    <w:rsid w:val="00A00C88"/>
    <w:rsid w:val="00A00D07"/>
    <w:rsid w:val="00A00D31"/>
    <w:rsid w:val="00A00D3D"/>
    <w:rsid w:val="00A00DAA"/>
    <w:rsid w:val="00A00FE0"/>
    <w:rsid w:val="00A0111F"/>
    <w:rsid w:val="00A01298"/>
    <w:rsid w:val="00A014BC"/>
    <w:rsid w:val="00A01624"/>
    <w:rsid w:val="00A016A1"/>
    <w:rsid w:val="00A016ED"/>
    <w:rsid w:val="00A017AA"/>
    <w:rsid w:val="00A017E6"/>
    <w:rsid w:val="00A01843"/>
    <w:rsid w:val="00A01880"/>
    <w:rsid w:val="00A0189A"/>
    <w:rsid w:val="00A018B5"/>
    <w:rsid w:val="00A01945"/>
    <w:rsid w:val="00A01952"/>
    <w:rsid w:val="00A01A5A"/>
    <w:rsid w:val="00A01B92"/>
    <w:rsid w:val="00A01DEF"/>
    <w:rsid w:val="00A01FC1"/>
    <w:rsid w:val="00A0203D"/>
    <w:rsid w:val="00A0206A"/>
    <w:rsid w:val="00A02071"/>
    <w:rsid w:val="00A02173"/>
    <w:rsid w:val="00A021E3"/>
    <w:rsid w:val="00A021E5"/>
    <w:rsid w:val="00A02213"/>
    <w:rsid w:val="00A023A1"/>
    <w:rsid w:val="00A023AA"/>
    <w:rsid w:val="00A02674"/>
    <w:rsid w:val="00A027D9"/>
    <w:rsid w:val="00A029BA"/>
    <w:rsid w:val="00A02C28"/>
    <w:rsid w:val="00A02CF8"/>
    <w:rsid w:val="00A02D16"/>
    <w:rsid w:val="00A02E25"/>
    <w:rsid w:val="00A02ED8"/>
    <w:rsid w:val="00A02EE2"/>
    <w:rsid w:val="00A03035"/>
    <w:rsid w:val="00A032CF"/>
    <w:rsid w:val="00A03450"/>
    <w:rsid w:val="00A034AC"/>
    <w:rsid w:val="00A03529"/>
    <w:rsid w:val="00A035FB"/>
    <w:rsid w:val="00A036EC"/>
    <w:rsid w:val="00A03933"/>
    <w:rsid w:val="00A03A3C"/>
    <w:rsid w:val="00A03A9A"/>
    <w:rsid w:val="00A03B0C"/>
    <w:rsid w:val="00A03B30"/>
    <w:rsid w:val="00A03B36"/>
    <w:rsid w:val="00A03D36"/>
    <w:rsid w:val="00A03D74"/>
    <w:rsid w:val="00A03EB5"/>
    <w:rsid w:val="00A03ECA"/>
    <w:rsid w:val="00A03FF4"/>
    <w:rsid w:val="00A04320"/>
    <w:rsid w:val="00A04349"/>
    <w:rsid w:val="00A0434F"/>
    <w:rsid w:val="00A04358"/>
    <w:rsid w:val="00A0436C"/>
    <w:rsid w:val="00A04393"/>
    <w:rsid w:val="00A0457F"/>
    <w:rsid w:val="00A046B7"/>
    <w:rsid w:val="00A046BC"/>
    <w:rsid w:val="00A0478A"/>
    <w:rsid w:val="00A047CA"/>
    <w:rsid w:val="00A048C5"/>
    <w:rsid w:val="00A04985"/>
    <w:rsid w:val="00A04A30"/>
    <w:rsid w:val="00A04B69"/>
    <w:rsid w:val="00A04B73"/>
    <w:rsid w:val="00A04B94"/>
    <w:rsid w:val="00A04C52"/>
    <w:rsid w:val="00A04EF8"/>
    <w:rsid w:val="00A04F2F"/>
    <w:rsid w:val="00A05027"/>
    <w:rsid w:val="00A0509F"/>
    <w:rsid w:val="00A050EC"/>
    <w:rsid w:val="00A05509"/>
    <w:rsid w:val="00A05635"/>
    <w:rsid w:val="00A056AA"/>
    <w:rsid w:val="00A0586F"/>
    <w:rsid w:val="00A0593A"/>
    <w:rsid w:val="00A0599F"/>
    <w:rsid w:val="00A05B8F"/>
    <w:rsid w:val="00A05DA9"/>
    <w:rsid w:val="00A05DFB"/>
    <w:rsid w:val="00A05FB6"/>
    <w:rsid w:val="00A0617D"/>
    <w:rsid w:val="00A06248"/>
    <w:rsid w:val="00A0625D"/>
    <w:rsid w:val="00A0642B"/>
    <w:rsid w:val="00A0649B"/>
    <w:rsid w:val="00A064D9"/>
    <w:rsid w:val="00A06523"/>
    <w:rsid w:val="00A066E4"/>
    <w:rsid w:val="00A06742"/>
    <w:rsid w:val="00A0680A"/>
    <w:rsid w:val="00A06AC9"/>
    <w:rsid w:val="00A06C30"/>
    <w:rsid w:val="00A06D05"/>
    <w:rsid w:val="00A06D08"/>
    <w:rsid w:val="00A06D85"/>
    <w:rsid w:val="00A06EE1"/>
    <w:rsid w:val="00A06FBA"/>
    <w:rsid w:val="00A07080"/>
    <w:rsid w:val="00A07153"/>
    <w:rsid w:val="00A071DD"/>
    <w:rsid w:val="00A072D8"/>
    <w:rsid w:val="00A072E7"/>
    <w:rsid w:val="00A073DB"/>
    <w:rsid w:val="00A075C0"/>
    <w:rsid w:val="00A0760C"/>
    <w:rsid w:val="00A07658"/>
    <w:rsid w:val="00A076F1"/>
    <w:rsid w:val="00A079AA"/>
    <w:rsid w:val="00A07ADB"/>
    <w:rsid w:val="00A07BF1"/>
    <w:rsid w:val="00A07C83"/>
    <w:rsid w:val="00A07E79"/>
    <w:rsid w:val="00A07FEB"/>
    <w:rsid w:val="00A07FEC"/>
    <w:rsid w:val="00A07FEF"/>
    <w:rsid w:val="00A1021F"/>
    <w:rsid w:val="00A10340"/>
    <w:rsid w:val="00A10383"/>
    <w:rsid w:val="00A10510"/>
    <w:rsid w:val="00A106A5"/>
    <w:rsid w:val="00A106B2"/>
    <w:rsid w:val="00A107EA"/>
    <w:rsid w:val="00A10979"/>
    <w:rsid w:val="00A10CE5"/>
    <w:rsid w:val="00A10DDC"/>
    <w:rsid w:val="00A10E30"/>
    <w:rsid w:val="00A10FD9"/>
    <w:rsid w:val="00A11152"/>
    <w:rsid w:val="00A11395"/>
    <w:rsid w:val="00A113C7"/>
    <w:rsid w:val="00A1144D"/>
    <w:rsid w:val="00A116F7"/>
    <w:rsid w:val="00A11807"/>
    <w:rsid w:val="00A1188B"/>
    <w:rsid w:val="00A11A3F"/>
    <w:rsid w:val="00A11B37"/>
    <w:rsid w:val="00A11DB9"/>
    <w:rsid w:val="00A12262"/>
    <w:rsid w:val="00A12403"/>
    <w:rsid w:val="00A1242E"/>
    <w:rsid w:val="00A124D4"/>
    <w:rsid w:val="00A124D8"/>
    <w:rsid w:val="00A12529"/>
    <w:rsid w:val="00A127C4"/>
    <w:rsid w:val="00A127D0"/>
    <w:rsid w:val="00A127E4"/>
    <w:rsid w:val="00A12835"/>
    <w:rsid w:val="00A128C7"/>
    <w:rsid w:val="00A12A63"/>
    <w:rsid w:val="00A12BD2"/>
    <w:rsid w:val="00A12C3E"/>
    <w:rsid w:val="00A12D57"/>
    <w:rsid w:val="00A131D7"/>
    <w:rsid w:val="00A13222"/>
    <w:rsid w:val="00A13285"/>
    <w:rsid w:val="00A13415"/>
    <w:rsid w:val="00A1350B"/>
    <w:rsid w:val="00A13548"/>
    <w:rsid w:val="00A13621"/>
    <w:rsid w:val="00A13627"/>
    <w:rsid w:val="00A1369E"/>
    <w:rsid w:val="00A136DF"/>
    <w:rsid w:val="00A1373D"/>
    <w:rsid w:val="00A137BD"/>
    <w:rsid w:val="00A13871"/>
    <w:rsid w:val="00A1387A"/>
    <w:rsid w:val="00A138C8"/>
    <w:rsid w:val="00A13D32"/>
    <w:rsid w:val="00A13D51"/>
    <w:rsid w:val="00A13D5B"/>
    <w:rsid w:val="00A13F71"/>
    <w:rsid w:val="00A14085"/>
    <w:rsid w:val="00A141C9"/>
    <w:rsid w:val="00A14249"/>
    <w:rsid w:val="00A143A3"/>
    <w:rsid w:val="00A143CD"/>
    <w:rsid w:val="00A14577"/>
    <w:rsid w:val="00A145F1"/>
    <w:rsid w:val="00A147B5"/>
    <w:rsid w:val="00A148BD"/>
    <w:rsid w:val="00A148D1"/>
    <w:rsid w:val="00A1493F"/>
    <w:rsid w:val="00A14958"/>
    <w:rsid w:val="00A149F8"/>
    <w:rsid w:val="00A14AAE"/>
    <w:rsid w:val="00A14CC4"/>
    <w:rsid w:val="00A14D7D"/>
    <w:rsid w:val="00A14DDF"/>
    <w:rsid w:val="00A14E3E"/>
    <w:rsid w:val="00A14E99"/>
    <w:rsid w:val="00A15046"/>
    <w:rsid w:val="00A150B0"/>
    <w:rsid w:val="00A150FB"/>
    <w:rsid w:val="00A1516D"/>
    <w:rsid w:val="00A15174"/>
    <w:rsid w:val="00A15209"/>
    <w:rsid w:val="00A1521A"/>
    <w:rsid w:val="00A1530A"/>
    <w:rsid w:val="00A154E2"/>
    <w:rsid w:val="00A15533"/>
    <w:rsid w:val="00A1554F"/>
    <w:rsid w:val="00A155A6"/>
    <w:rsid w:val="00A155FE"/>
    <w:rsid w:val="00A156D5"/>
    <w:rsid w:val="00A156DE"/>
    <w:rsid w:val="00A156F0"/>
    <w:rsid w:val="00A15782"/>
    <w:rsid w:val="00A157DF"/>
    <w:rsid w:val="00A15B54"/>
    <w:rsid w:val="00A15BDC"/>
    <w:rsid w:val="00A15CAF"/>
    <w:rsid w:val="00A15D6D"/>
    <w:rsid w:val="00A15D7C"/>
    <w:rsid w:val="00A15DDA"/>
    <w:rsid w:val="00A15DE2"/>
    <w:rsid w:val="00A15E66"/>
    <w:rsid w:val="00A15F58"/>
    <w:rsid w:val="00A16022"/>
    <w:rsid w:val="00A1603A"/>
    <w:rsid w:val="00A16100"/>
    <w:rsid w:val="00A16143"/>
    <w:rsid w:val="00A1621E"/>
    <w:rsid w:val="00A162B6"/>
    <w:rsid w:val="00A1644D"/>
    <w:rsid w:val="00A16492"/>
    <w:rsid w:val="00A16628"/>
    <w:rsid w:val="00A16714"/>
    <w:rsid w:val="00A1672D"/>
    <w:rsid w:val="00A167A5"/>
    <w:rsid w:val="00A1681E"/>
    <w:rsid w:val="00A16841"/>
    <w:rsid w:val="00A16844"/>
    <w:rsid w:val="00A169D2"/>
    <w:rsid w:val="00A16BB4"/>
    <w:rsid w:val="00A16CB9"/>
    <w:rsid w:val="00A16D08"/>
    <w:rsid w:val="00A16D7A"/>
    <w:rsid w:val="00A16E5F"/>
    <w:rsid w:val="00A16F7B"/>
    <w:rsid w:val="00A16FA7"/>
    <w:rsid w:val="00A17135"/>
    <w:rsid w:val="00A17149"/>
    <w:rsid w:val="00A171D5"/>
    <w:rsid w:val="00A17269"/>
    <w:rsid w:val="00A1729E"/>
    <w:rsid w:val="00A172AD"/>
    <w:rsid w:val="00A173D8"/>
    <w:rsid w:val="00A17406"/>
    <w:rsid w:val="00A17463"/>
    <w:rsid w:val="00A1749C"/>
    <w:rsid w:val="00A174A5"/>
    <w:rsid w:val="00A1769F"/>
    <w:rsid w:val="00A176CB"/>
    <w:rsid w:val="00A177D4"/>
    <w:rsid w:val="00A17913"/>
    <w:rsid w:val="00A1791F"/>
    <w:rsid w:val="00A179B9"/>
    <w:rsid w:val="00A17B70"/>
    <w:rsid w:val="00A17BE2"/>
    <w:rsid w:val="00A17EF2"/>
    <w:rsid w:val="00A20104"/>
    <w:rsid w:val="00A20166"/>
    <w:rsid w:val="00A20379"/>
    <w:rsid w:val="00A2040F"/>
    <w:rsid w:val="00A20427"/>
    <w:rsid w:val="00A20439"/>
    <w:rsid w:val="00A20476"/>
    <w:rsid w:val="00A204E0"/>
    <w:rsid w:val="00A205A3"/>
    <w:rsid w:val="00A206D8"/>
    <w:rsid w:val="00A20737"/>
    <w:rsid w:val="00A20748"/>
    <w:rsid w:val="00A20783"/>
    <w:rsid w:val="00A20842"/>
    <w:rsid w:val="00A20904"/>
    <w:rsid w:val="00A209DE"/>
    <w:rsid w:val="00A20B6C"/>
    <w:rsid w:val="00A20BA6"/>
    <w:rsid w:val="00A20C82"/>
    <w:rsid w:val="00A20CAB"/>
    <w:rsid w:val="00A20DC8"/>
    <w:rsid w:val="00A21033"/>
    <w:rsid w:val="00A21081"/>
    <w:rsid w:val="00A210C2"/>
    <w:rsid w:val="00A2112E"/>
    <w:rsid w:val="00A211E4"/>
    <w:rsid w:val="00A21228"/>
    <w:rsid w:val="00A21359"/>
    <w:rsid w:val="00A21455"/>
    <w:rsid w:val="00A21528"/>
    <w:rsid w:val="00A2155F"/>
    <w:rsid w:val="00A21836"/>
    <w:rsid w:val="00A2192A"/>
    <w:rsid w:val="00A21A65"/>
    <w:rsid w:val="00A21A84"/>
    <w:rsid w:val="00A21E1A"/>
    <w:rsid w:val="00A223E1"/>
    <w:rsid w:val="00A2245A"/>
    <w:rsid w:val="00A22492"/>
    <w:rsid w:val="00A224D3"/>
    <w:rsid w:val="00A22698"/>
    <w:rsid w:val="00A2285D"/>
    <w:rsid w:val="00A228F7"/>
    <w:rsid w:val="00A22A49"/>
    <w:rsid w:val="00A22B00"/>
    <w:rsid w:val="00A22BF9"/>
    <w:rsid w:val="00A22CD8"/>
    <w:rsid w:val="00A22CDB"/>
    <w:rsid w:val="00A22D10"/>
    <w:rsid w:val="00A22DFA"/>
    <w:rsid w:val="00A22E35"/>
    <w:rsid w:val="00A22EF8"/>
    <w:rsid w:val="00A22F50"/>
    <w:rsid w:val="00A22F65"/>
    <w:rsid w:val="00A22F68"/>
    <w:rsid w:val="00A22FBF"/>
    <w:rsid w:val="00A23125"/>
    <w:rsid w:val="00A231B6"/>
    <w:rsid w:val="00A232B0"/>
    <w:rsid w:val="00A233FE"/>
    <w:rsid w:val="00A235F6"/>
    <w:rsid w:val="00A236A1"/>
    <w:rsid w:val="00A23999"/>
    <w:rsid w:val="00A23B40"/>
    <w:rsid w:val="00A23C5D"/>
    <w:rsid w:val="00A23D36"/>
    <w:rsid w:val="00A23D3F"/>
    <w:rsid w:val="00A23D5B"/>
    <w:rsid w:val="00A23E62"/>
    <w:rsid w:val="00A24092"/>
    <w:rsid w:val="00A240A6"/>
    <w:rsid w:val="00A240E4"/>
    <w:rsid w:val="00A242A7"/>
    <w:rsid w:val="00A24889"/>
    <w:rsid w:val="00A24959"/>
    <w:rsid w:val="00A24968"/>
    <w:rsid w:val="00A249E7"/>
    <w:rsid w:val="00A24A22"/>
    <w:rsid w:val="00A24A43"/>
    <w:rsid w:val="00A24BEE"/>
    <w:rsid w:val="00A24CD8"/>
    <w:rsid w:val="00A24CDC"/>
    <w:rsid w:val="00A24D16"/>
    <w:rsid w:val="00A24E1D"/>
    <w:rsid w:val="00A24EA4"/>
    <w:rsid w:val="00A24EC7"/>
    <w:rsid w:val="00A24F24"/>
    <w:rsid w:val="00A2500A"/>
    <w:rsid w:val="00A2500C"/>
    <w:rsid w:val="00A252DC"/>
    <w:rsid w:val="00A252F1"/>
    <w:rsid w:val="00A25301"/>
    <w:rsid w:val="00A25304"/>
    <w:rsid w:val="00A25339"/>
    <w:rsid w:val="00A25360"/>
    <w:rsid w:val="00A25416"/>
    <w:rsid w:val="00A254E0"/>
    <w:rsid w:val="00A2550E"/>
    <w:rsid w:val="00A25522"/>
    <w:rsid w:val="00A25640"/>
    <w:rsid w:val="00A2599E"/>
    <w:rsid w:val="00A259C4"/>
    <w:rsid w:val="00A259ED"/>
    <w:rsid w:val="00A25AF8"/>
    <w:rsid w:val="00A25B8E"/>
    <w:rsid w:val="00A25B90"/>
    <w:rsid w:val="00A25BD1"/>
    <w:rsid w:val="00A25D6D"/>
    <w:rsid w:val="00A25F5C"/>
    <w:rsid w:val="00A26088"/>
    <w:rsid w:val="00A26094"/>
    <w:rsid w:val="00A260B3"/>
    <w:rsid w:val="00A2610A"/>
    <w:rsid w:val="00A26232"/>
    <w:rsid w:val="00A26273"/>
    <w:rsid w:val="00A26314"/>
    <w:rsid w:val="00A263A3"/>
    <w:rsid w:val="00A263FC"/>
    <w:rsid w:val="00A264CA"/>
    <w:rsid w:val="00A2656A"/>
    <w:rsid w:val="00A26570"/>
    <w:rsid w:val="00A265BD"/>
    <w:rsid w:val="00A26784"/>
    <w:rsid w:val="00A26787"/>
    <w:rsid w:val="00A267A3"/>
    <w:rsid w:val="00A267A4"/>
    <w:rsid w:val="00A267E3"/>
    <w:rsid w:val="00A267F4"/>
    <w:rsid w:val="00A26A3C"/>
    <w:rsid w:val="00A26A58"/>
    <w:rsid w:val="00A26AE1"/>
    <w:rsid w:val="00A26B80"/>
    <w:rsid w:val="00A26BB6"/>
    <w:rsid w:val="00A26BC6"/>
    <w:rsid w:val="00A26C25"/>
    <w:rsid w:val="00A26EB3"/>
    <w:rsid w:val="00A27011"/>
    <w:rsid w:val="00A27023"/>
    <w:rsid w:val="00A270B7"/>
    <w:rsid w:val="00A270FD"/>
    <w:rsid w:val="00A27191"/>
    <w:rsid w:val="00A271E8"/>
    <w:rsid w:val="00A272D7"/>
    <w:rsid w:val="00A27328"/>
    <w:rsid w:val="00A27376"/>
    <w:rsid w:val="00A2748C"/>
    <w:rsid w:val="00A274DD"/>
    <w:rsid w:val="00A2753A"/>
    <w:rsid w:val="00A27574"/>
    <w:rsid w:val="00A275C6"/>
    <w:rsid w:val="00A27736"/>
    <w:rsid w:val="00A2795C"/>
    <w:rsid w:val="00A27995"/>
    <w:rsid w:val="00A27A8E"/>
    <w:rsid w:val="00A27AB4"/>
    <w:rsid w:val="00A27B6A"/>
    <w:rsid w:val="00A27BB8"/>
    <w:rsid w:val="00A27DDF"/>
    <w:rsid w:val="00A27EB9"/>
    <w:rsid w:val="00A27F00"/>
    <w:rsid w:val="00A27FC4"/>
    <w:rsid w:val="00A30195"/>
    <w:rsid w:val="00A302A0"/>
    <w:rsid w:val="00A30325"/>
    <w:rsid w:val="00A3034A"/>
    <w:rsid w:val="00A30387"/>
    <w:rsid w:val="00A305AA"/>
    <w:rsid w:val="00A30704"/>
    <w:rsid w:val="00A30A93"/>
    <w:rsid w:val="00A30B5E"/>
    <w:rsid w:val="00A30BB5"/>
    <w:rsid w:val="00A30C3D"/>
    <w:rsid w:val="00A30E42"/>
    <w:rsid w:val="00A31088"/>
    <w:rsid w:val="00A3109D"/>
    <w:rsid w:val="00A310C3"/>
    <w:rsid w:val="00A3115E"/>
    <w:rsid w:val="00A3122A"/>
    <w:rsid w:val="00A314BE"/>
    <w:rsid w:val="00A314E1"/>
    <w:rsid w:val="00A31550"/>
    <w:rsid w:val="00A31572"/>
    <w:rsid w:val="00A315E6"/>
    <w:rsid w:val="00A31667"/>
    <w:rsid w:val="00A31858"/>
    <w:rsid w:val="00A3197E"/>
    <w:rsid w:val="00A319CC"/>
    <w:rsid w:val="00A31B4F"/>
    <w:rsid w:val="00A31B73"/>
    <w:rsid w:val="00A31C83"/>
    <w:rsid w:val="00A31CFA"/>
    <w:rsid w:val="00A31D28"/>
    <w:rsid w:val="00A31FF3"/>
    <w:rsid w:val="00A320BF"/>
    <w:rsid w:val="00A32130"/>
    <w:rsid w:val="00A322D8"/>
    <w:rsid w:val="00A32486"/>
    <w:rsid w:val="00A324F1"/>
    <w:rsid w:val="00A32787"/>
    <w:rsid w:val="00A3278F"/>
    <w:rsid w:val="00A327F4"/>
    <w:rsid w:val="00A32839"/>
    <w:rsid w:val="00A32848"/>
    <w:rsid w:val="00A32A0A"/>
    <w:rsid w:val="00A32AE5"/>
    <w:rsid w:val="00A32B32"/>
    <w:rsid w:val="00A32BB8"/>
    <w:rsid w:val="00A32C6B"/>
    <w:rsid w:val="00A32D03"/>
    <w:rsid w:val="00A32F42"/>
    <w:rsid w:val="00A33074"/>
    <w:rsid w:val="00A3307E"/>
    <w:rsid w:val="00A330DE"/>
    <w:rsid w:val="00A33151"/>
    <w:rsid w:val="00A3328C"/>
    <w:rsid w:val="00A33335"/>
    <w:rsid w:val="00A33400"/>
    <w:rsid w:val="00A3340B"/>
    <w:rsid w:val="00A3364E"/>
    <w:rsid w:val="00A336E9"/>
    <w:rsid w:val="00A336F8"/>
    <w:rsid w:val="00A33786"/>
    <w:rsid w:val="00A3379C"/>
    <w:rsid w:val="00A337D4"/>
    <w:rsid w:val="00A337EF"/>
    <w:rsid w:val="00A33805"/>
    <w:rsid w:val="00A33810"/>
    <w:rsid w:val="00A338AF"/>
    <w:rsid w:val="00A338B1"/>
    <w:rsid w:val="00A33A97"/>
    <w:rsid w:val="00A33AC5"/>
    <w:rsid w:val="00A33C9A"/>
    <w:rsid w:val="00A33E2C"/>
    <w:rsid w:val="00A3416B"/>
    <w:rsid w:val="00A34264"/>
    <w:rsid w:val="00A343D2"/>
    <w:rsid w:val="00A3440E"/>
    <w:rsid w:val="00A3453D"/>
    <w:rsid w:val="00A34546"/>
    <w:rsid w:val="00A346CF"/>
    <w:rsid w:val="00A3475B"/>
    <w:rsid w:val="00A3476C"/>
    <w:rsid w:val="00A347F1"/>
    <w:rsid w:val="00A34956"/>
    <w:rsid w:val="00A349A0"/>
    <w:rsid w:val="00A349E7"/>
    <w:rsid w:val="00A34A20"/>
    <w:rsid w:val="00A34BB1"/>
    <w:rsid w:val="00A34BB7"/>
    <w:rsid w:val="00A34BFE"/>
    <w:rsid w:val="00A34C35"/>
    <w:rsid w:val="00A34D68"/>
    <w:rsid w:val="00A34E59"/>
    <w:rsid w:val="00A34FFA"/>
    <w:rsid w:val="00A3507F"/>
    <w:rsid w:val="00A35111"/>
    <w:rsid w:val="00A35150"/>
    <w:rsid w:val="00A35318"/>
    <w:rsid w:val="00A354F2"/>
    <w:rsid w:val="00A354F4"/>
    <w:rsid w:val="00A3552A"/>
    <w:rsid w:val="00A355FE"/>
    <w:rsid w:val="00A3562A"/>
    <w:rsid w:val="00A35631"/>
    <w:rsid w:val="00A356AB"/>
    <w:rsid w:val="00A356E6"/>
    <w:rsid w:val="00A35743"/>
    <w:rsid w:val="00A357FA"/>
    <w:rsid w:val="00A359B2"/>
    <w:rsid w:val="00A35A4E"/>
    <w:rsid w:val="00A35A67"/>
    <w:rsid w:val="00A35A6A"/>
    <w:rsid w:val="00A35A8B"/>
    <w:rsid w:val="00A35AC0"/>
    <w:rsid w:val="00A35B95"/>
    <w:rsid w:val="00A35BB6"/>
    <w:rsid w:val="00A35C04"/>
    <w:rsid w:val="00A35DA0"/>
    <w:rsid w:val="00A35E30"/>
    <w:rsid w:val="00A35E43"/>
    <w:rsid w:val="00A35E89"/>
    <w:rsid w:val="00A35EC1"/>
    <w:rsid w:val="00A35FFA"/>
    <w:rsid w:val="00A361F9"/>
    <w:rsid w:val="00A36226"/>
    <w:rsid w:val="00A36348"/>
    <w:rsid w:val="00A3641D"/>
    <w:rsid w:val="00A3659C"/>
    <w:rsid w:val="00A36667"/>
    <w:rsid w:val="00A367B8"/>
    <w:rsid w:val="00A368D6"/>
    <w:rsid w:val="00A369F8"/>
    <w:rsid w:val="00A36A90"/>
    <w:rsid w:val="00A36B05"/>
    <w:rsid w:val="00A36BE3"/>
    <w:rsid w:val="00A36C58"/>
    <w:rsid w:val="00A36C9E"/>
    <w:rsid w:val="00A36CBB"/>
    <w:rsid w:val="00A36CD1"/>
    <w:rsid w:val="00A36CF3"/>
    <w:rsid w:val="00A36DA2"/>
    <w:rsid w:val="00A36DE9"/>
    <w:rsid w:val="00A36EF8"/>
    <w:rsid w:val="00A36F70"/>
    <w:rsid w:val="00A36FB1"/>
    <w:rsid w:val="00A372A5"/>
    <w:rsid w:val="00A372AF"/>
    <w:rsid w:val="00A372B6"/>
    <w:rsid w:val="00A37373"/>
    <w:rsid w:val="00A373DC"/>
    <w:rsid w:val="00A373FD"/>
    <w:rsid w:val="00A3741B"/>
    <w:rsid w:val="00A3744A"/>
    <w:rsid w:val="00A37524"/>
    <w:rsid w:val="00A37631"/>
    <w:rsid w:val="00A3770B"/>
    <w:rsid w:val="00A3776B"/>
    <w:rsid w:val="00A37822"/>
    <w:rsid w:val="00A37845"/>
    <w:rsid w:val="00A37A43"/>
    <w:rsid w:val="00A37A87"/>
    <w:rsid w:val="00A37BE9"/>
    <w:rsid w:val="00A37D9C"/>
    <w:rsid w:val="00A37DA3"/>
    <w:rsid w:val="00A37E6D"/>
    <w:rsid w:val="00A40168"/>
    <w:rsid w:val="00A4018B"/>
    <w:rsid w:val="00A401CA"/>
    <w:rsid w:val="00A40522"/>
    <w:rsid w:val="00A405CB"/>
    <w:rsid w:val="00A40650"/>
    <w:rsid w:val="00A40802"/>
    <w:rsid w:val="00A40806"/>
    <w:rsid w:val="00A40853"/>
    <w:rsid w:val="00A40960"/>
    <w:rsid w:val="00A4099C"/>
    <w:rsid w:val="00A40B0D"/>
    <w:rsid w:val="00A40B17"/>
    <w:rsid w:val="00A40B24"/>
    <w:rsid w:val="00A40BD2"/>
    <w:rsid w:val="00A40C8C"/>
    <w:rsid w:val="00A40DC4"/>
    <w:rsid w:val="00A40DDD"/>
    <w:rsid w:val="00A40EFE"/>
    <w:rsid w:val="00A40F09"/>
    <w:rsid w:val="00A40F0A"/>
    <w:rsid w:val="00A40F97"/>
    <w:rsid w:val="00A410FF"/>
    <w:rsid w:val="00A411A6"/>
    <w:rsid w:val="00A41216"/>
    <w:rsid w:val="00A41280"/>
    <w:rsid w:val="00A413AF"/>
    <w:rsid w:val="00A41902"/>
    <w:rsid w:val="00A4196A"/>
    <w:rsid w:val="00A41A74"/>
    <w:rsid w:val="00A41AC8"/>
    <w:rsid w:val="00A41AD2"/>
    <w:rsid w:val="00A41BCA"/>
    <w:rsid w:val="00A41D3A"/>
    <w:rsid w:val="00A41E70"/>
    <w:rsid w:val="00A41F07"/>
    <w:rsid w:val="00A41F45"/>
    <w:rsid w:val="00A420A2"/>
    <w:rsid w:val="00A42217"/>
    <w:rsid w:val="00A42343"/>
    <w:rsid w:val="00A425B1"/>
    <w:rsid w:val="00A42707"/>
    <w:rsid w:val="00A4279E"/>
    <w:rsid w:val="00A42912"/>
    <w:rsid w:val="00A429F4"/>
    <w:rsid w:val="00A42B35"/>
    <w:rsid w:val="00A42B99"/>
    <w:rsid w:val="00A42BB4"/>
    <w:rsid w:val="00A42BF0"/>
    <w:rsid w:val="00A42F82"/>
    <w:rsid w:val="00A42FE7"/>
    <w:rsid w:val="00A43167"/>
    <w:rsid w:val="00A434F4"/>
    <w:rsid w:val="00A43507"/>
    <w:rsid w:val="00A436CF"/>
    <w:rsid w:val="00A43722"/>
    <w:rsid w:val="00A43803"/>
    <w:rsid w:val="00A4383F"/>
    <w:rsid w:val="00A4385E"/>
    <w:rsid w:val="00A4388C"/>
    <w:rsid w:val="00A43996"/>
    <w:rsid w:val="00A43AE8"/>
    <w:rsid w:val="00A43B46"/>
    <w:rsid w:val="00A43BA6"/>
    <w:rsid w:val="00A43C36"/>
    <w:rsid w:val="00A43EE6"/>
    <w:rsid w:val="00A43F66"/>
    <w:rsid w:val="00A43F83"/>
    <w:rsid w:val="00A43FA7"/>
    <w:rsid w:val="00A44000"/>
    <w:rsid w:val="00A4401A"/>
    <w:rsid w:val="00A4409A"/>
    <w:rsid w:val="00A440DA"/>
    <w:rsid w:val="00A44220"/>
    <w:rsid w:val="00A44369"/>
    <w:rsid w:val="00A443AF"/>
    <w:rsid w:val="00A445A6"/>
    <w:rsid w:val="00A447CD"/>
    <w:rsid w:val="00A44821"/>
    <w:rsid w:val="00A44847"/>
    <w:rsid w:val="00A448B9"/>
    <w:rsid w:val="00A44903"/>
    <w:rsid w:val="00A44955"/>
    <w:rsid w:val="00A44984"/>
    <w:rsid w:val="00A44B16"/>
    <w:rsid w:val="00A44B17"/>
    <w:rsid w:val="00A44C11"/>
    <w:rsid w:val="00A44C45"/>
    <w:rsid w:val="00A44CA5"/>
    <w:rsid w:val="00A44FCE"/>
    <w:rsid w:val="00A45069"/>
    <w:rsid w:val="00A45217"/>
    <w:rsid w:val="00A4528A"/>
    <w:rsid w:val="00A452A1"/>
    <w:rsid w:val="00A452D1"/>
    <w:rsid w:val="00A4535F"/>
    <w:rsid w:val="00A4537F"/>
    <w:rsid w:val="00A453C9"/>
    <w:rsid w:val="00A454E7"/>
    <w:rsid w:val="00A455FD"/>
    <w:rsid w:val="00A45683"/>
    <w:rsid w:val="00A456DB"/>
    <w:rsid w:val="00A459C4"/>
    <w:rsid w:val="00A45A4C"/>
    <w:rsid w:val="00A45C1D"/>
    <w:rsid w:val="00A45CAF"/>
    <w:rsid w:val="00A45D72"/>
    <w:rsid w:val="00A45D88"/>
    <w:rsid w:val="00A45E34"/>
    <w:rsid w:val="00A45E85"/>
    <w:rsid w:val="00A45FCE"/>
    <w:rsid w:val="00A46002"/>
    <w:rsid w:val="00A46208"/>
    <w:rsid w:val="00A4637B"/>
    <w:rsid w:val="00A46380"/>
    <w:rsid w:val="00A4650A"/>
    <w:rsid w:val="00A465C8"/>
    <w:rsid w:val="00A465CD"/>
    <w:rsid w:val="00A4665A"/>
    <w:rsid w:val="00A46710"/>
    <w:rsid w:val="00A4678E"/>
    <w:rsid w:val="00A4680F"/>
    <w:rsid w:val="00A468EA"/>
    <w:rsid w:val="00A46AB8"/>
    <w:rsid w:val="00A46B8F"/>
    <w:rsid w:val="00A46C09"/>
    <w:rsid w:val="00A46ED0"/>
    <w:rsid w:val="00A46F74"/>
    <w:rsid w:val="00A4710C"/>
    <w:rsid w:val="00A4710D"/>
    <w:rsid w:val="00A471B6"/>
    <w:rsid w:val="00A47205"/>
    <w:rsid w:val="00A47231"/>
    <w:rsid w:val="00A47293"/>
    <w:rsid w:val="00A4732A"/>
    <w:rsid w:val="00A47354"/>
    <w:rsid w:val="00A47434"/>
    <w:rsid w:val="00A474BD"/>
    <w:rsid w:val="00A4756D"/>
    <w:rsid w:val="00A475BA"/>
    <w:rsid w:val="00A47666"/>
    <w:rsid w:val="00A4767E"/>
    <w:rsid w:val="00A476CB"/>
    <w:rsid w:val="00A47839"/>
    <w:rsid w:val="00A47A0B"/>
    <w:rsid w:val="00A47A97"/>
    <w:rsid w:val="00A47B6C"/>
    <w:rsid w:val="00A47BCC"/>
    <w:rsid w:val="00A47DD3"/>
    <w:rsid w:val="00A47E49"/>
    <w:rsid w:val="00A47E6D"/>
    <w:rsid w:val="00A5007B"/>
    <w:rsid w:val="00A500DC"/>
    <w:rsid w:val="00A500EC"/>
    <w:rsid w:val="00A50188"/>
    <w:rsid w:val="00A50235"/>
    <w:rsid w:val="00A50369"/>
    <w:rsid w:val="00A5039F"/>
    <w:rsid w:val="00A50675"/>
    <w:rsid w:val="00A50697"/>
    <w:rsid w:val="00A50698"/>
    <w:rsid w:val="00A506A9"/>
    <w:rsid w:val="00A5070F"/>
    <w:rsid w:val="00A507CD"/>
    <w:rsid w:val="00A50A17"/>
    <w:rsid w:val="00A50A21"/>
    <w:rsid w:val="00A50AC9"/>
    <w:rsid w:val="00A50CCB"/>
    <w:rsid w:val="00A50DA8"/>
    <w:rsid w:val="00A50E12"/>
    <w:rsid w:val="00A50FBC"/>
    <w:rsid w:val="00A51011"/>
    <w:rsid w:val="00A51023"/>
    <w:rsid w:val="00A5120E"/>
    <w:rsid w:val="00A51222"/>
    <w:rsid w:val="00A513A9"/>
    <w:rsid w:val="00A51482"/>
    <w:rsid w:val="00A514B1"/>
    <w:rsid w:val="00A516A8"/>
    <w:rsid w:val="00A516F6"/>
    <w:rsid w:val="00A5172B"/>
    <w:rsid w:val="00A519A8"/>
    <w:rsid w:val="00A519F2"/>
    <w:rsid w:val="00A51AA2"/>
    <w:rsid w:val="00A51AC7"/>
    <w:rsid w:val="00A51B57"/>
    <w:rsid w:val="00A51B5C"/>
    <w:rsid w:val="00A51BD5"/>
    <w:rsid w:val="00A51C30"/>
    <w:rsid w:val="00A51D89"/>
    <w:rsid w:val="00A51F3B"/>
    <w:rsid w:val="00A52019"/>
    <w:rsid w:val="00A52074"/>
    <w:rsid w:val="00A5207C"/>
    <w:rsid w:val="00A52096"/>
    <w:rsid w:val="00A520DF"/>
    <w:rsid w:val="00A5218F"/>
    <w:rsid w:val="00A52203"/>
    <w:rsid w:val="00A52978"/>
    <w:rsid w:val="00A529EE"/>
    <w:rsid w:val="00A52A04"/>
    <w:rsid w:val="00A52B56"/>
    <w:rsid w:val="00A52C23"/>
    <w:rsid w:val="00A52CBF"/>
    <w:rsid w:val="00A52D0F"/>
    <w:rsid w:val="00A52D8F"/>
    <w:rsid w:val="00A52DB4"/>
    <w:rsid w:val="00A52DD6"/>
    <w:rsid w:val="00A531FF"/>
    <w:rsid w:val="00A5335D"/>
    <w:rsid w:val="00A53605"/>
    <w:rsid w:val="00A53822"/>
    <w:rsid w:val="00A539AB"/>
    <w:rsid w:val="00A53A54"/>
    <w:rsid w:val="00A53AF4"/>
    <w:rsid w:val="00A53B44"/>
    <w:rsid w:val="00A53B67"/>
    <w:rsid w:val="00A53C21"/>
    <w:rsid w:val="00A53CF7"/>
    <w:rsid w:val="00A53DA0"/>
    <w:rsid w:val="00A53DE2"/>
    <w:rsid w:val="00A53E2C"/>
    <w:rsid w:val="00A53F26"/>
    <w:rsid w:val="00A53FEE"/>
    <w:rsid w:val="00A54193"/>
    <w:rsid w:val="00A542F8"/>
    <w:rsid w:val="00A5436B"/>
    <w:rsid w:val="00A543DB"/>
    <w:rsid w:val="00A543EA"/>
    <w:rsid w:val="00A54804"/>
    <w:rsid w:val="00A54843"/>
    <w:rsid w:val="00A5487B"/>
    <w:rsid w:val="00A548BC"/>
    <w:rsid w:val="00A54998"/>
    <w:rsid w:val="00A549C9"/>
    <w:rsid w:val="00A54A4D"/>
    <w:rsid w:val="00A54AA0"/>
    <w:rsid w:val="00A54BB4"/>
    <w:rsid w:val="00A54CE0"/>
    <w:rsid w:val="00A54D37"/>
    <w:rsid w:val="00A54D44"/>
    <w:rsid w:val="00A54F34"/>
    <w:rsid w:val="00A54FD9"/>
    <w:rsid w:val="00A55068"/>
    <w:rsid w:val="00A551E7"/>
    <w:rsid w:val="00A5520A"/>
    <w:rsid w:val="00A55274"/>
    <w:rsid w:val="00A55356"/>
    <w:rsid w:val="00A55366"/>
    <w:rsid w:val="00A55628"/>
    <w:rsid w:val="00A556AB"/>
    <w:rsid w:val="00A55809"/>
    <w:rsid w:val="00A55818"/>
    <w:rsid w:val="00A559B9"/>
    <w:rsid w:val="00A55B0A"/>
    <w:rsid w:val="00A55B26"/>
    <w:rsid w:val="00A55D5B"/>
    <w:rsid w:val="00A55F24"/>
    <w:rsid w:val="00A55F51"/>
    <w:rsid w:val="00A5600A"/>
    <w:rsid w:val="00A56078"/>
    <w:rsid w:val="00A560E7"/>
    <w:rsid w:val="00A5618F"/>
    <w:rsid w:val="00A562F2"/>
    <w:rsid w:val="00A562FA"/>
    <w:rsid w:val="00A56344"/>
    <w:rsid w:val="00A563F6"/>
    <w:rsid w:val="00A5653A"/>
    <w:rsid w:val="00A56556"/>
    <w:rsid w:val="00A56660"/>
    <w:rsid w:val="00A56786"/>
    <w:rsid w:val="00A5678C"/>
    <w:rsid w:val="00A567F9"/>
    <w:rsid w:val="00A56827"/>
    <w:rsid w:val="00A56865"/>
    <w:rsid w:val="00A56922"/>
    <w:rsid w:val="00A5699F"/>
    <w:rsid w:val="00A56A40"/>
    <w:rsid w:val="00A56A91"/>
    <w:rsid w:val="00A56AFA"/>
    <w:rsid w:val="00A56B03"/>
    <w:rsid w:val="00A56B97"/>
    <w:rsid w:val="00A56BDE"/>
    <w:rsid w:val="00A56C51"/>
    <w:rsid w:val="00A56E43"/>
    <w:rsid w:val="00A56F66"/>
    <w:rsid w:val="00A56FC7"/>
    <w:rsid w:val="00A57000"/>
    <w:rsid w:val="00A57104"/>
    <w:rsid w:val="00A572D5"/>
    <w:rsid w:val="00A5738B"/>
    <w:rsid w:val="00A5771F"/>
    <w:rsid w:val="00A57833"/>
    <w:rsid w:val="00A57954"/>
    <w:rsid w:val="00A57B50"/>
    <w:rsid w:val="00A57B60"/>
    <w:rsid w:val="00A57C09"/>
    <w:rsid w:val="00A57C2E"/>
    <w:rsid w:val="00A57CC6"/>
    <w:rsid w:val="00A57D32"/>
    <w:rsid w:val="00A57E6B"/>
    <w:rsid w:val="00A601A8"/>
    <w:rsid w:val="00A603A1"/>
    <w:rsid w:val="00A60587"/>
    <w:rsid w:val="00A6066A"/>
    <w:rsid w:val="00A606D1"/>
    <w:rsid w:val="00A606F7"/>
    <w:rsid w:val="00A60755"/>
    <w:rsid w:val="00A6077D"/>
    <w:rsid w:val="00A6080F"/>
    <w:rsid w:val="00A6098C"/>
    <w:rsid w:val="00A60A61"/>
    <w:rsid w:val="00A60C12"/>
    <w:rsid w:val="00A60C5B"/>
    <w:rsid w:val="00A60D32"/>
    <w:rsid w:val="00A60E53"/>
    <w:rsid w:val="00A60E58"/>
    <w:rsid w:val="00A60E93"/>
    <w:rsid w:val="00A60EE6"/>
    <w:rsid w:val="00A60F87"/>
    <w:rsid w:val="00A6103F"/>
    <w:rsid w:val="00A611EB"/>
    <w:rsid w:val="00A612C4"/>
    <w:rsid w:val="00A6134E"/>
    <w:rsid w:val="00A61365"/>
    <w:rsid w:val="00A61446"/>
    <w:rsid w:val="00A61505"/>
    <w:rsid w:val="00A6153C"/>
    <w:rsid w:val="00A6159C"/>
    <w:rsid w:val="00A61636"/>
    <w:rsid w:val="00A616C8"/>
    <w:rsid w:val="00A6171B"/>
    <w:rsid w:val="00A6179E"/>
    <w:rsid w:val="00A617A1"/>
    <w:rsid w:val="00A6188C"/>
    <w:rsid w:val="00A618B7"/>
    <w:rsid w:val="00A618F6"/>
    <w:rsid w:val="00A61929"/>
    <w:rsid w:val="00A61CF4"/>
    <w:rsid w:val="00A61EAA"/>
    <w:rsid w:val="00A61F59"/>
    <w:rsid w:val="00A61FDA"/>
    <w:rsid w:val="00A61FE2"/>
    <w:rsid w:val="00A620CA"/>
    <w:rsid w:val="00A6223F"/>
    <w:rsid w:val="00A62387"/>
    <w:rsid w:val="00A6244C"/>
    <w:rsid w:val="00A625F6"/>
    <w:rsid w:val="00A6260D"/>
    <w:rsid w:val="00A62657"/>
    <w:rsid w:val="00A626F1"/>
    <w:rsid w:val="00A62720"/>
    <w:rsid w:val="00A6281A"/>
    <w:rsid w:val="00A62844"/>
    <w:rsid w:val="00A62855"/>
    <w:rsid w:val="00A628DD"/>
    <w:rsid w:val="00A628EB"/>
    <w:rsid w:val="00A62910"/>
    <w:rsid w:val="00A6291F"/>
    <w:rsid w:val="00A629A9"/>
    <w:rsid w:val="00A629D5"/>
    <w:rsid w:val="00A62A19"/>
    <w:rsid w:val="00A62AC1"/>
    <w:rsid w:val="00A62BB4"/>
    <w:rsid w:val="00A62C8D"/>
    <w:rsid w:val="00A62D61"/>
    <w:rsid w:val="00A62F13"/>
    <w:rsid w:val="00A631E1"/>
    <w:rsid w:val="00A632CE"/>
    <w:rsid w:val="00A6331D"/>
    <w:rsid w:val="00A63336"/>
    <w:rsid w:val="00A635BA"/>
    <w:rsid w:val="00A6360A"/>
    <w:rsid w:val="00A63610"/>
    <w:rsid w:val="00A63744"/>
    <w:rsid w:val="00A6395C"/>
    <w:rsid w:val="00A6397A"/>
    <w:rsid w:val="00A63A28"/>
    <w:rsid w:val="00A63AC3"/>
    <w:rsid w:val="00A63BA3"/>
    <w:rsid w:val="00A63C85"/>
    <w:rsid w:val="00A63D54"/>
    <w:rsid w:val="00A63D75"/>
    <w:rsid w:val="00A63DF8"/>
    <w:rsid w:val="00A640E8"/>
    <w:rsid w:val="00A641BE"/>
    <w:rsid w:val="00A6424C"/>
    <w:rsid w:val="00A643C1"/>
    <w:rsid w:val="00A64455"/>
    <w:rsid w:val="00A644A4"/>
    <w:rsid w:val="00A644D9"/>
    <w:rsid w:val="00A6451C"/>
    <w:rsid w:val="00A645F6"/>
    <w:rsid w:val="00A64609"/>
    <w:rsid w:val="00A64715"/>
    <w:rsid w:val="00A647CC"/>
    <w:rsid w:val="00A648C3"/>
    <w:rsid w:val="00A649A8"/>
    <w:rsid w:val="00A64A32"/>
    <w:rsid w:val="00A64A87"/>
    <w:rsid w:val="00A64B8A"/>
    <w:rsid w:val="00A64BD4"/>
    <w:rsid w:val="00A64C71"/>
    <w:rsid w:val="00A64D56"/>
    <w:rsid w:val="00A64D74"/>
    <w:rsid w:val="00A64D93"/>
    <w:rsid w:val="00A64E43"/>
    <w:rsid w:val="00A64E62"/>
    <w:rsid w:val="00A64ED1"/>
    <w:rsid w:val="00A64F23"/>
    <w:rsid w:val="00A64FE4"/>
    <w:rsid w:val="00A650E9"/>
    <w:rsid w:val="00A651BE"/>
    <w:rsid w:val="00A6524F"/>
    <w:rsid w:val="00A652C4"/>
    <w:rsid w:val="00A65477"/>
    <w:rsid w:val="00A654DE"/>
    <w:rsid w:val="00A65856"/>
    <w:rsid w:val="00A65932"/>
    <w:rsid w:val="00A65B81"/>
    <w:rsid w:val="00A65C04"/>
    <w:rsid w:val="00A65C0A"/>
    <w:rsid w:val="00A65C49"/>
    <w:rsid w:val="00A65C6D"/>
    <w:rsid w:val="00A65C7E"/>
    <w:rsid w:val="00A65D98"/>
    <w:rsid w:val="00A65E94"/>
    <w:rsid w:val="00A65EC0"/>
    <w:rsid w:val="00A65F0F"/>
    <w:rsid w:val="00A6618A"/>
    <w:rsid w:val="00A6624C"/>
    <w:rsid w:val="00A662BD"/>
    <w:rsid w:val="00A6643D"/>
    <w:rsid w:val="00A6651A"/>
    <w:rsid w:val="00A6654F"/>
    <w:rsid w:val="00A666E5"/>
    <w:rsid w:val="00A66877"/>
    <w:rsid w:val="00A668A5"/>
    <w:rsid w:val="00A66AD2"/>
    <w:rsid w:val="00A66AE6"/>
    <w:rsid w:val="00A66B66"/>
    <w:rsid w:val="00A66BA6"/>
    <w:rsid w:val="00A66C1E"/>
    <w:rsid w:val="00A66E9E"/>
    <w:rsid w:val="00A66F28"/>
    <w:rsid w:val="00A66F29"/>
    <w:rsid w:val="00A670A3"/>
    <w:rsid w:val="00A67118"/>
    <w:rsid w:val="00A671F3"/>
    <w:rsid w:val="00A672E2"/>
    <w:rsid w:val="00A67371"/>
    <w:rsid w:val="00A6743F"/>
    <w:rsid w:val="00A67496"/>
    <w:rsid w:val="00A675DF"/>
    <w:rsid w:val="00A6762D"/>
    <w:rsid w:val="00A6764D"/>
    <w:rsid w:val="00A67923"/>
    <w:rsid w:val="00A67C8F"/>
    <w:rsid w:val="00A67DCA"/>
    <w:rsid w:val="00A67E08"/>
    <w:rsid w:val="00A67ED4"/>
    <w:rsid w:val="00A7008B"/>
    <w:rsid w:val="00A70183"/>
    <w:rsid w:val="00A7030B"/>
    <w:rsid w:val="00A70347"/>
    <w:rsid w:val="00A7035C"/>
    <w:rsid w:val="00A703A0"/>
    <w:rsid w:val="00A70487"/>
    <w:rsid w:val="00A704DF"/>
    <w:rsid w:val="00A70549"/>
    <w:rsid w:val="00A70568"/>
    <w:rsid w:val="00A705F6"/>
    <w:rsid w:val="00A7073E"/>
    <w:rsid w:val="00A708DA"/>
    <w:rsid w:val="00A70C07"/>
    <w:rsid w:val="00A70C62"/>
    <w:rsid w:val="00A70CA5"/>
    <w:rsid w:val="00A70FD0"/>
    <w:rsid w:val="00A71067"/>
    <w:rsid w:val="00A71086"/>
    <w:rsid w:val="00A711DD"/>
    <w:rsid w:val="00A711FE"/>
    <w:rsid w:val="00A71398"/>
    <w:rsid w:val="00A7143B"/>
    <w:rsid w:val="00A714E1"/>
    <w:rsid w:val="00A714F1"/>
    <w:rsid w:val="00A71636"/>
    <w:rsid w:val="00A717D9"/>
    <w:rsid w:val="00A7181F"/>
    <w:rsid w:val="00A71F02"/>
    <w:rsid w:val="00A71F31"/>
    <w:rsid w:val="00A71F55"/>
    <w:rsid w:val="00A71FD0"/>
    <w:rsid w:val="00A720BB"/>
    <w:rsid w:val="00A72134"/>
    <w:rsid w:val="00A72160"/>
    <w:rsid w:val="00A7224F"/>
    <w:rsid w:val="00A7226D"/>
    <w:rsid w:val="00A7228B"/>
    <w:rsid w:val="00A723AB"/>
    <w:rsid w:val="00A723BD"/>
    <w:rsid w:val="00A724AB"/>
    <w:rsid w:val="00A72534"/>
    <w:rsid w:val="00A72619"/>
    <w:rsid w:val="00A72645"/>
    <w:rsid w:val="00A72C5F"/>
    <w:rsid w:val="00A72D23"/>
    <w:rsid w:val="00A72DBD"/>
    <w:rsid w:val="00A72E7C"/>
    <w:rsid w:val="00A72FC8"/>
    <w:rsid w:val="00A73061"/>
    <w:rsid w:val="00A730FB"/>
    <w:rsid w:val="00A73115"/>
    <w:rsid w:val="00A73124"/>
    <w:rsid w:val="00A73162"/>
    <w:rsid w:val="00A731BC"/>
    <w:rsid w:val="00A732A6"/>
    <w:rsid w:val="00A73342"/>
    <w:rsid w:val="00A73369"/>
    <w:rsid w:val="00A73383"/>
    <w:rsid w:val="00A733A8"/>
    <w:rsid w:val="00A73457"/>
    <w:rsid w:val="00A734F7"/>
    <w:rsid w:val="00A73544"/>
    <w:rsid w:val="00A73655"/>
    <w:rsid w:val="00A736D7"/>
    <w:rsid w:val="00A739F5"/>
    <w:rsid w:val="00A73A25"/>
    <w:rsid w:val="00A73A2D"/>
    <w:rsid w:val="00A73B31"/>
    <w:rsid w:val="00A73B46"/>
    <w:rsid w:val="00A73BBB"/>
    <w:rsid w:val="00A73C1E"/>
    <w:rsid w:val="00A73F55"/>
    <w:rsid w:val="00A741B2"/>
    <w:rsid w:val="00A742B8"/>
    <w:rsid w:val="00A743B7"/>
    <w:rsid w:val="00A7457C"/>
    <w:rsid w:val="00A74595"/>
    <w:rsid w:val="00A7467D"/>
    <w:rsid w:val="00A746D6"/>
    <w:rsid w:val="00A747D7"/>
    <w:rsid w:val="00A748D4"/>
    <w:rsid w:val="00A74A4D"/>
    <w:rsid w:val="00A74D28"/>
    <w:rsid w:val="00A74D4A"/>
    <w:rsid w:val="00A74D50"/>
    <w:rsid w:val="00A74E6C"/>
    <w:rsid w:val="00A74EAF"/>
    <w:rsid w:val="00A74EC5"/>
    <w:rsid w:val="00A74F31"/>
    <w:rsid w:val="00A74FCE"/>
    <w:rsid w:val="00A74FE4"/>
    <w:rsid w:val="00A75003"/>
    <w:rsid w:val="00A75019"/>
    <w:rsid w:val="00A7507A"/>
    <w:rsid w:val="00A75095"/>
    <w:rsid w:val="00A750E3"/>
    <w:rsid w:val="00A7511D"/>
    <w:rsid w:val="00A7514C"/>
    <w:rsid w:val="00A752BF"/>
    <w:rsid w:val="00A752FC"/>
    <w:rsid w:val="00A7535C"/>
    <w:rsid w:val="00A75455"/>
    <w:rsid w:val="00A75644"/>
    <w:rsid w:val="00A75674"/>
    <w:rsid w:val="00A756A9"/>
    <w:rsid w:val="00A756B7"/>
    <w:rsid w:val="00A757A3"/>
    <w:rsid w:val="00A758C8"/>
    <w:rsid w:val="00A758F8"/>
    <w:rsid w:val="00A75914"/>
    <w:rsid w:val="00A7596D"/>
    <w:rsid w:val="00A75B0B"/>
    <w:rsid w:val="00A75C74"/>
    <w:rsid w:val="00A75DF0"/>
    <w:rsid w:val="00A75E22"/>
    <w:rsid w:val="00A75E2F"/>
    <w:rsid w:val="00A75E88"/>
    <w:rsid w:val="00A76152"/>
    <w:rsid w:val="00A7618A"/>
    <w:rsid w:val="00A7628F"/>
    <w:rsid w:val="00A763B7"/>
    <w:rsid w:val="00A76463"/>
    <w:rsid w:val="00A7648E"/>
    <w:rsid w:val="00A76545"/>
    <w:rsid w:val="00A76640"/>
    <w:rsid w:val="00A76673"/>
    <w:rsid w:val="00A76696"/>
    <w:rsid w:val="00A76720"/>
    <w:rsid w:val="00A7694C"/>
    <w:rsid w:val="00A76A15"/>
    <w:rsid w:val="00A76A1F"/>
    <w:rsid w:val="00A76B0C"/>
    <w:rsid w:val="00A76B6F"/>
    <w:rsid w:val="00A76BCE"/>
    <w:rsid w:val="00A76C6D"/>
    <w:rsid w:val="00A76D5F"/>
    <w:rsid w:val="00A76FED"/>
    <w:rsid w:val="00A7708A"/>
    <w:rsid w:val="00A77133"/>
    <w:rsid w:val="00A77139"/>
    <w:rsid w:val="00A7723D"/>
    <w:rsid w:val="00A772D2"/>
    <w:rsid w:val="00A772EB"/>
    <w:rsid w:val="00A77428"/>
    <w:rsid w:val="00A77435"/>
    <w:rsid w:val="00A7753E"/>
    <w:rsid w:val="00A775A0"/>
    <w:rsid w:val="00A7772B"/>
    <w:rsid w:val="00A77792"/>
    <w:rsid w:val="00A777BE"/>
    <w:rsid w:val="00A777CE"/>
    <w:rsid w:val="00A7798F"/>
    <w:rsid w:val="00A77A49"/>
    <w:rsid w:val="00A77ACD"/>
    <w:rsid w:val="00A77AEF"/>
    <w:rsid w:val="00A77E69"/>
    <w:rsid w:val="00A77FAB"/>
    <w:rsid w:val="00A80104"/>
    <w:rsid w:val="00A80155"/>
    <w:rsid w:val="00A80208"/>
    <w:rsid w:val="00A8024B"/>
    <w:rsid w:val="00A802F2"/>
    <w:rsid w:val="00A80412"/>
    <w:rsid w:val="00A80537"/>
    <w:rsid w:val="00A806B6"/>
    <w:rsid w:val="00A806FA"/>
    <w:rsid w:val="00A80915"/>
    <w:rsid w:val="00A8092C"/>
    <w:rsid w:val="00A809F1"/>
    <w:rsid w:val="00A80AB4"/>
    <w:rsid w:val="00A80ACE"/>
    <w:rsid w:val="00A80AD1"/>
    <w:rsid w:val="00A80C9C"/>
    <w:rsid w:val="00A80DBB"/>
    <w:rsid w:val="00A80E53"/>
    <w:rsid w:val="00A80F3D"/>
    <w:rsid w:val="00A80F5B"/>
    <w:rsid w:val="00A80F5C"/>
    <w:rsid w:val="00A81162"/>
    <w:rsid w:val="00A81341"/>
    <w:rsid w:val="00A8140B"/>
    <w:rsid w:val="00A81496"/>
    <w:rsid w:val="00A8150A"/>
    <w:rsid w:val="00A81592"/>
    <w:rsid w:val="00A8166E"/>
    <w:rsid w:val="00A8177F"/>
    <w:rsid w:val="00A817F4"/>
    <w:rsid w:val="00A81925"/>
    <w:rsid w:val="00A819DC"/>
    <w:rsid w:val="00A81F39"/>
    <w:rsid w:val="00A81F3F"/>
    <w:rsid w:val="00A82063"/>
    <w:rsid w:val="00A82131"/>
    <w:rsid w:val="00A82155"/>
    <w:rsid w:val="00A821CE"/>
    <w:rsid w:val="00A8221B"/>
    <w:rsid w:val="00A824A7"/>
    <w:rsid w:val="00A824C1"/>
    <w:rsid w:val="00A824D1"/>
    <w:rsid w:val="00A824F1"/>
    <w:rsid w:val="00A82596"/>
    <w:rsid w:val="00A82642"/>
    <w:rsid w:val="00A8265B"/>
    <w:rsid w:val="00A826CE"/>
    <w:rsid w:val="00A8277C"/>
    <w:rsid w:val="00A827B5"/>
    <w:rsid w:val="00A827BD"/>
    <w:rsid w:val="00A82AE2"/>
    <w:rsid w:val="00A82C05"/>
    <w:rsid w:val="00A82C1A"/>
    <w:rsid w:val="00A82C44"/>
    <w:rsid w:val="00A82CAD"/>
    <w:rsid w:val="00A82E55"/>
    <w:rsid w:val="00A82EB0"/>
    <w:rsid w:val="00A82EC9"/>
    <w:rsid w:val="00A82ECC"/>
    <w:rsid w:val="00A83123"/>
    <w:rsid w:val="00A8313A"/>
    <w:rsid w:val="00A83148"/>
    <w:rsid w:val="00A83174"/>
    <w:rsid w:val="00A832BE"/>
    <w:rsid w:val="00A832FA"/>
    <w:rsid w:val="00A83359"/>
    <w:rsid w:val="00A833AB"/>
    <w:rsid w:val="00A834B2"/>
    <w:rsid w:val="00A834DE"/>
    <w:rsid w:val="00A836FA"/>
    <w:rsid w:val="00A837D4"/>
    <w:rsid w:val="00A8385D"/>
    <w:rsid w:val="00A838A1"/>
    <w:rsid w:val="00A8395B"/>
    <w:rsid w:val="00A8399E"/>
    <w:rsid w:val="00A83B7C"/>
    <w:rsid w:val="00A83BA8"/>
    <w:rsid w:val="00A83CA0"/>
    <w:rsid w:val="00A83D88"/>
    <w:rsid w:val="00A83DB1"/>
    <w:rsid w:val="00A83E3F"/>
    <w:rsid w:val="00A83F9A"/>
    <w:rsid w:val="00A83FBA"/>
    <w:rsid w:val="00A841FA"/>
    <w:rsid w:val="00A842C3"/>
    <w:rsid w:val="00A842F9"/>
    <w:rsid w:val="00A84345"/>
    <w:rsid w:val="00A84348"/>
    <w:rsid w:val="00A84528"/>
    <w:rsid w:val="00A8455C"/>
    <w:rsid w:val="00A8459F"/>
    <w:rsid w:val="00A8469F"/>
    <w:rsid w:val="00A84768"/>
    <w:rsid w:val="00A84826"/>
    <w:rsid w:val="00A84829"/>
    <w:rsid w:val="00A8483C"/>
    <w:rsid w:val="00A848A9"/>
    <w:rsid w:val="00A8491F"/>
    <w:rsid w:val="00A849E7"/>
    <w:rsid w:val="00A84B4E"/>
    <w:rsid w:val="00A84B9B"/>
    <w:rsid w:val="00A84BE3"/>
    <w:rsid w:val="00A84C7E"/>
    <w:rsid w:val="00A84CFC"/>
    <w:rsid w:val="00A84D1D"/>
    <w:rsid w:val="00A84D36"/>
    <w:rsid w:val="00A84D65"/>
    <w:rsid w:val="00A84ECA"/>
    <w:rsid w:val="00A85045"/>
    <w:rsid w:val="00A85177"/>
    <w:rsid w:val="00A851F8"/>
    <w:rsid w:val="00A851FF"/>
    <w:rsid w:val="00A852DA"/>
    <w:rsid w:val="00A8553F"/>
    <w:rsid w:val="00A856E8"/>
    <w:rsid w:val="00A857E8"/>
    <w:rsid w:val="00A8590C"/>
    <w:rsid w:val="00A85911"/>
    <w:rsid w:val="00A859A1"/>
    <w:rsid w:val="00A85A6F"/>
    <w:rsid w:val="00A85BC2"/>
    <w:rsid w:val="00A85C50"/>
    <w:rsid w:val="00A85D43"/>
    <w:rsid w:val="00A85DAC"/>
    <w:rsid w:val="00A85EE5"/>
    <w:rsid w:val="00A86185"/>
    <w:rsid w:val="00A86289"/>
    <w:rsid w:val="00A863CF"/>
    <w:rsid w:val="00A8642B"/>
    <w:rsid w:val="00A8667E"/>
    <w:rsid w:val="00A868BF"/>
    <w:rsid w:val="00A86949"/>
    <w:rsid w:val="00A86A56"/>
    <w:rsid w:val="00A86C2D"/>
    <w:rsid w:val="00A86D27"/>
    <w:rsid w:val="00A86F7A"/>
    <w:rsid w:val="00A86FF2"/>
    <w:rsid w:val="00A8701F"/>
    <w:rsid w:val="00A87040"/>
    <w:rsid w:val="00A870DC"/>
    <w:rsid w:val="00A8715B"/>
    <w:rsid w:val="00A87372"/>
    <w:rsid w:val="00A873E5"/>
    <w:rsid w:val="00A8741B"/>
    <w:rsid w:val="00A8752A"/>
    <w:rsid w:val="00A8753E"/>
    <w:rsid w:val="00A875A9"/>
    <w:rsid w:val="00A875B1"/>
    <w:rsid w:val="00A877B4"/>
    <w:rsid w:val="00A87827"/>
    <w:rsid w:val="00A87987"/>
    <w:rsid w:val="00A87A1E"/>
    <w:rsid w:val="00A87A7D"/>
    <w:rsid w:val="00A87AED"/>
    <w:rsid w:val="00A87B78"/>
    <w:rsid w:val="00A87D45"/>
    <w:rsid w:val="00A87D92"/>
    <w:rsid w:val="00A87E03"/>
    <w:rsid w:val="00A87E40"/>
    <w:rsid w:val="00A87E7C"/>
    <w:rsid w:val="00A87EA4"/>
    <w:rsid w:val="00A87F39"/>
    <w:rsid w:val="00A87F47"/>
    <w:rsid w:val="00A87FA6"/>
    <w:rsid w:val="00A900CC"/>
    <w:rsid w:val="00A90134"/>
    <w:rsid w:val="00A901B1"/>
    <w:rsid w:val="00A90311"/>
    <w:rsid w:val="00A90444"/>
    <w:rsid w:val="00A90590"/>
    <w:rsid w:val="00A90612"/>
    <w:rsid w:val="00A9076A"/>
    <w:rsid w:val="00A907F0"/>
    <w:rsid w:val="00A90A4E"/>
    <w:rsid w:val="00A90B3D"/>
    <w:rsid w:val="00A90BD1"/>
    <w:rsid w:val="00A90C40"/>
    <w:rsid w:val="00A90C76"/>
    <w:rsid w:val="00A90C88"/>
    <w:rsid w:val="00A90D32"/>
    <w:rsid w:val="00A90E34"/>
    <w:rsid w:val="00A90F98"/>
    <w:rsid w:val="00A91116"/>
    <w:rsid w:val="00A911AE"/>
    <w:rsid w:val="00A91209"/>
    <w:rsid w:val="00A912B4"/>
    <w:rsid w:val="00A9133F"/>
    <w:rsid w:val="00A91352"/>
    <w:rsid w:val="00A9151E"/>
    <w:rsid w:val="00A91604"/>
    <w:rsid w:val="00A916F3"/>
    <w:rsid w:val="00A9178E"/>
    <w:rsid w:val="00A918ED"/>
    <w:rsid w:val="00A919CF"/>
    <w:rsid w:val="00A91A54"/>
    <w:rsid w:val="00A91C6E"/>
    <w:rsid w:val="00A91CA9"/>
    <w:rsid w:val="00A91D80"/>
    <w:rsid w:val="00A91DA9"/>
    <w:rsid w:val="00A91DD2"/>
    <w:rsid w:val="00A91F47"/>
    <w:rsid w:val="00A9202E"/>
    <w:rsid w:val="00A92051"/>
    <w:rsid w:val="00A920DB"/>
    <w:rsid w:val="00A9214A"/>
    <w:rsid w:val="00A922AA"/>
    <w:rsid w:val="00A9234C"/>
    <w:rsid w:val="00A92413"/>
    <w:rsid w:val="00A92440"/>
    <w:rsid w:val="00A924BF"/>
    <w:rsid w:val="00A92500"/>
    <w:rsid w:val="00A92564"/>
    <w:rsid w:val="00A925DF"/>
    <w:rsid w:val="00A92670"/>
    <w:rsid w:val="00A9271D"/>
    <w:rsid w:val="00A92772"/>
    <w:rsid w:val="00A92840"/>
    <w:rsid w:val="00A928B2"/>
    <w:rsid w:val="00A929A4"/>
    <w:rsid w:val="00A92B1B"/>
    <w:rsid w:val="00A92B5A"/>
    <w:rsid w:val="00A92BFC"/>
    <w:rsid w:val="00A92CF3"/>
    <w:rsid w:val="00A92E20"/>
    <w:rsid w:val="00A92E2D"/>
    <w:rsid w:val="00A92E30"/>
    <w:rsid w:val="00A92E7E"/>
    <w:rsid w:val="00A92F82"/>
    <w:rsid w:val="00A92F98"/>
    <w:rsid w:val="00A92FC5"/>
    <w:rsid w:val="00A9319F"/>
    <w:rsid w:val="00A9320B"/>
    <w:rsid w:val="00A9325F"/>
    <w:rsid w:val="00A93276"/>
    <w:rsid w:val="00A9328A"/>
    <w:rsid w:val="00A932C2"/>
    <w:rsid w:val="00A932F4"/>
    <w:rsid w:val="00A93365"/>
    <w:rsid w:val="00A93370"/>
    <w:rsid w:val="00A93534"/>
    <w:rsid w:val="00A93564"/>
    <w:rsid w:val="00A93647"/>
    <w:rsid w:val="00A937AC"/>
    <w:rsid w:val="00A938D3"/>
    <w:rsid w:val="00A93A04"/>
    <w:rsid w:val="00A93A3D"/>
    <w:rsid w:val="00A93B4A"/>
    <w:rsid w:val="00A93B8A"/>
    <w:rsid w:val="00A93BF3"/>
    <w:rsid w:val="00A93C27"/>
    <w:rsid w:val="00A93CE5"/>
    <w:rsid w:val="00A93D73"/>
    <w:rsid w:val="00A93D91"/>
    <w:rsid w:val="00A93D9C"/>
    <w:rsid w:val="00A93DAF"/>
    <w:rsid w:val="00A93E85"/>
    <w:rsid w:val="00A93EAD"/>
    <w:rsid w:val="00A93ECD"/>
    <w:rsid w:val="00A940D5"/>
    <w:rsid w:val="00A9410B"/>
    <w:rsid w:val="00A941DF"/>
    <w:rsid w:val="00A94309"/>
    <w:rsid w:val="00A94489"/>
    <w:rsid w:val="00A94695"/>
    <w:rsid w:val="00A947EC"/>
    <w:rsid w:val="00A94962"/>
    <w:rsid w:val="00A94981"/>
    <w:rsid w:val="00A94B77"/>
    <w:rsid w:val="00A94C9B"/>
    <w:rsid w:val="00A94CE4"/>
    <w:rsid w:val="00A94D2A"/>
    <w:rsid w:val="00A94DB0"/>
    <w:rsid w:val="00A94DD7"/>
    <w:rsid w:val="00A94ED8"/>
    <w:rsid w:val="00A94EDE"/>
    <w:rsid w:val="00A94EEF"/>
    <w:rsid w:val="00A94F9B"/>
    <w:rsid w:val="00A95009"/>
    <w:rsid w:val="00A950AF"/>
    <w:rsid w:val="00A95187"/>
    <w:rsid w:val="00A951C3"/>
    <w:rsid w:val="00A95202"/>
    <w:rsid w:val="00A95358"/>
    <w:rsid w:val="00A95374"/>
    <w:rsid w:val="00A95383"/>
    <w:rsid w:val="00A953F1"/>
    <w:rsid w:val="00A95522"/>
    <w:rsid w:val="00A95541"/>
    <w:rsid w:val="00A9599B"/>
    <w:rsid w:val="00A95A0C"/>
    <w:rsid w:val="00A95A3D"/>
    <w:rsid w:val="00A95A93"/>
    <w:rsid w:val="00A95AC4"/>
    <w:rsid w:val="00A95B16"/>
    <w:rsid w:val="00A95B81"/>
    <w:rsid w:val="00A95BD4"/>
    <w:rsid w:val="00A95BDF"/>
    <w:rsid w:val="00A95BE1"/>
    <w:rsid w:val="00A95BE6"/>
    <w:rsid w:val="00A95DBF"/>
    <w:rsid w:val="00A95EB0"/>
    <w:rsid w:val="00A95EC7"/>
    <w:rsid w:val="00A95F0E"/>
    <w:rsid w:val="00A95F71"/>
    <w:rsid w:val="00A96014"/>
    <w:rsid w:val="00A960A1"/>
    <w:rsid w:val="00A960D6"/>
    <w:rsid w:val="00A96136"/>
    <w:rsid w:val="00A9630C"/>
    <w:rsid w:val="00A9640A"/>
    <w:rsid w:val="00A964C4"/>
    <w:rsid w:val="00A96542"/>
    <w:rsid w:val="00A96557"/>
    <w:rsid w:val="00A9671B"/>
    <w:rsid w:val="00A9678D"/>
    <w:rsid w:val="00A967A6"/>
    <w:rsid w:val="00A96810"/>
    <w:rsid w:val="00A96B30"/>
    <w:rsid w:val="00A96CD0"/>
    <w:rsid w:val="00A96CF8"/>
    <w:rsid w:val="00A96F64"/>
    <w:rsid w:val="00A96F77"/>
    <w:rsid w:val="00A970A8"/>
    <w:rsid w:val="00A971BD"/>
    <w:rsid w:val="00A971D4"/>
    <w:rsid w:val="00A97259"/>
    <w:rsid w:val="00A974BC"/>
    <w:rsid w:val="00A97543"/>
    <w:rsid w:val="00A97643"/>
    <w:rsid w:val="00A97698"/>
    <w:rsid w:val="00A976F2"/>
    <w:rsid w:val="00A97920"/>
    <w:rsid w:val="00A97B43"/>
    <w:rsid w:val="00A97B9C"/>
    <w:rsid w:val="00AA002D"/>
    <w:rsid w:val="00AA0036"/>
    <w:rsid w:val="00AA00D7"/>
    <w:rsid w:val="00AA021C"/>
    <w:rsid w:val="00AA0426"/>
    <w:rsid w:val="00AA046F"/>
    <w:rsid w:val="00AA0561"/>
    <w:rsid w:val="00AA057C"/>
    <w:rsid w:val="00AA0647"/>
    <w:rsid w:val="00AA0776"/>
    <w:rsid w:val="00AA0822"/>
    <w:rsid w:val="00AA08D6"/>
    <w:rsid w:val="00AA0900"/>
    <w:rsid w:val="00AA09AB"/>
    <w:rsid w:val="00AA09E8"/>
    <w:rsid w:val="00AA0B90"/>
    <w:rsid w:val="00AA0BAD"/>
    <w:rsid w:val="00AA0D07"/>
    <w:rsid w:val="00AA0D08"/>
    <w:rsid w:val="00AA105C"/>
    <w:rsid w:val="00AA1128"/>
    <w:rsid w:val="00AA113D"/>
    <w:rsid w:val="00AA1143"/>
    <w:rsid w:val="00AA1170"/>
    <w:rsid w:val="00AA11AB"/>
    <w:rsid w:val="00AA1377"/>
    <w:rsid w:val="00AA142C"/>
    <w:rsid w:val="00AA159E"/>
    <w:rsid w:val="00AA17A2"/>
    <w:rsid w:val="00AA17BC"/>
    <w:rsid w:val="00AA1829"/>
    <w:rsid w:val="00AA1843"/>
    <w:rsid w:val="00AA198C"/>
    <w:rsid w:val="00AA19C9"/>
    <w:rsid w:val="00AA19D3"/>
    <w:rsid w:val="00AA1A03"/>
    <w:rsid w:val="00AA1A05"/>
    <w:rsid w:val="00AA1A83"/>
    <w:rsid w:val="00AA1B76"/>
    <w:rsid w:val="00AA1C18"/>
    <w:rsid w:val="00AA1EC5"/>
    <w:rsid w:val="00AA1F87"/>
    <w:rsid w:val="00AA20BF"/>
    <w:rsid w:val="00AA21BE"/>
    <w:rsid w:val="00AA225C"/>
    <w:rsid w:val="00AA2492"/>
    <w:rsid w:val="00AA2537"/>
    <w:rsid w:val="00AA26BF"/>
    <w:rsid w:val="00AA271B"/>
    <w:rsid w:val="00AA2725"/>
    <w:rsid w:val="00AA2A32"/>
    <w:rsid w:val="00AA2AE9"/>
    <w:rsid w:val="00AA2B2D"/>
    <w:rsid w:val="00AA2B76"/>
    <w:rsid w:val="00AA2B98"/>
    <w:rsid w:val="00AA311A"/>
    <w:rsid w:val="00AA3127"/>
    <w:rsid w:val="00AA3272"/>
    <w:rsid w:val="00AA32F1"/>
    <w:rsid w:val="00AA3384"/>
    <w:rsid w:val="00AA3429"/>
    <w:rsid w:val="00AA35F7"/>
    <w:rsid w:val="00AA36FD"/>
    <w:rsid w:val="00AA3769"/>
    <w:rsid w:val="00AA3AE1"/>
    <w:rsid w:val="00AA3B27"/>
    <w:rsid w:val="00AA3BBF"/>
    <w:rsid w:val="00AA3BE3"/>
    <w:rsid w:val="00AA3C49"/>
    <w:rsid w:val="00AA3C9A"/>
    <w:rsid w:val="00AA3D4C"/>
    <w:rsid w:val="00AA3DC5"/>
    <w:rsid w:val="00AA3E09"/>
    <w:rsid w:val="00AA3E1F"/>
    <w:rsid w:val="00AA3EA5"/>
    <w:rsid w:val="00AA3EC8"/>
    <w:rsid w:val="00AA40FD"/>
    <w:rsid w:val="00AA4108"/>
    <w:rsid w:val="00AA413E"/>
    <w:rsid w:val="00AA430F"/>
    <w:rsid w:val="00AA444D"/>
    <w:rsid w:val="00AA4563"/>
    <w:rsid w:val="00AA45B9"/>
    <w:rsid w:val="00AA470A"/>
    <w:rsid w:val="00AA47E7"/>
    <w:rsid w:val="00AA4925"/>
    <w:rsid w:val="00AA4933"/>
    <w:rsid w:val="00AA49C2"/>
    <w:rsid w:val="00AA49DA"/>
    <w:rsid w:val="00AA4A94"/>
    <w:rsid w:val="00AA4AD1"/>
    <w:rsid w:val="00AA4CFF"/>
    <w:rsid w:val="00AA4D2E"/>
    <w:rsid w:val="00AA4FEF"/>
    <w:rsid w:val="00AA50F0"/>
    <w:rsid w:val="00AA52C4"/>
    <w:rsid w:val="00AA533F"/>
    <w:rsid w:val="00AA5853"/>
    <w:rsid w:val="00AA5894"/>
    <w:rsid w:val="00AA59CA"/>
    <w:rsid w:val="00AA5A17"/>
    <w:rsid w:val="00AA5A5C"/>
    <w:rsid w:val="00AA5AAA"/>
    <w:rsid w:val="00AA5AF1"/>
    <w:rsid w:val="00AA5D76"/>
    <w:rsid w:val="00AA5D79"/>
    <w:rsid w:val="00AA5D92"/>
    <w:rsid w:val="00AA5D96"/>
    <w:rsid w:val="00AA61AE"/>
    <w:rsid w:val="00AA626F"/>
    <w:rsid w:val="00AA6358"/>
    <w:rsid w:val="00AA639B"/>
    <w:rsid w:val="00AA641B"/>
    <w:rsid w:val="00AA6594"/>
    <w:rsid w:val="00AA65BD"/>
    <w:rsid w:val="00AA665F"/>
    <w:rsid w:val="00AA6685"/>
    <w:rsid w:val="00AA6761"/>
    <w:rsid w:val="00AA6801"/>
    <w:rsid w:val="00AA6818"/>
    <w:rsid w:val="00AA6962"/>
    <w:rsid w:val="00AA698D"/>
    <w:rsid w:val="00AA6A59"/>
    <w:rsid w:val="00AA6C05"/>
    <w:rsid w:val="00AA6CD3"/>
    <w:rsid w:val="00AA6F10"/>
    <w:rsid w:val="00AA70ED"/>
    <w:rsid w:val="00AA71DD"/>
    <w:rsid w:val="00AA736F"/>
    <w:rsid w:val="00AA73AD"/>
    <w:rsid w:val="00AA74E3"/>
    <w:rsid w:val="00AA7590"/>
    <w:rsid w:val="00AA7775"/>
    <w:rsid w:val="00AA77E2"/>
    <w:rsid w:val="00AA78B8"/>
    <w:rsid w:val="00AA78BA"/>
    <w:rsid w:val="00AA797D"/>
    <w:rsid w:val="00AA7A0C"/>
    <w:rsid w:val="00AA7AB8"/>
    <w:rsid w:val="00AA7B5A"/>
    <w:rsid w:val="00AA7CBD"/>
    <w:rsid w:val="00AA7D41"/>
    <w:rsid w:val="00AA7E27"/>
    <w:rsid w:val="00AA7E91"/>
    <w:rsid w:val="00AA7F0A"/>
    <w:rsid w:val="00AA7F34"/>
    <w:rsid w:val="00AB01BB"/>
    <w:rsid w:val="00AB01C4"/>
    <w:rsid w:val="00AB01DE"/>
    <w:rsid w:val="00AB01FD"/>
    <w:rsid w:val="00AB0210"/>
    <w:rsid w:val="00AB0264"/>
    <w:rsid w:val="00AB02A2"/>
    <w:rsid w:val="00AB02A8"/>
    <w:rsid w:val="00AB0356"/>
    <w:rsid w:val="00AB04F8"/>
    <w:rsid w:val="00AB064F"/>
    <w:rsid w:val="00AB083C"/>
    <w:rsid w:val="00AB08C3"/>
    <w:rsid w:val="00AB08DB"/>
    <w:rsid w:val="00AB0923"/>
    <w:rsid w:val="00AB0A1F"/>
    <w:rsid w:val="00AB0A95"/>
    <w:rsid w:val="00AB0B9D"/>
    <w:rsid w:val="00AB0C16"/>
    <w:rsid w:val="00AB0C8F"/>
    <w:rsid w:val="00AB0CE6"/>
    <w:rsid w:val="00AB0CEB"/>
    <w:rsid w:val="00AB0D68"/>
    <w:rsid w:val="00AB0DAE"/>
    <w:rsid w:val="00AB0F07"/>
    <w:rsid w:val="00AB0F0F"/>
    <w:rsid w:val="00AB1050"/>
    <w:rsid w:val="00AB10C9"/>
    <w:rsid w:val="00AB1242"/>
    <w:rsid w:val="00AB139A"/>
    <w:rsid w:val="00AB13AF"/>
    <w:rsid w:val="00AB13EC"/>
    <w:rsid w:val="00AB1425"/>
    <w:rsid w:val="00AB14C1"/>
    <w:rsid w:val="00AB14E5"/>
    <w:rsid w:val="00AB15DD"/>
    <w:rsid w:val="00AB15EC"/>
    <w:rsid w:val="00AB1662"/>
    <w:rsid w:val="00AB1788"/>
    <w:rsid w:val="00AB18DB"/>
    <w:rsid w:val="00AB1B74"/>
    <w:rsid w:val="00AB1BDE"/>
    <w:rsid w:val="00AB1C53"/>
    <w:rsid w:val="00AB1E7F"/>
    <w:rsid w:val="00AB1F80"/>
    <w:rsid w:val="00AB204D"/>
    <w:rsid w:val="00AB208B"/>
    <w:rsid w:val="00AB2174"/>
    <w:rsid w:val="00AB2483"/>
    <w:rsid w:val="00AB24A6"/>
    <w:rsid w:val="00AB24B7"/>
    <w:rsid w:val="00AB2677"/>
    <w:rsid w:val="00AB26C7"/>
    <w:rsid w:val="00AB2945"/>
    <w:rsid w:val="00AB2AA8"/>
    <w:rsid w:val="00AB2AD9"/>
    <w:rsid w:val="00AB2B2F"/>
    <w:rsid w:val="00AB2B8A"/>
    <w:rsid w:val="00AB2CC3"/>
    <w:rsid w:val="00AB2D4E"/>
    <w:rsid w:val="00AB2DF9"/>
    <w:rsid w:val="00AB2E63"/>
    <w:rsid w:val="00AB2EB1"/>
    <w:rsid w:val="00AB2F09"/>
    <w:rsid w:val="00AB2F2B"/>
    <w:rsid w:val="00AB2F56"/>
    <w:rsid w:val="00AB2F78"/>
    <w:rsid w:val="00AB3171"/>
    <w:rsid w:val="00AB318F"/>
    <w:rsid w:val="00AB3209"/>
    <w:rsid w:val="00AB33C0"/>
    <w:rsid w:val="00AB3430"/>
    <w:rsid w:val="00AB362B"/>
    <w:rsid w:val="00AB369A"/>
    <w:rsid w:val="00AB372E"/>
    <w:rsid w:val="00AB37EA"/>
    <w:rsid w:val="00AB37EB"/>
    <w:rsid w:val="00AB37FF"/>
    <w:rsid w:val="00AB3894"/>
    <w:rsid w:val="00AB3984"/>
    <w:rsid w:val="00AB3DF0"/>
    <w:rsid w:val="00AB3F25"/>
    <w:rsid w:val="00AB3F3F"/>
    <w:rsid w:val="00AB42A9"/>
    <w:rsid w:val="00AB4310"/>
    <w:rsid w:val="00AB43FE"/>
    <w:rsid w:val="00AB44B1"/>
    <w:rsid w:val="00AB44CC"/>
    <w:rsid w:val="00AB44D5"/>
    <w:rsid w:val="00AB4637"/>
    <w:rsid w:val="00AB4721"/>
    <w:rsid w:val="00AB4825"/>
    <w:rsid w:val="00AB492C"/>
    <w:rsid w:val="00AB4978"/>
    <w:rsid w:val="00AB4C08"/>
    <w:rsid w:val="00AB4DD8"/>
    <w:rsid w:val="00AB4E04"/>
    <w:rsid w:val="00AB4ED5"/>
    <w:rsid w:val="00AB5035"/>
    <w:rsid w:val="00AB51F7"/>
    <w:rsid w:val="00AB5732"/>
    <w:rsid w:val="00AB58DC"/>
    <w:rsid w:val="00AB59C7"/>
    <w:rsid w:val="00AB5A9F"/>
    <w:rsid w:val="00AB5B1D"/>
    <w:rsid w:val="00AB5C1E"/>
    <w:rsid w:val="00AB5D15"/>
    <w:rsid w:val="00AB5EA3"/>
    <w:rsid w:val="00AB5FE7"/>
    <w:rsid w:val="00AB60AC"/>
    <w:rsid w:val="00AB6173"/>
    <w:rsid w:val="00AB617A"/>
    <w:rsid w:val="00AB642F"/>
    <w:rsid w:val="00AB66DC"/>
    <w:rsid w:val="00AB66E8"/>
    <w:rsid w:val="00AB6701"/>
    <w:rsid w:val="00AB670C"/>
    <w:rsid w:val="00AB67D5"/>
    <w:rsid w:val="00AB6871"/>
    <w:rsid w:val="00AB68E9"/>
    <w:rsid w:val="00AB69D6"/>
    <w:rsid w:val="00AB6AB2"/>
    <w:rsid w:val="00AB6AE8"/>
    <w:rsid w:val="00AB6AF5"/>
    <w:rsid w:val="00AB6B36"/>
    <w:rsid w:val="00AB6C63"/>
    <w:rsid w:val="00AB6C6C"/>
    <w:rsid w:val="00AB6CFA"/>
    <w:rsid w:val="00AB6D6D"/>
    <w:rsid w:val="00AB6D93"/>
    <w:rsid w:val="00AB6EB9"/>
    <w:rsid w:val="00AB7069"/>
    <w:rsid w:val="00AB7073"/>
    <w:rsid w:val="00AB70FF"/>
    <w:rsid w:val="00AB71DC"/>
    <w:rsid w:val="00AB73C4"/>
    <w:rsid w:val="00AB74AE"/>
    <w:rsid w:val="00AB7572"/>
    <w:rsid w:val="00AB762C"/>
    <w:rsid w:val="00AB7779"/>
    <w:rsid w:val="00AB77D9"/>
    <w:rsid w:val="00AB78F4"/>
    <w:rsid w:val="00AB7AB0"/>
    <w:rsid w:val="00AB7AF3"/>
    <w:rsid w:val="00AB7B25"/>
    <w:rsid w:val="00AB7C66"/>
    <w:rsid w:val="00AB7EA5"/>
    <w:rsid w:val="00AB7FE4"/>
    <w:rsid w:val="00AC00E7"/>
    <w:rsid w:val="00AC01F8"/>
    <w:rsid w:val="00AC0264"/>
    <w:rsid w:val="00AC02FB"/>
    <w:rsid w:val="00AC0367"/>
    <w:rsid w:val="00AC0421"/>
    <w:rsid w:val="00AC0432"/>
    <w:rsid w:val="00AC0578"/>
    <w:rsid w:val="00AC0757"/>
    <w:rsid w:val="00AC07B2"/>
    <w:rsid w:val="00AC08C0"/>
    <w:rsid w:val="00AC0900"/>
    <w:rsid w:val="00AC09E2"/>
    <w:rsid w:val="00AC0A45"/>
    <w:rsid w:val="00AC0ABB"/>
    <w:rsid w:val="00AC0AE2"/>
    <w:rsid w:val="00AC0B4A"/>
    <w:rsid w:val="00AC0BAF"/>
    <w:rsid w:val="00AC0D13"/>
    <w:rsid w:val="00AC0E55"/>
    <w:rsid w:val="00AC0E6D"/>
    <w:rsid w:val="00AC0EC8"/>
    <w:rsid w:val="00AC0FD1"/>
    <w:rsid w:val="00AC103B"/>
    <w:rsid w:val="00AC1067"/>
    <w:rsid w:val="00AC1179"/>
    <w:rsid w:val="00AC11C6"/>
    <w:rsid w:val="00AC142C"/>
    <w:rsid w:val="00AC15DA"/>
    <w:rsid w:val="00AC162B"/>
    <w:rsid w:val="00AC166B"/>
    <w:rsid w:val="00AC166F"/>
    <w:rsid w:val="00AC16E7"/>
    <w:rsid w:val="00AC16F1"/>
    <w:rsid w:val="00AC1704"/>
    <w:rsid w:val="00AC1719"/>
    <w:rsid w:val="00AC1748"/>
    <w:rsid w:val="00AC1820"/>
    <w:rsid w:val="00AC1866"/>
    <w:rsid w:val="00AC1878"/>
    <w:rsid w:val="00AC1957"/>
    <w:rsid w:val="00AC19C1"/>
    <w:rsid w:val="00AC1B4A"/>
    <w:rsid w:val="00AC1C9E"/>
    <w:rsid w:val="00AC1CB1"/>
    <w:rsid w:val="00AC1E22"/>
    <w:rsid w:val="00AC201C"/>
    <w:rsid w:val="00AC20ED"/>
    <w:rsid w:val="00AC20F3"/>
    <w:rsid w:val="00AC2207"/>
    <w:rsid w:val="00AC2341"/>
    <w:rsid w:val="00AC244E"/>
    <w:rsid w:val="00AC257A"/>
    <w:rsid w:val="00AC25EC"/>
    <w:rsid w:val="00AC25F4"/>
    <w:rsid w:val="00AC2615"/>
    <w:rsid w:val="00AC268C"/>
    <w:rsid w:val="00AC27AB"/>
    <w:rsid w:val="00AC27B4"/>
    <w:rsid w:val="00AC27CC"/>
    <w:rsid w:val="00AC2819"/>
    <w:rsid w:val="00AC2AD4"/>
    <w:rsid w:val="00AC2AEC"/>
    <w:rsid w:val="00AC2B8F"/>
    <w:rsid w:val="00AC2BB7"/>
    <w:rsid w:val="00AC2DEA"/>
    <w:rsid w:val="00AC2E14"/>
    <w:rsid w:val="00AC2F5B"/>
    <w:rsid w:val="00AC3055"/>
    <w:rsid w:val="00AC308B"/>
    <w:rsid w:val="00AC309F"/>
    <w:rsid w:val="00AC3368"/>
    <w:rsid w:val="00AC354F"/>
    <w:rsid w:val="00AC364D"/>
    <w:rsid w:val="00AC383B"/>
    <w:rsid w:val="00AC386D"/>
    <w:rsid w:val="00AC38D3"/>
    <w:rsid w:val="00AC390F"/>
    <w:rsid w:val="00AC3971"/>
    <w:rsid w:val="00AC3AD2"/>
    <w:rsid w:val="00AC3B29"/>
    <w:rsid w:val="00AC3B72"/>
    <w:rsid w:val="00AC3BDC"/>
    <w:rsid w:val="00AC3D1E"/>
    <w:rsid w:val="00AC3D5B"/>
    <w:rsid w:val="00AC3E88"/>
    <w:rsid w:val="00AC3E96"/>
    <w:rsid w:val="00AC3E99"/>
    <w:rsid w:val="00AC3EBB"/>
    <w:rsid w:val="00AC3EFB"/>
    <w:rsid w:val="00AC3F06"/>
    <w:rsid w:val="00AC4018"/>
    <w:rsid w:val="00AC40D9"/>
    <w:rsid w:val="00AC4343"/>
    <w:rsid w:val="00AC44AB"/>
    <w:rsid w:val="00AC45B6"/>
    <w:rsid w:val="00AC4710"/>
    <w:rsid w:val="00AC4756"/>
    <w:rsid w:val="00AC4869"/>
    <w:rsid w:val="00AC48D1"/>
    <w:rsid w:val="00AC4B01"/>
    <w:rsid w:val="00AC4BFB"/>
    <w:rsid w:val="00AC4D6E"/>
    <w:rsid w:val="00AC4EF7"/>
    <w:rsid w:val="00AC4F10"/>
    <w:rsid w:val="00AC4F1B"/>
    <w:rsid w:val="00AC4F2E"/>
    <w:rsid w:val="00AC512D"/>
    <w:rsid w:val="00AC51C4"/>
    <w:rsid w:val="00AC52A6"/>
    <w:rsid w:val="00AC5449"/>
    <w:rsid w:val="00AC5553"/>
    <w:rsid w:val="00AC5662"/>
    <w:rsid w:val="00AC5675"/>
    <w:rsid w:val="00AC582E"/>
    <w:rsid w:val="00AC58A0"/>
    <w:rsid w:val="00AC59A4"/>
    <w:rsid w:val="00AC59C8"/>
    <w:rsid w:val="00AC59EE"/>
    <w:rsid w:val="00AC5A15"/>
    <w:rsid w:val="00AC5A50"/>
    <w:rsid w:val="00AC5BBC"/>
    <w:rsid w:val="00AC5C9E"/>
    <w:rsid w:val="00AC5CF5"/>
    <w:rsid w:val="00AC5D75"/>
    <w:rsid w:val="00AC5E17"/>
    <w:rsid w:val="00AC5E8E"/>
    <w:rsid w:val="00AC5FF7"/>
    <w:rsid w:val="00AC6110"/>
    <w:rsid w:val="00AC62DE"/>
    <w:rsid w:val="00AC6328"/>
    <w:rsid w:val="00AC6457"/>
    <w:rsid w:val="00AC6513"/>
    <w:rsid w:val="00AC6550"/>
    <w:rsid w:val="00AC65E7"/>
    <w:rsid w:val="00AC6614"/>
    <w:rsid w:val="00AC6650"/>
    <w:rsid w:val="00AC66B9"/>
    <w:rsid w:val="00AC677E"/>
    <w:rsid w:val="00AC67EC"/>
    <w:rsid w:val="00AC6A6B"/>
    <w:rsid w:val="00AC6B4E"/>
    <w:rsid w:val="00AC6B74"/>
    <w:rsid w:val="00AC6BD1"/>
    <w:rsid w:val="00AC6BEE"/>
    <w:rsid w:val="00AC6C2A"/>
    <w:rsid w:val="00AC6C49"/>
    <w:rsid w:val="00AC6F0A"/>
    <w:rsid w:val="00AC707A"/>
    <w:rsid w:val="00AC717F"/>
    <w:rsid w:val="00AC7382"/>
    <w:rsid w:val="00AC7424"/>
    <w:rsid w:val="00AC744C"/>
    <w:rsid w:val="00AC7462"/>
    <w:rsid w:val="00AC75AA"/>
    <w:rsid w:val="00AC75E9"/>
    <w:rsid w:val="00AC75EA"/>
    <w:rsid w:val="00AC7651"/>
    <w:rsid w:val="00AC7792"/>
    <w:rsid w:val="00AC78C7"/>
    <w:rsid w:val="00AC794D"/>
    <w:rsid w:val="00AC7962"/>
    <w:rsid w:val="00AC7A5F"/>
    <w:rsid w:val="00AC7A76"/>
    <w:rsid w:val="00AC7AE1"/>
    <w:rsid w:val="00AC7B10"/>
    <w:rsid w:val="00AC7B25"/>
    <w:rsid w:val="00AC7B5C"/>
    <w:rsid w:val="00AC7B62"/>
    <w:rsid w:val="00AC7BF6"/>
    <w:rsid w:val="00AC7DAC"/>
    <w:rsid w:val="00AC7E6C"/>
    <w:rsid w:val="00AC7FAC"/>
    <w:rsid w:val="00AD0169"/>
    <w:rsid w:val="00AD0203"/>
    <w:rsid w:val="00AD0249"/>
    <w:rsid w:val="00AD028B"/>
    <w:rsid w:val="00AD03CE"/>
    <w:rsid w:val="00AD05CF"/>
    <w:rsid w:val="00AD0674"/>
    <w:rsid w:val="00AD06B8"/>
    <w:rsid w:val="00AD0873"/>
    <w:rsid w:val="00AD093B"/>
    <w:rsid w:val="00AD0D15"/>
    <w:rsid w:val="00AD0E78"/>
    <w:rsid w:val="00AD1014"/>
    <w:rsid w:val="00AD112A"/>
    <w:rsid w:val="00AD1391"/>
    <w:rsid w:val="00AD1667"/>
    <w:rsid w:val="00AD1742"/>
    <w:rsid w:val="00AD1887"/>
    <w:rsid w:val="00AD18EB"/>
    <w:rsid w:val="00AD194D"/>
    <w:rsid w:val="00AD1A44"/>
    <w:rsid w:val="00AD1C00"/>
    <w:rsid w:val="00AD1C2C"/>
    <w:rsid w:val="00AD1D0C"/>
    <w:rsid w:val="00AD1ECE"/>
    <w:rsid w:val="00AD1FE4"/>
    <w:rsid w:val="00AD2019"/>
    <w:rsid w:val="00AD204A"/>
    <w:rsid w:val="00AD2192"/>
    <w:rsid w:val="00AD21BD"/>
    <w:rsid w:val="00AD222E"/>
    <w:rsid w:val="00AD23D6"/>
    <w:rsid w:val="00AD247B"/>
    <w:rsid w:val="00AD2494"/>
    <w:rsid w:val="00AD24EF"/>
    <w:rsid w:val="00AD251F"/>
    <w:rsid w:val="00AD25B1"/>
    <w:rsid w:val="00AD25DB"/>
    <w:rsid w:val="00AD25EF"/>
    <w:rsid w:val="00AD26FC"/>
    <w:rsid w:val="00AD28AF"/>
    <w:rsid w:val="00AD28EC"/>
    <w:rsid w:val="00AD2C94"/>
    <w:rsid w:val="00AD2C96"/>
    <w:rsid w:val="00AD2DA9"/>
    <w:rsid w:val="00AD2F76"/>
    <w:rsid w:val="00AD304F"/>
    <w:rsid w:val="00AD3145"/>
    <w:rsid w:val="00AD31A2"/>
    <w:rsid w:val="00AD3217"/>
    <w:rsid w:val="00AD3336"/>
    <w:rsid w:val="00AD33AD"/>
    <w:rsid w:val="00AD3408"/>
    <w:rsid w:val="00AD3437"/>
    <w:rsid w:val="00AD3587"/>
    <w:rsid w:val="00AD392E"/>
    <w:rsid w:val="00AD39AB"/>
    <w:rsid w:val="00AD3A13"/>
    <w:rsid w:val="00AD3AEF"/>
    <w:rsid w:val="00AD3AF1"/>
    <w:rsid w:val="00AD3BE1"/>
    <w:rsid w:val="00AD3C18"/>
    <w:rsid w:val="00AD3C52"/>
    <w:rsid w:val="00AD3C73"/>
    <w:rsid w:val="00AD3F52"/>
    <w:rsid w:val="00AD3FB0"/>
    <w:rsid w:val="00AD407B"/>
    <w:rsid w:val="00AD4174"/>
    <w:rsid w:val="00AD41D8"/>
    <w:rsid w:val="00AD4379"/>
    <w:rsid w:val="00AD4427"/>
    <w:rsid w:val="00AD4478"/>
    <w:rsid w:val="00AD44AE"/>
    <w:rsid w:val="00AD45A5"/>
    <w:rsid w:val="00AD45BA"/>
    <w:rsid w:val="00AD4A84"/>
    <w:rsid w:val="00AD4CB3"/>
    <w:rsid w:val="00AD4D4A"/>
    <w:rsid w:val="00AD4DAA"/>
    <w:rsid w:val="00AD4ECD"/>
    <w:rsid w:val="00AD4EE1"/>
    <w:rsid w:val="00AD502E"/>
    <w:rsid w:val="00AD509C"/>
    <w:rsid w:val="00AD53B0"/>
    <w:rsid w:val="00AD545B"/>
    <w:rsid w:val="00AD5498"/>
    <w:rsid w:val="00AD54AC"/>
    <w:rsid w:val="00AD569D"/>
    <w:rsid w:val="00AD57A1"/>
    <w:rsid w:val="00AD5863"/>
    <w:rsid w:val="00AD58BE"/>
    <w:rsid w:val="00AD59BB"/>
    <w:rsid w:val="00AD59D7"/>
    <w:rsid w:val="00AD5B97"/>
    <w:rsid w:val="00AD5BFC"/>
    <w:rsid w:val="00AD5C66"/>
    <w:rsid w:val="00AD5D47"/>
    <w:rsid w:val="00AD5DEC"/>
    <w:rsid w:val="00AD5E1B"/>
    <w:rsid w:val="00AD618B"/>
    <w:rsid w:val="00AD6223"/>
    <w:rsid w:val="00AD656C"/>
    <w:rsid w:val="00AD65B1"/>
    <w:rsid w:val="00AD669E"/>
    <w:rsid w:val="00AD67D7"/>
    <w:rsid w:val="00AD6851"/>
    <w:rsid w:val="00AD687E"/>
    <w:rsid w:val="00AD68D6"/>
    <w:rsid w:val="00AD6919"/>
    <w:rsid w:val="00AD692A"/>
    <w:rsid w:val="00AD6958"/>
    <w:rsid w:val="00AD6A55"/>
    <w:rsid w:val="00AD6A5E"/>
    <w:rsid w:val="00AD6A96"/>
    <w:rsid w:val="00AD6B1C"/>
    <w:rsid w:val="00AD6CFD"/>
    <w:rsid w:val="00AD6DD5"/>
    <w:rsid w:val="00AD6EF4"/>
    <w:rsid w:val="00AD6F15"/>
    <w:rsid w:val="00AD6FD9"/>
    <w:rsid w:val="00AD7064"/>
    <w:rsid w:val="00AD71DA"/>
    <w:rsid w:val="00AD7372"/>
    <w:rsid w:val="00AD73E5"/>
    <w:rsid w:val="00AD73EF"/>
    <w:rsid w:val="00AD741F"/>
    <w:rsid w:val="00AD74A4"/>
    <w:rsid w:val="00AD75AB"/>
    <w:rsid w:val="00AD75FC"/>
    <w:rsid w:val="00AD76D8"/>
    <w:rsid w:val="00AD7929"/>
    <w:rsid w:val="00AD7987"/>
    <w:rsid w:val="00AD7A70"/>
    <w:rsid w:val="00AD7A72"/>
    <w:rsid w:val="00AD7AC4"/>
    <w:rsid w:val="00AD7C54"/>
    <w:rsid w:val="00AD7D2A"/>
    <w:rsid w:val="00AD7E22"/>
    <w:rsid w:val="00AD7F1D"/>
    <w:rsid w:val="00AD7FA5"/>
    <w:rsid w:val="00AE0021"/>
    <w:rsid w:val="00AE0218"/>
    <w:rsid w:val="00AE02AF"/>
    <w:rsid w:val="00AE02B2"/>
    <w:rsid w:val="00AE02FC"/>
    <w:rsid w:val="00AE04F1"/>
    <w:rsid w:val="00AE0605"/>
    <w:rsid w:val="00AE0643"/>
    <w:rsid w:val="00AE068F"/>
    <w:rsid w:val="00AE0732"/>
    <w:rsid w:val="00AE088E"/>
    <w:rsid w:val="00AE09EA"/>
    <w:rsid w:val="00AE0B0E"/>
    <w:rsid w:val="00AE0DC9"/>
    <w:rsid w:val="00AE0F3C"/>
    <w:rsid w:val="00AE0F5E"/>
    <w:rsid w:val="00AE1149"/>
    <w:rsid w:val="00AE1163"/>
    <w:rsid w:val="00AE11DC"/>
    <w:rsid w:val="00AE11FB"/>
    <w:rsid w:val="00AE12BE"/>
    <w:rsid w:val="00AE137E"/>
    <w:rsid w:val="00AE1396"/>
    <w:rsid w:val="00AE139D"/>
    <w:rsid w:val="00AE1488"/>
    <w:rsid w:val="00AE14E9"/>
    <w:rsid w:val="00AE15A8"/>
    <w:rsid w:val="00AE15EA"/>
    <w:rsid w:val="00AE15FA"/>
    <w:rsid w:val="00AE199B"/>
    <w:rsid w:val="00AE19EB"/>
    <w:rsid w:val="00AE1A0A"/>
    <w:rsid w:val="00AE1A73"/>
    <w:rsid w:val="00AE1B5C"/>
    <w:rsid w:val="00AE1C72"/>
    <w:rsid w:val="00AE1CD7"/>
    <w:rsid w:val="00AE1D70"/>
    <w:rsid w:val="00AE1FF0"/>
    <w:rsid w:val="00AE2056"/>
    <w:rsid w:val="00AE206E"/>
    <w:rsid w:val="00AE20F4"/>
    <w:rsid w:val="00AE21C8"/>
    <w:rsid w:val="00AE227A"/>
    <w:rsid w:val="00AE2292"/>
    <w:rsid w:val="00AE22DF"/>
    <w:rsid w:val="00AE22F2"/>
    <w:rsid w:val="00AE2496"/>
    <w:rsid w:val="00AE24EA"/>
    <w:rsid w:val="00AE2563"/>
    <w:rsid w:val="00AE25A1"/>
    <w:rsid w:val="00AE25C6"/>
    <w:rsid w:val="00AE2719"/>
    <w:rsid w:val="00AE2742"/>
    <w:rsid w:val="00AE279B"/>
    <w:rsid w:val="00AE27A3"/>
    <w:rsid w:val="00AE2950"/>
    <w:rsid w:val="00AE296C"/>
    <w:rsid w:val="00AE2A1D"/>
    <w:rsid w:val="00AE2A53"/>
    <w:rsid w:val="00AE2B4C"/>
    <w:rsid w:val="00AE2BC4"/>
    <w:rsid w:val="00AE2E5B"/>
    <w:rsid w:val="00AE2E84"/>
    <w:rsid w:val="00AE3043"/>
    <w:rsid w:val="00AE3066"/>
    <w:rsid w:val="00AE3133"/>
    <w:rsid w:val="00AE3312"/>
    <w:rsid w:val="00AE3484"/>
    <w:rsid w:val="00AE348E"/>
    <w:rsid w:val="00AE34E9"/>
    <w:rsid w:val="00AE354A"/>
    <w:rsid w:val="00AE35AB"/>
    <w:rsid w:val="00AE37C8"/>
    <w:rsid w:val="00AE38F0"/>
    <w:rsid w:val="00AE3990"/>
    <w:rsid w:val="00AE3992"/>
    <w:rsid w:val="00AE39A2"/>
    <w:rsid w:val="00AE3A81"/>
    <w:rsid w:val="00AE3B2B"/>
    <w:rsid w:val="00AE3B69"/>
    <w:rsid w:val="00AE3C17"/>
    <w:rsid w:val="00AE3CBC"/>
    <w:rsid w:val="00AE3E68"/>
    <w:rsid w:val="00AE3F8A"/>
    <w:rsid w:val="00AE401C"/>
    <w:rsid w:val="00AE40EE"/>
    <w:rsid w:val="00AE41B0"/>
    <w:rsid w:val="00AE42AD"/>
    <w:rsid w:val="00AE43A7"/>
    <w:rsid w:val="00AE443A"/>
    <w:rsid w:val="00AE4458"/>
    <w:rsid w:val="00AE4459"/>
    <w:rsid w:val="00AE4548"/>
    <w:rsid w:val="00AE45BA"/>
    <w:rsid w:val="00AE4620"/>
    <w:rsid w:val="00AE465A"/>
    <w:rsid w:val="00AE486A"/>
    <w:rsid w:val="00AE48AD"/>
    <w:rsid w:val="00AE48D5"/>
    <w:rsid w:val="00AE4A50"/>
    <w:rsid w:val="00AE4AD8"/>
    <w:rsid w:val="00AE4B26"/>
    <w:rsid w:val="00AE4B50"/>
    <w:rsid w:val="00AE4C66"/>
    <w:rsid w:val="00AE4D06"/>
    <w:rsid w:val="00AE4DA6"/>
    <w:rsid w:val="00AE4F62"/>
    <w:rsid w:val="00AE509C"/>
    <w:rsid w:val="00AE50B1"/>
    <w:rsid w:val="00AE53CC"/>
    <w:rsid w:val="00AE541E"/>
    <w:rsid w:val="00AE5484"/>
    <w:rsid w:val="00AE5497"/>
    <w:rsid w:val="00AE54D6"/>
    <w:rsid w:val="00AE5534"/>
    <w:rsid w:val="00AE55F2"/>
    <w:rsid w:val="00AE5615"/>
    <w:rsid w:val="00AE5772"/>
    <w:rsid w:val="00AE5799"/>
    <w:rsid w:val="00AE57FB"/>
    <w:rsid w:val="00AE5813"/>
    <w:rsid w:val="00AE582E"/>
    <w:rsid w:val="00AE5898"/>
    <w:rsid w:val="00AE58A8"/>
    <w:rsid w:val="00AE59B7"/>
    <w:rsid w:val="00AE5B1C"/>
    <w:rsid w:val="00AE5C6E"/>
    <w:rsid w:val="00AE5C7D"/>
    <w:rsid w:val="00AE5CAF"/>
    <w:rsid w:val="00AE5CCA"/>
    <w:rsid w:val="00AE5D91"/>
    <w:rsid w:val="00AE5EFA"/>
    <w:rsid w:val="00AE6039"/>
    <w:rsid w:val="00AE603E"/>
    <w:rsid w:val="00AE6061"/>
    <w:rsid w:val="00AE61BB"/>
    <w:rsid w:val="00AE61BD"/>
    <w:rsid w:val="00AE6314"/>
    <w:rsid w:val="00AE63E9"/>
    <w:rsid w:val="00AE660B"/>
    <w:rsid w:val="00AE660F"/>
    <w:rsid w:val="00AE6708"/>
    <w:rsid w:val="00AE67E5"/>
    <w:rsid w:val="00AE68F5"/>
    <w:rsid w:val="00AE697B"/>
    <w:rsid w:val="00AE699B"/>
    <w:rsid w:val="00AE6AA4"/>
    <w:rsid w:val="00AE6BBD"/>
    <w:rsid w:val="00AE6D9A"/>
    <w:rsid w:val="00AE6DBA"/>
    <w:rsid w:val="00AE6E44"/>
    <w:rsid w:val="00AE6EAF"/>
    <w:rsid w:val="00AE6FF5"/>
    <w:rsid w:val="00AE6FF8"/>
    <w:rsid w:val="00AE70CD"/>
    <w:rsid w:val="00AE72AF"/>
    <w:rsid w:val="00AE7411"/>
    <w:rsid w:val="00AE7538"/>
    <w:rsid w:val="00AE773F"/>
    <w:rsid w:val="00AE7813"/>
    <w:rsid w:val="00AE7859"/>
    <w:rsid w:val="00AE7881"/>
    <w:rsid w:val="00AE78B5"/>
    <w:rsid w:val="00AE7905"/>
    <w:rsid w:val="00AE7990"/>
    <w:rsid w:val="00AE7BAB"/>
    <w:rsid w:val="00AE7D2F"/>
    <w:rsid w:val="00AE7DFE"/>
    <w:rsid w:val="00AE7E23"/>
    <w:rsid w:val="00AE7F84"/>
    <w:rsid w:val="00AE7F87"/>
    <w:rsid w:val="00AE7FB5"/>
    <w:rsid w:val="00AF000B"/>
    <w:rsid w:val="00AF00AC"/>
    <w:rsid w:val="00AF031E"/>
    <w:rsid w:val="00AF0321"/>
    <w:rsid w:val="00AF0359"/>
    <w:rsid w:val="00AF036A"/>
    <w:rsid w:val="00AF0453"/>
    <w:rsid w:val="00AF046F"/>
    <w:rsid w:val="00AF0473"/>
    <w:rsid w:val="00AF07E6"/>
    <w:rsid w:val="00AF07FF"/>
    <w:rsid w:val="00AF0874"/>
    <w:rsid w:val="00AF094B"/>
    <w:rsid w:val="00AF0BEB"/>
    <w:rsid w:val="00AF1116"/>
    <w:rsid w:val="00AF1171"/>
    <w:rsid w:val="00AF119E"/>
    <w:rsid w:val="00AF11E2"/>
    <w:rsid w:val="00AF11E5"/>
    <w:rsid w:val="00AF12C1"/>
    <w:rsid w:val="00AF1381"/>
    <w:rsid w:val="00AF1393"/>
    <w:rsid w:val="00AF1573"/>
    <w:rsid w:val="00AF15B4"/>
    <w:rsid w:val="00AF1697"/>
    <w:rsid w:val="00AF174C"/>
    <w:rsid w:val="00AF17F6"/>
    <w:rsid w:val="00AF193F"/>
    <w:rsid w:val="00AF1B30"/>
    <w:rsid w:val="00AF1BEE"/>
    <w:rsid w:val="00AF1C65"/>
    <w:rsid w:val="00AF1CC9"/>
    <w:rsid w:val="00AF1D1B"/>
    <w:rsid w:val="00AF1D3F"/>
    <w:rsid w:val="00AF1E0B"/>
    <w:rsid w:val="00AF1ED7"/>
    <w:rsid w:val="00AF1F5E"/>
    <w:rsid w:val="00AF2071"/>
    <w:rsid w:val="00AF2119"/>
    <w:rsid w:val="00AF2244"/>
    <w:rsid w:val="00AF235B"/>
    <w:rsid w:val="00AF2737"/>
    <w:rsid w:val="00AF2A95"/>
    <w:rsid w:val="00AF2ACD"/>
    <w:rsid w:val="00AF2AE9"/>
    <w:rsid w:val="00AF2BA0"/>
    <w:rsid w:val="00AF2C9E"/>
    <w:rsid w:val="00AF2DC8"/>
    <w:rsid w:val="00AF2FC4"/>
    <w:rsid w:val="00AF3069"/>
    <w:rsid w:val="00AF3092"/>
    <w:rsid w:val="00AF311C"/>
    <w:rsid w:val="00AF324B"/>
    <w:rsid w:val="00AF3380"/>
    <w:rsid w:val="00AF340C"/>
    <w:rsid w:val="00AF343A"/>
    <w:rsid w:val="00AF34B3"/>
    <w:rsid w:val="00AF35C3"/>
    <w:rsid w:val="00AF3649"/>
    <w:rsid w:val="00AF3969"/>
    <w:rsid w:val="00AF3990"/>
    <w:rsid w:val="00AF39F5"/>
    <w:rsid w:val="00AF3A7A"/>
    <w:rsid w:val="00AF3BB3"/>
    <w:rsid w:val="00AF3BF5"/>
    <w:rsid w:val="00AF3CC0"/>
    <w:rsid w:val="00AF3D0C"/>
    <w:rsid w:val="00AF3D27"/>
    <w:rsid w:val="00AF3DDA"/>
    <w:rsid w:val="00AF3F00"/>
    <w:rsid w:val="00AF3F06"/>
    <w:rsid w:val="00AF3F37"/>
    <w:rsid w:val="00AF4171"/>
    <w:rsid w:val="00AF43BF"/>
    <w:rsid w:val="00AF468A"/>
    <w:rsid w:val="00AF46C9"/>
    <w:rsid w:val="00AF47B0"/>
    <w:rsid w:val="00AF47CD"/>
    <w:rsid w:val="00AF4864"/>
    <w:rsid w:val="00AF4ABE"/>
    <w:rsid w:val="00AF4B6A"/>
    <w:rsid w:val="00AF4BDC"/>
    <w:rsid w:val="00AF4BE3"/>
    <w:rsid w:val="00AF4CB4"/>
    <w:rsid w:val="00AF4D77"/>
    <w:rsid w:val="00AF4D8E"/>
    <w:rsid w:val="00AF4E51"/>
    <w:rsid w:val="00AF4F14"/>
    <w:rsid w:val="00AF4FDE"/>
    <w:rsid w:val="00AF5081"/>
    <w:rsid w:val="00AF52EA"/>
    <w:rsid w:val="00AF5546"/>
    <w:rsid w:val="00AF55AD"/>
    <w:rsid w:val="00AF561D"/>
    <w:rsid w:val="00AF5892"/>
    <w:rsid w:val="00AF58B6"/>
    <w:rsid w:val="00AF594F"/>
    <w:rsid w:val="00AF59F7"/>
    <w:rsid w:val="00AF5A5D"/>
    <w:rsid w:val="00AF5ACB"/>
    <w:rsid w:val="00AF5B17"/>
    <w:rsid w:val="00AF5CEC"/>
    <w:rsid w:val="00AF5D3A"/>
    <w:rsid w:val="00AF5EA7"/>
    <w:rsid w:val="00AF5F0F"/>
    <w:rsid w:val="00AF5F2B"/>
    <w:rsid w:val="00AF5F5B"/>
    <w:rsid w:val="00AF60D5"/>
    <w:rsid w:val="00AF61E4"/>
    <w:rsid w:val="00AF62D2"/>
    <w:rsid w:val="00AF6331"/>
    <w:rsid w:val="00AF6391"/>
    <w:rsid w:val="00AF63D8"/>
    <w:rsid w:val="00AF642F"/>
    <w:rsid w:val="00AF6570"/>
    <w:rsid w:val="00AF679A"/>
    <w:rsid w:val="00AF685C"/>
    <w:rsid w:val="00AF6ACE"/>
    <w:rsid w:val="00AF6AF1"/>
    <w:rsid w:val="00AF6BE0"/>
    <w:rsid w:val="00AF6C7B"/>
    <w:rsid w:val="00AF6D15"/>
    <w:rsid w:val="00AF6D71"/>
    <w:rsid w:val="00AF6D89"/>
    <w:rsid w:val="00AF6F5C"/>
    <w:rsid w:val="00AF6F6C"/>
    <w:rsid w:val="00AF6F86"/>
    <w:rsid w:val="00AF6FBB"/>
    <w:rsid w:val="00AF7016"/>
    <w:rsid w:val="00AF7086"/>
    <w:rsid w:val="00AF70D5"/>
    <w:rsid w:val="00AF71D6"/>
    <w:rsid w:val="00AF733C"/>
    <w:rsid w:val="00AF7473"/>
    <w:rsid w:val="00AF7665"/>
    <w:rsid w:val="00AF767D"/>
    <w:rsid w:val="00AF7719"/>
    <w:rsid w:val="00AF7799"/>
    <w:rsid w:val="00AF779C"/>
    <w:rsid w:val="00AF7828"/>
    <w:rsid w:val="00AF7892"/>
    <w:rsid w:val="00AF792F"/>
    <w:rsid w:val="00AF79C8"/>
    <w:rsid w:val="00AF7A0B"/>
    <w:rsid w:val="00AF7A88"/>
    <w:rsid w:val="00AF7E4D"/>
    <w:rsid w:val="00AF7E75"/>
    <w:rsid w:val="00AF7FB3"/>
    <w:rsid w:val="00B00110"/>
    <w:rsid w:val="00B003A3"/>
    <w:rsid w:val="00B005D2"/>
    <w:rsid w:val="00B007C4"/>
    <w:rsid w:val="00B007E0"/>
    <w:rsid w:val="00B00813"/>
    <w:rsid w:val="00B0081E"/>
    <w:rsid w:val="00B00926"/>
    <w:rsid w:val="00B00AA5"/>
    <w:rsid w:val="00B00ADE"/>
    <w:rsid w:val="00B00B2B"/>
    <w:rsid w:val="00B00B54"/>
    <w:rsid w:val="00B00BAF"/>
    <w:rsid w:val="00B00CA4"/>
    <w:rsid w:val="00B00CB5"/>
    <w:rsid w:val="00B00DE8"/>
    <w:rsid w:val="00B00E88"/>
    <w:rsid w:val="00B00EE6"/>
    <w:rsid w:val="00B00EF7"/>
    <w:rsid w:val="00B01111"/>
    <w:rsid w:val="00B011CE"/>
    <w:rsid w:val="00B01362"/>
    <w:rsid w:val="00B01405"/>
    <w:rsid w:val="00B01518"/>
    <w:rsid w:val="00B0152B"/>
    <w:rsid w:val="00B01560"/>
    <w:rsid w:val="00B016AE"/>
    <w:rsid w:val="00B016D6"/>
    <w:rsid w:val="00B01791"/>
    <w:rsid w:val="00B018E7"/>
    <w:rsid w:val="00B01950"/>
    <w:rsid w:val="00B01991"/>
    <w:rsid w:val="00B01A41"/>
    <w:rsid w:val="00B01A62"/>
    <w:rsid w:val="00B01A72"/>
    <w:rsid w:val="00B01AF7"/>
    <w:rsid w:val="00B01C66"/>
    <w:rsid w:val="00B01CC3"/>
    <w:rsid w:val="00B01D5C"/>
    <w:rsid w:val="00B01D95"/>
    <w:rsid w:val="00B01FFF"/>
    <w:rsid w:val="00B020B5"/>
    <w:rsid w:val="00B02137"/>
    <w:rsid w:val="00B021BD"/>
    <w:rsid w:val="00B02299"/>
    <w:rsid w:val="00B0275E"/>
    <w:rsid w:val="00B02880"/>
    <w:rsid w:val="00B02B4E"/>
    <w:rsid w:val="00B02C8F"/>
    <w:rsid w:val="00B02D77"/>
    <w:rsid w:val="00B02DA6"/>
    <w:rsid w:val="00B02E4E"/>
    <w:rsid w:val="00B02EB5"/>
    <w:rsid w:val="00B02EF6"/>
    <w:rsid w:val="00B03067"/>
    <w:rsid w:val="00B0316C"/>
    <w:rsid w:val="00B0317A"/>
    <w:rsid w:val="00B0317E"/>
    <w:rsid w:val="00B03216"/>
    <w:rsid w:val="00B03233"/>
    <w:rsid w:val="00B036DF"/>
    <w:rsid w:val="00B03763"/>
    <w:rsid w:val="00B03849"/>
    <w:rsid w:val="00B0386A"/>
    <w:rsid w:val="00B038A7"/>
    <w:rsid w:val="00B039C5"/>
    <w:rsid w:val="00B03A80"/>
    <w:rsid w:val="00B03AC6"/>
    <w:rsid w:val="00B03AE5"/>
    <w:rsid w:val="00B03AFD"/>
    <w:rsid w:val="00B03C17"/>
    <w:rsid w:val="00B03C74"/>
    <w:rsid w:val="00B03CF7"/>
    <w:rsid w:val="00B03D6E"/>
    <w:rsid w:val="00B03E77"/>
    <w:rsid w:val="00B03EEC"/>
    <w:rsid w:val="00B03FCF"/>
    <w:rsid w:val="00B03FD2"/>
    <w:rsid w:val="00B04284"/>
    <w:rsid w:val="00B0440D"/>
    <w:rsid w:val="00B04491"/>
    <w:rsid w:val="00B044A6"/>
    <w:rsid w:val="00B044C4"/>
    <w:rsid w:val="00B04561"/>
    <w:rsid w:val="00B0461D"/>
    <w:rsid w:val="00B04887"/>
    <w:rsid w:val="00B04889"/>
    <w:rsid w:val="00B04891"/>
    <w:rsid w:val="00B04A8A"/>
    <w:rsid w:val="00B04E20"/>
    <w:rsid w:val="00B04ECE"/>
    <w:rsid w:val="00B04EE8"/>
    <w:rsid w:val="00B04F5D"/>
    <w:rsid w:val="00B05175"/>
    <w:rsid w:val="00B052B0"/>
    <w:rsid w:val="00B05351"/>
    <w:rsid w:val="00B053DE"/>
    <w:rsid w:val="00B05470"/>
    <w:rsid w:val="00B055F0"/>
    <w:rsid w:val="00B056EB"/>
    <w:rsid w:val="00B05747"/>
    <w:rsid w:val="00B057EB"/>
    <w:rsid w:val="00B05944"/>
    <w:rsid w:val="00B05AAE"/>
    <w:rsid w:val="00B05AC2"/>
    <w:rsid w:val="00B05B88"/>
    <w:rsid w:val="00B05DB8"/>
    <w:rsid w:val="00B05EBE"/>
    <w:rsid w:val="00B05F4F"/>
    <w:rsid w:val="00B060C2"/>
    <w:rsid w:val="00B06103"/>
    <w:rsid w:val="00B0631E"/>
    <w:rsid w:val="00B064C6"/>
    <w:rsid w:val="00B064FE"/>
    <w:rsid w:val="00B06570"/>
    <w:rsid w:val="00B066C1"/>
    <w:rsid w:val="00B06842"/>
    <w:rsid w:val="00B06858"/>
    <w:rsid w:val="00B068D5"/>
    <w:rsid w:val="00B069A8"/>
    <w:rsid w:val="00B069B0"/>
    <w:rsid w:val="00B06A35"/>
    <w:rsid w:val="00B06AF5"/>
    <w:rsid w:val="00B06B25"/>
    <w:rsid w:val="00B06BD6"/>
    <w:rsid w:val="00B06D0A"/>
    <w:rsid w:val="00B06D2A"/>
    <w:rsid w:val="00B06DD0"/>
    <w:rsid w:val="00B06EA5"/>
    <w:rsid w:val="00B06F27"/>
    <w:rsid w:val="00B06F83"/>
    <w:rsid w:val="00B06F89"/>
    <w:rsid w:val="00B06F8E"/>
    <w:rsid w:val="00B06FC8"/>
    <w:rsid w:val="00B07027"/>
    <w:rsid w:val="00B0709C"/>
    <w:rsid w:val="00B07159"/>
    <w:rsid w:val="00B071C9"/>
    <w:rsid w:val="00B0727E"/>
    <w:rsid w:val="00B0729B"/>
    <w:rsid w:val="00B07538"/>
    <w:rsid w:val="00B075F4"/>
    <w:rsid w:val="00B07636"/>
    <w:rsid w:val="00B076DC"/>
    <w:rsid w:val="00B077F1"/>
    <w:rsid w:val="00B0795B"/>
    <w:rsid w:val="00B07B83"/>
    <w:rsid w:val="00B07B94"/>
    <w:rsid w:val="00B07C0B"/>
    <w:rsid w:val="00B07CF8"/>
    <w:rsid w:val="00B07D5B"/>
    <w:rsid w:val="00B07E10"/>
    <w:rsid w:val="00B07EC1"/>
    <w:rsid w:val="00B1001D"/>
    <w:rsid w:val="00B100E8"/>
    <w:rsid w:val="00B100F6"/>
    <w:rsid w:val="00B10220"/>
    <w:rsid w:val="00B103D6"/>
    <w:rsid w:val="00B10802"/>
    <w:rsid w:val="00B10895"/>
    <w:rsid w:val="00B1089F"/>
    <w:rsid w:val="00B1091E"/>
    <w:rsid w:val="00B1095B"/>
    <w:rsid w:val="00B109DA"/>
    <w:rsid w:val="00B109E4"/>
    <w:rsid w:val="00B10B3D"/>
    <w:rsid w:val="00B10B4E"/>
    <w:rsid w:val="00B10B69"/>
    <w:rsid w:val="00B10B78"/>
    <w:rsid w:val="00B10B8E"/>
    <w:rsid w:val="00B10C0D"/>
    <w:rsid w:val="00B10C40"/>
    <w:rsid w:val="00B10C9F"/>
    <w:rsid w:val="00B10CAE"/>
    <w:rsid w:val="00B10E6B"/>
    <w:rsid w:val="00B10EFC"/>
    <w:rsid w:val="00B10FBA"/>
    <w:rsid w:val="00B1109B"/>
    <w:rsid w:val="00B111A3"/>
    <w:rsid w:val="00B111FF"/>
    <w:rsid w:val="00B11242"/>
    <w:rsid w:val="00B11341"/>
    <w:rsid w:val="00B11381"/>
    <w:rsid w:val="00B1150C"/>
    <w:rsid w:val="00B1163B"/>
    <w:rsid w:val="00B11707"/>
    <w:rsid w:val="00B11720"/>
    <w:rsid w:val="00B117BA"/>
    <w:rsid w:val="00B11871"/>
    <w:rsid w:val="00B118B6"/>
    <w:rsid w:val="00B1199D"/>
    <w:rsid w:val="00B11ACC"/>
    <w:rsid w:val="00B11B94"/>
    <w:rsid w:val="00B11BD4"/>
    <w:rsid w:val="00B11C5F"/>
    <w:rsid w:val="00B11C74"/>
    <w:rsid w:val="00B11C94"/>
    <w:rsid w:val="00B11CDC"/>
    <w:rsid w:val="00B11D2B"/>
    <w:rsid w:val="00B11D73"/>
    <w:rsid w:val="00B11E74"/>
    <w:rsid w:val="00B11E8E"/>
    <w:rsid w:val="00B120AA"/>
    <w:rsid w:val="00B120C8"/>
    <w:rsid w:val="00B12118"/>
    <w:rsid w:val="00B12126"/>
    <w:rsid w:val="00B1212F"/>
    <w:rsid w:val="00B12214"/>
    <w:rsid w:val="00B123C3"/>
    <w:rsid w:val="00B124E3"/>
    <w:rsid w:val="00B12618"/>
    <w:rsid w:val="00B1261F"/>
    <w:rsid w:val="00B12691"/>
    <w:rsid w:val="00B126D3"/>
    <w:rsid w:val="00B127F2"/>
    <w:rsid w:val="00B12840"/>
    <w:rsid w:val="00B12986"/>
    <w:rsid w:val="00B12A19"/>
    <w:rsid w:val="00B12A5E"/>
    <w:rsid w:val="00B12A6A"/>
    <w:rsid w:val="00B12DE9"/>
    <w:rsid w:val="00B12E95"/>
    <w:rsid w:val="00B13008"/>
    <w:rsid w:val="00B13119"/>
    <w:rsid w:val="00B131DA"/>
    <w:rsid w:val="00B13300"/>
    <w:rsid w:val="00B13328"/>
    <w:rsid w:val="00B13358"/>
    <w:rsid w:val="00B1335D"/>
    <w:rsid w:val="00B133E8"/>
    <w:rsid w:val="00B133F3"/>
    <w:rsid w:val="00B13443"/>
    <w:rsid w:val="00B134C6"/>
    <w:rsid w:val="00B135A1"/>
    <w:rsid w:val="00B135AB"/>
    <w:rsid w:val="00B136FF"/>
    <w:rsid w:val="00B13770"/>
    <w:rsid w:val="00B137B9"/>
    <w:rsid w:val="00B13876"/>
    <w:rsid w:val="00B13946"/>
    <w:rsid w:val="00B139D0"/>
    <w:rsid w:val="00B139EE"/>
    <w:rsid w:val="00B13A36"/>
    <w:rsid w:val="00B13A5A"/>
    <w:rsid w:val="00B13CB8"/>
    <w:rsid w:val="00B13D1E"/>
    <w:rsid w:val="00B13D35"/>
    <w:rsid w:val="00B14072"/>
    <w:rsid w:val="00B14169"/>
    <w:rsid w:val="00B142B2"/>
    <w:rsid w:val="00B1434E"/>
    <w:rsid w:val="00B14458"/>
    <w:rsid w:val="00B145F2"/>
    <w:rsid w:val="00B14704"/>
    <w:rsid w:val="00B14732"/>
    <w:rsid w:val="00B1475A"/>
    <w:rsid w:val="00B148F1"/>
    <w:rsid w:val="00B1498E"/>
    <w:rsid w:val="00B14B44"/>
    <w:rsid w:val="00B14C87"/>
    <w:rsid w:val="00B14CBA"/>
    <w:rsid w:val="00B14DB7"/>
    <w:rsid w:val="00B14EA4"/>
    <w:rsid w:val="00B15044"/>
    <w:rsid w:val="00B1506D"/>
    <w:rsid w:val="00B1509B"/>
    <w:rsid w:val="00B150A7"/>
    <w:rsid w:val="00B152C9"/>
    <w:rsid w:val="00B152F6"/>
    <w:rsid w:val="00B15404"/>
    <w:rsid w:val="00B1552C"/>
    <w:rsid w:val="00B156C7"/>
    <w:rsid w:val="00B1577B"/>
    <w:rsid w:val="00B157E1"/>
    <w:rsid w:val="00B157EA"/>
    <w:rsid w:val="00B15827"/>
    <w:rsid w:val="00B1582F"/>
    <w:rsid w:val="00B158EA"/>
    <w:rsid w:val="00B15904"/>
    <w:rsid w:val="00B159C4"/>
    <w:rsid w:val="00B15A37"/>
    <w:rsid w:val="00B15C0A"/>
    <w:rsid w:val="00B15D3F"/>
    <w:rsid w:val="00B15EB0"/>
    <w:rsid w:val="00B15F99"/>
    <w:rsid w:val="00B162B3"/>
    <w:rsid w:val="00B162E0"/>
    <w:rsid w:val="00B162F1"/>
    <w:rsid w:val="00B1630E"/>
    <w:rsid w:val="00B16345"/>
    <w:rsid w:val="00B16413"/>
    <w:rsid w:val="00B16538"/>
    <w:rsid w:val="00B16573"/>
    <w:rsid w:val="00B165C7"/>
    <w:rsid w:val="00B166A8"/>
    <w:rsid w:val="00B167CD"/>
    <w:rsid w:val="00B16A99"/>
    <w:rsid w:val="00B16AD9"/>
    <w:rsid w:val="00B16B23"/>
    <w:rsid w:val="00B16B50"/>
    <w:rsid w:val="00B16C32"/>
    <w:rsid w:val="00B16C73"/>
    <w:rsid w:val="00B16F0F"/>
    <w:rsid w:val="00B16F28"/>
    <w:rsid w:val="00B16F2E"/>
    <w:rsid w:val="00B17038"/>
    <w:rsid w:val="00B170D3"/>
    <w:rsid w:val="00B170F2"/>
    <w:rsid w:val="00B174A7"/>
    <w:rsid w:val="00B174A9"/>
    <w:rsid w:val="00B17590"/>
    <w:rsid w:val="00B1767F"/>
    <w:rsid w:val="00B176B2"/>
    <w:rsid w:val="00B176F1"/>
    <w:rsid w:val="00B1772C"/>
    <w:rsid w:val="00B17743"/>
    <w:rsid w:val="00B17863"/>
    <w:rsid w:val="00B178B5"/>
    <w:rsid w:val="00B178C1"/>
    <w:rsid w:val="00B17982"/>
    <w:rsid w:val="00B179AB"/>
    <w:rsid w:val="00B179B3"/>
    <w:rsid w:val="00B179D0"/>
    <w:rsid w:val="00B17A54"/>
    <w:rsid w:val="00B17ADD"/>
    <w:rsid w:val="00B17CE3"/>
    <w:rsid w:val="00B17D38"/>
    <w:rsid w:val="00B17D7E"/>
    <w:rsid w:val="00B17D9C"/>
    <w:rsid w:val="00B17DEB"/>
    <w:rsid w:val="00B17EBB"/>
    <w:rsid w:val="00B20002"/>
    <w:rsid w:val="00B20113"/>
    <w:rsid w:val="00B20196"/>
    <w:rsid w:val="00B20229"/>
    <w:rsid w:val="00B2037E"/>
    <w:rsid w:val="00B2045F"/>
    <w:rsid w:val="00B206E0"/>
    <w:rsid w:val="00B2074D"/>
    <w:rsid w:val="00B20950"/>
    <w:rsid w:val="00B20999"/>
    <w:rsid w:val="00B209B1"/>
    <w:rsid w:val="00B209F4"/>
    <w:rsid w:val="00B20A0D"/>
    <w:rsid w:val="00B20AAE"/>
    <w:rsid w:val="00B20FCC"/>
    <w:rsid w:val="00B20FD3"/>
    <w:rsid w:val="00B20FE3"/>
    <w:rsid w:val="00B210BD"/>
    <w:rsid w:val="00B2139D"/>
    <w:rsid w:val="00B214EE"/>
    <w:rsid w:val="00B2153B"/>
    <w:rsid w:val="00B21542"/>
    <w:rsid w:val="00B21563"/>
    <w:rsid w:val="00B21627"/>
    <w:rsid w:val="00B216A3"/>
    <w:rsid w:val="00B21750"/>
    <w:rsid w:val="00B2190E"/>
    <w:rsid w:val="00B21A84"/>
    <w:rsid w:val="00B21BE0"/>
    <w:rsid w:val="00B21F04"/>
    <w:rsid w:val="00B21F45"/>
    <w:rsid w:val="00B220FD"/>
    <w:rsid w:val="00B220FE"/>
    <w:rsid w:val="00B221A1"/>
    <w:rsid w:val="00B22277"/>
    <w:rsid w:val="00B223F3"/>
    <w:rsid w:val="00B223FC"/>
    <w:rsid w:val="00B2242A"/>
    <w:rsid w:val="00B22439"/>
    <w:rsid w:val="00B228B8"/>
    <w:rsid w:val="00B228E3"/>
    <w:rsid w:val="00B22AE5"/>
    <w:rsid w:val="00B22B06"/>
    <w:rsid w:val="00B22B91"/>
    <w:rsid w:val="00B22BC7"/>
    <w:rsid w:val="00B22C45"/>
    <w:rsid w:val="00B22D9C"/>
    <w:rsid w:val="00B22F31"/>
    <w:rsid w:val="00B2300F"/>
    <w:rsid w:val="00B2304E"/>
    <w:rsid w:val="00B230D6"/>
    <w:rsid w:val="00B231A0"/>
    <w:rsid w:val="00B231D2"/>
    <w:rsid w:val="00B2321A"/>
    <w:rsid w:val="00B23249"/>
    <w:rsid w:val="00B23290"/>
    <w:rsid w:val="00B23408"/>
    <w:rsid w:val="00B2344C"/>
    <w:rsid w:val="00B23468"/>
    <w:rsid w:val="00B234CB"/>
    <w:rsid w:val="00B2359F"/>
    <w:rsid w:val="00B23607"/>
    <w:rsid w:val="00B236AD"/>
    <w:rsid w:val="00B236CE"/>
    <w:rsid w:val="00B23740"/>
    <w:rsid w:val="00B237FC"/>
    <w:rsid w:val="00B23892"/>
    <w:rsid w:val="00B23999"/>
    <w:rsid w:val="00B23B1A"/>
    <w:rsid w:val="00B23BB1"/>
    <w:rsid w:val="00B23DBF"/>
    <w:rsid w:val="00B23E14"/>
    <w:rsid w:val="00B23EA5"/>
    <w:rsid w:val="00B23F03"/>
    <w:rsid w:val="00B241B1"/>
    <w:rsid w:val="00B24260"/>
    <w:rsid w:val="00B2436C"/>
    <w:rsid w:val="00B24501"/>
    <w:rsid w:val="00B2462C"/>
    <w:rsid w:val="00B2471D"/>
    <w:rsid w:val="00B2475D"/>
    <w:rsid w:val="00B2479F"/>
    <w:rsid w:val="00B24862"/>
    <w:rsid w:val="00B24A9A"/>
    <w:rsid w:val="00B24AB2"/>
    <w:rsid w:val="00B24B23"/>
    <w:rsid w:val="00B24B2D"/>
    <w:rsid w:val="00B24BC7"/>
    <w:rsid w:val="00B24CAF"/>
    <w:rsid w:val="00B24CC3"/>
    <w:rsid w:val="00B24E51"/>
    <w:rsid w:val="00B24EFE"/>
    <w:rsid w:val="00B25016"/>
    <w:rsid w:val="00B252FB"/>
    <w:rsid w:val="00B25307"/>
    <w:rsid w:val="00B2538C"/>
    <w:rsid w:val="00B254FB"/>
    <w:rsid w:val="00B25565"/>
    <w:rsid w:val="00B25584"/>
    <w:rsid w:val="00B25585"/>
    <w:rsid w:val="00B2565A"/>
    <w:rsid w:val="00B2577E"/>
    <w:rsid w:val="00B257C6"/>
    <w:rsid w:val="00B25867"/>
    <w:rsid w:val="00B25871"/>
    <w:rsid w:val="00B2587D"/>
    <w:rsid w:val="00B25A2A"/>
    <w:rsid w:val="00B25C17"/>
    <w:rsid w:val="00B25CB2"/>
    <w:rsid w:val="00B25DF1"/>
    <w:rsid w:val="00B25F19"/>
    <w:rsid w:val="00B25F64"/>
    <w:rsid w:val="00B25FB0"/>
    <w:rsid w:val="00B26020"/>
    <w:rsid w:val="00B261C3"/>
    <w:rsid w:val="00B2633B"/>
    <w:rsid w:val="00B26495"/>
    <w:rsid w:val="00B264E5"/>
    <w:rsid w:val="00B26612"/>
    <w:rsid w:val="00B268DF"/>
    <w:rsid w:val="00B2693C"/>
    <w:rsid w:val="00B26AA0"/>
    <w:rsid w:val="00B26AB8"/>
    <w:rsid w:val="00B26ABB"/>
    <w:rsid w:val="00B26AF3"/>
    <w:rsid w:val="00B26B09"/>
    <w:rsid w:val="00B26B64"/>
    <w:rsid w:val="00B26C39"/>
    <w:rsid w:val="00B26C53"/>
    <w:rsid w:val="00B26E67"/>
    <w:rsid w:val="00B26E69"/>
    <w:rsid w:val="00B26EDB"/>
    <w:rsid w:val="00B26F90"/>
    <w:rsid w:val="00B26FEC"/>
    <w:rsid w:val="00B2709C"/>
    <w:rsid w:val="00B27190"/>
    <w:rsid w:val="00B27361"/>
    <w:rsid w:val="00B27382"/>
    <w:rsid w:val="00B2746D"/>
    <w:rsid w:val="00B27471"/>
    <w:rsid w:val="00B27574"/>
    <w:rsid w:val="00B275EB"/>
    <w:rsid w:val="00B276E8"/>
    <w:rsid w:val="00B2776A"/>
    <w:rsid w:val="00B277B6"/>
    <w:rsid w:val="00B277C4"/>
    <w:rsid w:val="00B27898"/>
    <w:rsid w:val="00B278B3"/>
    <w:rsid w:val="00B279A2"/>
    <w:rsid w:val="00B279C0"/>
    <w:rsid w:val="00B27AC1"/>
    <w:rsid w:val="00B27B3B"/>
    <w:rsid w:val="00B27C71"/>
    <w:rsid w:val="00B27CC7"/>
    <w:rsid w:val="00B27DFD"/>
    <w:rsid w:val="00B27F9B"/>
    <w:rsid w:val="00B27FA3"/>
    <w:rsid w:val="00B30001"/>
    <w:rsid w:val="00B30081"/>
    <w:rsid w:val="00B300CA"/>
    <w:rsid w:val="00B3015F"/>
    <w:rsid w:val="00B301D3"/>
    <w:rsid w:val="00B30214"/>
    <w:rsid w:val="00B30344"/>
    <w:rsid w:val="00B30398"/>
    <w:rsid w:val="00B30418"/>
    <w:rsid w:val="00B3050E"/>
    <w:rsid w:val="00B3083D"/>
    <w:rsid w:val="00B308FA"/>
    <w:rsid w:val="00B30929"/>
    <w:rsid w:val="00B30942"/>
    <w:rsid w:val="00B3095A"/>
    <w:rsid w:val="00B30B55"/>
    <w:rsid w:val="00B30B76"/>
    <w:rsid w:val="00B30BC1"/>
    <w:rsid w:val="00B30CB4"/>
    <w:rsid w:val="00B30CE9"/>
    <w:rsid w:val="00B30D7F"/>
    <w:rsid w:val="00B30E1C"/>
    <w:rsid w:val="00B30E6A"/>
    <w:rsid w:val="00B30EC2"/>
    <w:rsid w:val="00B30EE6"/>
    <w:rsid w:val="00B31008"/>
    <w:rsid w:val="00B312F7"/>
    <w:rsid w:val="00B313CE"/>
    <w:rsid w:val="00B3156B"/>
    <w:rsid w:val="00B315E6"/>
    <w:rsid w:val="00B31642"/>
    <w:rsid w:val="00B316E0"/>
    <w:rsid w:val="00B317BC"/>
    <w:rsid w:val="00B318AD"/>
    <w:rsid w:val="00B319DE"/>
    <w:rsid w:val="00B319F8"/>
    <w:rsid w:val="00B31A1D"/>
    <w:rsid w:val="00B31B4D"/>
    <w:rsid w:val="00B31B89"/>
    <w:rsid w:val="00B31BF3"/>
    <w:rsid w:val="00B31D5E"/>
    <w:rsid w:val="00B31E07"/>
    <w:rsid w:val="00B31E3C"/>
    <w:rsid w:val="00B32194"/>
    <w:rsid w:val="00B32207"/>
    <w:rsid w:val="00B32476"/>
    <w:rsid w:val="00B3250D"/>
    <w:rsid w:val="00B3255F"/>
    <w:rsid w:val="00B32646"/>
    <w:rsid w:val="00B32701"/>
    <w:rsid w:val="00B327FC"/>
    <w:rsid w:val="00B328EB"/>
    <w:rsid w:val="00B32953"/>
    <w:rsid w:val="00B32CDC"/>
    <w:rsid w:val="00B32D81"/>
    <w:rsid w:val="00B32E1A"/>
    <w:rsid w:val="00B32E44"/>
    <w:rsid w:val="00B3310A"/>
    <w:rsid w:val="00B3328C"/>
    <w:rsid w:val="00B333B9"/>
    <w:rsid w:val="00B33435"/>
    <w:rsid w:val="00B334EA"/>
    <w:rsid w:val="00B33574"/>
    <w:rsid w:val="00B337DF"/>
    <w:rsid w:val="00B33879"/>
    <w:rsid w:val="00B338A7"/>
    <w:rsid w:val="00B339EC"/>
    <w:rsid w:val="00B33A1A"/>
    <w:rsid w:val="00B33B56"/>
    <w:rsid w:val="00B33C74"/>
    <w:rsid w:val="00B33E0B"/>
    <w:rsid w:val="00B33E39"/>
    <w:rsid w:val="00B33E58"/>
    <w:rsid w:val="00B33F36"/>
    <w:rsid w:val="00B33F63"/>
    <w:rsid w:val="00B341BF"/>
    <w:rsid w:val="00B3427A"/>
    <w:rsid w:val="00B3431D"/>
    <w:rsid w:val="00B3433C"/>
    <w:rsid w:val="00B343ED"/>
    <w:rsid w:val="00B3465C"/>
    <w:rsid w:val="00B34740"/>
    <w:rsid w:val="00B34862"/>
    <w:rsid w:val="00B34872"/>
    <w:rsid w:val="00B34925"/>
    <w:rsid w:val="00B34969"/>
    <w:rsid w:val="00B349FF"/>
    <w:rsid w:val="00B34BAA"/>
    <w:rsid w:val="00B34D12"/>
    <w:rsid w:val="00B34D2C"/>
    <w:rsid w:val="00B34DBC"/>
    <w:rsid w:val="00B34EB2"/>
    <w:rsid w:val="00B34ED0"/>
    <w:rsid w:val="00B3505C"/>
    <w:rsid w:val="00B350B4"/>
    <w:rsid w:val="00B3513C"/>
    <w:rsid w:val="00B3516C"/>
    <w:rsid w:val="00B35263"/>
    <w:rsid w:val="00B352C3"/>
    <w:rsid w:val="00B352DF"/>
    <w:rsid w:val="00B353FB"/>
    <w:rsid w:val="00B35433"/>
    <w:rsid w:val="00B354C6"/>
    <w:rsid w:val="00B354DB"/>
    <w:rsid w:val="00B355E1"/>
    <w:rsid w:val="00B35654"/>
    <w:rsid w:val="00B356AB"/>
    <w:rsid w:val="00B3572D"/>
    <w:rsid w:val="00B357D5"/>
    <w:rsid w:val="00B359AE"/>
    <w:rsid w:val="00B35B83"/>
    <w:rsid w:val="00B35CAD"/>
    <w:rsid w:val="00B35CCA"/>
    <w:rsid w:val="00B35DCB"/>
    <w:rsid w:val="00B35E0B"/>
    <w:rsid w:val="00B35FF1"/>
    <w:rsid w:val="00B360FD"/>
    <w:rsid w:val="00B365D1"/>
    <w:rsid w:val="00B366A2"/>
    <w:rsid w:val="00B366C4"/>
    <w:rsid w:val="00B367ED"/>
    <w:rsid w:val="00B36850"/>
    <w:rsid w:val="00B368B3"/>
    <w:rsid w:val="00B369CF"/>
    <w:rsid w:val="00B36A90"/>
    <w:rsid w:val="00B36B9D"/>
    <w:rsid w:val="00B36BE1"/>
    <w:rsid w:val="00B36C43"/>
    <w:rsid w:val="00B36CA8"/>
    <w:rsid w:val="00B36CE3"/>
    <w:rsid w:val="00B36DA8"/>
    <w:rsid w:val="00B36E79"/>
    <w:rsid w:val="00B36EC9"/>
    <w:rsid w:val="00B36F90"/>
    <w:rsid w:val="00B37177"/>
    <w:rsid w:val="00B371D2"/>
    <w:rsid w:val="00B371D5"/>
    <w:rsid w:val="00B37388"/>
    <w:rsid w:val="00B3745D"/>
    <w:rsid w:val="00B37623"/>
    <w:rsid w:val="00B37689"/>
    <w:rsid w:val="00B3776B"/>
    <w:rsid w:val="00B377B1"/>
    <w:rsid w:val="00B3781E"/>
    <w:rsid w:val="00B378FD"/>
    <w:rsid w:val="00B37A9E"/>
    <w:rsid w:val="00B37AB6"/>
    <w:rsid w:val="00B37B52"/>
    <w:rsid w:val="00B37EC5"/>
    <w:rsid w:val="00B37F22"/>
    <w:rsid w:val="00B37F71"/>
    <w:rsid w:val="00B40080"/>
    <w:rsid w:val="00B401EB"/>
    <w:rsid w:val="00B40203"/>
    <w:rsid w:val="00B403A0"/>
    <w:rsid w:val="00B405AA"/>
    <w:rsid w:val="00B405E9"/>
    <w:rsid w:val="00B40608"/>
    <w:rsid w:val="00B4069E"/>
    <w:rsid w:val="00B406E4"/>
    <w:rsid w:val="00B40A7C"/>
    <w:rsid w:val="00B40B38"/>
    <w:rsid w:val="00B40C6C"/>
    <w:rsid w:val="00B40E50"/>
    <w:rsid w:val="00B40F8C"/>
    <w:rsid w:val="00B40F8F"/>
    <w:rsid w:val="00B40FC5"/>
    <w:rsid w:val="00B41028"/>
    <w:rsid w:val="00B411FD"/>
    <w:rsid w:val="00B412BA"/>
    <w:rsid w:val="00B413F9"/>
    <w:rsid w:val="00B41427"/>
    <w:rsid w:val="00B4146B"/>
    <w:rsid w:val="00B415F8"/>
    <w:rsid w:val="00B416E8"/>
    <w:rsid w:val="00B41861"/>
    <w:rsid w:val="00B41982"/>
    <w:rsid w:val="00B419CE"/>
    <w:rsid w:val="00B41A27"/>
    <w:rsid w:val="00B41A7E"/>
    <w:rsid w:val="00B41C12"/>
    <w:rsid w:val="00B41C60"/>
    <w:rsid w:val="00B41CFC"/>
    <w:rsid w:val="00B41D7E"/>
    <w:rsid w:val="00B41E73"/>
    <w:rsid w:val="00B42009"/>
    <w:rsid w:val="00B420F3"/>
    <w:rsid w:val="00B421BA"/>
    <w:rsid w:val="00B422DF"/>
    <w:rsid w:val="00B42425"/>
    <w:rsid w:val="00B4245C"/>
    <w:rsid w:val="00B42518"/>
    <w:rsid w:val="00B425DF"/>
    <w:rsid w:val="00B42629"/>
    <w:rsid w:val="00B42652"/>
    <w:rsid w:val="00B4270D"/>
    <w:rsid w:val="00B4279F"/>
    <w:rsid w:val="00B427E1"/>
    <w:rsid w:val="00B4284C"/>
    <w:rsid w:val="00B428C7"/>
    <w:rsid w:val="00B429D8"/>
    <w:rsid w:val="00B429FE"/>
    <w:rsid w:val="00B42AD1"/>
    <w:rsid w:val="00B42B3D"/>
    <w:rsid w:val="00B42B6E"/>
    <w:rsid w:val="00B42D37"/>
    <w:rsid w:val="00B42DCB"/>
    <w:rsid w:val="00B42E37"/>
    <w:rsid w:val="00B42EA4"/>
    <w:rsid w:val="00B42F10"/>
    <w:rsid w:val="00B43090"/>
    <w:rsid w:val="00B43276"/>
    <w:rsid w:val="00B432BF"/>
    <w:rsid w:val="00B4330C"/>
    <w:rsid w:val="00B433CC"/>
    <w:rsid w:val="00B433F1"/>
    <w:rsid w:val="00B435E6"/>
    <w:rsid w:val="00B435FC"/>
    <w:rsid w:val="00B436FE"/>
    <w:rsid w:val="00B43711"/>
    <w:rsid w:val="00B4385F"/>
    <w:rsid w:val="00B4390A"/>
    <w:rsid w:val="00B43971"/>
    <w:rsid w:val="00B4398B"/>
    <w:rsid w:val="00B43B7D"/>
    <w:rsid w:val="00B43B9E"/>
    <w:rsid w:val="00B43C3B"/>
    <w:rsid w:val="00B43C8F"/>
    <w:rsid w:val="00B43C93"/>
    <w:rsid w:val="00B43CF1"/>
    <w:rsid w:val="00B43D38"/>
    <w:rsid w:val="00B43D69"/>
    <w:rsid w:val="00B43E1C"/>
    <w:rsid w:val="00B43E30"/>
    <w:rsid w:val="00B43F90"/>
    <w:rsid w:val="00B440C8"/>
    <w:rsid w:val="00B4411D"/>
    <w:rsid w:val="00B4432D"/>
    <w:rsid w:val="00B44363"/>
    <w:rsid w:val="00B443FF"/>
    <w:rsid w:val="00B44537"/>
    <w:rsid w:val="00B4478A"/>
    <w:rsid w:val="00B448A4"/>
    <w:rsid w:val="00B4496A"/>
    <w:rsid w:val="00B449C6"/>
    <w:rsid w:val="00B449F0"/>
    <w:rsid w:val="00B44A32"/>
    <w:rsid w:val="00B44A5C"/>
    <w:rsid w:val="00B44B99"/>
    <w:rsid w:val="00B44CCE"/>
    <w:rsid w:val="00B44D46"/>
    <w:rsid w:val="00B44DA4"/>
    <w:rsid w:val="00B44E83"/>
    <w:rsid w:val="00B450DA"/>
    <w:rsid w:val="00B451F4"/>
    <w:rsid w:val="00B45206"/>
    <w:rsid w:val="00B455E2"/>
    <w:rsid w:val="00B45609"/>
    <w:rsid w:val="00B45718"/>
    <w:rsid w:val="00B457C5"/>
    <w:rsid w:val="00B457F0"/>
    <w:rsid w:val="00B458DA"/>
    <w:rsid w:val="00B459A8"/>
    <w:rsid w:val="00B459BD"/>
    <w:rsid w:val="00B459D9"/>
    <w:rsid w:val="00B45A5E"/>
    <w:rsid w:val="00B45C71"/>
    <w:rsid w:val="00B45D18"/>
    <w:rsid w:val="00B45D3C"/>
    <w:rsid w:val="00B460E7"/>
    <w:rsid w:val="00B46194"/>
    <w:rsid w:val="00B461CA"/>
    <w:rsid w:val="00B463E0"/>
    <w:rsid w:val="00B463F9"/>
    <w:rsid w:val="00B46468"/>
    <w:rsid w:val="00B4653D"/>
    <w:rsid w:val="00B46614"/>
    <w:rsid w:val="00B46723"/>
    <w:rsid w:val="00B46851"/>
    <w:rsid w:val="00B46915"/>
    <w:rsid w:val="00B46BE6"/>
    <w:rsid w:val="00B46BF7"/>
    <w:rsid w:val="00B46BFA"/>
    <w:rsid w:val="00B46C66"/>
    <w:rsid w:val="00B46CB5"/>
    <w:rsid w:val="00B46D42"/>
    <w:rsid w:val="00B46D63"/>
    <w:rsid w:val="00B46E18"/>
    <w:rsid w:val="00B46E37"/>
    <w:rsid w:val="00B46E39"/>
    <w:rsid w:val="00B46E6A"/>
    <w:rsid w:val="00B46E70"/>
    <w:rsid w:val="00B4701F"/>
    <w:rsid w:val="00B4709D"/>
    <w:rsid w:val="00B47156"/>
    <w:rsid w:val="00B472AD"/>
    <w:rsid w:val="00B47378"/>
    <w:rsid w:val="00B473CA"/>
    <w:rsid w:val="00B47402"/>
    <w:rsid w:val="00B4762A"/>
    <w:rsid w:val="00B47747"/>
    <w:rsid w:val="00B47948"/>
    <w:rsid w:val="00B47A06"/>
    <w:rsid w:val="00B47A28"/>
    <w:rsid w:val="00B47B23"/>
    <w:rsid w:val="00B47C26"/>
    <w:rsid w:val="00B47D63"/>
    <w:rsid w:val="00B47E16"/>
    <w:rsid w:val="00B47E2B"/>
    <w:rsid w:val="00B47FAB"/>
    <w:rsid w:val="00B5008E"/>
    <w:rsid w:val="00B5019C"/>
    <w:rsid w:val="00B501F6"/>
    <w:rsid w:val="00B50411"/>
    <w:rsid w:val="00B5048C"/>
    <w:rsid w:val="00B505E3"/>
    <w:rsid w:val="00B50773"/>
    <w:rsid w:val="00B5080C"/>
    <w:rsid w:val="00B508F0"/>
    <w:rsid w:val="00B50917"/>
    <w:rsid w:val="00B50A34"/>
    <w:rsid w:val="00B50BA2"/>
    <w:rsid w:val="00B50CAE"/>
    <w:rsid w:val="00B50CF6"/>
    <w:rsid w:val="00B50D57"/>
    <w:rsid w:val="00B50E04"/>
    <w:rsid w:val="00B50E74"/>
    <w:rsid w:val="00B50E7B"/>
    <w:rsid w:val="00B50EBB"/>
    <w:rsid w:val="00B5103B"/>
    <w:rsid w:val="00B510EB"/>
    <w:rsid w:val="00B5112D"/>
    <w:rsid w:val="00B511C4"/>
    <w:rsid w:val="00B512F0"/>
    <w:rsid w:val="00B513D1"/>
    <w:rsid w:val="00B513E0"/>
    <w:rsid w:val="00B5146D"/>
    <w:rsid w:val="00B514BB"/>
    <w:rsid w:val="00B514CD"/>
    <w:rsid w:val="00B5156B"/>
    <w:rsid w:val="00B515A9"/>
    <w:rsid w:val="00B5184A"/>
    <w:rsid w:val="00B51A93"/>
    <w:rsid w:val="00B51B93"/>
    <w:rsid w:val="00B51C48"/>
    <w:rsid w:val="00B51DF4"/>
    <w:rsid w:val="00B51DF8"/>
    <w:rsid w:val="00B51E20"/>
    <w:rsid w:val="00B51E77"/>
    <w:rsid w:val="00B52050"/>
    <w:rsid w:val="00B520FF"/>
    <w:rsid w:val="00B52137"/>
    <w:rsid w:val="00B521D8"/>
    <w:rsid w:val="00B521D9"/>
    <w:rsid w:val="00B521FB"/>
    <w:rsid w:val="00B52499"/>
    <w:rsid w:val="00B524DC"/>
    <w:rsid w:val="00B526E6"/>
    <w:rsid w:val="00B528AB"/>
    <w:rsid w:val="00B5290A"/>
    <w:rsid w:val="00B5294B"/>
    <w:rsid w:val="00B52968"/>
    <w:rsid w:val="00B529E9"/>
    <w:rsid w:val="00B52A80"/>
    <w:rsid w:val="00B52AA7"/>
    <w:rsid w:val="00B52B5C"/>
    <w:rsid w:val="00B52BE4"/>
    <w:rsid w:val="00B52BF2"/>
    <w:rsid w:val="00B52C53"/>
    <w:rsid w:val="00B52FBA"/>
    <w:rsid w:val="00B53057"/>
    <w:rsid w:val="00B5310D"/>
    <w:rsid w:val="00B53132"/>
    <w:rsid w:val="00B533A9"/>
    <w:rsid w:val="00B533D4"/>
    <w:rsid w:val="00B53559"/>
    <w:rsid w:val="00B535AE"/>
    <w:rsid w:val="00B535C4"/>
    <w:rsid w:val="00B535FB"/>
    <w:rsid w:val="00B53621"/>
    <w:rsid w:val="00B53883"/>
    <w:rsid w:val="00B538A3"/>
    <w:rsid w:val="00B53A53"/>
    <w:rsid w:val="00B53A99"/>
    <w:rsid w:val="00B53C22"/>
    <w:rsid w:val="00B53C44"/>
    <w:rsid w:val="00B53DD0"/>
    <w:rsid w:val="00B53DEA"/>
    <w:rsid w:val="00B53E6E"/>
    <w:rsid w:val="00B53F50"/>
    <w:rsid w:val="00B54073"/>
    <w:rsid w:val="00B540E6"/>
    <w:rsid w:val="00B54184"/>
    <w:rsid w:val="00B54230"/>
    <w:rsid w:val="00B543CC"/>
    <w:rsid w:val="00B5446C"/>
    <w:rsid w:val="00B546BE"/>
    <w:rsid w:val="00B546ED"/>
    <w:rsid w:val="00B547BA"/>
    <w:rsid w:val="00B54889"/>
    <w:rsid w:val="00B54A3C"/>
    <w:rsid w:val="00B54A75"/>
    <w:rsid w:val="00B54B75"/>
    <w:rsid w:val="00B54BAA"/>
    <w:rsid w:val="00B54C33"/>
    <w:rsid w:val="00B54CD3"/>
    <w:rsid w:val="00B54D4A"/>
    <w:rsid w:val="00B54D93"/>
    <w:rsid w:val="00B54DFB"/>
    <w:rsid w:val="00B54E1D"/>
    <w:rsid w:val="00B54E62"/>
    <w:rsid w:val="00B54F03"/>
    <w:rsid w:val="00B55091"/>
    <w:rsid w:val="00B551CE"/>
    <w:rsid w:val="00B5527A"/>
    <w:rsid w:val="00B55353"/>
    <w:rsid w:val="00B554BD"/>
    <w:rsid w:val="00B554E4"/>
    <w:rsid w:val="00B55574"/>
    <w:rsid w:val="00B555CE"/>
    <w:rsid w:val="00B557A1"/>
    <w:rsid w:val="00B55A3F"/>
    <w:rsid w:val="00B55A70"/>
    <w:rsid w:val="00B55BD1"/>
    <w:rsid w:val="00B55C33"/>
    <w:rsid w:val="00B55DAB"/>
    <w:rsid w:val="00B55E3E"/>
    <w:rsid w:val="00B55E40"/>
    <w:rsid w:val="00B55E9E"/>
    <w:rsid w:val="00B55FC6"/>
    <w:rsid w:val="00B5604A"/>
    <w:rsid w:val="00B56064"/>
    <w:rsid w:val="00B56084"/>
    <w:rsid w:val="00B560F3"/>
    <w:rsid w:val="00B5612A"/>
    <w:rsid w:val="00B56353"/>
    <w:rsid w:val="00B563DA"/>
    <w:rsid w:val="00B56424"/>
    <w:rsid w:val="00B56506"/>
    <w:rsid w:val="00B5657D"/>
    <w:rsid w:val="00B565BD"/>
    <w:rsid w:val="00B565F3"/>
    <w:rsid w:val="00B56655"/>
    <w:rsid w:val="00B566DB"/>
    <w:rsid w:val="00B56723"/>
    <w:rsid w:val="00B5682B"/>
    <w:rsid w:val="00B568F6"/>
    <w:rsid w:val="00B56932"/>
    <w:rsid w:val="00B56967"/>
    <w:rsid w:val="00B56A0E"/>
    <w:rsid w:val="00B56A33"/>
    <w:rsid w:val="00B56BA8"/>
    <w:rsid w:val="00B56C05"/>
    <w:rsid w:val="00B56D7B"/>
    <w:rsid w:val="00B56EA0"/>
    <w:rsid w:val="00B57035"/>
    <w:rsid w:val="00B57190"/>
    <w:rsid w:val="00B5728D"/>
    <w:rsid w:val="00B573B1"/>
    <w:rsid w:val="00B57513"/>
    <w:rsid w:val="00B577C6"/>
    <w:rsid w:val="00B57941"/>
    <w:rsid w:val="00B579DC"/>
    <w:rsid w:val="00B57A04"/>
    <w:rsid w:val="00B57BBE"/>
    <w:rsid w:val="00B57C2B"/>
    <w:rsid w:val="00B57C81"/>
    <w:rsid w:val="00B57CBD"/>
    <w:rsid w:val="00B57D13"/>
    <w:rsid w:val="00B57D21"/>
    <w:rsid w:val="00B57E02"/>
    <w:rsid w:val="00B57F98"/>
    <w:rsid w:val="00B57FAB"/>
    <w:rsid w:val="00B60117"/>
    <w:rsid w:val="00B60245"/>
    <w:rsid w:val="00B6025A"/>
    <w:rsid w:val="00B60314"/>
    <w:rsid w:val="00B604AD"/>
    <w:rsid w:val="00B60687"/>
    <w:rsid w:val="00B60740"/>
    <w:rsid w:val="00B60862"/>
    <w:rsid w:val="00B609A3"/>
    <w:rsid w:val="00B60BC1"/>
    <w:rsid w:val="00B60BCD"/>
    <w:rsid w:val="00B60C2D"/>
    <w:rsid w:val="00B60CB4"/>
    <w:rsid w:val="00B610C9"/>
    <w:rsid w:val="00B610F8"/>
    <w:rsid w:val="00B6116B"/>
    <w:rsid w:val="00B61184"/>
    <w:rsid w:val="00B611C3"/>
    <w:rsid w:val="00B611D3"/>
    <w:rsid w:val="00B61205"/>
    <w:rsid w:val="00B612AC"/>
    <w:rsid w:val="00B61368"/>
    <w:rsid w:val="00B6148B"/>
    <w:rsid w:val="00B616CB"/>
    <w:rsid w:val="00B616D8"/>
    <w:rsid w:val="00B6180A"/>
    <w:rsid w:val="00B61962"/>
    <w:rsid w:val="00B619B5"/>
    <w:rsid w:val="00B61A98"/>
    <w:rsid w:val="00B61B29"/>
    <w:rsid w:val="00B61B2A"/>
    <w:rsid w:val="00B61DEC"/>
    <w:rsid w:val="00B61E15"/>
    <w:rsid w:val="00B61F21"/>
    <w:rsid w:val="00B61F46"/>
    <w:rsid w:val="00B61F76"/>
    <w:rsid w:val="00B61F7B"/>
    <w:rsid w:val="00B61FEA"/>
    <w:rsid w:val="00B6200E"/>
    <w:rsid w:val="00B620C6"/>
    <w:rsid w:val="00B620EF"/>
    <w:rsid w:val="00B62388"/>
    <w:rsid w:val="00B62409"/>
    <w:rsid w:val="00B624A4"/>
    <w:rsid w:val="00B6251A"/>
    <w:rsid w:val="00B62785"/>
    <w:rsid w:val="00B627C2"/>
    <w:rsid w:val="00B627C6"/>
    <w:rsid w:val="00B62820"/>
    <w:rsid w:val="00B629E5"/>
    <w:rsid w:val="00B62B0D"/>
    <w:rsid w:val="00B62B16"/>
    <w:rsid w:val="00B62B39"/>
    <w:rsid w:val="00B62B47"/>
    <w:rsid w:val="00B62EE7"/>
    <w:rsid w:val="00B62F15"/>
    <w:rsid w:val="00B62F6E"/>
    <w:rsid w:val="00B62FAB"/>
    <w:rsid w:val="00B63041"/>
    <w:rsid w:val="00B6304B"/>
    <w:rsid w:val="00B631E8"/>
    <w:rsid w:val="00B632AC"/>
    <w:rsid w:val="00B632DF"/>
    <w:rsid w:val="00B63348"/>
    <w:rsid w:val="00B633B4"/>
    <w:rsid w:val="00B633EA"/>
    <w:rsid w:val="00B634A9"/>
    <w:rsid w:val="00B6380F"/>
    <w:rsid w:val="00B63839"/>
    <w:rsid w:val="00B638AE"/>
    <w:rsid w:val="00B63F67"/>
    <w:rsid w:val="00B64012"/>
    <w:rsid w:val="00B64207"/>
    <w:rsid w:val="00B642EF"/>
    <w:rsid w:val="00B64303"/>
    <w:rsid w:val="00B643F0"/>
    <w:rsid w:val="00B6442A"/>
    <w:rsid w:val="00B6445E"/>
    <w:rsid w:val="00B6467F"/>
    <w:rsid w:val="00B64727"/>
    <w:rsid w:val="00B64781"/>
    <w:rsid w:val="00B6481D"/>
    <w:rsid w:val="00B6492B"/>
    <w:rsid w:val="00B6498B"/>
    <w:rsid w:val="00B64A03"/>
    <w:rsid w:val="00B64BD8"/>
    <w:rsid w:val="00B64C80"/>
    <w:rsid w:val="00B64C87"/>
    <w:rsid w:val="00B64DE0"/>
    <w:rsid w:val="00B64E40"/>
    <w:rsid w:val="00B64EDD"/>
    <w:rsid w:val="00B64EDE"/>
    <w:rsid w:val="00B64F23"/>
    <w:rsid w:val="00B64FAA"/>
    <w:rsid w:val="00B64FED"/>
    <w:rsid w:val="00B6505F"/>
    <w:rsid w:val="00B651EB"/>
    <w:rsid w:val="00B65408"/>
    <w:rsid w:val="00B65461"/>
    <w:rsid w:val="00B654AE"/>
    <w:rsid w:val="00B6565F"/>
    <w:rsid w:val="00B6578F"/>
    <w:rsid w:val="00B65842"/>
    <w:rsid w:val="00B65971"/>
    <w:rsid w:val="00B659BB"/>
    <w:rsid w:val="00B659BE"/>
    <w:rsid w:val="00B65A3D"/>
    <w:rsid w:val="00B65AD3"/>
    <w:rsid w:val="00B65AE9"/>
    <w:rsid w:val="00B65B4B"/>
    <w:rsid w:val="00B65B6B"/>
    <w:rsid w:val="00B65C94"/>
    <w:rsid w:val="00B65CCC"/>
    <w:rsid w:val="00B65CCF"/>
    <w:rsid w:val="00B65E8C"/>
    <w:rsid w:val="00B65EAC"/>
    <w:rsid w:val="00B65FB1"/>
    <w:rsid w:val="00B65FCD"/>
    <w:rsid w:val="00B66031"/>
    <w:rsid w:val="00B660BB"/>
    <w:rsid w:val="00B662C4"/>
    <w:rsid w:val="00B664F6"/>
    <w:rsid w:val="00B665D3"/>
    <w:rsid w:val="00B66732"/>
    <w:rsid w:val="00B667D7"/>
    <w:rsid w:val="00B66862"/>
    <w:rsid w:val="00B668F3"/>
    <w:rsid w:val="00B6690C"/>
    <w:rsid w:val="00B66997"/>
    <w:rsid w:val="00B66C28"/>
    <w:rsid w:val="00B66CCF"/>
    <w:rsid w:val="00B6706B"/>
    <w:rsid w:val="00B670C6"/>
    <w:rsid w:val="00B671B9"/>
    <w:rsid w:val="00B671EC"/>
    <w:rsid w:val="00B67273"/>
    <w:rsid w:val="00B672ED"/>
    <w:rsid w:val="00B673E9"/>
    <w:rsid w:val="00B674E4"/>
    <w:rsid w:val="00B67560"/>
    <w:rsid w:val="00B6768F"/>
    <w:rsid w:val="00B676D8"/>
    <w:rsid w:val="00B67745"/>
    <w:rsid w:val="00B677ED"/>
    <w:rsid w:val="00B6799C"/>
    <w:rsid w:val="00B679BD"/>
    <w:rsid w:val="00B67B6C"/>
    <w:rsid w:val="00B67C4B"/>
    <w:rsid w:val="00B67CC3"/>
    <w:rsid w:val="00B67DB4"/>
    <w:rsid w:val="00B67E2E"/>
    <w:rsid w:val="00B67E35"/>
    <w:rsid w:val="00B70039"/>
    <w:rsid w:val="00B70066"/>
    <w:rsid w:val="00B701A7"/>
    <w:rsid w:val="00B7023E"/>
    <w:rsid w:val="00B70257"/>
    <w:rsid w:val="00B7026F"/>
    <w:rsid w:val="00B7056C"/>
    <w:rsid w:val="00B70642"/>
    <w:rsid w:val="00B7066C"/>
    <w:rsid w:val="00B707B9"/>
    <w:rsid w:val="00B7088C"/>
    <w:rsid w:val="00B7092B"/>
    <w:rsid w:val="00B70933"/>
    <w:rsid w:val="00B7093D"/>
    <w:rsid w:val="00B70A3B"/>
    <w:rsid w:val="00B70B07"/>
    <w:rsid w:val="00B70BCE"/>
    <w:rsid w:val="00B70C29"/>
    <w:rsid w:val="00B70C96"/>
    <w:rsid w:val="00B70E43"/>
    <w:rsid w:val="00B70EDA"/>
    <w:rsid w:val="00B7104F"/>
    <w:rsid w:val="00B71053"/>
    <w:rsid w:val="00B710BE"/>
    <w:rsid w:val="00B7112B"/>
    <w:rsid w:val="00B71192"/>
    <w:rsid w:val="00B711B1"/>
    <w:rsid w:val="00B71237"/>
    <w:rsid w:val="00B712B5"/>
    <w:rsid w:val="00B712ED"/>
    <w:rsid w:val="00B7142D"/>
    <w:rsid w:val="00B7150C"/>
    <w:rsid w:val="00B71752"/>
    <w:rsid w:val="00B7175C"/>
    <w:rsid w:val="00B718EB"/>
    <w:rsid w:val="00B71957"/>
    <w:rsid w:val="00B71A7C"/>
    <w:rsid w:val="00B71C5A"/>
    <w:rsid w:val="00B71F17"/>
    <w:rsid w:val="00B71F4A"/>
    <w:rsid w:val="00B7212E"/>
    <w:rsid w:val="00B72172"/>
    <w:rsid w:val="00B7236B"/>
    <w:rsid w:val="00B72507"/>
    <w:rsid w:val="00B72510"/>
    <w:rsid w:val="00B7260A"/>
    <w:rsid w:val="00B72640"/>
    <w:rsid w:val="00B7299C"/>
    <w:rsid w:val="00B7299E"/>
    <w:rsid w:val="00B729AC"/>
    <w:rsid w:val="00B72A75"/>
    <w:rsid w:val="00B72AC7"/>
    <w:rsid w:val="00B72B2C"/>
    <w:rsid w:val="00B72B48"/>
    <w:rsid w:val="00B72C0A"/>
    <w:rsid w:val="00B72C90"/>
    <w:rsid w:val="00B72D29"/>
    <w:rsid w:val="00B72D31"/>
    <w:rsid w:val="00B72D9B"/>
    <w:rsid w:val="00B72DAC"/>
    <w:rsid w:val="00B72DD0"/>
    <w:rsid w:val="00B72EE8"/>
    <w:rsid w:val="00B7301D"/>
    <w:rsid w:val="00B7304C"/>
    <w:rsid w:val="00B7317A"/>
    <w:rsid w:val="00B732CF"/>
    <w:rsid w:val="00B73325"/>
    <w:rsid w:val="00B735CF"/>
    <w:rsid w:val="00B735FE"/>
    <w:rsid w:val="00B73663"/>
    <w:rsid w:val="00B73708"/>
    <w:rsid w:val="00B7379B"/>
    <w:rsid w:val="00B738C4"/>
    <w:rsid w:val="00B73951"/>
    <w:rsid w:val="00B73A14"/>
    <w:rsid w:val="00B73A77"/>
    <w:rsid w:val="00B73B61"/>
    <w:rsid w:val="00B73B69"/>
    <w:rsid w:val="00B73D53"/>
    <w:rsid w:val="00B73D89"/>
    <w:rsid w:val="00B73DA2"/>
    <w:rsid w:val="00B73E1D"/>
    <w:rsid w:val="00B73E69"/>
    <w:rsid w:val="00B73E7F"/>
    <w:rsid w:val="00B73E9B"/>
    <w:rsid w:val="00B73ED4"/>
    <w:rsid w:val="00B7415A"/>
    <w:rsid w:val="00B74405"/>
    <w:rsid w:val="00B74451"/>
    <w:rsid w:val="00B744DB"/>
    <w:rsid w:val="00B74518"/>
    <w:rsid w:val="00B7452D"/>
    <w:rsid w:val="00B74541"/>
    <w:rsid w:val="00B7459F"/>
    <w:rsid w:val="00B745BB"/>
    <w:rsid w:val="00B747AD"/>
    <w:rsid w:val="00B7484E"/>
    <w:rsid w:val="00B7490A"/>
    <w:rsid w:val="00B74923"/>
    <w:rsid w:val="00B7497F"/>
    <w:rsid w:val="00B749E6"/>
    <w:rsid w:val="00B74A1D"/>
    <w:rsid w:val="00B74A30"/>
    <w:rsid w:val="00B74DE3"/>
    <w:rsid w:val="00B74E5B"/>
    <w:rsid w:val="00B74E8E"/>
    <w:rsid w:val="00B74EAF"/>
    <w:rsid w:val="00B74FB8"/>
    <w:rsid w:val="00B75019"/>
    <w:rsid w:val="00B75497"/>
    <w:rsid w:val="00B754C3"/>
    <w:rsid w:val="00B75530"/>
    <w:rsid w:val="00B755F1"/>
    <w:rsid w:val="00B75603"/>
    <w:rsid w:val="00B75640"/>
    <w:rsid w:val="00B7566B"/>
    <w:rsid w:val="00B7580D"/>
    <w:rsid w:val="00B75894"/>
    <w:rsid w:val="00B7595F"/>
    <w:rsid w:val="00B75979"/>
    <w:rsid w:val="00B75A6F"/>
    <w:rsid w:val="00B75AEE"/>
    <w:rsid w:val="00B75B6A"/>
    <w:rsid w:val="00B75D52"/>
    <w:rsid w:val="00B75DE8"/>
    <w:rsid w:val="00B75DED"/>
    <w:rsid w:val="00B75DFD"/>
    <w:rsid w:val="00B75F85"/>
    <w:rsid w:val="00B75F95"/>
    <w:rsid w:val="00B761FC"/>
    <w:rsid w:val="00B76286"/>
    <w:rsid w:val="00B7634C"/>
    <w:rsid w:val="00B76443"/>
    <w:rsid w:val="00B7647B"/>
    <w:rsid w:val="00B76597"/>
    <w:rsid w:val="00B765C3"/>
    <w:rsid w:val="00B76617"/>
    <w:rsid w:val="00B76A45"/>
    <w:rsid w:val="00B76A64"/>
    <w:rsid w:val="00B76B2F"/>
    <w:rsid w:val="00B76B6B"/>
    <w:rsid w:val="00B76BE5"/>
    <w:rsid w:val="00B76C02"/>
    <w:rsid w:val="00B76C16"/>
    <w:rsid w:val="00B76D08"/>
    <w:rsid w:val="00B76D0C"/>
    <w:rsid w:val="00B76DA9"/>
    <w:rsid w:val="00B76F01"/>
    <w:rsid w:val="00B771C0"/>
    <w:rsid w:val="00B771C8"/>
    <w:rsid w:val="00B771DA"/>
    <w:rsid w:val="00B772A2"/>
    <w:rsid w:val="00B7767D"/>
    <w:rsid w:val="00B77710"/>
    <w:rsid w:val="00B77788"/>
    <w:rsid w:val="00B7792B"/>
    <w:rsid w:val="00B7797E"/>
    <w:rsid w:val="00B77982"/>
    <w:rsid w:val="00B77A0A"/>
    <w:rsid w:val="00B77A0B"/>
    <w:rsid w:val="00B77BB8"/>
    <w:rsid w:val="00B77BC7"/>
    <w:rsid w:val="00B77C4E"/>
    <w:rsid w:val="00B77D2E"/>
    <w:rsid w:val="00B77E01"/>
    <w:rsid w:val="00B800C2"/>
    <w:rsid w:val="00B800F7"/>
    <w:rsid w:val="00B8015A"/>
    <w:rsid w:val="00B802C1"/>
    <w:rsid w:val="00B804D7"/>
    <w:rsid w:val="00B80573"/>
    <w:rsid w:val="00B8092B"/>
    <w:rsid w:val="00B80A2A"/>
    <w:rsid w:val="00B80BBF"/>
    <w:rsid w:val="00B80C95"/>
    <w:rsid w:val="00B80D46"/>
    <w:rsid w:val="00B80E47"/>
    <w:rsid w:val="00B80F04"/>
    <w:rsid w:val="00B80F72"/>
    <w:rsid w:val="00B8107C"/>
    <w:rsid w:val="00B8120D"/>
    <w:rsid w:val="00B81273"/>
    <w:rsid w:val="00B8179D"/>
    <w:rsid w:val="00B817BD"/>
    <w:rsid w:val="00B81849"/>
    <w:rsid w:val="00B819A2"/>
    <w:rsid w:val="00B81AD3"/>
    <w:rsid w:val="00B81D94"/>
    <w:rsid w:val="00B81E3C"/>
    <w:rsid w:val="00B81EEB"/>
    <w:rsid w:val="00B81FB3"/>
    <w:rsid w:val="00B8200B"/>
    <w:rsid w:val="00B82120"/>
    <w:rsid w:val="00B8218C"/>
    <w:rsid w:val="00B821B0"/>
    <w:rsid w:val="00B8224E"/>
    <w:rsid w:val="00B822E6"/>
    <w:rsid w:val="00B8232A"/>
    <w:rsid w:val="00B82330"/>
    <w:rsid w:val="00B82372"/>
    <w:rsid w:val="00B823A4"/>
    <w:rsid w:val="00B8245E"/>
    <w:rsid w:val="00B82469"/>
    <w:rsid w:val="00B82530"/>
    <w:rsid w:val="00B825BC"/>
    <w:rsid w:val="00B82762"/>
    <w:rsid w:val="00B8277D"/>
    <w:rsid w:val="00B82838"/>
    <w:rsid w:val="00B82857"/>
    <w:rsid w:val="00B82891"/>
    <w:rsid w:val="00B8295B"/>
    <w:rsid w:val="00B82BD5"/>
    <w:rsid w:val="00B82C4A"/>
    <w:rsid w:val="00B82C79"/>
    <w:rsid w:val="00B82E34"/>
    <w:rsid w:val="00B82E74"/>
    <w:rsid w:val="00B82F0E"/>
    <w:rsid w:val="00B82F7B"/>
    <w:rsid w:val="00B82F8A"/>
    <w:rsid w:val="00B83025"/>
    <w:rsid w:val="00B830C3"/>
    <w:rsid w:val="00B832B6"/>
    <w:rsid w:val="00B833F2"/>
    <w:rsid w:val="00B83463"/>
    <w:rsid w:val="00B8351D"/>
    <w:rsid w:val="00B8355C"/>
    <w:rsid w:val="00B83586"/>
    <w:rsid w:val="00B83665"/>
    <w:rsid w:val="00B836D2"/>
    <w:rsid w:val="00B83747"/>
    <w:rsid w:val="00B838B6"/>
    <w:rsid w:val="00B8395F"/>
    <w:rsid w:val="00B83B2C"/>
    <w:rsid w:val="00B83B41"/>
    <w:rsid w:val="00B83B45"/>
    <w:rsid w:val="00B83B89"/>
    <w:rsid w:val="00B83BF3"/>
    <w:rsid w:val="00B83C02"/>
    <w:rsid w:val="00B83C11"/>
    <w:rsid w:val="00B83CC4"/>
    <w:rsid w:val="00B83D7C"/>
    <w:rsid w:val="00B83D81"/>
    <w:rsid w:val="00B83E22"/>
    <w:rsid w:val="00B83E9D"/>
    <w:rsid w:val="00B83FE5"/>
    <w:rsid w:val="00B840A1"/>
    <w:rsid w:val="00B84116"/>
    <w:rsid w:val="00B8418B"/>
    <w:rsid w:val="00B84312"/>
    <w:rsid w:val="00B843DC"/>
    <w:rsid w:val="00B845D4"/>
    <w:rsid w:val="00B84612"/>
    <w:rsid w:val="00B84618"/>
    <w:rsid w:val="00B84636"/>
    <w:rsid w:val="00B846AA"/>
    <w:rsid w:val="00B84838"/>
    <w:rsid w:val="00B849A0"/>
    <w:rsid w:val="00B849B9"/>
    <w:rsid w:val="00B84A03"/>
    <w:rsid w:val="00B84AB6"/>
    <w:rsid w:val="00B84BBC"/>
    <w:rsid w:val="00B84C0F"/>
    <w:rsid w:val="00B84D86"/>
    <w:rsid w:val="00B84DC4"/>
    <w:rsid w:val="00B84E0F"/>
    <w:rsid w:val="00B84E2F"/>
    <w:rsid w:val="00B84F01"/>
    <w:rsid w:val="00B85070"/>
    <w:rsid w:val="00B85081"/>
    <w:rsid w:val="00B851B3"/>
    <w:rsid w:val="00B851CE"/>
    <w:rsid w:val="00B852BF"/>
    <w:rsid w:val="00B852CD"/>
    <w:rsid w:val="00B852EE"/>
    <w:rsid w:val="00B85418"/>
    <w:rsid w:val="00B855E7"/>
    <w:rsid w:val="00B855ED"/>
    <w:rsid w:val="00B856A8"/>
    <w:rsid w:val="00B856A9"/>
    <w:rsid w:val="00B8576C"/>
    <w:rsid w:val="00B8588F"/>
    <w:rsid w:val="00B858EA"/>
    <w:rsid w:val="00B859A1"/>
    <w:rsid w:val="00B85A0A"/>
    <w:rsid w:val="00B85BC0"/>
    <w:rsid w:val="00B85BD4"/>
    <w:rsid w:val="00B85C52"/>
    <w:rsid w:val="00B85D50"/>
    <w:rsid w:val="00B85D9E"/>
    <w:rsid w:val="00B85EAE"/>
    <w:rsid w:val="00B85F9B"/>
    <w:rsid w:val="00B86018"/>
    <w:rsid w:val="00B86365"/>
    <w:rsid w:val="00B8647C"/>
    <w:rsid w:val="00B8662A"/>
    <w:rsid w:val="00B8668C"/>
    <w:rsid w:val="00B86806"/>
    <w:rsid w:val="00B86A8C"/>
    <w:rsid w:val="00B86B4F"/>
    <w:rsid w:val="00B86BF1"/>
    <w:rsid w:val="00B86C80"/>
    <w:rsid w:val="00B86DFD"/>
    <w:rsid w:val="00B86E31"/>
    <w:rsid w:val="00B86E5C"/>
    <w:rsid w:val="00B86E5E"/>
    <w:rsid w:val="00B86F63"/>
    <w:rsid w:val="00B86FE3"/>
    <w:rsid w:val="00B87092"/>
    <w:rsid w:val="00B8725F"/>
    <w:rsid w:val="00B873A6"/>
    <w:rsid w:val="00B8744A"/>
    <w:rsid w:val="00B8749C"/>
    <w:rsid w:val="00B874BD"/>
    <w:rsid w:val="00B87508"/>
    <w:rsid w:val="00B875A5"/>
    <w:rsid w:val="00B8770C"/>
    <w:rsid w:val="00B87778"/>
    <w:rsid w:val="00B8794B"/>
    <w:rsid w:val="00B87996"/>
    <w:rsid w:val="00B87999"/>
    <w:rsid w:val="00B87A57"/>
    <w:rsid w:val="00B87AE4"/>
    <w:rsid w:val="00B87B0D"/>
    <w:rsid w:val="00B87CF9"/>
    <w:rsid w:val="00B87E36"/>
    <w:rsid w:val="00B87E39"/>
    <w:rsid w:val="00B87F1D"/>
    <w:rsid w:val="00B87FFD"/>
    <w:rsid w:val="00B90020"/>
    <w:rsid w:val="00B90036"/>
    <w:rsid w:val="00B903D5"/>
    <w:rsid w:val="00B9047D"/>
    <w:rsid w:val="00B9048B"/>
    <w:rsid w:val="00B90563"/>
    <w:rsid w:val="00B90673"/>
    <w:rsid w:val="00B906DA"/>
    <w:rsid w:val="00B9082B"/>
    <w:rsid w:val="00B908D5"/>
    <w:rsid w:val="00B9092F"/>
    <w:rsid w:val="00B90BDA"/>
    <w:rsid w:val="00B90C04"/>
    <w:rsid w:val="00B90C6D"/>
    <w:rsid w:val="00B90D1D"/>
    <w:rsid w:val="00B90DAB"/>
    <w:rsid w:val="00B912FA"/>
    <w:rsid w:val="00B91345"/>
    <w:rsid w:val="00B91382"/>
    <w:rsid w:val="00B9151D"/>
    <w:rsid w:val="00B91793"/>
    <w:rsid w:val="00B9179C"/>
    <w:rsid w:val="00B917CF"/>
    <w:rsid w:val="00B91856"/>
    <w:rsid w:val="00B91890"/>
    <w:rsid w:val="00B91984"/>
    <w:rsid w:val="00B919FC"/>
    <w:rsid w:val="00B91A0D"/>
    <w:rsid w:val="00B91AD4"/>
    <w:rsid w:val="00B91B28"/>
    <w:rsid w:val="00B91B68"/>
    <w:rsid w:val="00B91C49"/>
    <w:rsid w:val="00B91CE5"/>
    <w:rsid w:val="00B91D31"/>
    <w:rsid w:val="00B91E8E"/>
    <w:rsid w:val="00B91EFA"/>
    <w:rsid w:val="00B91FE3"/>
    <w:rsid w:val="00B920D5"/>
    <w:rsid w:val="00B92222"/>
    <w:rsid w:val="00B92400"/>
    <w:rsid w:val="00B9249B"/>
    <w:rsid w:val="00B924B4"/>
    <w:rsid w:val="00B924F8"/>
    <w:rsid w:val="00B92526"/>
    <w:rsid w:val="00B925F9"/>
    <w:rsid w:val="00B92605"/>
    <w:rsid w:val="00B9278E"/>
    <w:rsid w:val="00B9280E"/>
    <w:rsid w:val="00B928D0"/>
    <w:rsid w:val="00B9299D"/>
    <w:rsid w:val="00B92B42"/>
    <w:rsid w:val="00B92B74"/>
    <w:rsid w:val="00B92CA3"/>
    <w:rsid w:val="00B92CFC"/>
    <w:rsid w:val="00B92EBE"/>
    <w:rsid w:val="00B93190"/>
    <w:rsid w:val="00B93226"/>
    <w:rsid w:val="00B93238"/>
    <w:rsid w:val="00B93240"/>
    <w:rsid w:val="00B93290"/>
    <w:rsid w:val="00B932DA"/>
    <w:rsid w:val="00B93316"/>
    <w:rsid w:val="00B933DC"/>
    <w:rsid w:val="00B93456"/>
    <w:rsid w:val="00B934A9"/>
    <w:rsid w:val="00B93504"/>
    <w:rsid w:val="00B9351E"/>
    <w:rsid w:val="00B9366E"/>
    <w:rsid w:val="00B937A1"/>
    <w:rsid w:val="00B9380F"/>
    <w:rsid w:val="00B938A5"/>
    <w:rsid w:val="00B938BE"/>
    <w:rsid w:val="00B938C8"/>
    <w:rsid w:val="00B938F8"/>
    <w:rsid w:val="00B93926"/>
    <w:rsid w:val="00B93A8F"/>
    <w:rsid w:val="00B93AF9"/>
    <w:rsid w:val="00B93B1E"/>
    <w:rsid w:val="00B93B91"/>
    <w:rsid w:val="00B93BE8"/>
    <w:rsid w:val="00B93C09"/>
    <w:rsid w:val="00B93DB6"/>
    <w:rsid w:val="00B93E3A"/>
    <w:rsid w:val="00B93E66"/>
    <w:rsid w:val="00B94080"/>
    <w:rsid w:val="00B942BA"/>
    <w:rsid w:val="00B942CE"/>
    <w:rsid w:val="00B9448E"/>
    <w:rsid w:val="00B945F3"/>
    <w:rsid w:val="00B9463F"/>
    <w:rsid w:val="00B948AA"/>
    <w:rsid w:val="00B94A01"/>
    <w:rsid w:val="00B94C87"/>
    <w:rsid w:val="00B94CC6"/>
    <w:rsid w:val="00B94CE1"/>
    <w:rsid w:val="00B94D13"/>
    <w:rsid w:val="00B94D72"/>
    <w:rsid w:val="00B94D97"/>
    <w:rsid w:val="00B94DF3"/>
    <w:rsid w:val="00B94E5E"/>
    <w:rsid w:val="00B94F6E"/>
    <w:rsid w:val="00B950A6"/>
    <w:rsid w:val="00B950CA"/>
    <w:rsid w:val="00B95221"/>
    <w:rsid w:val="00B952AB"/>
    <w:rsid w:val="00B954A0"/>
    <w:rsid w:val="00B954E7"/>
    <w:rsid w:val="00B9552A"/>
    <w:rsid w:val="00B955B5"/>
    <w:rsid w:val="00B95829"/>
    <w:rsid w:val="00B958BF"/>
    <w:rsid w:val="00B95916"/>
    <w:rsid w:val="00B95974"/>
    <w:rsid w:val="00B959C1"/>
    <w:rsid w:val="00B95ACE"/>
    <w:rsid w:val="00B95AE3"/>
    <w:rsid w:val="00B95B08"/>
    <w:rsid w:val="00B95B50"/>
    <w:rsid w:val="00B95CF6"/>
    <w:rsid w:val="00B95D44"/>
    <w:rsid w:val="00B95D7E"/>
    <w:rsid w:val="00B95F8C"/>
    <w:rsid w:val="00B9600B"/>
    <w:rsid w:val="00B9609A"/>
    <w:rsid w:val="00B96190"/>
    <w:rsid w:val="00B9628B"/>
    <w:rsid w:val="00B962EA"/>
    <w:rsid w:val="00B96489"/>
    <w:rsid w:val="00B96792"/>
    <w:rsid w:val="00B96ACD"/>
    <w:rsid w:val="00B96B13"/>
    <w:rsid w:val="00B96B4F"/>
    <w:rsid w:val="00B96BB8"/>
    <w:rsid w:val="00B96BD9"/>
    <w:rsid w:val="00B96CAC"/>
    <w:rsid w:val="00B96FB8"/>
    <w:rsid w:val="00B96FE2"/>
    <w:rsid w:val="00B970D1"/>
    <w:rsid w:val="00B970F3"/>
    <w:rsid w:val="00B971ED"/>
    <w:rsid w:val="00B972D5"/>
    <w:rsid w:val="00B972DF"/>
    <w:rsid w:val="00B9730F"/>
    <w:rsid w:val="00B97476"/>
    <w:rsid w:val="00B97590"/>
    <w:rsid w:val="00B97604"/>
    <w:rsid w:val="00B976E4"/>
    <w:rsid w:val="00B97978"/>
    <w:rsid w:val="00B97A4E"/>
    <w:rsid w:val="00B97AD6"/>
    <w:rsid w:val="00B97BF5"/>
    <w:rsid w:val="00B97C0A"/>
    <w:rsid w:val="00B97C9A"/>
    <w:rsid w:val="00B97E92"/>
    <w:rsid w:val="00B97F97"/>
    <w:rsid w:val="00BA0177"/>
    <w:rsid w:val="00BA0205"/>
    <w:rsid w:val="00BA038D"/>
    <w:rsid w:val="00BA06A0"/>
    <w:rsid w:val="00BA0745"/>
    <w:rsid w:val="00BA077F"/>
    <w:rsid w:val="00BA07A2"/>
    <w:rsid w:val="00BA0969"/>
    <w:rsid w:val="00BA099A"/>
    <w:rsid w:val="00BA0B02"/>
    <w:rsid w:val="00BA0B37"/>
    <w:rsid w:val="00BA0B61"/>
    <w:rsid w:val="00BA0BA9"/>
    <w:rsid w:val="00BA0BC3"/>
    <w:rsid w:val="00BA0BCB"/>
    <w:rsid w:val="00BA0CBD"/>
    <w:rsid w:val="00BA0CC4"/>
    <w:rsid w:val="00BA0F36"/>
    <w:rsid w:val="00BA0FA8"/>
    <w:rsid w:val="00BA10F3"/>
    <w:rsid w:val="00BA1162"/>
    <w:rsid w:val="00BA1173"/>
    <w:rsid w:val="00BA12BA"/>
    <w:rsid w:val="00BA14ED"/>
    <w:rsid w:val="00BA157C"/>
    <w:rsid w:val="00BA17C6"/>
    <w:rsid w:val="00BA188D"/>
    <w:rsid w:val="00BA199E"/>
    <w:rsid w:val="00BA1A75"/>
    <w:rsid w:val="00BA1B69"/>
    <w:rsid w:val="00BA1BF9"/>
    <w:rsid w:val="00BA1CFA"/>
    <w:rsid w:val="00BA1D29"/>
    <w:rsid w:val="00BA1E9D"/>
    <w:rsid w:val="00BA1EBD"/>
    <w:rsid w:val="00BA1F19"/>
    <w:rsid w:val="00BA2077"/>
    <w:rsid w:val="00BA20D7"/>
    <w:rsid w:val="00BA2189"/>
    <w:rsid w:val="00BA21DB"/>
    <w:rsid w:val="00BA2202"/>
    <w:rsid w:val="00BA229A"/>
    <w:rsid w:val="00BA2312"/>
    <w:rsid w:val="00BA235E"/>
    <w:rsid w:val="00BA24B9"/>
    <w:rsid w:val="00BA24C0"/>
    <w:rsid w:val="00BA2611"/>
    <w:rsid w:val="00BA2708"/>
    <w:rsid w:val="00BA28E0"/>
    <w:rsid w:val="00BA2935"/>
    <w:rsid w:val="00BA2B63"/>
    <w:rsid w:val="00BA2CA5"/>
    <w:rsid w:val="00BA2D87"/>
    <w:rsid w:val="00BA2E0C"/>
    <w:rsid w:val="00BA2EE7"/>
    <w:rsid w:val="00BA2F01"/>
    <w:rsid w:val="00BA3029"/>
    <w:rsid w:val="00BA3064"/>
    <w:rsid w:val="00BA307A"/>
    <w:rsid w:val="00BA32BC"/>
    <w:rsid w:val="00BA3378"/>
    <w:rsid w:val="00BA33BA"/>
    <w:rsid w:val="00BA362D"/>
    <w:rsid w:val="00BA36EC"/>
    <w:rsid w:val="00BA37DF"/>
    <w:rsid w:val="00BA37F7"/>
    <w:rsid w:val="00BA380D"/>
    <w:rsid w:val="00BA388B"/>
    <w:rsid w:val="00BA38D6"/>
    <w:rsid w:val="00BA39BB"/>
    <w:rsid w:val="00BA3B3E"/>
    <w:rsid w:val="00BA3CE1"/>
    <w:rsid w:val="00BA3D0C"/>
    <w:rsid w:val="00BA3D2B"/>
    <w:rsid w:val="00BA3D2F"/>
    <w:rsid w:val="00BA3DB6"/>
    <w:rsid w:val="00BA3EC3"/>
    <w:rsid w:val="00BA408C"/>
    <w:rsid w:val="00BA41FD"/>
    <w:rsid w:val="00BA4484"/>
    <w:rsid w:val="00BA4548"/>
    <w:rsid w:val="00BA45A5"/>
    <w:rsid w:val="00BA4703"/>
    <w:rsid w:val="00BA49DA"/>
    <w:rsid w:val="00BA4A14"/>
    <w:rsid w:val="00BA4B9E"/>
    <w:rsid w:val="00BA4BE0"/>
    <w:rsid w:val="00BA4C29"/>
    <w:rsid w:val="00BA4C92"/>
    <w:rsid w:val="00BA5227"/>
    <w:rsid w:val="00BA53D9"/>
    <w:rsid w:val="00BA5552"/>
    <w:rsid w:val="00BA56FE"/>
    <w:rsid w:val="00BA5737"/>
    <w:rsid w:val="00BA5A16"/>
    <w:rsid w:val="00BA5A27"/>
    <w:rsid w:val="00BA5AD9"/>
    <w:rsid w:val="00BA5AF1"/>
    <w:rsid w:val="00BA5CD8"/>
    <w:rsid w:val="00BA5D4C"/>
    <w:rsid w:val="00BA60AC"/>
    <w:rsid w:val="00BA614C"/>
    <w:rsid w:val="00BA62C2"/>
    <w:rsid w:val="00BA62EC"/>
    <w:rsid w:val="00BA6341"/>
    <w:rsid w:val="00BA6363"/>
    <w:rsid w:val="00BA6372"/>
    <w:rsid w:val="00BA63E6"/>
    <w:rsid w:val="00BA6429"/>
    <w:rsid w:val="00BA64D5"/>
    <w:rsid w:val="00BA64DA"/>
    <w:rsid w:val="00BA64F3"/>
    <w:rsid w:val="00BA656D"/>
    <w:rsid w:val="00BA6581"/>
    <w:rsid w:val="00BA668A"/>
    <w:rsid w:val="00BA66B6"/>
    <w:rsid w:val="00BA6703"/>
    <w:rsid w:val="00BA672D"/>
    <w:rsid w:val="00BA6754"/>
    <w:rsid w:val="00BA67F7"/>
    <w:rsid w:val="00BA6834"/>
    <w:rsid w:val="00BA688E"/>
    <w:rsid w:val="00BA6908"/>
    <w:rsid w:val="00BA6924"/>
    <w:rsid w:val="00BA698A"/>
    <w:rsid w:val="00BA69E0"/>
    <w:rsid w:val="00BA6C3C"/>
    <w:rsid w:val="00BA6F5E"/>
    <w:rsid w:val="00BA6FD1"/>
    <w:rsid w:val="00BA716A"/>
    <w:rsid w:val="00BA71A3"/>
    <w:rsid w:val="00BA71F8"/>
    <w:rsid w:val="00BA7226"/>
    <w:rsid w:val="00BA7280"/>
    <w:rsid w:val="00BA72C7"/>
    <w:rsid w:val="00BA7315"/>
    <w:rsid w:val="00BA73C0"/>
    <w:rsid w:val="00BA7403"/>
    <w:rsid w:val="00BA7453"/>
    <w:rsid w:val="00BA7485"/>
    <w:rsid w:val="00BA74B7"/>
    <w:rsid w:val="00BA7576"/>
    <w:rsid w:val="00BA7596"/>
    <w:rsid w:val="00BA75F5"/>
    <w:rsid w:val="00BA76FF"/>
    <w:rsid w:val="00BA7857"/>
    <w:rsid w:val="00BA7896"/>
    <w:rsid w:val="00BA78D4"/>
    <w:rsid w:val="00BA7940"/>
    <w:rsid w:val="00BA7A28"/>
    <w:rsid w:val="00BA7A60"/>
    <w:rsid w:val="00BA7ADE"/>
    <w:rsid w:val="00BA7BB4"/>
    <w:rsid w:val="00BA7BE6"/>
    <w:rsid w:val="00BA7EAA"/>
    <w:rsid w:val="00BA7F4F"/>
    <w:rsid w:val="00BA7FC1"/>
    <w:rsid w:val="00BA7FC9"/>
    <w:rsid w:val="00BA7FDE"/>
    <w:rsid w:val="00BB021D"/>
    <w:rsid w:val="00BB028F"/>
    <w:rsid w:val="00BB0377"/>
    <w:rsid w:val="00BB04B0"/>
    <w:rsid w:val="00BB04E5"/>
    <w:rsid w:val="00BB0584"/>
    <w:rsid w:val="00BB073F"/>
    <w:rsid w:val="00BB074A"/>
    <w:rsid w:val="00BB079B"/>
    <w:rsid w:val="00BB091F"/>
    <w:rsid w:val="00BB09A0"/>
    <w:rsid w:val="00BB09AD"/>
    <w:rsid w:val="00BB09B5"/>
    <w:rsid w:val="00BB0A01"/>
    <w:rsid w:val="00BB0A68"/>
    <w:rsid w:val="00BB0B42"/>
    <w:rsid w:val="00BB0BF7"/>
    <w:rsid w:val="00BB0C4E"/>
    <w:rsid w:val="00BB0CFE"/>
    <w:rsid w:val="00BB1080"/>
    <w:rsid w:val="00BB11F4"/>
    <w:rsid w:val="00BB12FF"/>
    <w:rsid w:val="00BB1302"/>
    <w:rsid w:val="00BB164F"/>
    <w:rsid w:val="00BB1796"/>
    <w:rsid w:val="00BB1818"/>
    <w:rsid w:val="00BB185E"/>
    <w:rsid w:val="00BB19BA"/>
    <w:rsid w:val="00BB1B46"/>
    <w:rsid w:val="00BB1BB8"/>
    <w:rsid w:val="00BB1E6D"/>
    <w:rsid w:val="00BB1E87"/>
    <w:rsid w:val="00BB1F49"/>
    <w:rsid w:val="00BB1F73"/>
    <w:rsid w:val="00BB219B"/>
    <w:rsid w:val="00BB234D"/>
    <w:rsid w:val="00BB2380"/>
    <w:rsid w:val="00BB2500"/>
    <w:rsid w:val="00BB25E5"/>
    <w:rsid w:val="00BB27AC"/>
    <w:rsid w:val="00BB27DF"/>
    <w:rsid w:val="00BB2879"/>
    <w:rsid w:val="00BB288F"/>
    <w:rsid w:val="00BB28B5"/>
    <w:rsid w:val="00BB2904"/>
    <w:rsid w:val="00BB2AC2"/>
    <w:rsid w:val="00BB2AC9"/>
    <w:rsid w:val="00BB2AD2"/>
    <w:rsid w:val="00BB2B41"/>
    <w:rsid w:val="00BB2BC5"/>
    <w:rsid w:val="00BB2BF5"/>
    <w:rsid w:val="00BB2D59"/>
    <w:rsid w:val="00BB2D64"/>
    <w:rsid w:val="00BB2DDB"/>
    <w:rsid w:val="00BB2DDE"/>
    <w:rsid w:val="00BB2E2C"/>
    <w:rsid w:val="00BB2F9C"/>
    <w:rsid w:val="00BB2FDD"/>
    <w:rsid w:val="00BB306F"/>
    <w:rsid w:val="00BB3179"/>
    <w:rsid w:val="00BB31EE"/>
    <w:rsid w:val="00BB33BA"/>
    <w:rsid w:val="00BB33CC"/>
    <w:rsid w:val="00BB3547"/>
    <w:rsid w:val="00BB3653"/>
    <w:rsid w:val="00BB3661"/>
    <w:rsid w:val="00BB37EE"/>
    <w:rsid w:val="00BB38A6"/>
    <w:rsid w:val="00BB38EE"/>
    <w:rsid w:val="00BB3913"/>
    <w:rsid w:val="00BB392C"/>
    <w:rsid w:val="00BB3A3B"/>
    <w:rsid w:val="00BB3A3C"/>
    <w:rsid w:val="00BB3B2F"/>
    <w:rsid w:val="00BB3C6E"/>
    <w:rsid w:val="00BB3C77"/>
    <w:rsid w:val="00BB3E2B"/>
    <w:rsid w:val="00BB3E47"/>
    <w:rsid w:val="00BB3ED5"/>
    <w:rsid w:val="00BB3F0D"/>
    <w:rsid w:val="00BB3F4E"/>
    <w:rsid w:val="00BB41C9"/>
    <w:rsid w:val="00BB44D4"/>
    <w:rsid w:val="00BB45D9"/>
    <w:rsid w:val="00BB4648"/>
    <w:rsid w:val="00BB46B6"/>
    <w:rsid w:val="00BB4802"/>
    <w:rsid w:val="00BB49A6"/>
    <w:rsid w:val="00BB4A5A"/>
    <w:rsid w:val="00BB4A8A"/>
    <w:rsid w:val="00BB4AEC"/>
    <w:rsid w:val="00BB4EC1"/>
    <w:rsid w:val="00BB4F3C"/>
    <w:rsid w:val="00BB4F7E"/>
    <w:rsid w:val="00BB547E"/>
    <w:rsid w:val="00BB55E1"/>
    <w:rsid w:val="00BB5674"/>
    <w:rsid w:val="00BB5732"/>
    <w:rsid w:val="00BB584E"/>
    <w:rsid w:val="00BB585C"/>
    <w:rsid w:val="00BB5890"/>
    <w:rsid w:val="00BB59C2"/>
    <w:rsid w:val="00BB5AB3"/>
    <w:rsid w:val="00BB5C77"/>
    <w:rsid w:val="00BB5DDB"/>
    <w:rsid w:val="00BB5DE1"/>
    <w:rsid w:val="00BB5DED"/>
    <w:rsid w:val="00BB5E3D"/>
    <w:rsid w:val="00BB5F11"/>
    <w:rsid w:val="00BB5F83"/>
    <w:rsid w:val="00BB5FB3"/>
    <w:rsid w:val="00BB614E"/>
    <w:rsid w:val="00BB61AF"/>
    <w:rsid w:val="00BB62BE"/>
    <w:rsid w:val="00BB62FE"/>
    <w:rsid w:val="00BB6557"/>
    <w:rsid w:val="00BB686E"/>
    <w:rsid w:val="00BB6928"/>
    <w:rsid w:val="00BB6B2B"/>
    <w:rsid w:val="00BB6B59"/>
    <w:rsid w:val="00BB6CB6"/>
    <w:rsid w:val="00BB6CC3"/>
    <w:rsid w:val="00BB6D10"/>
    <w:rsid w:val="00BB6DAF"/>
    <w:rsid w:val="00BB6E83"/>
    <w:rsid w:val="00BB6EBB"/>
    <w:rsid w:val="00BB6F4C"/>
    <w:rsid w:val="00BB705D"/>
    <w:rsid w:val="00BB7070"/>
    <w:rsid w:val="00BB708E"/>
    <w:rsid w:val="00BB7339"/>
    <w:rsid w:val="00BB73A6"/>
    <w:rsid w:val="00BB745C"/>
    <w:rsid w:val="00BB7780"/>
    <w:rsid w:val="00BB78BF"/>
    <w:rsid w:val="00BB7993"/>
    <w:rsid w:val="00BB79FD"/>
    <w:rsid w:val="00BB7AB0"/>
    <w:rsid w:val="00BB7C20"/>
    <w:rsid w:val="00BB7C61"/>
    <w:rsid w:val="00BB7DC7"/>
    <w:rsid w:val="00BB7DE2"/>
    <w:rsid w:val="00BB7DF1"/>
    <w:rsid w:val="00BB7FE4"/>
    <w:rsid w:val="00BC00B0"/>
    <w:rsid w:val="00BC00BB"/>
    <w:rsid w:val="00BC01B0"/>
    <w:rsid w:val="00BC01B8"/>
    <w:rsid w:val="00BC03DB"/>
    <w:rsid w:val="00BC03FE"/>
    <w:rsid w:val="00BC0490"/>
    <w:rsid w:val="00BC059C"/>
    <w:rsid w:val="00BC05CC"/>
    <w:rsid w:val="00BC0683"/>
    <w:rsid w:val="00BC08C3"/>
    <w:rsid w:val="00BC0922"/>
    <w:rsid w:val="00BC0BC3"/>
    <w:rsid w:val="00BC0D02"/>
    <w:rsid w:val="00BC0EA4"/>
    <w:rsid w:val="00BC0F45"/>
    <w:rsid w:val="00BC0F96"/>
    <w:rsid w:val="00BC0FCF"/>
    <w:rsid w:val="00BC10D5"/>
    <w:rsid w:val="00BC1184"/>
    <w:rsid w:val="00BC1193"/>
    <w:rsid w:val="00BC12DA"/>
    <w:rsid w:val="00BC1348"/>
    <w:rsid w:val="00BC135F"/>
    <w:rsid w:val="00BC13B2"/>
    <w:rsid w:val="00BC14A3"/>
    <w:rsid w:val="00BC170B"/>
    <w:rsid w:val="00BC17EB"/>
    <w:rsid w:val="00BC1AA1"/>
    <w:rsid w:val="00BC1AFD"/>
    <w:rsid w:val="00BC1C0D"/>
    <w:rsid w:val="00BC1FBF"/>
    <w:rsid w:val="00BC2051"/>
    <w:rsid w:val="00BC2145"/>
    <w:rsid w:val="00BC21A5"/>
    <w:rsid w:val="00BC21F4"/>
    <w:rsid w:val="00BC2446"/>
    <w:rsid w:val="00BC24E4"/>
    <w:rsid w:val="00BC24EC"/>
    <w:rsid w:val="00BC2544"/>
    <w:rsid w:val="00BC25AD"/>
    <w:rsid w:val="00BC262A"/>
    <w:rsid w:val="00BC2632"/>
    <w:rsid w:val="00BC269C"/>
    <w:rsid w:val="00BC26CD"/>
    <w:rsid w:val="00BC2780"/>
    <w:rsid w:val="00BC29A3"/>
    <w:rsid w:val="00BC2A57"/>
    <w:rsid w:val="00BC2AAE"/>
    <w:rsid w:val="00BC2B01"/>
    <w:rsid w:val="00BC2B09"/>
    <w:rsid w:val="00BC2B4F"/>
    <w:rsid w:val="00BC2B54"/>
    <w:rsid w:val="00BC2ECB"/>
    <w:rsid w:val="00BC2F15"/>
    <w:rsid w:val="00BC30EF"/>
    <w:rsid w:val="00BC3174"/>
    <w:rsid w:val="00BC3197"/>
    <w:rsid w:val="00BC3227"/>
    <w:rsid w:val="00BC3473"/>
    <w:rsid w:val="00BC3530"/>
    <w:rsid w:val="00BC36D7"/>
    <w:rsid w:val="00BC36E8"/>
    <w:rsid w:val="00BC3723"/>
    <w:rsid w:val="00BC3770"/>
    <w:rsid w:val="00BC3995"/>
    <w:rsid w:val="00BC3A6B"/>
    <w:rsid w:val="00BC3B73"/>
    <w:rsid w:val="00BC3C51"/>
    <w:rsid w:val="00BC3C54"/>
    <w:rsid w:val="00BC3CF4"/>
    <w:rsid w:val="00BC3D50"/>
    <w:rsid w:val="00BC3E64"/>
    <w:rsid w:val="00BC3F68"/>
    <w:rsid w:val="00BC3F6D"/>
    <w:rsid w:val="00BC3FFA"/>
    <w:rsid w:val="00BC405D"/>
    <w:rsid w:val="00BC41C0"/>
    <w:rsid w:val="00BC4267"/>
    <w:rsid w:val="00BC4340"/>
    <w:rsid w:val="00BC441C"/>
    <w:rsid w:val="00BC46FD"/>
    <w:rsid w:val="00BC4915"/>
    <w:rsid w:val="00BC4949"/>
    <w:rsid w:val="00BC4A10"/>
    <w:rsid w:val="00BC4C68"/>
    <w:rsid w:val="00BC4CBD"/>
    <w:rsid w:val="00BC4DB2"/>
    <w:rsid w:val="00BC4DB8"/>
    <w:rsid w:val="00BC4DBF"/>
    <w:rsid w:val="00BC4EAE"/>
    <w:rsid w:val="00BC4ED9"/>
    <w:rsid w:val="00BC4FA5"/>
    <w:rsid w:val="00BC529D"/>
    <w:rsid w:val="00BC52EE"/>
    <w:rsid w:val="00BC551C"/>
    <w:rsid w:val="00BC5600"/>
    <w:rsid w:val="00BC57DE"/>
    <w:rsid w:val="00BC5A71"/>
    <w:rsid w:val="00BC5C8B"/>
    <w:rsid w:val="00BC5CCE"/>
    <w:rsid w:val="00BC5D6E"/>
    <w:rsid w:val="00BC5E10"/>
    <w:rsid w:val="00BC5E68"/>
    <w:rsid w:val="00BC6170"/>
    <w:rsid w:val="00BC6208"/>
    <w:rsid w:val="00BC6253"/>
    <w:rsid w:val="00BC62E6"/>
    <w:rsid w:val="00BC6449"/>
    <w:rsid w:val="00BC6458"/>
    <w:rsid w:val="00BC6695"/>
    <w:rsid w:val="00BC6BA6"/>
    <w:rsid w:val="00BC6BA9"/>
    <w:rsid w:val="00BC6C66"/>
    <w:rsid w:val="00BC6C9F"/>
    <w:rsid w:val="00BC6D4C"/>
    <w:rsid w:val="00BC6D7E"/>
    <w:rsid w:val="00BC7049"/>
    <w:rsid w:val="00BC7053"/>
    <w:rsid w:val="00BC71A7"/>
    <w:rsid w:val="00BC7242"/>
    <w:rsid w:val="00BC73C6"/>
    <w:rsid w:val="00BC7491"/>
    <w:rsid w:val="00BC74EA"/>
    <w:rsid w:val="00BC7543"/>
    <w:rsid w:val="00BC755C"/>
    <w:rsid w:val="00BC7584"/>
    <w:rsid w:val="00BC766E"/>
    <w:rsid w:val="00BC77FE"/>
    <w:rsid w:val="00BC7A15"/>
    <w:rsid w:val="00BC7A24"/>
    <w:rsid w:val="00BC7A80"/>
    <w:rsid w:val="00BC7B14"/>
    <w:rsid w:val="00BC7CDA"/>
    <w:rsid w:val="00BC7DD0"/>
    <w:rsid w:val="00BD00DB"/>
    <w:rsid w:val="00BD011C"/>
    <w:rsid w:val="00BD01BF"/>
    <w:rsid w:val="00BD022B"/>
    <w:rsid w:val="00BD0405"/>
    <w:rsid w:val="00BD0429"/>
    <w:rsid w:val="00BD0612"/>
    <w:rsid w:val="00BD0622"/>
    <w:rsid w:val="00BD0748"/>
    <w:rsid w:val="00BD0753"/>
    <w:rsid w:val="00BD0799"/>
    <w:rsid w:val="00BD07E9"/>
    <w:rsid w:val="00BD08CE"/>
    <w:rsid w:val="00BD0A56"/>
    <w:rsid w:val="00BD0AEF"/>
    <w:rsid w:val="00BD0B5A"/>
    <w:rsid w:val="00BD0B77"/>
    <w:rsid w:val="00BD0BDC"/>
    <w:rsid w:val="00BD0C78"/>
    <w:rsid w:val="00BD0CC6"/>
    <w:rsid w:val="00BD0E07"/>
    <w:rsid w:val="00BD11FA"/>
    <w:rsid w:val="00BD1408"/>
    <w:rsid w:val="00BD143C"/>
    <w:rsid w:val="00BD1541"/>
    <w:rsid w:val="00BD15B0"/>
    <w:rsid w:val="00BD165E"/>
    <w:rsid w:val="00BD179D"/>
    <w:rsid w:val="00BD182A"/>
    <w:rsid w:val="00BD1861"/>
    <w:rsid w:val="00BD1887"/>
    <w:rsid w:val="00BD1A2B"/>
    <w:rsid w:val="00BD1A68"/>
    <w:rsid w:val="00BD1CB6"/>
    <w:rsid w:val="00BD1E6A"/>
    <w:rsid w:val="00BD1F0A"/>
    <w:rsid w:val="00BD1FA8"/>
    <w:rsid w:val="00BD2041"/>
    <w:rsid w:val="00BD2062"/>
    <w:rsid w:val="00BD2163"/>
    <w:rsid w:val="00BD218C"/>
    <w:rsid w:val="00BD22D2"/>
    <w:rsid w:val="00BD2331"/>
    <w:rsid w:val="00BD2383"/>
    <w:rsid w:val="00BD23D9"/>
    <w:rsid w:val="00BD241B"/>
    <w:rsid w:val="00BD242D"/>
    <w:rsid w:val="00BD248E"/>
    <w:rsid w:val="00BD2498"/>
    <w:rsid w:val="00BD252E"/>
    <w:rsid w:val="00BD2557"/>
    <w:rsid w:val="00BD2671"/>
    <w:rsid w:val="00BD2866"/>
    <w:rsid w:val="00BD289E"/>
    <w:rsid w:val="00BD28D9"/>
    <w:rsid w:val="00BD2A81"/>
    <w:rsid w:val="00BD2BD5"/>
    <w:rsid w:val="00BD2BF2"/>
    <w:rsid w:val="00BD2DAD"/>
    <w:rsid w:val="00BD2F00"/>
    <w:rsid w:val="00BD303F"/>
    <w:rsid w:val="00BD3194"/>
    <w:rsid w:val="00BD3292"/>
    <w:rsid w:val="00BD33CA"/>
    <w:rsid w:val="00BD345E"/>
    <w:rsid w:val="00BD3598"/>
    <w:rsid w:val="00BD3731"/>
    <w:rsid w:val="00BD3769"/>
    <w:rsid w:val="00BD383F"/>
    <w:rsid w:val="00BD385B"/>
    <w:rsid w:val="00BD3886"/>
    <w:rsid w:val="00BD39CA"/>
    <w:rsid w:val="00BD3B70"/>
    <w:rsid w:val="00BD3DD9"/>
    <w:rsid w:val="00BD3DF7"/>
    <w:rsid w:val="00BD3EE0"/>
    <w:rsid w:val="00BD3FB5"/>
    <w:rsid w:val="00BD40CB"/>
    <w:rsid w:val="00BD40E6"/>
    <w:rsid w:val="00BD42E8"/>
    <w:rsid w:val="00BD43CC"/>
    <w:rsid w:val="00BD4459"/>
    <w:rsid w:val="00BD449B"/>
    <w:rsid w:val="00BD454B"/>
    <w:rsid w:val="00BD45BE"/>
    <w:rsid w:val="00BD4633"/>
    <w:rsid w:val="00BD4692"/>
    <w:rsid w:val="00BD4798"/>
    <w:rsid w:val="00BD47C9"/>
    <w:rsid w:val="00BD48E9"/>
    <w:rsid w:val="00BD4950"/>
    <w:rsid w:val="00BD4C84"/>
    <w:rsid w:val="00BD4D89"/>
    <w:rsid w:val="00BD4D96"/>
    <w:rsid w:val="00BD4EED"/>
    <w:rsid w:val="00BD4FE5"/>
    <w:rsid w:val="00BD4FF5"/>
    <w:rsid w:val="00BD503C"/>
    <w:rsid w:val="00BD508D"/>
    <w:rsid w:val="00BD511D"/>
    <w:rsid w:val="00BD5235"/>
    <w:rsid w:val="00BD5286"/>
    <w:rsid w:val="00BD53BE"/>
    <w:rsid w:val="00BD5403"/>
    <w:rsid w:val="00BD55C0"/>
    <w:rsid w:val="00BD5722"/>
    <w:rsid w:val="00BD57D3"/>
    <w:rsid w:val="00BD58A5"/>
    <w:rsid w:val="00BD58A6"/>
    <w:rsid w:val="00BD5A35"/>
    <w:rsid w:val="00BD5B6F"/>
    <w:rsid w:val="00BD5BC8"/>
    <w:rsid w:val="00BD5D8C"/>
    <w:rsid w:val="00BD5D8D"/>
    <w:rsid w:val="00BD5E59"/>
    <w:rsid w:val="00BD5FAF"/>
    <w:rsid w:val="00BD61C9"/>
    <w:rsid w:val="00BD625C"/>
    <w:rsid w:val="00BD6321"/>
    <w:rsid w:val="00BD633A"/>
    <w:rsid w:val="00BD640C"/>
    <w:rsid w:val="00BD64C1"/>
    <w:rsid w:val="00BD6534"/>
    <w:rsid w:val="00BD657D"/>
    <w:rsid w:val="00BD6607"/>
    <w:rsid w:val="00BD69D6"/>
    <w:rsid w:val="00BD6B1F"/>
    <w:rsid w:val="00BD6DCA"/>
    <w:rsid w:val="00BD6EFC"/>
    <w:rsid w:val="00BD6FBF"/>
    <w:rsid w:val="00BD6FF7"/>
    <w:rsid w:val="00BD7012"/>
    <w:rsid w:val="00BD7094"/>
    <w:rsid w:val="00BD7105"/>
    <w:rsid w:val="00BD73AC"/>
    <w:rsid w:val="00BD7424"/>
    <w:rsid w:val="00BD74B8"/>
    <w:rsid w:val="00BD754F"/>
    <w:rsid w:val="00BD767C"/>
    <w:rsid w:val="00BD7688"/>
    <w:rsid w:val="00BD7699"/>
    <w:rsid w:val="00BD76AB"/>
    <w:rsid w:val="00BD774A"/>
    <w:rsid w:val="00BD77D0"/>
    <w:rsid w:val="00BD7918"/>
    <w:rsid w:val="00BD7946"/>
    <w:rsid w:val="00BD797E"/>
    <w:rsid w:val="00BD7A7F"/>
    <w:rsid w:val="00BD7AC2"/>
    <w:rsid w:val="00BD7B8E"/>
    <w:rsid w:val="00BD7BF8"/>
    <w:rsid w:val="00BD7D2E"/>
    <w:rsid w:val="00BD7DBE"/>
    <w:rsid w:val="00BD7DC0"/>
    <w:rsid w:val="00BD7E35"/>
    <w:rsid w:val="00BD7E3D"/>
    <w:rsid w:val="00BD7EE6"/>
    <w:rsid w:val="00BD7FDB"/>
    <w:rsid w:val="00BE0029"/>
    <w:rsid w:val="00BE003F"/>
    <w:rsid w:val="00BE01B8"/>
    <w:rsid w:val="00BE01E2"/>
    <w:rsid w:val="00BE0253"/>
    <w:rsid w:val="00BE0270"/>
    <w:rsid w:val="00BE030D"/>
    <w:rsid w:val="00BE0381"/>
    <w:rsid w:val="00BE046E"/>
    <w:rsid w:val="00BE0571"/>
    <w:rsid w:val="00BE0587"/>
    <w:rsid w:val="00BE0599"/>
    <w:rsid w:val="00BE0772"/>
    <w:rsid w:val="00BE0827"/>
    <w:rsid w:val="00BE083C"/>
    <w:rsid w:val="00BE089D"/>
    <w:rsid w:val="00BE08E3"/>
    <w:rsid w:val="00BE0929"/>
    <w:rsid w:val="00BE0981"/>
    <w:rsid w:val="00BE0A88"/>
    <w:rsid w:val="00BE0B24"/>
    <w:rsid w:val="00BE0E5F"/>
    <w:rsid w:val="00BE0E6F"/>
    <w:rsid w:val="00BE0E84"/>
    <w:rsid w:val="00BE0E8A"/>
    <w:rsid w:val="00BE0F52"/>
    <w:rsid w:val="00BE0F6A"/>
    <w:rsid w:val="00BE0FB1"/>
    <w:rsid w:val="00BE0FB2"/>
    <w:rsid w:val="00BE113E"/>
    <w:rsid w:val="00BE11D0"/>
    <w:rsid w:val="00BE124B"/>
    <w:rsid w:val="00BE1496"/>
    <w:rsid w:val="00BE1573"/>
    <w:rsid w:val="00BE1628"/>
    <w:rsid w:val="00BE175E"/>
    <w:rsid w:val="00BE17B3"/>
    <w:rsid w:val="00BE17B5"/>
    <w:rsid w:val="00BE17D8"/>
    <w:rsid w:val="00BE183D"/>
    <w:rsid w:val="00BE1857"/>
    <w:rsid w:val="00BE1931"/>
    <w:rsid w:val="00BE1951"/>
    <w:rsid w:val="00BE19B6"/>
    <w:rsid w:val="00BE19E4"/>
    <w:rsid w:val="00BE1A57"/>
    <w:rsid w:val="00BE1AA1"/>
    <w:rsid w:val="00BE1D70"/>
    <w:rsid w:val="00BE1FB5"/>
    <w:rsid w:val="00BE2236"/>
    <w:rsid w:val="00BE2292"/>
    <w:rsid w:val="00BE2314"/>
    <w:rsid w:val="00BE242A"/>
    <w:rsid w:val="00BE243B"/>
    <w:rsid w:val="00BE24F2"/>
    <w:rsid w:val="00BE2534"/>
    <w:rsid w:val="00BE25DD"/>
    <w:rsid w:val="00BE27FB"/>
    <w:rsid w:val="00BE2806"/>
    <w:rsid w:val="00BE28DE"/>
    <w:rsid w:val="00BE2ACB"/>
    <w:rsid w:val="00BE2C3F"/>
    <w:rsid w:val="00BE2CA1"/>
    <w:rsid w:val="00BE2CF2"/>
    <w:rsid w:val="00BE2D9F"/>
    <w:rsid w:val="00BE3008"/>
    <w:rsid w:val="00BE31D1"/>
    <w:rsid w:val="00BE328C"/>
    <w:rsid w:val="00BE342E"/>
    <w:rsid w:val="00BE348D"/>
    <w:rsid w:val="00BE3510"/>
    <w:rsid w:val="00BE370E"/>
    <w:rsid w:val="00BE388C"/>
    <w:rsid w:val="00BE3895"/>
    <w:rsid w:val="00BE38B6"/>
    <w:rsid w:val="00BE392D"/>
    <w:rsid w:val="00BE3ABF"/>
    <w:rsid w:val="00BE3B27"/>
    <w:rsid w:val="00BE3B6F"/>
    <w:rsid w:val="00BE3D26"/>
    <w:rsid w:val="00BE3D5F"/>
    <w:rsid w:val="00BE3DC0"/>
    <w:rsid w:val="00BE3E9B"/>
    <w:rsid w:val="00BE3EFF"/>
    <w:rsid w:val="00BE3F68"/>
    <w:rsid w:val="00BE4117"/>
    <w:rsid w:val="00BE442F"/>
    <w:rsid w:val="00BE4542"/>
    <w:rsid w:val="00BE4582"/>
    <w:rsid w:val="00BE4584"/>
    <w:rsid w:val="00BE45D8"/>
    <w:rsid w:val="00BE45F9"/>
    <w:rsid w:val="00BE4788"/>
    <w:rsid w:val="00BE491A"/>
    <w:rsid w:val="00BE49B7"/>
    <w:rsid w:val="00BE49EA"/>
    <w:rsid w:val="00BE4A69"/>
    <w:rsid w:val="00BE4A7C"/>
    <w:rsid w:val="00BE4B2C"/>
    <w:rsid w:val="00BE4E4C"/>
    <w:rsid w:val="00BE5040"/>
    <w:rsid w:val="00BE52D5"/>
    <w:rsid w:val="00BE52E7"/>
    <w:rsid w:val="00BE53B7"/>
    <w:rsid w:val="00BE552D"/>
    <w:rsid w:val="00BE559A"/>
    <w:rsid w:val="00BE562B"/>
    <w:rsid w:val="00BE566D"/>
    <w:rsid w:val="00BE5696"/>
    <w:rsid w:val="00BE578E"/>
    <w:rsid w:val="00BE579C"/>
    <w:rsid w:val="00BE57B3"/>
    <w:rsid w:val="00BE58C1"/>
    <w:rsid w:val="00BE5904"/>
    <w:rsid w:val="00BE5964"/>
    <w:rsid w:val="00BE5ABD"/>
    <w:rsid w:val="00BE5B29"/>
    <w:rsid w:val="00BE5B3D"/>
    <w:rsid w:val="00BE5C51"/>
    <w:rsid w:val="00BE5D1F"/>
    <w:rsid w:val="00BE5D43"/>
    <w:rsid w:val="00BE5EC7"/>
    <w:rsid w:val="00BE5F18"/>
    <w:rsid w:val="00BE5F21"/>
    <w:rsid w:val="00BE60C2"/>
    <w:rsid w:val="00BE61D9"/>
    <w:rsid w:val="00BE6223"/>
    <w:rsid w:val="00BE63EE"/>
    <w:rsid w:val="00BE64C0"/>
    <w:rsid w:val="00BE65B6"/>
    <w:rsid w:val="00BE66C2"/>
    <w:rsid w:val="00BE671C"/>
    <w:rsid w:val="00BE6739"/>
    <w:rsid w:val="00BE67D6"/>
    <w:rsid w:val="00BE68FD"/>
    <w:rsid w:val="00BE6C91"/>
    <w:rsid w:val="00BE6CE3"/>
    <w:rsid w:val="00BE6E59"/>
    <w:rsid w:val="00BE6E7A"/>
    <w:rsid w:val="00BE6ED0"/>
    <w:rsid w:val="00BE7099"/>
    <w:rsid w:val="00BE709C"/>
    <w:rsid w:val="00BE70BA"/>
    <w:rsid w:val="00BE7161"/>
    <w:rsid w:val="00BE71E3"/>
    <w:rsid w:val="00BE75A6"/>
    <w:rsid w:val="00BE7740"/>
    <w:rsid w:val="00BE7773"/>
    <w:rsid w:val="00BE77A1"/>
    <w:rsid w:val="00BE782F"/>
    <w:rsid w:val="00BE79F8"/>
    <w:rsid w:val="00BE7D2F"/>
    <w:rsid w:val="00BE7D37"/>
    <w:rsid w:val="00BE7D9D"/>
    <w:rsid w:val="00BE7D9F"/>
    <w:rsid w:val="00BE7DA5"/>
    <w:rsid w:val="00BE7E4F"/>
    <w:rsid w:val="00BE7EBB"/>
    <w:rsid w:val="00BE7ED6"/>
    <w:rsid w:val="00BF00A7"/>
    <w:rsid w:val="00BF010F"/>
    <w:rsid w:val="00BF01DB"/>
    <w:rsid w:val="00BF029E"/>
    <w:rsid w:val="00BF02E7"/>
    <w:rsid w:val="00BF030A"/>
    <w:rsid w:val="00BF03FD"/>
    <w:rsid w:val="00BF047B"/>
    <w:rsid w:val="00BF04D0"/>
    <w:rsid w:val="00BF058D"/>
    <w:rsid w:val="00BF05F1"/>
    <w:rsid w:val="00BF06AE"/>
    <w:rsid w:val="00BF06BA"/>
    <w:rsid w:val="00BF0740"/>
    <w:rsid w:val="00BF0780"/>
    <w:rsid w:val="00BF087F"/>
    <w:rsid w:val="00BF097A"/>
    <w:rsid w:val="00BF0C8F"/>
    <w:rsid w:val="00BF0E47"/>
    <w:rsid w:val="00BF0EF2"/>
    <w:rsid w:val="00BF1095"/>
    <w:rsid w:val="00BF1106"/>
    <w:rsid w:val="00BF1459"/>
    <w:rsid w:val="00BF1483"/>
    <w:rsid w:val="00BF14D1"/>
    <w:rsid w:val="00BF15A5"/>
    <w:rsid w:val="00BF1672"/>
    <w:rsid w:val="00BF1982"/>
    <w:rsid w:val="00BF199E"/>
    <w:rsid w:val="00BF1C04"/>
    <w:rsid w:val="00BF1E2E"/>
    <w:rsid w:val="00BF1F16"/>
    <w:rsid w:val="00BF20EB"/>
    <w:rsid w:val="00BF22CE"/>
    <w:rsid w:val="00BF22F5"/>
    <w:rsid w:val="00BF22FF"/>
    <w:rsid w:val="00BF234D"/>
    <w:rsid w:val="00BF23C0"/>
    <w:rsid w:val="00BF258C"/>
    <w:rsid w:val="00BF2597"/>
    <w:rsid w:val="00BF2650"/>
    <w:rsid w:val="00BF26CB"/>
    <w:rsid w:val="00BF2810"/>
    <w:rsid w:val="00BF28A4"/>
    <w:rsid w:val="00BF2A3C"/>
    <w:rsid w:val="00BF2B33"/>
    <w:rsid w:val="00BF2B93"/>
    <w:rsid w:val="00BF2C7E"/>
    <w:rsid w:val="00BF2D7A"/>
    <w:rsid w:val="00BF2DDB"/>
    <w:rsid w:val="00BF2DE4"/>
    <w:rsid w:val="00BF2E98"/>
    <w:rsid w:val="00BF2F95"/>
    <w:rsid w:val="00BF2FD7"/>
    <w:rsid w:val="00BF3074"/>
    <w:rsid w:val="00BF30D8"/>
    <w:rsid w:val="00BF31D7"/>
    <w:rsid w:val="00BF3223"/>
    <w:rsid w:val="00BF3226"/>
    <w:rsid w:val="00BF322A"/>
    <w:rsid w:val="00BF3255"/>
    <w:rsid w:val="00BF32D5"/>
    <w:rsid w:val="00BF33C4"/>
    <w:rsid w:val="00BF3440"/>
    <w:rsid w:val="00BF3456"/>
    <w:rsid w:val="00BF34F3"/>
    <w:rsid w:val="00BF3572"/>
    <w:rsid w:val="00BF35DA"/>
    <w:rsid w:val="00BF3715"/>
    <w:rsid w:val="00BF3900"/>
    <w:rsid w:val="00BF3A3A"/>
    <w:rsid w:val="00BF3B4B"/>
    <w:rsid w:val="00BF3BD1"/>
    <w:rsid w:val="00BF3CE9"/>
    <w:rsid w:val="00BF3CF7"/>
    <w:rsid w:val="00BF3EC8"/>
    <w:rsid w:val="00BF3EEF"/>
    <w:rsid w:val="00BF3F30"/>
    <w:rsid w:val="00BF3FF5"/>
    <w:rsid w:val="00BF4033"/>
    <w:rsid w:val="00BF40E1"/>
    <w:rsid w:val="00BF419F"/>
    <w:rsid w:val="00BF42FD"/>
    <w:rsid w:val="00BF43D3"/>
    <w:rsid w:val="00BF4560"/>
    <w:rsid w:val="00BF45B3"/>
    <w:rsid w:val="00BF45EC"/>
    <w:rsid w:val="00BF4736"/>
    <w:rsid w:val="00BF479A"/>
    <w:rsid w:val="00BF47C0"/>
    <w:rsid w:val="00BF47DA"/>
    <w:rsid w:val="00BF4ACD"/>
    <w:rsid w:val="00BF4AE4"/>
    <w:rsid w:val="00BF4DA7"/>
    <w:rsid w:val="00BF4E26"/>
    <w:rsid w:val="00BF4F4F"/>
    <w:rsid w:val="00BF50EB"/>
    <w:rsid w:val="00BF54EE"/>
    <w:rsid w:val="00BF560B"/>
    <w:rsid w:val="00BF5685"/>
    <w:rsid w:val="00BF56E7"/>
    <w:rsid w:val="00BF58DC"/>
    <w:rsid w:val="00BF58DD"/>
    <w:rsid w:val="00BF5A54"/>
    <w:rsid w:val="00BF5AE1"/>
    <w:rsid w:val="00BF5B08"/>
    <w:rsid w:val="00BF5C87"/>
    <w:rsid w:val="00BF5D70"/>
    <w:rsid w:val="00BF5E6E"/>
    <w:rsid w:val="00BF5E8F"/>
    <w:rsid w:val="00BF5E9A"/>
    <w:rsid w:val="00BF5E9C"/>
    <w:rsid w:val="00BF5F08"/>
    <w:rsid w:val="00BF5FC3"/>
    <w:rsid w:val="00BF5FF4"/>
    <w:rsid w:val="00BF6081"/>
    <w:rsid w:val="00BF60DE"/>
    <w:rsid w:val="00BF60FC"/>
    <w:rsid w:val="00BF6421"/>
    <w:rsid w:val="00BF6510"/>
    <w:rsid w:val="00BF67B8"/>
    <w:rsid w:val="00BF6A71"/>
    <w:rsid w:val="00BF6AC6"/>
    <w:rsid w:val="00BF6B39"/>
    <w:rsid w:val="00BF6BAA"/>
    <w:rsid w:val="00BF6BEA"/>
    <w:rsid w:val="00BF6CA7"/>
    <w:rsid w:val="00BF6CCB"/>
    <w:rsid w:val="00BF6D8C"/>
    <w:rsid w:val="00BF6EEB"/>
    <w:rsid w:val="00BF6FB0"/>
    <w:rsid w:val="00BF70D7"/>
    <w:rsid w:val="00BF743A"/>
    <w:rsid w:val="00BF7591"/>
    <w:rsid w:val="00BF7681"/>
    <w:rsid w:val="00BF76AD"/>
    <w:rsid w:val="00BF773D"/>
    <w:rsid w:val="00BF789D"/>
    <w:rsid w:val="00BF7A92"/>
    <w:rsid w:val="00BF7C63"/>
    <w:rsid w:val="00BF7D50"/>
    <w:rsid w:val="00BF7D53"/>
    <w:rsid w:val="00BF7D55"/>
    <w:rsid w:val="00BF7D73"/>
    <w:rsid w:val="00BF7DE5"/>
    <w:rsid w:val="00BF7DFC"/>
    <w:rsid w:val="00BF7FA5"/>
    <w:rsid w:val="00BF7FC6"/>
    <w:rsid w:val="00C00147"/>
    <w:rsid w:val="00C0037D"/>
    <w:rsid w:val="00C004A4"/>
    <w:rsid w:val="00C005DC"/>
    <w:rsid w:val="00C0063F"/>
    <w:rsid w:val="00C00723"/>
    <w:rsid w:val="00C007C1"/>
    <w:rsid w:val="00C00800"/>
    <w:rsid w:val="00C009A4"/>
    <w:rsid w:val="00C00A7B"/>
    <w:rsid w:val="00C00A91"/>
    <w:rsid w:val="00C00B2D"/>
    <w:rsid w:val="00C00D14"/>
    <w:rsid w:val="00C00E71"/>
    <w:rsid w:val="00C00EAA"/>
    <w:rsid w:val="00C00FB9"/>
    <w:rsid w:val="00C01132"/>
    <w:rsid w:val="00C01449"/>
    <w:rsid w:val="00C01537"/>
    <w:rsid w:val="00C015D8"/>
    <w:rsid w:val="00C0163D"/>
    <w:rsid w:val="00C0168D"/>
    <w:rsid w:val="00C016CE"/>
    <w:rsid w:val="00C01721"/>
    <w:rsid w:val="00C017F0"/>
    <w:rsid w:val="00C01905"/>
    <w:rsid w:val="00C01A14"/>
    <w:rsid w:val="00C01AAC"/>
    <w:rsid w:val="00C01AD6"/>
    <w:rsid w:val="00C01C16"/>
    <w:rsid w:val="00C01CD6"/>
    <w:rsid w:val="00C0236F"/>
    <w:rsid w:val="00C02427"/>
    <w:rsid w:val="00C02444"/>
    <w:rsid w:val="00C024FB"/>
    <w:rsid w:val="00C02513"/>
    <w:rsid w:val="00C0254E"/>
    <w:rsid w:val="00C025C5"/>
    <w:rsid w:val="00C026BF"/>
    <w:rsid w:val="00C0283C"/>
    <w:rsid w:val="00C02911"/>
    <w:rsid w:val="00C029E8"/>
    <w:rsid w:val="00C02B23"/>
    <w:rsid w:val="00C02C9B"/>
    <w:rsid w:val="00C02CB6"/>
    <w:rsid w:val="00C02D5C"/>
    <w:rsid w:val="00C02ECE"/>
    <w:rsid w:val="00C03020"/>
    <w:rsid w:val="00C03095"/>
    <w:rsid w:val="00C03194"/>
    <w:rsid w:val="00C03203"/>
    <w:rsid w:val="00C03355"/>
    <w:rsid w:val="00C0343A"/>
    <w:rsid w:val="00C0347F"/>
    <w:rsid w:val="00C03570"/>
    <w:rsid w:val="00C035E9"/>
    <w:rsid w:val="00C036E4"/>
    <w:rsid w:val="00C03705"/>
    <w:rsid w:val="00C037FB"/>
    <w:rsid w:val="00C03815"/>
    <w:rsid w:val="00C038AA"/>
    <w:rsid w:val="00C03988"/>
    <w:rsid w:val="00C03A1D"/>
    <w:rsid w:val="00C03B55"/>
    <w:rsid w:val="00C03BBF"/>
    <w:rsid w:val="00C03BC6"/>
    <w:rsid w:val="00C03C05"/>
    <w:rsid w:val="00C03C68"/>
    <w:rsid w:val="00C03D00"/>
    <w:rsid w:val="00C03D1F"/>
    <w:rsid w:val="00C03D8C"/>
    <w:rsid w:val="00C03DE8"/>
    <w:rsid w:val="00C03ECE"/>
    <w:rsid w:val="00C03F1B"/>
    <w:rsid w:val="00C03F4F"/>
    <w:rsid w:val="00C03FE6"/>
    <w:rsid w:val="00C04032"/>
    <w:rsid w:val="00C04143"/>
    <w:rsid w:val="00C04276"/>
    <w:rsid w:val="00C04316"/>
    <w:rsid w:val="00C04321"/>
    <w:rsid w:val="00C0436E"/>
    <w:rsid w:val="00C043DE"/>
    <w:rsid w:val="00C04452"/>
    <w:rsid w:val="00C0450E"/>
    <w:rsid w:val="00C045A1"/>
    <w:rsid w:val="00C0466E"/>
    <w:rsid w:val="00C0468A"/>
    <w:rsid w:val="00C0468D"/>
    <w:rsid w:val="00C04691"/>
    <w:rsid w:val="00C046E7"/>
    <w:rsid w:val="00C04718"/>
    <w:rsid w:val="00C0474C"/>
    <w:rsid w:val="00C047D7"/>
    <w:rsid w:val="00C048E9"/>
    <w:rsid w:val="00C04A18"/>
    <w:rsid w:val="00C04A77"/>
    <w:rsid w:val="00C04A94"/>
    <w:rsid w:val="00C04BAA"/>
    <w:rsid w:val="00C04BC3"/>
    <w:rsid w:val="00C04C22"/>
    <w:rsid w:val="00C04C38"/>
    <w:rsid w:val="00C04C4F"/>
    <w:rsid w:val="00C04DBC"/>
    <w:rsid w:val="00C04E3A"/>
    <w:rsid w:val="00C04EC8"/>
    <w:rsid w:val="00C04ECD"/>
    <w:rsid w:val="00C04FAD"/>
    <w:rsid w:val="00C05045"/>
    <w:rsid w:val="00C050DC"/>
    <w:rsid w:val="00C050EE"/>
    <w:rsid w:val="00C0528B"/>
    <w:rsid w:val="00C0534B"/>
    <w:rsid w:val="00C0539F"/>
    <w:rsid w:val="00C053C0"/>
    <w:rsid w:val="00C0560D"/>
    <w:rsid w:val="00C056A5"/>
    <w:rsid w:val="00C056F1"/>
    <w:rsid w:val="00C056F5"/>
    <w:rsid w:val="00C057DE"/>
    <w:rsid w:val="00C057E2"/>
    <w:rsid w:val="00C05805"/>
    <w:rsid w:val="00C05887"/>
    <w:rsid w:val="00C058EA"/>
    <w:rsid w:val="00C05908"/>
    <w:rsid w:val="00C059A2"/>
    <w:rsid w:val="00C05AA7"/>
    <w:rsid w:val="00C05B9C"/>
    <w:rsid w:val="00C05C74"/>
    <w:rsid w:val="00C05D70"/>
    <w:rsid w:val="00C05E09"/>
    <w:rsid w:val="00C05E1C"/>
    <w:rsid w:val="00C05EDA"/>
    <w:rsid w:val="00C05F6B"/>
    <w:rsid w:val="00C05FB9"/>
    <w:rsid w:val="00C062C0"/>
    <w:rsid w:val="00C0631C"/>
    <w:rsid w:val="00C06605"/>
    <w:rsid w:val="00C06627"/>
    <w:rsid w:val="00C0662A"/>
    <w:rsid w:val="00C06755"/>
    <w:rsid w:val="00C06962"/>
    <w:rsid w:val="00C06A2D"/>
    <w:rsid w:val="00C06BA4"/>
    <w:rsid w:val="00C06BB2"/>
    <w:rsid w:val="00C06DA2"/>
    <w:rsid w:val="00C06E78"/>
    <w:rsid w:val="00C0702A"/>
    <w:rsid w:val="00C07168"/>
    <w:rsid w:val="00C07205"/>
    <w:rsid w:val="00C072DE"/>
    <w:rsid w:val="00C07341"/>
    <w:rsid w:val="00C0739B"/>
    <w:rsid w:val="00C073B0"/>
    <w:rsid w:val="00C07544"/>
    <w:rsid w:val="00C075A2"/>
    <w:rsid w:val="00C075B3"/>
    <w:rsid w:val="00C0760E"/>
    <w:rsid w:val="00C07620"/>
    <w:rsid w:val="00C0778A"/>
    <w:rsid w:val="00C07791"/>
    <w:rsid w:val="00C077F0"/>
    <w:rsid w:val="00C07824"/>
    <w:rsid w:val="00C0783C"/>
    <w:rsid w:val="00C07863"/>
    <w:rsid w:val="00C078E1"/>
    <w:rsid w:val="00C0796E"/>
    <w:rsid w:val="00C07C15"/>
    <w:rsid w:val="00C07C4B"/>
    <w:rsid w:val="00C07E59"/>
    <w:rsid w:val="00C07E5C"/>
    <w:rsid w:val="00C07EC6"/>
    <w:rsid w:val="00C07F80"/>
    <w:rsid w:val="00C1020F"/>
    <w:rsid w:val="00C10228"/>
    <w:rsid w:val="00C10378"/>
    <w:rsid w:val="00C103D2"/>
    <w:rsid w:val="00C103ED"/>
    <w:rsid w:val="00C10464"/>
    <w:rsid w:val="00C104A9"/>
    <w:rsid w:val="00C10545"/>
    <w:rsid w:val="00C107C5"/>
    <w:rsid w:val="00C1086A"/>
    <w:rsid w:val="00C10930"/>
    <w:rsid w:val="00C10A0A"/>
    <w:rsid w:val="00C10AFA"/>
    <w:rsid w:val="00C10B97"/>
    <w:rsid w:val="00C10BD2"/>
    <w:rsid w:val="00C10C86"/>
    <w:rsid w:val="00C10E89"/>
    <w:rsid w:val="00C10F28"/>
    <w:rsid w:val="00C10F4D"/>
    <w:rsid w:val="00C110BD"/>
    <w:rsid w:val="00C11130"/>
    <w:rsid w:val="00C112B6"/>
    <w:rsid w:val="00C112EF"/>
    <w:rsid w:val="00C112FC"/>
    <w:rsid w:val="00C113D5"/>
    <w:rsid w:val="00C1148F"/>
    <w:rsid w:val="00C11498"/>
    <w:rsid w:val="00C114FB"/>
    <w:rsid w:val="00C115E2"/>
    <w:rsid w:val="00C11660"/>
    <w:rsid w:val="00C1168F"/>
    <w:rsid w:val="00C1179A"/>
    <w:rsid w:val="00C117A3"/>
    <w:rsid w:val="00C11AE8"/>
    <w:rsid w:val="00C11BFC"/>
    <w:rsid w:val="00C11C1B"/>
    <w:rsid w:val="00C11C73"/>
    <w:rsid w:val="00C11D03"/>
    <w:rsid w:val="00C11DC2"/>
    <w:rsid w:val="00C12042"/>
    <w:rsid w:val="00C1210B"/>
    <w:rsid w:val="00C12155"/>
    <w:rsid w:val="00C12348"/>
    <w:rsid w:val="00C1238A"/>
    <w:rsid w:val="00C123DE"/>
    <w:rsid w:val="00C123EA"/>
    <w:rsid w:val="00C1247A"/>
    <w:rsid w:val="00C124B9"/>
    <w:rsid w:val="00C124F3"/>
    <w:rsid w:val="00C12527"/>
    <w:rsid w:val="00C12541"/>
    <w:rsid w:val="00C12571"/>
    <w:rsid w:val="00C125EE"/>
    <w:rsid w:val="00C1260F"/>
    <w:rsid w:val="00C1281A"/>
    <w:rsid w:val="00C128A8"/>
    <w:rsid w:val="00C128B7"/>
    <w:rsid w:val="00C12948"/>
    <w:rsid w:val="00C129A8"/>
    <w:rsid w:val="00C12A0A"/>
    <w:rsid w:val="00C12A54"/>
    <w:rsid w:val="00C12BAC"/>
    <w:rsid w:val="00C12C35"/>
    <w:rsid w:val="00C12C47"/>
    <w:rsid w:val="00C12DA2"/>
    <w:rsid w:val="00C12E14"/>
    <w:rsid w:val="00C12E7E"/>
    <w:rsid w:val="00C130B3"/>
    <w:rsid w:val="00C1313F"/>
    <w:rsid w:val="00C131A7"/>
    <w:rsid w:val="00C131E9"/>
    <w:rsid w:val="00C134FC"/>
    <w:rsid w:val="00C135B7"/>
    <w:rsid w:val="00C135EC"/>
    <w:rsid w:val="00C13643"/>
    <w:rsid w:val="00C13952"/>
    <w:rsid w:val="00C1395D"/>
    <w:rsid w:val="00C13961"/>
    <w:rsid w:val="00C13995"/>
    <w:rsid w:val="00C13A1D"/>
    <w:rsid w:val="00C13A26"/>
    <w:rsid w:val="00C13A66"/>
    <w:rsid w:val="00C13AA5"/>
    <w:rsid w:val="00C13AB1"/>
    <w:rsid w:val="00C13D73"/>
    <w:rsid w:val="00C13E38"/>
    <w:rsid w:val="00C13E83"/>
    <w:rsid w:val="00C13F9A"/>
    <w:rsid w:val="00C13FAF"/>
    <w:rsid w:val="00C13FB4"/>
    <w:rsid w:val="00C14053"/>
    <w:rsid w:val="00C14297"/>
    <w:rsid w:val="00C142CF"/>
    <w:rsid w:val="00C14301"/>
    <w:rsid w:val="00C14386"/>
    <w:rsid w:val="00C145E2"/>
    <w:rsid w:val="00C147FE"/>
    <w:rsid w:val="00C14861"/>
    <w:rsid w:val="00C14AF9"/>
    <w:rsid w:val="00C14C22"/>
    <w:rsid w:val="00C14CEC"/>
    <w:rsid w:val="00C14D89"/>
    <w:rsid w:val="00C15018"/>
    <w:rsid w:val="00C150B2"/>
    <w:rsid w:val="00C15371"/>
    <w:rsid w:val="00C153BC"/>
    <w:rsid w:val="00C15531"/>
    <w:rsid w:val="00C1560E"/>
    <w:rsid w:val="00C157F9"/>
    <w:rsid w:val="00C15990"/>
    <w:rsid w:val="00C15B68"/>
    <w:rsid w:val="00C15CF6"/>
    <w:rsid w:val="00C15DE2"/>
    <w:rsid w:val="00C15E7E"/>
    <w:rsid w:val="00C1603C"/>
    <w:rsid w:val="00C16094"/>
    <w:rsid w:val="00C16178"/>
    <w:rsid w:val="00C162B5"/>
    <w:rsid w:val="00C162DB"/>
    <w:rsid w:val="00C16309"/>
    <w:rsid w:val="00C16365"/>
    <w:rsid w:val="00C16389"/>
    <w:rsid w:val="00C163AA"/>
    <w:rsid w:val="00C1656E"/>
    <w:rsid w:val="00C1663B"/>
    <w:rsid w:val="00C166C5"/>
    <w:rsid w:val="00C169A3"/>
    <w:rsid w:val="00C16AA5"/>
    <w:rsid w:val="00C16B7D"/>
    <w:rsid w:val="00C16C1A"/>
    <w:rsid w:val="00C16CCA"/>
    <w:rsid w:val="00C16CE6"/>
    <w:rsid w:val="00C16E76"/>
    <w:rsid w:val="00C16EE6"/>
    <w:rsid w:val="00C16F0F"/>
    <w:rsid w:val="00C16F8F"/>
    <w:rsid w:val="00C16FFC"/>
    <w:rsid w:val="00C17055"/>
    <w:rsid w:val="00C1709D"/>
    <w:rsid w:val="00C1722B"/>
    <w:rsid w:val="00C17286"/>
    <w:rsid w:val="00C17381"/>
    <w:rsid w:val="00C173AB"/>
    <w:rsid w:val="00C1742B"/>
    <w:rsid w:val="00C174D4"/>
    <w:rsid w:val="00C1758D"/>
    <w:rsid w:val="00C175DC"/>
    <w:rsid w:val="00C17702"/>
    <w:rsid w:val="00C178CB"/>
    <w:rsid w:val="00C179EF"/>
    <w:rsid w:val="00C17A17"/>
    <w:rsid w:val="00C17A6E"/>
    <w:rsid w:val="00C17C9A"/>
    <w:rsid w:val="00C17D4F"/>
    <w:rsid w:val="00C17E24"/>
    <w:rsid w:val="00C17FB3"/>
    <w:rsid w:val="00C17FC1"/>
    <w:rsid w:val="00C20195"/>
    <w:rsid w:val="00C202DD"/>
    <w:rsid w:val="00C202FC"/>
    <w:rsid w:val="00C20390"/>
    <w:rsid w:val="00C204FF"/>
    <w:rsid w:val="00C20620"/>
    <w:rsid w:val="00C208BB"/>
    <w:rsid w:val="00C2095C"/>
    <w:rsid w:val="00C20A04"/>
    <w:rsid w:val="00C20A16"/>
    <w:rsid w:val="00C20BE8"/>
    <w:rsid w:val="00C20E6C"/>
    <w:rsid w:val="00C20EAC"/>
    <w:rsid w:val="00C20FD8"/>
    <w:rsid w:val="00C2105C"/>
    <w:rsid w:val="00C2123E"/>
    <w:rsid w:val="00C21244"/>
    <w:rsid w:val="00C21249"/>
    <w:rsid w:val="00C21413"/>
    <w:rsid w:val="00C21491"/>
    <w:rsid w:val="00C214C3"/>
    <w:rsid w:val="00C2159F"/>
    <w:rsid w:val="00C21705"/>
    <w:rsid w:val="00C21A5C"/>
    <w:rsid w:val="00C21B7C"/>
    <w:rsid w:val="00C21B82"/>
    <w:rsid w:val="00C21B83"/>
    <w:rsid w:val="00C21CC5"/>
    <w:rsid w:val="00C21DCE"/>
    <w:rsid w:val="00C21E2D"/>
    <w:rsid w:val="00C21E3B"/>
    <w:rsid w:val="00C21E6A"/>
    <w:rsid w:val="00C21E91"/>
    <w:rsid w:val="00C21EEC"/>
    <w:rsid w:val="00C21F9C"/>
    <w:rsid w:val="00C22224"/>
    <w:rsid w:val="00C222A4"/>
    <w:rsid w:val="00C222F0"/>
    <w:rsid w:val="00C22373"/>
    <w:rsid w:val="00C22546"/>
    <w:rsid w:val="00C225CD"/>
    <w:rsid w:val="00C225E9"/>
    <w:rsid w:val="00C2264B"/>
    <w:rsid w:val="00C2271E"/>
    <w:rsid w:val="00C22794"/>
    <w:rsid w:val="00C22796"/>
    <w:rsid w:val="00C227ED"/>
    <w:rsid w:val="00C22875"/>
    <w:rsid w:val="00C228FB"/>
    <w:rsid w:val="00C2291F"/>
    <w:rsid w:val="00C229D3"/>
    <w:rsid w:val="00C22A58"/>
    <w:rsid w:val="00C22A5C"/>
    <w:rsid w:val="00C22A78"/>
    <w:rsid w:val="00C22B57"/>
    <w:rsid w:val="00C22BD5"/>
    <w:rsid w:val="00C22C10"/>
    <w:rsid w:val="00C22CDA"/>
    <w:rsid w:val="00C22CEA"/>
    <w:rsid w:val="00C22DA9"/>
    <w:rsid w:val="00C22DBA"/>
    <w:rsid w:val="00C22E6C"/>
    <w:rsid w:val="00C22ED5"/>
    <w:rsid w:val="00C22F57"/>
    <w:rsid w:val="00C22F7A"/>
    <w:rsid w:val="00C23075"/>
    <w:rsid w:val="00C23134"/>
    <w:rsid w:val="00C2319F"/>
    <w:rsid w:val="00C231F0"/>
    <w:rsid w:val="00C23289"/>
    <w:rsid w:val="00C2344C"/>
    <w:rsid w:val="00C234E0"/>
    <w:rsid w:val="00C235E8"/>
    <w:rsid w:val="00C23624"/>
    <w:rsid w:val="00C2363F"/>
    <w:rsid w:val="00C237CD"/>
    <w:rsid w:val="00C23832"/>
    <w:rsid w:val="00C238DB"/>
    <w:rsid w:val="00C239C5"/>
    <w:rsid w:val="00C23A25"/>
    <w:rsid w:val="00C23C02"/>
    <w:rsid w:val="00C23C81"/>
    <w:rsid w:val="00C23CC7"/>
    <w:rsid w:val="00C23CDB"/>
    <w:rsid w:val="00C23DC3"/>
    <w:rsid w:val="00C23E08"/>
    <w:rsid w:val="00C23EA1"/>
    <w:rsid w:val="00C24079"/>
    <w:rsid w:val="00C2412B"/>
    <w:rsid w:val="00C2418C"/>
    <w:rsid w:val="00C241BE"/>
    <w:rsid w:val="00C24210"/>
    <w:rsid w:val="00C242A3"/>
    <w:rsid w:val="00C24479"/>
    <w:rsid w:val="00C244B4"/>
    <w:rsid w:val="00C2454D"/>
    <w:rsid w:val="00C24679"/>
    <w:rsid w:val="00C246B4"/>
    <w:rsid w:val="00C246E5"/>
    <w:rsid w:val="00C24704"/>
    <w:rsid w:val="00C247BE"/>
    <w:rsid w:val="00C24862"/>
    <w:rsid w:val="00C248C1"/>
    <w:rsid w:val="00C24A2E"/>
    <w:rsid w:val="00C24A9C"/>
    <w:rsid w:val="00C24B31"/>
    <w:rsid w:val="00C24BFF"/>
    <w:rsid w:val="00C24EBA"/>
    <w:rsid w:val="00C24FF5"/>
    <w:rsid w:val="00C24FFB"/>
    <w:rsid w:val="00C25063"/>
    <w:rsid w:val="00C250D3"/>
    <w:rsid w:val="00C2516C"/>
    <w:rsid w:val="00C25195"/>
    <w:rsid w:val="00C25203"/>
    <w:rsid w:val="00C252DD"/>
    <w:rsid w:val="00C253D3"/>
    <w:rsid w:val="00C253F3"/>
    <w:rsid w:val="00C254B5"/>
    <w:rsid w:val="00C25502"/>
    <w:rsid w:val="00C2553C"/>
    <w:rsid w:val="00C257DD"/>
    <w:rsid w:val="00C25877"/>
    <w:rsid w:val="00C25ADA"/>
    <w:rsid w:val="00C25B34"/>
    <w:rsid w:val="00C25B9F"/>
    <w:rsid w:val="00C25CAF"/>
    <w:rsid w:val="00C25CFB"/>
    <w:rsid w:val="00C25D6D"/>
    <w:rsid w:val="00C25DB8"/>
    <w:rsid w:val="00C25F39"/>
    <w:rsid w:val="00C25F72"/>
    <w:rsid w:val="00C26033"/>
    <w:rsid w:val="00C26083"/>
    <w:rsid w:val="00C260BE"/>
    <w:rsid w:val="00C26142"/>
    <w:rsid w:val="00C2615F"/>
    <w:rsid w:val="00C26276"/>
    <w:rsid w:val="00C265FA"/>
    <w:rsid w:val="00C267F5"/>
    <w:rsid w:val="00C26909"/>
    <w:rsid w:val="00C26927"/>
    <w:rsid w:val="00C26C08"/>
    <w:rsid w:val="00C26CF3"/>
    <w:rsid w:val="00C26DF2"/>
    <w:rsid w:val="00C26E4E"/>
    <w:rsid w:val="00C26E4F"/>
    <w:rsid w:val="00C27041"/>
    <w:rsid w:val="00C27124"/>
    <w:rsid w:val="00C27134"/>
    <w:rsid w:val="00C2726E"/>
    <w:rsid w:val="00C274C2"/>
    <w:rsid w:val="00C274C9"/>
    <w:rsid w:val="00C27578"/>
    <w:rsid w:val="00C2759F"/>
    <w:rsid w:val="00C275A4"/>
    <w:rsid w:val="00C275B4"/>
    <w:rsid w:val="00C275C2"/>
    <w:rsid w:val="00C2760E"/>
    <w:rsid w:val="00C27645"/>
    <w:rsid w:val="00C277BA"/>
    <w:rsid w:val="00C2781A"/>
    <w:rsid w:val="00C27868"/>
    <w:rsid w:val="00C278F0"/>
    <w:rsid w:val="00C27974"/>
    <w:rsid w:val="00C27C69"/>
    <w:rsid w:val="00C27CAA"/>
    <w:rsid w:val="00C27CDF"/>
    <w:rsid w:val="00C27D61"/>
    <w:rsid w:val="00C27E34"/>
    <w:rsid w:val="00C27FEF"/>
    <w:rsid w:val="00C30075"/>
    <w:rsid w:val="00C3008A"/>
    <w:rsid w:val="00C3014D"/>
    <w:rsid w:val="00C30153"/>
    <w:rsid w:val="00C30171"/>
    <w:rsid w:val="00C30244"/>
    <w:rsid w:val="00C3030F"/>
    <w:rsid w:val="00C30385"/>
    <w:rsid w:val="00C303D5"/>
    <w:rsid w:val="00C30407"/>
    <w:rsid w:val="00C3042E"/>
    <w:rsid w:val="00C305D9"/>
    <w:rsid w:val="00C305DB"/>
    <w:rsid w:val="00C307C5"/>
    <w:rsid w:val="00C307D8"/>
    <w:rsid w:val="00C309F6"/>
    <w:rsid w:val="00C30AD6"/>
    <w:rsid w:val="00C30C74"/>
    <w:rsid w:val="00C30D87"/>
    <w:rsid w:val="00C30E04"/>
    <w:rsid w:val="00C30EC5"/>
    <w:rsid w:val="00C30F83"/>
    <w:rsid w:val="00C3100E"/>
    <w:rsid w:val="00C310BF"/>
    <w:rsid w:val="00C31289"/>
    <w:rsid w:val="00C313B2"/>
    <w:rsid w:val="00C31441"/>
    <w:rsid w:val="00C31603"/>
    <w:rsid w:val="00C3182F"/>
    <w:rsid w:val="00C31AA7"/>
    <w:rsid w:val="00C31ADC"/>
    <w:rsid w:val="00C31AF7"/>
    <w:rsid w:val="00C31CA0"/>
    <w:rsid w:val="00C31E36"/>
    <w:rsid w:val="00C31E60"/>
    <w:rsid w:val="00C3201C"/>
    <w:rsid w:val="00C32103"/>
    <w:rsid w:val="00C3214A"/>
    <w:rsid w:val="00C3217F"/>
    <w:rsid w:val="00C32564"/>
    <w:rsid w:val="00C32661"/>
    <w:rsid w:val="00C3268E"/>
    <w:rsid w:val="00C32823"/>
    <w:rsid w:val="00C3282E"/>
    <w:rsid w:val="00C3285F"/>
    <w:rsid w:val="00C32A39"/>
    <w:rsid w:val="00C32A57"/>
    <w:rsid w:val="00C32B4E"/>
    <w:rsid w:val="00C32B5F"/>
    <w:rsid w:val="00C32C4A"/>
    <w:rsid w:val="00C32C61"/>
    <w:rsid w:val="00C32D23"/>
    <w:rsid w:val="00C32E5D"/>
    <w:rsid w:val="00C32EFE"/>
    <w:rsid w:val="00C32FA5"/>
    <w:rsid w:val="00C32FFC"/>
    <w:rsid w:val="00C33006"/>
    <w:rsid w:val="00C33037"/>
    <w:rsid w:val="00C33209"/>
    <w:rsid w:val="00C33263"/>
    <w:rsid w:val="00C33398"/>
    <w:rsid w:val="00C33435"/>
    <w:rsid w:val="00C33512"/>
    <w:rsid w:val="00C33582"/>
    <w:rsid w:val="00C336E0"/>
    <w:rsid w:val="00C33926"/>
    <w:rsid w:val="00C33AE1"/>
    <w:rsid w:val="00C33B65"/>
    <w:rsid w:val="00C33C3E"/>
    <w:rsid w:val="00C33C81"/>
    <w:rsid w:val="00C33E3F"/>
    <w:rsid w:val="00C33FBA"/>
    <w:rsid w:val="00C341E4"/>
    <w:rsid w:val="00C341F9"/>
    <w:rsid w:val="00C3437A"/>
    <w:rsid w:val="00C34457"/>
    <w:rsid w:val="00C34497"/>
    <w:rsid w:val="00C3458C"/>
    <w:rsid w:val="00C345D2"/>
    <w:rsid w:val="00C345E0"/>
    <w:rsid w:val="00C34761"/>
    <w:rsid w:val="00C34783"/>
    <w:rsid w:val="00C347C1"/>
    <w:rsid w:val="00C347C6"/>
    <w:rsid w:val="00C34895"/>
    <w:rsid w:val="00C34A72"/>
    <w:rsid w:val="00C34AA4"/>
    <w:rsid w:val="00C34C35"/>
    <w:rsid w:val="00C34CB3"/>
    <w:rsid w:val="00C34E03"/>
    <w:rsid w:val="00C34E81"/>
    <w:rsid w:val="00C3501A"/>
    <w:rsid w:val="00C350B5"/>
    <w:rsid w:val="00C35160"/>
    <w:rsid w:val="00C35270"/>
    <w:rsid w:val="00C35300"/>
    <w:rsid w:val="00C35455"/>
    <w:rsid w:val="00C354BD"/>
    <w:rsid w:val="00C354D9"/>
    <w:rsid w:val="00C354F0"/>
    <w:rsid w:val="00C355EE"/>
    <w:rsid w:val="00C35689"/>
    <w:rsid w:val="00C358D7"/>
    <w:rsid w:val="00C35A35"/>
    <w:rsid w:val="00C35A88"/>
    <w:rsid w:val="00C35AD2"/>
    <w:rsid w:val="00C35AD5"/>
    <w:rsid w:val="00C35BD9"/>
    <w:rsid w:val="00C35D34"/>
    <w:rsid w:val="00C35D73"/>
    <w:rsid w:val="00C35DE1"/>
    <w:rsid w:val="00C35E81"/>
    <w:rsid w:val="00C35F0C"/>
    <w:rsid w:val="00C35F15"/>
    <w:rsid w:val="00C360E6"/>
    <w:rsid w:val="00C360FF"/>
    <w:rsid w:val="00C36112"/>
    <w:rsid w:val="00C362A0"/>
    <w:rsid w:val="00C3632E"/>
    <w:rsid w:val="00C36373"/>
    <w:rsid w:val="00C363AC"/>
    <w:rsid w:val="00C365F3"/>
    <w:rsid w:val="00C365F5"/>
    <w:rsid w:val="00C366D6"/>
    <w:rsid w:val="00C3680A"/>
    <w:rsid w:val="00C36990"/>
    <w:rsid w:val="00C36AA5"/>
    <w:rsid w:val="00C36BDE"/>
    <w:rsid w:val="00C36C4A"/>
    <w:rsid w:val="00C36CF5"/>
    <w:rsid w:val="00C36DA0"/>
    <w:rsid w:val="00C36E2D"/>
    <w:rsid w:val="00C36E3F"/>
    <w:rsid w:val="00C36F76"/>
    <w:rsid w:val="00C37006"/>
    <w:rsid w:val="00C371E4"/>
    <w:rsid w:val="00C3727B"/>
    <w:rsid w:val="00C372CD"/>
    <w:rsid w:val="00C37435"/>
    <w:rsid w:val="00C374D3"/>
    <w:rsid w:val="00C37522"/>
    <w:rsid w:val="00C37736"/>
    <w:rsid w:val="00C377CF"/>
    <w:rsid w:val="00C37826"/>
    <w:rsid w:val="00C3783B"/>
    <w:rsid w:val="00C3785C"/>
    <w:rsid w:val="00C37885"/>
    <w:rsid w:val="00C378C9"/>
    <w:rsid w:val="00C378D0"/>
    <w:rsid w:val="00C379EE"/>
    <w:rsid w:val="00C37AC3"/>
    <w:rsid w:val="00C37ADC"/>
    <w:rsid w:val="00C37B35"/>
    <w:rsid w:val="00C37BAC"/>
    <w:rsid w:val="00C37BB2"/>
    <w:rsid w:val="00C37BE7"/>
    <w:rsid w:val="00C37D19"/>
    <w:rsid w:val="00C37DAC"/>
    <w:rsid w:val="00C37DF9"/>
    <w:rsid w:val="00C37E18"/>
    <w:rsid w:val="00C37E46"/>
    <w:rsid w:val="00C37F16"/>
    <w:rsid w:val="00C37F87"/>
    <w:rsid w:val="00C401BF"/>
    <w:rsid w:val="00C4020A"/>
    <w:rsid w:val="00C4021A"/>
    <w:rsid w:val="00C40252"/>
    <w:rsid w:val="00C40272"/>
    <w:rsid w:val="00C4030D"/>
    <w:rsid w:val="00C40356"/>
    <w:rsid w:val="00C40387"/>
    <w:rsid w:val="00C4049D"/>
    <w:rsid w:val="00C404B7"/>
    <w:rsid w:val="00C404DA"/>
    <w:rsid w:val="00C4082B"/>
    <w:rsid w:val="00C40837"/>
    <w:rsid w:val="00C408A9"/>
    <w:rsid w:val="00C408AC"/>
    <w:rsid w:val="00C40904"/>
    <w:rsid w:val="00C40925"/>
    <w:rsid w:val="00C40B08"/>
    <w:rsid w:val="00C40BF3"/>
    <w:rsid w:val="00C40CC6"/>
    <w:rsid w:val="00C40D78"/>
    <w:rsid w:val="00C40ECA"/>
    <w:rsid w:val="00C41258"/>
    <w:rsid w:val="00C415AD"/>
    <w:rsid w:val="00C41612"/>
    <w:rsid w:val="00C4172D"/>
    <w:rsid w:val="00C418FC"/>
    <w:rsid w:val="00C41957"/>
    <w:rsid w:val="00C419B5"/>
    <w:rsid w:val="00C41A94"/>
    <w:rsid w:val="00C41AFE"/>
    <w:rsid w:val="00C41B5A"/>
    <w:rsid w:val="00C41C7E"/>
    <w:rsid w:val="00C41C8F"/>
    <w:rsid w:val="00C41C97"/>
    <w:rsid w:val="00C41CE0"/>
    <w:rsid w:val="00C41E6C"/>
    <w:rsid w:val="00C41E75"/>
    <w:rsid w:val="00C41EF2"/>
    <w:rsid w:val="00C41F79"/>
    <w:rsid w:val="00C41FDE"/>
    <w:rsid w:val="00C421B0"/>
    <w:rsid w:val="00C422EF"/>
    <w:rsid w:val="00C4262E"/>
    <w:rsid w:val="00C42663"/>
    <w:rsid w:val="00C426B7"/>
    <w:rsid w:val="00C426CD"/>
    <w:rsid w:val="00C427B6"/>
    <w:rsid w:val="00C42809"/>
    <w:rsid w:val="00C42885"/>
    <w:rsid w:val="00C42907"/>
    <w:rsid w:val="00C429A2"/>
    <w:rsid w:val="00C42B74"/>
    <w:rsid w:val="00C42D5E"/>
    <w:rsid w:val="00C42FDE"/>
    <w:rsid w:val="00C42FEA"/>
    <w:rsid w:val="00C4317B"/>
    <w:rsid w:val="00C43188"/>
    <w:rsid w:val="00C432D4"/>
    <w:rsid w:val="00C434DB"/>
    <w:rsid w:val="00C43509"/>
    <w:rsid w:val="00C43540"/>
    <w:rsid w:val="00C436EF"/>
    <w:rsid w:val="00C437E2"/>
    <w:rsid w:val="00C43869"/>
    <w:rsid w:val="00C43909"/>
    <w:rsid w:val="00C4392C"/>
    <w:rsid w:val="00C43D17"/>
    <w:rsid w:val="00C43E78"/>
    <w:rsid w:val="00C440C3"/>
    <w:rsid w:val="00C440D3"/>
    <w:rsid w:val="00C44215"/>
    <w:rsid w:val="00C4432D"/>
    <w:rsid w:val="00C44459"/>
    <w:rsid w:val="00C44488"/>
    <w:rsid w:val="00C4451E"/>
    <w:rsid w:val="00C446F1"/>
    <w:rsid w:val="00C447C3"/>
    <w:rsid w:val="00C447F8"/>
    <w:rsid w:val="00C44827"/>
    <w:rsid w:val="00C448E3"/>
    <w:rsid w:val="00C4492A"/>
    <w:rsid w:val="00C449CB"/>
    <w:rsid w:val="00C44A99"/>
    <w:rsid w:val="00C44ACC"/>
    <w:rsid w:val="00C44C36"/>
    <w:rsid w:val="00C44CDE"/>
    <w:rsid w:val="00C44CE3"/>
    <w:rsid w:val="00C44E04"/>
    <w:rsid w:val="00C44E0B"/>
    <w:rsid w:val="00C44E23"/>
    <w:rsid w:val="00C44E79"/>
    <w:rsid w:val="00C44ECC"/>
    <w:rsid w:val="00C44F91"/>
    <w:rsid w:val="00C45243"/>
    <w:rsid w:val="00C4541D"/>
    <w:rsid w:val="00C455FD"/>
    <w:rsid w:val="00C456CC"/>
    <w:rsid w:val="00C45784"/>
    <w:rsid w:val="00C45788"/>
    <w:rsid w:val="00C45AB3"/>
    <w:rsid w:val="00C45B36"/>
    <w:rsid w:val="00C45B84"/>
    <w:rsid w:val="00C45BE9"/>
    <w:rsid w:val="00C45E57"/>
    <w:rsid w:val="00C45E5C"/>
    <w:rsid w:val="00C45EFD"/>
    <w:rsid w:val="00C45F10"/>
    <w:rsid w:val="00C45F89"/>
    <w:rsid w:val="00C4602A"/>
    <w:rsid w:val="00C46093"/>
    <w:rsid w:val="00C461F2"/>
    <w:rsid w:val="00C461FD"/>
    <w:rsid w:val="00C46313"/>
    <w:rsid w:val="00C4634E"/>
    <w:rsid w:val="00C4644B"/>
    <w:rsid w:val="00C46479"/>
    <w:rsid w:val="00C466BA"/>
    <w:rsid w:val="00C46821"/>
    <w:rsid w:val="00C46874"/>
    <w:rsid w:val="00C468E0"/>
    <w:rsid w:val="00C46A70"/>
    <w:rsid w:val="00C46B6B"/>
    <w:rsid w:val="00C46CF9"/>
    <w:rsid w:val="00C46D2E"/>
    <w:rsid w:val="00C46D5E"/>
    <w:rsid w:val="00C46E99"/>
    <w:rsid w:val="00C46EA7"/>
    <w:rsid w:val="00C46EFD"/>
    <w:rsid w:val="00C46F1F"/>
    <w:rsid w:val="00C46F97"/>
    <w:rsid w:val="00C46FB9"/>
    <w:rsid w:val="00C472E2"/>
    <w:rsid w:val="00C4734C"/>
    <w:rsid w:val="00C473A4"/>
    <w:rsid w:val="00C47433"/>
    <w:rsid w:val="00C474C2"/>
    <w:rsid w:val="00C4752E"/>
    <w:rsid w:val="00C47547"/>
    <w:rsid w:val="00C47569"/>
    <w:rsid w:val="00C4757F"/>
    <w:rsid w:val="00C47589"/>
    <w:rsid w:val="00C475D1"/>
    <w:rsid w:val="00C4777D"/>
    <w:rsid w:val="00C477A9"/>
    <w:rsid w:val="00C477EF"/>
    <w:rsid w:val="00C47915"/>
    <w:rsid w:val="00C47A8D"/>
    <w:rsid w:val="00C47ABA"/>
    <w:rsid w:val="00C47AD4"/>
    <w:rsid w:val="00C47BEA"/>
    <w:rsid w:val="00C47BED"/>
    <w:rsid w:val="00C47C1D"/>
    <w:rsid w:val="00C47CE1"/>
    <w:rsid w:val="00C47CE5"/>
    <w:rsid w:val="00C47D2E"/>
    <w:rsid w:val="00C47DB5"/>
    <w:rsid w:val="00C47DEF"/>
    <w:rsid w:val="00C47EE9"/>
    <w:rsid w:val="00C47F19"/>
    <w:rsid w:val="00C47F41"/>
    <w:rsid w:val="00C47FA7"/>
    <w:rsid w:val="00C47FBC"/>
    <w:rsid w:val="00C5002B"/>
    <w:rsid w:val="00C5011D"/>
    <w:rsid w:val="00C5012E"/>
    <w:rsid w:val="00C50159"/>
    <w:rsid w:val="00C50167"/>
    <w:rsid w:val="00C501DD"/>
    <w:rsid w:val="00C5042A"/>
    <w:rsid w:val="00C5068A"/>
    <w:rsid w:val="00C506A2"/>
    <w:rsid w:val="00C506EE"/>
    <w:rsid w:val="00C507AD"/>
    <w:rsid w:val="00C5091A"/>
    <w:rsid w:val="00C50A31"/>
    <w:rsid w:val="00C50AFC"/>
    <w:rsid w:val="00C50E0E"/>
    <w:rsid w:val="00C50F15"/>
    <w:rsid w:val="00C50FF0"/>
    <w:rsid w:val="00C5102D"/>
    <w:rsid w:val="00C5104D"/>
    <w:rsid w:val="00C51221"/>
    <w:rsid w:val="00C51225"/>
    <w:rsid w:val="00C51499"/>
    <w:rsid w:val="00C514FA"/>
    <w:rsid w:val="00C5152B"/>
    <w:rsid w:val="00C519B3"/>
    <w:rsid w:val="00C52044"/>
    <w:rsid w:val="00C52187"/>
    <w:rsid w:val="00C521C2"/>
    <w:rsid w:val="00C522E2"/>
    <w:rsid w:val="00C52350"/>
    <w:rsid w:val="00C5235D"/>
    <w:rsid w:val="00C52377"/>
    <w:rsid w:val="00C5237A"/>
    <w:rsid w:val="00C523AD"/>
    <w:rsid w:val="00C5245F"/>
    <w:rsid w:val="00C526E8"/>
    <w:rsid w:val="00C52810"/>
    <w:rsid w:val="00C5289E"/>
    <w:rsid w:val="00C5296F"/>
    <w:rsid w:val="00C529A2"/>
    <w:rsid w:val="00C52AF5"/>
    <w:rsid w:val="00C52B79"/>
    <w:rsid w:val="00C52CCA"/>
    <w:rsid w:val="00C52DB3"/>
    <w:rsid w:val="00C52DC7"/>
    <w:rsid w:val="00C52DC9"/>
    <w:rsid w:val="00C5302F"/>
    <w:rsid w:val="00C532C7"/>
    <w:rsid w:val="00C532CE"/>
    <w:rsid w:val="00C533B6"/>
    <w:rsid w:val="00C5347E"/>
    <w:rsid w:val="00C535EE"/>
    <w:rsid w:val="00C53853"/>
    <w:rsid w:val="00C53885"/>
    <w:rsid w:val="00C538E3"/>
    <w:rsid w:val="00C53CAA"/>
    <w:rsid w:val="00C5413A"/>
    <w:rsid w:val="00C54169"/>
    <w:rsid w:val="00C541E6"/>
    <w:rsid w:val="00C5426C"/>
    <w:rsid w:val="00C54289"/>
    <w:rsid w:val="00C54308"/>
    <w:rsid w:val="00C5435C"/>
    <w:rsid w:val="00C544CD"/>
    <w:rsid w:val="00C54669"/>
    <w:rsid w:val="00C547C5"/>
    <w:rsid w:val="00C54995"/>
    <w:rsid w:val="00C54A25"/>
    <w:rsid w:val="00C54A94"/>
    <w:rsid w:val="00C54AE0"/>
    <w:rsid w:val="00C54B14"/>
    <w:rsid w:val="00C54B87"/>
    <w:rsid w:val="00C54C4F"/>
    <w:rsid w:val="00C54D0B"/>
    <w:rsid w:val="00C54D82"/>
    <w:rsid w:val="00C54EBE"/>
    <w:rsid w:val="00C54F4C"/>
    <w:rsid w:val="00C550B0"/>
    <w:rsid w:val="00C5512C"/>
    <w:rsid w:val="00C55132"/>
    <w:rsid w:val="00C55144"/>
    <w:rsid w:val="00C55294"/>
    <w:rsid w:val="00C55297"/>
    <w:rsid w:val="00C55306"/>
    <w:rsid w:val="00C55598"/>
    <w:rsid w:val="00C555D6"/>
    <w:rsid w:val="00C555D8"/>
    <w:rsid w:val="00C55613"/>
    <w:rsid w:val="00C5562B"/>
    <w:rsid w:val="00C556C0"/>
    <w:rsid w:val="00C557F3"/>
    <w:rsid w:val="00C5585B"/>
    <w:rsid w:val="00C559A1"/>
    <w:rsid w:val="00C55A69"/>
    <w:rsid w:val="00C55B9C"/>
    <w:rsid w:val="00C55BEC"/>
    <w:rsid w:val="00C55D68"/>
    <w:rsid w:val="00C55D79"/>
    <w:rsid w:val="00C55FB5"/>
    <w:rsid w:val="00C5600F"/>
    <w:rsid w:val="00C560A9"/>
    <w:rsid w:val="00C5613C"/>
    <w:rsid w:val="00C56258"/>
    <w:rsid w:val="00C562C8"/>
    <w:rsid w:val="00C563B2"/>
    <w:rsid w:val="00C566DB"/>
    <w:rsid w:val="00C567C6"/>
    <w:rsid w:val="00C56958"/>
    <w:rsid w:val="00C569AC"/>
    <w:rsid w:val="00C56A6E"/>
    <w:rsid w:val="00C56B32"/>
    <w:rsid w:val="00C56C89"/>
    <w:rsid w:val="00C56DD9"/>
    <w:rsid w:val="00C56E93"/>
    <w:rsid w:val="00C56F36"/>
    <w:rsid w:val="00C5706D"/>
    <w:rsid w:val="00C570A2"/>
    <w:rsid w:val="00C5717A"/>
    <w:rsid w:val="00C5717E"/>
    <w:rsid w:val="00C573D5"/>
    <w:rsid w:val="00C5747B"/>
    <w:rsid w:val="00C575BD"/>
    <w:rsid w:val="00C575D0"/>
    <w:rsid w:val="00C576D0"/>
    <w:rsid w:val="00C57735"/>
    <w:rsid w:val="00C57774"/>
    <w:rsid w:val="00C577E9"/>
    <w:rsid w:val="00C57881"/>
    <w:rsid w:val="00C57977"/>
    <w:rsid w:val="00C57A8A"/>
    <w:rsid w:val="00C57AA7"/>
    <w:rsid w:val="00C57CB4"/>
    <w:rsid w:val="00C57D5A"/>
    <w:rsid w:val="00C57E75"/>
    <w:rsid w:val="00C57EF6"/>
    <w:rsid w:val="00C57FDE"/>
    <w:rsid w:val="00C60159"/>
    <w:rsid w:val="00C6047D"/>
    <w:rsid w:val="00C60491"/>
    <w:rsid w:val="00C606B9"/>
    <w:rsid w:val="00C60732"/>
    <w:rsid w:val="00C60772"/>
    <w:rsid w:val="00C60790"/>
    <w:rsid w:val="00C607EA"/>
    <w:rsid w:val="00C607EB"/>
    <w:rsid w:val="00C6082F"/>
    <w:rsid w:val="00C60960"/>
    <w:rsid w:val="00C60B07"/>
    <w:rsid w:val="00C60BE8"/>
    <w:rsid w:val="00C60C16"/>
    <w:rsid w:val="00C60CF5"/>
    <w:rsid w:val="00C60E21"/>
    <w:rsid w:val="00C60E97"/>
    <w:rsid w:val="00C60EB1"/>
    <w:rsid w:val="00C60F08"/>
    <w:rsid w:val="00C60FF9"/>
    <w:rsid w:val="00C61148"/>
    <w:rsid w:val="00C611C0"/>
    <w:rsid w:val="00C61245"/>
    <w:rsid w:val="00C612CB"/>
    <w:rsid w:val="00C61345"/>
    <w:rsid w:val="00C613C0"/>
    <w:rsid w:val="00C6140F"/>
    <w:rsid w:val="00C61423"/>
    <w:rsid w:val="00C614B6"/>
    <w:rsid w:val="00C6164A"/>
    <w:rsid w:val="00C61A50"/>
    <w:rsid w:val="00C61D38"/>
    <w:rsid w:val="00C61D3B"/>
    <w:rsid w:val="00C61DFF"/>
    <w:rsid w:val="00C61E19"/>
    <w:rsid w:val="00C61E88"/>
    <w:rsid w:val="00C61F89"/>
    <w:rsid w:val="00C621A8"/>
    <w:rsid w:val="00C62309"/>
    <w:rsid w:val="00C62356"/>
    <w:rsid w:val="00C623A8"/>
    <w:rsid w:val="00C6248D"/>
    <w:rsid w:val="00C624B8"/>
    <w:rsid w:val="00C624C6"/>
    <w:rsid w:val="00C625E1"/>
    <w:rsid w:val="00C62626"/>
    <w:rsid w:val="00C626A6"/>
    <w:rsid w:val="00C6280C"/>
    <w:rsid w:val="00C62829"/>
    <w:rsid w:val="00C6297F"/>
    <w:rsid w:val="00C6298F"/>
    <w:rsid w:val="00C629E6"/>
    <w:rsid w:val="00C62BA7"/>
    <w:rsid w:val="00C62DC2"/>
    <w:rsid w:val="00C62DE3"/>
    <w:rsid w:val="00C62E9C"/>
    <w:rsid w:val="00C62EDF"/>
    <w:rsid w:val="00C62F2B"/>
    <w:rsid w:val="00C631FF"/>
    <w:rsid w:val="00C63379"/>
    <w:rsid w:val="00C633C5"/>
    <w:rsid w:val="00C634A6"/>
    <w:rsid w:val="00C6351D"/>
    <w:rsid w:val="00C635A0"/>
    <w:rsid w:val="00C635B4"/>
    <w:rsid w:val="00C635E5"/>
    <w:rsid w:val="00C63610"/>
    <w:rsid w:val="00C6368C"/>
    <w:rsid w:val="00C63862"/>
    <w:rsid w:val="00C6388D"/>
    <w:rsid w:val="00C63A9B"/>
    <w:rsid w:val="00C63AA4"/>
    <w:rsid w:val="00C63AC4"/>
    <w:rsid w:val="00C63DF1"/>
    <w:rsid w:val="00C63E8F"/>
    <w:rsid w:val="00C64036"/>
    <w:rsid w:val="00C64037"/>
    <w:rsid w:val="00C640EE"/>
    <w:rsid w:val="00C64136"/>
    <w:rsid w:val="00C64140"/>
    <w:rsid w:val="00C6429F"/>
    <w:rsid w:val="00C6443D"/>
    <w:rsid w:val="00C644CF"/>
    <w:rsid w:val="00C64592"/>
    <w:rsid w:val="00C6459B"/>
    <w:rsid w:val="00C645C2"/>
    <w:rsid w:val="00C645E2"/>
    <w:rsid w:val="00C64706"/>
    <w:rsid w:val="00C647F4"/>
    <w:rsid w:val="00C64943"/>
    <w:rsid w:val="00C64AA0"/>
    <w:rsid w:val="00C64AD0"/>
    <w:rsid w:val="00C64B83"/>
    <w:rsid w:val="00C64B8D"/>
    <w:rsid w:val="00C64C0D"/>
    <w:rsid w:val="00C64D03"/>
    <w:rsid w:val="00C650AA"/>
    <w:rsid w:val="00C6524A"/>
    <w:rsid w:val="00C652E7"/>
    <w:rsid w:val="00C65373"/>
    <w:rsid w:val="00C6542C"/>
    <w:rsid w:val="00C65510"/>
    <w:rsid w:val="00C65682"/>
    <w:rsid w:val="00C657D0"/>
    <w:rsid w:val="00C658A5"/>
    <w:rsid w:val="00C65914"/>
    <w:rsid w:val="00C65B91"/>
    <w:rsid w:val="00C65CDE"/>
    <w:rsid w:val="00C65EC7"/>
    <w:rsid w:val="00C65F93"/>
    <w:rsid w:val="00C6601E"/>
    <w:rsid w:val="00C66150"/>
    <w:rsid w:val="00C6640D"/>
    <w:rsid w:val="00C6655A"/>
    <w:rsid w:val="00C665A5"/>
    <w:rsid w:val="00C665EB"/>
    <w:rsid w:val="00C666F9"/>
    <w:rsid w:val="00C6673E"/>
    <w:rsid w:val="00C668AE"/>
    <w:rsid w:val="00C66967"/>
    <w:rsid w:val="00C66BB4"/>
    <w:rsid w:val="00C66CE8"/>
    <w:rsid w:val="00C66DA7"/>
    <w:rsid w:val="00C66EFE"/>
    <w:rsid w:val="00C66FFF"/>
    <w:rsid w:val="00C67088"/>
    <w:rsid w:val="00C6714B"/>
    <w:rsid w:val="00C67261"/>
    <w:rsid w:val="00C6732E"/>
    <w:rsid w:val="00C6736A"/>
    <w:rsid w:val="00C673EF"/>
    <w:rsid w:val="00C673FF"/>
    <w:rsid w:val="00C6757C"/>
    <w:rsid w:val="00C6759C"/>
    <w:rsid w:val="00C6761A"/>
    <w:rsid w:val="00C6763E"/>
    <w:rsid w:val="00C67696"/>
    <w:rsid w:val="00C6777B"/>
    <w:rsid w:val="00C67898"/>
    <w:rsid w:val="00C67945"/>
    <w:rsid w:val="00C679D9"/>
    <w:rsid w:val="00C67A10"/>
    <w:rsid w:val="00C67A34"/>
    <w:rsid w:val="00C67ABC"/>
    <w:rsid w:val="00C67C6C"/>
    <w:rsid w:val="00C67D5C"/>
    <w:rsid w:val="00C67DA3"/>
    <w:rsid w:val="00C67DE0"/>
    <w:rsid w:val="00C67E32"/>
    <w:rsid w:val="00C67EA4"/>
    <w:rsid w:val="00C67F43"/>
    <w:rsid w:val="00C67F9C"/>
    <w:rsid w:val="00C70039"/>
    <w:rsid w:val="00C70063"/>
    <w:rsid w:val="00C70122"/>
    <w:rsid w:val="00C703FD"/>
    <w:rsid w:val="00C7043B"/>
    <w:rsid w:val="00C704CD"/>
    <w:rsid w:val="00C704DD"/>
    <w:rsid w:val="00C705CC"/>
    <w:rsid w:val="00C7060E"/>
    <w:rsid w:val="00C7061A"/>
    <w:rsid w:val="00C70654"/>
    <w:rsid w:val="00C70681"/>
    <w:rsid w:val="00C7076B"/>
    <w:rsid w:val="00C707D0"/>
    <w:rsid w:val="00C7089C"/>
    <w:rsid w:val="00C70A00"/>
    <w:rsid w:val="00C70A67"/>
    <w:rsid w:val="00C70A91"/>
    <w:rsid w:val="00C70AB9"/>
    <w:rsid w:val="00C70B17"/>
    <w:rsid w:val="00C70B1D"/>
    <w:rsid w:val="00C70B57"/>
    <w:rsid w:val="00C70C97"/>
    <w:rsid w:val="00C70DD9"/>
    <w:rsid w:val="00C70F6B"/>
    <w:rsid w:val="00C70FAF"/>
    <w:rsid w:val="00C7106D"/>
    <w:rsid w:val="00C710B2"/>
    <w:rsid w:val="00C71304"/>
    <w:rsid w:val="00C7153F"/>
    <w:rsid w:val="00C71541"/>
    <w:rsid w:val="00C71562"/>
    <w:rsid w:val="00C715D6"/>
    <w:rsid w:val="00C715ED"/>
    <w:rsid w:val="00C71674"/>
    <w:rsid w:val="00C716AD"/>
    <w:rsid w:val="00C716D1"/>
    <w:rsid w:val="00C716FF"/>
    <w:rsid w:val="00C717F3"/>
    <w:rsid w:val="00C7188E"/>
    <w:rsid w:val="00C718D6"/>
    <w:rsid w:val="00C71939"/>
    <w:rsid w:val="00C71960"/>
    <w:rsid w:val="00C71C07"/>
    <w:rsid w:val="00C71C8C"/>
    <w:rsid w:val="00C71CFC"/>
    <w:rsid w:val="00C71EC7"/>
    <w:rsid w:val="00C71FD1"/>
    <w:rsid w:val="00C72065"/>
    <w:rsid w:val="00C720BD"/>
    <w:rsid w:val="00C72179"/>
    <w:rsid w:val="00C72185"/>
    <w:rsid w:val="00C7219E"/>
    <w:rsid w:val="00C721AB"/>
    <w:rsid w:val="00C72236"/>
    <w:rsid w:val="00C722BA"/>
    <w:rsid w:val="00C72516"/>
    <w:rsid w:val="00C7265D"/>
    <w:rsid w:val="00C72816"/>
    <w:rsid w:val="00C72863"/>
    <w:rsid w:val="00C729FF"/>
    <w:rsid w:val="00C72A09"/>
    <w:rsid w:val="00C72AA9"/>
    <w:rsid w:val="00C72B52"/>
    <w:rsid w:val="00C72BEC"/>
    <w:rsid w:val="00C72D0C"/>
    <w:rsid w:val="00C72FC8"/>
    <w:rsid w:val="00C7309A"/>
    <w:rsid w:val="00C731EE"/>
    <w:rsid w:val="00C7330F"/>
    <w:rsid w:val="00C73645"/>
    <w:rsid w:val="00C73653"/>
    <w:rsid w:val="00C7365A"/>
    <w:rsid w:val="00C736C8"/>
    <w:rsid w:val="00C73722"/>
    <w:rsid w:val="00C7389F"/>
    <w:rsid w:val="00C73A06"/>
    <w:rsid w:val="00C73B35"/>
    <w:rsid w:val="00C73B6C"/>
    <w:rsid w:val="00C73D39"/>
    <w:rsid w:val="00C73D9B"/>
    <w:rsid w:val="00C73DB1"/>
    <w:rsid w:val="00C73E76"/>
    <w:rsid w:val="00C73EBD"/>
    <w:rsid w:val="00C73F9F"/>
    <w:rsid w:val="00C73FDE"/>
    <w:rsid w:val="00C7410E"/>
    <w:rsid w:val="00C74128"/>
    <w:rsid w:val="00C744D2"/>
    <w:rsid w:val="00C7456B"/>
    <w:rsid w:val="00C74794"/>
    <w:rsid w:val="00C74864"/>
    <w:rsid w:val="00C7489A"/>
    <w:rsid w:val="00C74B08"/>
    <w:rsid w:val="00C74F38"/>
    <w:rsid w:val="00C74F52"/>
    <w:rsid w:val="00C74F81"/>
    <w:rsid w:val="00C75033"/>
    <w:rsid w:val="00C75129"/>
    <w:rsid w:val="00C75304"/>
    <w:rsid w:val="00C7537A"/>
    <w:rsid w:val="00C7550B"/>
    <w:rsid w:val="00C755EB"/>
    <w:rsid w:val="00C75635"/>
    <w:rsid w:val="00C75669"/>
    <w:rsid w:val="00C7567E"/>
    <w:rsid w:val="00C757F0"/>
    <w:rsid w:val="00C75A99"/>
    <w:rsid w:val="00C75BA1"/>
    <w:rsid w:val="00C75DF9"/>
    <w:rsid w:val="00C75EE8"/>
    <w:rsid w:val="00C75EF1"/>
    <w:rsid w:val="00C75FD1"/>
    <w:rsid w:val="00C76001"/>
    <w:rsid w:val="00C760FD"/>
    <w:rsid w:val="00C761FF"/>
    <w:rsid w:val="00C7621E"/>
    <w:rsid w:val="00C76272"/>
    <w:rsid w:val="00C762BC"/>
    <w:rsid w:val="00C7636C"/>
    <w:rsid w:val="00C7644A"/>
    <w:rsid w:val="00C7647B"/>
    <w:rsid w:val="00C76595"/>
    <w:rsid w:val="00C76739"/>
    <w:rsid w:val="00C76765"/>
    <w:rsid w:val="00C7680A"/>
    <w:rsid w:val="00C769CE"/>
    <w:rsid w:val="00C76A04"/>
    <w:rsid w:val="00C76A87"/>
    <w:rsid w:val="00C76A9B"/>
    <w:rsid w:val="00C76B9E"/>
    <w:rsid w:val="00C76BAE"/>
    <w:rsid w:val="00C76C08"/>
    <w:rsid w:val="00C76C1E"/>
    <w:rsid w:val="00C76D66"/>
    <w:rsid w:val="00C76E40"/>
    <w:rsid w:val="00C76FBB"/>
    <w:rsid w:val="00C771B9"/>
    <w:rsid w:val="00C771BD"/>
    <w:rsid w:val="00C77242"/>
    <w:rsid w:val="00C77285"/>
    <w:rsid w:val="00C772E7"/>
    <w:rsid w:val="00C775E8"/>
    <w:rsid w:val="00C77819"/>
    <w:rsid w:val="00C7792C"/>
    <w:rsid w:val="00C779AE"/>
    <w:rsid w:val="00C77B85"/>
    <w:rsid w:val="00C77BAC"/>
    <w:rsid w:val="00C77C21"/>
    <w:rsid w:val="00C77EBA"/>
    <w:rsid w:val="00C77F9F"/>
    <w:rsid w:val="00C801B9"/>
    <w:rsid w:val="00C805B0"/>
    <w:rsid w:val="00C806F1"/>
    <w:rsid w:val="00C8071F"/>
    <w:rsid w:val="00C80AA8"/>
    <w:rsid w:val="00C80BB0"/>
    <w:rsid w:val="00C80BD6"/>
    <w:rsid w:val="00C80D67"/>
    <w:rsid w:val="00C80DB6"/>
    <w:rsid w:val="00C80DBA"/>
    <w:rsid w:val="00C80E91"/>
    <w:rsid w:val="00C80E9C"/>
    <w:rsid w:val="00C80F4A"/>
    <w:rsid w:val="00C80FEB"/>
    <w:rsid w:val="00C81063"/>
    <w:rsid w:val="00C8112D"/>
    <w:rsid w:val="00C81343"/>
    <w:rsid w:val="00C8142A"/>
    <w:rsid w:val="00C8148D"/>
    <w:rsid w:val="00C814F8"/>
    <w:rsid w:val="00C8162D"/>
    <w:rsid w:val="00C8164E"/>
    <w:rsid w:val="00C816BE"/>
    <w:rsid w:val="00C81703"/>
    <w:rsid w:val="00C8173E"/>
    <w:rsid w:val="00C8184D"/>
    <w:rsid w:val="00C818C4"/>
    <w:rsid w:val="00C81ADD"/>
    <w:rsid w:val="00C81B32"/>
    <w:rsid w:val="00C81CFC"/>
    <w:rsid w:val="00C81ED4"/>
    <w:rsid w:val="00C81F07"/>
    <w:rsid w:val="00C81F4A"/>
    <w:rsid w:val="00C81FE9"/>
    <w:rsid w:val="00C820AE"/>
    <w:rsid w:val="00C820C2"/>
    <w:rsid w:val="00C8211B"/>
    <w:rsid w:val="00C82152"/>
    <w:rsid w:val="00C82250"/>
    <w:rsid w:val="00C82275"/>
    <w:rsid w:val="00C82559"/>
    <w:rsid w:val="00C825DF"/>
    <w:rsid w:val="00C8262F"/>
    <w:rsid w:val="00C826DC"/>
    <w:rsid w:val="00C8286F"/>
    <w:rsid w:val="00C82874"/>
    <w:rsid w:val="00C828A2"/>
    <w:rsid w:val="00C82968"/>
    <w:rsid w:val="00C829E1"/>
    <w:rsid w:val="00C82AE3"/>
    <w:rsid w:val="00C82B62"/>
    <w:rsid w:val="00C82B78"/>
    <w:rsid w:val="00C82D7D"/>
    <w:rsid w:val="00C82F11"/>
    <w:rsid w:val="00C82F56"/>
    <w:rsid w:val="00C8316D"/>
    <w:rsid w:val="00C8322E"/>
    <w:rsid w:val="00C83265"/>
    <w:rsid w:val="00C832B7"/>
    <w:rsid w:val="00C832D5"/>
    <w:rsid w:val="00C8337E"/>
    <w:rsid w:val="00C834BF"/>
    <w:rsid w:val="00C8377F"/>
    <w:rsid w:val="00C837C5"/>
    <w:rsid w:val="00C838DA"/>
    <w:rsid w:val="00C8390C"/>
    <w:rsid w:val="00C83933"/>
    <w:rsid w:val="00C8393D"/>
    <w:rsid w:val="00C839B4"/>
    <w:rsid w:val="00C83AEC"/>
    <w:rsid w:val="00C83B40"/>
    <w:rsid w:val="00C83B93"/>
    <w:rsid w:val="00C83D03"/>
    <w:rsid w:val="00C83D8D"/>
    <w:rsid w:val="00C83E43"/>
    <w:rsid w:val="00C83E7A"/>
    <w:rsid w:val="00C83EE0"/>
    <w:rsid w:val="00C83F30"/>
    <w:rsid w:val="00C83F41"/>
    <w:rsid w:val="00C8409D"/>
    <w:rsid w:val="00C840EA"/>
    <w:rsid w:val="00C840EF"/>
    <w:rsid w:val="00C841EE"/>
    <w:rsid w:val="00C844FC"/>
    <w:rsid w:val="00C8456F"/>
    <w:rsid w:val="00C8457C"/>
    <w:rsid w:val="00C84707"/>
    <w:rsid w:val="00C849DE"/>
    <w:rsid w:val="00C84ADB"/>
    <w:rsid w:val="00C84B28"/>
    <w:rsid w:val="00C84E66"/>
    <w:rsid w:val="00C84EA7"/>
    <w:rsid w:val="00C84F21"/>
    <w:rsid w:val="00C84F56"/>
    <w:rsid w:val="00C84F66"/>
    <w:rsid w:val="00C84F82"/>
    <w:rsid w:val="00C84FA1"/>
    <w:rsid w:val="00C84FD5"/>
    <w:rsid w:val="00C84FF6"/>
    <w:rsid w:val="00C85038"/>
    <w:rsid w:val="00C851D5"/>
    <w:rsid w:val="00C85218"/>
    <w:rsid w:val="00C852A2"/>
    <w:rsid w:val="00C8553D"/>
    <w:rsid w:val="00C855AA"/>
    <w:rsid w:val="00C8564A"/>
    <w:rsid w:val="00C856C1"/>
    <w:rsid w:val="00C85712"/>
    <w:rsid w:val="00C857D2"/>
    <w:rsid w:val="00C85876"/>
    <w:rsid w:val="00C85897"/>
    <w:rsid w:val="00C858E3"/>
    <w:rsid w:val="00C85A3A"/>
    <w:rsid w:val="00C85B60"/>
    <w:rsid w:val="00C85C9C"/>
    <w:rsid w:val="00C85CCA"/>
    <w:rsid w:val="00C85D5A"/>
    <w:rsid w:val="00C85D98"/>
    <w:rsid w:val="00C85F15"/>
    <w:rsid w:val="00C85F72"/>
    <w:rsid w:val="00C860C9"/>
    <w:rsid w:val="00C861B4"/>
    <w:rsid w:val="00C861F8"/>
    <w:rsid w:val="00C861FE"/>
    <w:rsid w:val="00C86312"/>
    <w:rsid w:val="00C86337"/>
    <w:rsid w:val="00C863BC"/>
    <w:rsid w:val="00C8642D"/>
    <w:rsid w:val="00C86726"/>
    <w:rsid w:val="00C867E3"/>
    <w:rsid w:val="00C8687A"/>
    <w:rsid w:val="00C86ABD"/>
    <w:rsid w:val="00C86AF5"/>
    <w:rsid w:val="00C86BFE"/>
    <w:rsid w:val="00C86C38"/>
    <w:rsid w:val="00C86C4D"/>
    <w:rsid w:val="00C86D2D"/>
    <w:rsid w:val="00C86D46"/>
    <w:rsid w:val="00C86D50"/>
    <w:rsid w:val="00C86DA2"/>
    <w:rsid w:val="00C86DD1"/>
    <w:rsid w:val="00C8729A"/>
    <w:rsid w:val="00C87301"/>
    <w:rsid w:val="00C8746B"/>
    <w:rsid w:val="00C87470"/>
    <w:rsid w:val="00C874B5"/>
    <w:rsid w:val="00C875F9"/>
    <w:rsid w:val="00C876A5"/>
    <w:rsid w:val="00C87734"/>
    <w:rsid w:val="00C87778"/>
    <w:rsid w:val="00C8784E"/>
    <w:rsid w:val="00C87910"/>
    <w:rsid w:val="00C87933"/>
    <w:rsid w:val="00C879E7"/>
    <w:rsid w:val="00C87A34"/>
    <w:rsid w:val="00C87A82"/>
    <w:rsid w:val="00C87AC1"/>
    <w:rsid w:val="00C87C2C"/>
    <w:rsid w:val="00C87D21"/>
    <w:rsid w:val="00C87D36"/>
    <w:rsid w:val="00C87D53"/>
    <w:rsid w:val="00C87DD9"/>
    <w:rsid w:val="00C87EAE"/>
    <w:rsid w:val="00C87EB9"/>
    <w:rsid w:val="00C900FE"/>
    <w:rsid w:val="00C901C4"/>
    <w:rsid w:val="00C902F3"/>
    <w:rsid w:val="00C9033D"/>
    <w:rsid w:val="00C903E4"/>
    <w:rsid w:val="00C9045E"/>
    <w:rsid w:val="00C9057D"/>
    <w:rsid w:val="00C90591"/>
    <w:rsid w:val="00C905EC"/>
    <w:rsid w:val="00C90624"/>
    <w:rsid w:val="00C9076A"/>
    <w:rsid w:val="00C907B5"/>
    <w:rsid w:val="00C90935"/>
    <w:rsid w:val="00C90942"/>
    <w:rsid w:val="00C90988"/>
    <w:rsid w:val="00C90AB4"/>
    <w:rsid w:val="00C90B8E"/>
    <w:rsid w:val="00C90C12"/>
    <w:rsid w:val="00C90DE1"/>
    <w:rsid w:val="00C90DED"/>
    <w:rsid w:val="00C9106D"/>
    <w:rsid w:val="00C91194"/>
    <w:rsid w:val="00C911DC"/>
    <w:rsid w:val="00C912CD"/>
    <w:rsid w:val="00C9134B"/>
    <w:rsid w:val="00C913C2"/>
    <w:rsid w:val="00C91412"/>
    <w:rsid w:val="00C91498"/>
    <w:rsid w:val="00C914BD"/>
    <w:rsid w:val="00C91507"/>
    <w:rsid w:val="00C9166E"/>
    <w:rsid w:val="00C916E8"/>
    <w:rsid w:val="00C9172F"/>
    <w:rsid w:val="00C91742"/>
    <w:rsid w:val="00C91868"/>
    <w:rsid w:val="00C9186E"/>
    <w:rsid w:val="00C91889"/>
    <w:rsid w:val="00C918C7"/>
    <w:rsid w:val="00C91980"/>
    <w:rsid w:val="00C91B81"/>
    <w:rsid w:val="00C91C12"/>
    <w:rsid w:val="00C91D8D"/>
    <w:rsid w:val="00C91EBF"/>
    <w:rsid w:val="00C91FB9"/>
    <w:rsid w:val="00C9200A"/>
    <w:rsid w:val="00C920C9"/>
    <w:rsid w:val="00C92197"/>
    <w:rsid w:val="00C921CF"/>
    <w:rsid w:val="00C92215"/>
    <w:rsid w:val="00C9249D"/>
    <w:rsid w:val="00C92596"/>
    <w:rsid w:val="00C92682"/>
    <w:rsid w:val="00C926FE"/>
    <w:rsid w:val="00C927A3"/>
    <w:rsid w:val="00C92832"/>
    <w:rsid w:val="00C92877"/>
    <w:rsid w:val="00C92912"/>
    <w:rsid w:val="00C92970"/>
    <w:rsid w:val="00C929CF"/>
    <w:rsid w:val="00C92A1E"/>
    <w:rsid w:val="00C92AE1"/>
    <w:rsid w:val="00C92C6C"/>
    <w:rsid w:val="00C92D72"/>
    <w:rsid w:val="00C92F95"/>
    <w:rsid w:val="00C92FCD"/>
    <w:rsid w:val="00C9326F"/>
    <w:rsid w:val="00C93487"/>
    <w:rsid w:val="00C93818"/>
    <w:rsid w:val="00C93912"/>
    <w:rsid w:val="00C9391D"/>
    <w:rsid w:val="00C93AE9"/>
    <w:rsid w:val="00C93AEC"/>
    <w:rsid w:val="00C93D31"/>
    <w:rsid w:val="00C93D4C"/>
    <w:rsid w:val="00C93EEE"/>
    <w:rsid w:val="00C93FDF"/>
    <w:rsid w:val="00C940B5"/>
    <w:rsid w:val="00C940E6"/>
    <w:rsid w:val="00C940F8"/>
    <w:rsid w:val="00C941C8"/>
    <w:rsid w:val="00C94282"/>
    <w:rsid w:val="00C94309"/>
    <w:rsid w:val="00C9435D"/>
    <w:rsid w:val="00C9439B"/>
    <w:rsid w:val="00C94410"/>
    <w:rsid w:val="00C94452"/>
    <w:rsid w:val="00C946BF"/>
    <w:rsid w:val="00C9479F"/>
    <w:rsid w:val="00C94A68"/>
    <w:rsid w:val="00C94C5D"/>
    <w:rsid w:val="00C94E4D"/>
    <w:rsid w:val="00C95085"/>
    <w:rsid w:val="00C95177"/>
    <w:rsid w:val="00C9517E"/>
    <w:rsid w:val="00C95387"/>
    <w:rsid w:val="00C953D5"/>
    <w:rsid w:val="00C95522"/>
    <w:rsid w:val="00C9552F"/>
    <w:rsid w:val="00C9553A"/>
    <w:rsid w:val="00C9562E"/>
    <w:rsid w:val="00C95656"/>
    <w:rsid w:val="00C957AC"/>
    <w:rsid w:val="00C957BC"/>
    <w:rsid w:val="00C9595A"/>
    <w:rsid w:val="00C95A8C"/>
    <w:rsid w:val="00C95B72"/>
    <w:rsid w:val="00C95D90"/>
    <w:rsid w:val="00C95E88"/>
    <w:rsid w:val="00C95EC7"/>
    <w:rsid w:val="00C95F32"/>
    <w:rsid w:val="00C96060"/>
    <w:rsid w:val="00C960BE"/>
    <w:rsid w:val="00C96114"/>
    <w:rsid w:val="00C961C1"/>
    <w:rsid w:val="00C961F0"/>
    <w:rsid w:val="00C96236"/>
    <w:rsid w:val="00C962F1"/>
    <w:rsid w:val="00C962FD"/>
    <w:rsid w:val="00C9633A"/>
    <w:rsid w:val="00C96353"/>
    <w:rsid w:val="00C96435"/>
    <w:rsid w:val="00C96559"/>
    <w:rsid w:val="00C96641"/>
    <w:rsid w:val="00C9669E"/>
    <w:rsid w:val="00C96718"/>
    <w:rsid w:val="00C96B1F"/>
    <w:rsid w:val="00C96C06"/>
    <w:rsid w:val="00C96C46"/>
    <w:rsid w:val="00C96ECD"/>
    <w:rsid w:val="00C96F55"/>
    <w:rsid w:val="00C96FDB"/>
    <w:rsid w:val="00C97263"/>
    <w:rsid w:val="00C97378"/>
    <w:rsid w:val="00C975D8"/>
    <w:rsid w:val="00C97626"/>
    <w:rsid w:val="00C97805"/>
    <w:rsid w:val="00C9797C"/>
    <w:rsid w:val="00C979B0"/>
    <w:rsid w:val="00C97AA1"/>
    <w:rsid w:val="00C97BA6"/>
    <w:rsid w:val="00C97CA3"/>
    <w:rsid w:val="00C97CC5"/>
    <w:rsid w:val="00C97F01"/>
    <w:rsid w:val="00CA00A6"/>
    <w:rsid w:val="00CA0178"/>
    <w:rsid w:val="00CA01A8"/>
    <w:rsid w:val="00CA026C"/>
    <w:rsid w:val="00CA0290"/>
    <w:rsid w:val="00CA03F3"/>
    <w:rsid w:val="00CA0490"/>
    <w:rsid w:val="00CA04A3"/>
    <w:rsid w:val="00CA05F2"/>
    <w:rsid w:val="00CA05F8"/>
    <w:rsid w:val="00CA0883"/>
    <w:rsid w:val="00CA0896"/>
    <w:rsid w:val="00CA08AE"/>
    <w:rsid w:val="00CA0A23"/>
    <w:rsid w:val="00CA0B94"/>
    <w:rsid w:val="00CA0BA8"/>
    <w:rsid w:val="00CA0C48"/>
    <w:rsid w:val="00CA0C4B"/>
    <w:rsid w:val="00CA0CFE"/>
    <w:rsid w:val="00CA0E41"/>
    <w:rsid w:val="00CA10FF"/>
    <w:rsid w:val="00CA12DF"/>
    <w:rsid w:val="00CA1447"/>
    <w:rsid w:val="00CA1518"/>
    <w:rsid w:val="00CA1577"/>
    <w:rsid w:val="00CA160E"/>
    <w:rsid w:val="00CA167E"/>
    <w:rsid w:val="00CA1712"/>
    <w:rsid w:val="00CA179B"/>
    <w:rsid w:val="00CA17F4"/>
    <w:rsid w:val="00CA18E2"/>
    <w:rsid w:val="00CA18FE"/>
    <w:rsid w:val="00CA1A77"/>
    <w:rsid w:val="00CA1ABD"/>
    <w:rsid w:val="00CA1B43"/>
    <w:rsid w:val="00CA1C1F"/>
    <w:rsid w:val="00CA1D20"/>
    <w:rsid w:val="00CA1DC0"/>
    <w:rsid w:val="00CA1F6F"/>
    <w:rsid w:val="00CA1FAA"/>
    <w:rsid w:val="00CA1FED"/>
    <w:rsid w:val="00CA20DF"/>
    <w:rsid w:val="00CA2288"/>
    <w:rsid w:val="00CA2335"/>
    <w:rsid w:val="00CA24DB"/>
    <w:rsid w:val="00CA24F2"/>
    <w:rsid w:val="00CA25E0"/>
    <w:rsid w:val="00CA268F"/>
    <w:rsid w:val="00CA27AB"/>
    <w:rsid w:val="00CA28B7"/>
    <w:rsid w:val="00CA2A5F"/>
    <w:rsid w:val="00CA2A9E"/>
    <w:rsid w:val="00CA2AD3"/>
    <w:rsid w:val="00CA2B5B"/>
    <w:rsid w:val="00CA2B64"/>
    <w:rsid w:val="00CA2BA2"/>
    <w:rsid w:val="00CA2BEF"/>
    <w:rsid w:val="00CA2D2D"/>
    <w:rsid w:val="00CA2D3B"/>
    <w:rsid w:val="00CA2D5C"/>
    <w:rsid w:val="00CA2DC8"/>
    <w:rsid w:val="00CA2FC1"/>
    <w:rsid w:val="00CA3028"/>
    <w:rsid w:val="00CA3039"/>
    <w:rsid w:val="00CA30A7"/>
    <w:rsid w:val="00CA30D5"/>
    <w:rsid w:val="00CA32F8"/>
    <w:rsid w:val="00CA3377"/>
    <w:rsid w:val="00CA33D2"/>
    <w:rsid w:val="00CA33FA"/>
    <w:rsid w:val="00CA3550"/>
    <w:rsid w:val="00CA36A6"/>
    <w:rsid w:val="00CA36E5"/>
    <w:rsid w:val="00CA37F4"/>
    <w:rsid w:val="00CA381C"/>
    <w:rsid w:val="00CA3845"/>
    <w:rsid w:val="00CA3877"/>
    <w:rsid w:val="00CA38F4"/>
    <w:rsid w:val="00CA3952"/>
    <w:rsid w:val="00CA3AC4"/>
    <w:rsid w:val="00CA3C2F"/>
    <w:rsid w:val="00CA3C37"/>
    <w:rsid w:val="00CA3DC3"/>
    <w:rsid w:val="00CA3DE2"/>
    <w:rsid w:val="00CA3E1F"/>
    <w:rsid w:val="00CA40A8"/>
    <w:rsid w:val="00CA40CA"/>
    <w:rsid w:val="00CA4189"/>
    <w:rsid w:val="00CA4251"/>
    <w:rsid w:val="00CA4397"/>
    <w:rsid w:val="00CA43C8"/>
    <w:rsid w:val="00CA4506"/>
    <w:rsid w:val="00CA4569"/>
    <w:rsid w:val="00CA4B7F"/>
    <w:rsid w:val="00CA4B8D"/>
    <w:rsid w:val="00CA4CD2"/>
    <w:rsid w:val="00CA4D00"/>
    <w:rsid w:val="00CA4D2C"/>
    <w:rsid w:val="00CA4D6B"/>
    <w:rsid w:val="00CA4D73"/>
    <w:rsid w:val="00CA5031"/>
    <w:rsid w:val="00CA5035"/>
    <w:rsid w:val="00CA5103"/>
    <w:rsid w:val="00CA51D0"/>
    <w:rsid w:val="00CA5330"/>
    <w:rsid w:val="00CA53E3"/>
    <w:rsid w:val="00CA53F6"/>
    <w:rsid w:val="00CA559F"/>
    <w:rsid w:val="00CA578D"/>
    <w:rsid w:val="00CA5876"/>
    <w:rsid w:val="00CA5A25"/>
    <w:rsid w:val="00CA5A35"/>
    <w:rsid w:val="00CA5ABA"/>
    <w:rsid w:val="00CA5ACE"/>
    <w:rsid w:val="00CA5B04"/>
    <w:rsid w:val="00CA5B1A"/>
    <w:rsid w:val="00CA5B1C"/>
    <w:rsid w:val="00CA5BF5"/>
    <w:rsid w:val="00CA5C21"/>
    <w:rsid w:val="00CA5EC3"/>
    <w:rsid w:val="00CA623C"/>
    <w:rsid w:val="00CA639B"/>
    <w:rsid w:val="00CA6529"/>
    <w:rsid w:val="00CA666D"/>
    <w:rsid w:val="00CA6694"/>
    <w:rsid w:val="00CA66D3"/>
    <w:rsid w:val="00CA67C3"/>
    <w:rsid w:val="00CA67F7"/>
    <w:rsid w:val="00CA6826"/>
    <w:rsid w:val="00CA682B"/>
    <w:rsid w:val="00CA6A8F"/>
    <w:rsid w:val="00CA6BDB"/>
    <w:rsid w:val="00CA6C5E"/>
    <w:rsid w:val="00CA6F9E"/>
    <w:rsid w:val="00CA7283"/>
    <w:rsid w:val="00CA7310"/>
    <w:rsid w:val="00CA73C1"/>
    <w:rsid w:val="00CA742A"/>
    <w:rsid w:val="00CA7469"/>
    <w:rsid w:val="00CA7558"/>
    <w:rsid w:val="00CA763A"/>
    <w:rsid w:val="00CA7716"/>
    <w:rsid w:val="00CA771B"/>
    <w:rsid w:val="00CA77A5"/>
    <w:rsid w:val="00CA7860"/>
    <w:rsid w:val="00CA7883"/>
    <w:rsid w:val="00CA78D3"/>
    <w:rsid w:val="00CA7B1E"/>
    <w:rsid w:val="00CA7B8A"/>
    <w:rsid w:val="00CA7C14"/>
    <w:rsid w:val="00CA7C80"/>
    <w:rsid w:val="00CA7D66"/>
    <w:rsid w:val="00CA7E4C"/>
    <w:rsid w:val="00CA7ECB"/>
    <w:rsid w:val="00CA7F82"/>
    <w:rsid w:val="00CA7FDA"/>
    <w:rsid w:val="00CB00A3"/>
    <w:rsid w:val="00CB018D"/>
    <w:rsid w:val="00CB03C9"/>
    <w:rsid w:val="00CB0409"/>
    <w:rsid w:val="00CB0410"/>
    <w:rsid w:val="00CB0506"/>
    <w:rsid w:val="00CB059E"/>
    <w:rsid w:val="00CB0686"/>
    <w:rsid w:val="00CB06DE"/>
    <w:rsid w:val="00CB06F0"/>
    <w:rsid w:val="00CB07E6"/>
    <w:rsid w:val="00CB0879"/>
    <w:rsid w:val="00CB08AE"/>
    <w:rsid w:val="00CB08D2"/>
    <w:rsid w:val="00CB08F5"/>
    <w:rsid w:val="00CB0958"/>
    <w:rsid w:val="00CB0977"/>
    <w:rsid w:val="00CB0A7A"/>
    <w:rsid w:val="00CB0BDD"/>
    <w:rsid w:val="00CB0C0E"/>
    <w:rsid w:val="00CB0C62"/>
    <w:rsid w:val="00CB0E1C"/>
    <w:rsid w:val="00CB0F78"/>
    <w:rsid w:val="00CB1054"/>
    <w:rsid w:val="00CB105A"/>
    <w:rsid w:val="00CB109A"/>
    <w:rsid w:val="00CB11AE"/>
    <w:rsid w:val="00CB133B"/>
    <w:rsid w:val="00CB15B6"/>
    <w:rsid w:val="00CB15BC"/>
    <w:rsid w:val="00CB15E5"/>
    <w:rsid w:val="00CB15F7"/>
    <w:rsid w:val="00CB161A"/>
    <w:rsid w:val="00CB1691"/>
    <w:rsid w:val="00CB17C1"/>
    <w:rsid w:val="00CB17F1"/>
    <w:rsid w:val="00CB1807"/>
    <w:rsid w:val="00CB19D8"/>
    <w:rsid w:val="00CB1A44"/>
    <w:rsid w:val="00CB1B20"/>
    <w:rsid w:val="00CB1D0F"/>
    <w:rsid w:val="00CB1D5B"/>
    <w:rsid w:val="00CB1EBC"/>
    <w:rsid w:val="00CB1FB9"/>
    <w:rsid w:val="00CB2030"/>
    <w:rsid w:val="00CB20A7"/>
    <w:rsid w:val="00CB20D8"/>
    <w:rsid w:val="00CB224E"/>
    <w:rsid w:val="00CB241E"/>
    <w:rsid w:val="00CB25FC"/>
    <w:rsid w:val="00CB27C3"/>
    <w:rsid w:val="00CB2828"/>
    <w:rsid w:val="00CB28D4"/>
    <w:rsid w:val="00CB292F"/>
    <w:rsid w:val="00CB29C8"/>
    <w:rsid w:val="00CB2AE5"/>
    <w:rsid w:val="00CB2B3D"/>
    <w:rsid w:val="00CB2CF7"/>
    <w:rsid w:val="00CB2E53"/>
    <w:rsid w:val="00CB2E6F"/>
    <w:rsid w:val="00CB2F0B"/>
    <w:rsid w:val="00CB2F5C"/>
    <w:rsid w:val="00CB30E7"/>
    <w:rsid w:val="00CB32BC"/>
    <w:rsid w:val="00CB3300"/>
    <w:rsid w:val="00CB3356"/>
    <w:rsid w:val="00CB342E"/>
    <w:rsid w:val="00CB34B9"/>
    <w:rsid w:val="00CB35AB"/>
    <w:rsid w:val="00CB35B2"/>
    <w:rsid w:val="00CB3605"/>
    <w:rsid w:val="00CB3607"/>
    <w:rsid w:val="00CB368E"/>
    <w:rsid w:val="00CB375A"/>
    <w:rsid w:val="00CB3795"/>
    <w:rsid w:val="00CB37A5"/>
    <w:rsid w:val="00CB37CB"/>
    <w:rsid w:val="00CB380A"/>
    <w:rsid w:val="00CB3860"/>
    <w:rsid w:val="00CB3A36"/>
    <w:rsid w:val="00CB3E35"/>
    <w:rsid w:val="00CB3E53"/>
    <w:rsid w:val="00CB3F30"/>
    <w:rsid w:val="00CB4005"/>
    <w:rsid w:val="00CB40A2"/>
    <w:rsid w:val="00CB40AB"/>
    <w:rsid w:val="00CB4101"/>
    <w:rsid w:val="00CB419B"/>
    <w:rsid w:val="00CB41BA"/>
    <w:rsid w:val="00CB41E9"/>
    <w:rsid w:val="00CB42DB"/>
    <w:rsid w:val="00CB466D"/>
    <w:rsid w:val="00CB47D7"/>
    <w:rsid w:val="00CB480E"/>
    <w:rsid w:val="00CB483E"/>
    <w:rsid w:val="00CB4945"/>
    <w:rsid w:val="00CB4BFA"/>
    <w:rsid w:val="00CB4DA7"/>
    <w:rsid w:val="00CB4DDC"/>
    <w:rsid w:val="00CB4E0F"/>
    <w:rsid w:val="00CB4E1D"/>
    <w:rsid w:val="00CB4E83"/>
    <w:rsid w:val="00CB4F76"/>
    <w:rsid w:val="00CB503F"/>
    <w:rsid w:val="00CB505D"/>
    <w:rsid w:val="00CB51DD"/>
    <w:rsid w:val="00CB5378"/>
    <w:rsid w:val="00CB53AC"/>
    <w:rsid w:val="00CB5439"/>
    <w:rsid w:val="00CB5448"/>
    <w:rsid w:val="00CB5486"/>
    <w:rsid w:val="00CB5550"/>
    <w:rsid w:val="00CB557C"/>
    <w:rsid w:val="00CB5711"/>
    <w:rsid w:val="00CB571E"/>
    <w:rsid w:val="00CB5872"/>
    <w:rsid w:val="00CB5894"/>
    <w:rsid w:val="00CB58D0"/>
    <w:rsid w:val="00CB5CF1"/>
    <w:rsid w:val="00CB5D00"/>
    <w:rsid w:val="00CB5E96"/>
    <w:rsid w:val="00CB5EA8"/>
    <w:rsid w:val="00CB5FA9"/>
    <w:rsid w:val="00CB60F9"/>
    <w:rsid w:val="00CB613C"/>
    <w:rsid w:val="00CB61FA"/>
    <w:rsid w:val="00CB6269"/>
    <w:rsid w:val="00CB647C"/>
    <w:rsid w:val="00CB65AE"/>
    <w:rsid w:val="00CB6605"/>
    <w:rsid w:val="00CB6715"/>
    <w:rsid w:val="00CB6754"/>
    <w:rsid w:val="00CB696D"/>
    <w:rsid w:val="00CB69EE"/>
    <w:rsid w:val="00CB6AD2"/>
    <w:rsid w:val="00CB6B8E"/>
    <w:rsid w:val="00CB6DFC"/>
    <w:rsid w:val="00CB6F18"/>
    <w:rsid w:val="00CB707C"/>
    <w:rsid w:val="00CB737A"/>
    <w:rsid w:val="00CB73BE"/>
    <w:rsid w:val="00CB7426"/>
    <w:rsid w:val="00CB758D"/>
    <w:rsid w:val="00CB75E7"/>
    <w:rsid w:val="00CB7666"/>
    <w:rsid w:val="00CB76AA"/>
    <w:rsid w:val="00CB770E"/>
    <w:rsid w:val="00CB78AB"/>
    <w:rsid w:val="00CB7BD5"/>
    <w:rsid w:val="00CB7C0A"/>
    <w:rsid w:val="00CB7C28"/>
    <w:rsid w:val="00CB7CC2"/>
    <w:rsid w:val="00CB7D2C"/>
    <w:rsid w:val="00CB7DA4"/>
    <w:rsid w:val="00CB7E01"/>
    <w:rsid w:val="00CB7E8F"/>
    <w:rsid w:val="00CB7F85"/>
    <w:rsid w:val="00CC00E8"/>
    <w:rsid w:val="00CC025D"/>
    <w:rsid w:val="00CC02B5"/>
    <w:rsid w:val="00CC0449"/>
    <w:rsid w:val="00CC045D"/>
    <w:rsid w:val="00CC04F4"/>
    <w:rsid w:val="00CC052A"/>
    <w:rsid w:val="00CC058F"/>
    <w:rsid w:val="00CC077E"/>
    <w:rsid w:val="00CC0788"/>
    <w:rsid w:val="00CC08BA"/>
    <w:rsid w:val="00CC0A40"/>
    <w:rsid w:val="00CC0B10"/>
    <w:rsid w:val="00CC0B4A"/>
    <w:rsid w:val="00CC0B63"/>
    <w:rsid w:val="00CC0B9F"/>
    <w:rsid w:val="00CC0BCE"/>
    <w:rsid w:val="00CC0D32"/>
    <w:rsid w:val="00CC0D4D"/>
    <w:rsid w:val="00CC0DFF"/>
    <w:rsid w:val="00CC1080"/>
    <w:rsid w:val="00CC1090"/>
    <w:rsid w:val="00CC11C9"/>
    <w:rsid w:val="00CC1374"/>
    <w:rsid w:val="00CC1515"/>
    <w:rsid w:val="00CC1748"/>
    <w:rsid w:val="00CC18C6"/>
    <w:rsid w:val="00CC1905"/>
    <w:rsid w:val="00CC1940"/>
    <w:rsid w:val="00CC195A"/>
    <w:rsid w:val="00CC1979"/>
    <w:rsid w:val="00CC198D"/>
    <w:rsid w:val="00CC19BF"/>
    <w:rsid w:val="00CC1A08"/>
    <w:rsid w:val="00CC1AA8"/>
    <w:rsid w:val="00CC1AAE"/>
    <w:rsid w:val="00CC1D08"/>
    <w:rsid w:val="00CC1F8D"/>
    <w:rsid w:val="00CC1FD6"/>
    <w:rsid w:val="00CC20D8"/>
    <w:rsid w:val="00CC216A"/>
    <w:rsid w:val="00CC21D5"/>
    <w:rsid w:val="00CC22B5"/>
    <w:rsid w:val="00CC22CB"/>
    <w:rsid w:val="00CC24C0"/>
    <w:rsid w:val="00CC269F"/>
    <w:rsid w:val="00CC2763"/>
    <w:rsid w:val="00CC27D3"/>
    <w:rsid w:val="00CC27D6"/>
    <w:rsid w:val="00CC2842"/>
    <w:rsid w:val="00CC28F6"/>
    <w:rsid w:val="00CC2947"/>
    <w:rsid w:val="00CC2B08"/>
    <w:rsid w:val="00CC2BC2"/>
    <w:rsid w:val="00CC2C56"/>
    <w:rsid w:val="00CC2CA5"/>
    <w:rsid w:val="00CC2D3A"/>
    <w:rsid w:val="00CC2E28"/>
    <w:rsid w:val="00CC2ED9"/>
    <w:rsid w:val="00CC3059"/>
    <w:rsid w:val="00CC3072"/>
    <w:rsid w:val="00CC325C"/>
    <w:rsid w:val="00CC331D"/>
    <w:rsid w:val="00CC33A3"/>
    <w:rsid w:val="00CC3415"/>
    <w:rsid w:val="00CC3819"/>
    <w:rsid w:val="00CC3820"/>
    <w:rsid w:val="00CC390B"/>
    <w:rsid w:val="00CC3A8D"/>
    <w:rsid w:val="00CC3AD9"/>
    <w:rsid w:val="00CC3B19"/>
    <w:rsid w:val="00CC3C57"/>
    <w:rsid w:val="00CC3CD6"/>
    <w:rsid w:val="00CC3D5C"/>
    <w:rsid w:val="00CC3DF6"/>
    <w:rsid w:val="00CC3DF7"/>
    <w:rsid w:val="00CC3E7B"/>
    <w:rsid w:val="00CC3F89"/>
    <w:rsid w:val="00CC3FD3"/>
    <w:rsid w:val="00CC4033"/>
    <w:rsid w:val="00CC4115"/>
    <w:rsid w:val="00CC4160"/>
    <w:rsid w:val="00CC417F"/>
    <w:rsid w:val="00CC430B"/>
    <w:rsid w:val="00CC4328"/>
    <w:rsid w:val="00CC43C5"/>
    <w:rsid w:val="00CC4563"/>
    <w:rsid w:val="00CC4615"/>
    <w:rsid w:val="00CC462E"/>
    <w:rsid w:val="00CC4685"/>
    <w:rsid w:val="00CC4711"/>
    <w:rsid w:val="00CC48B5"/>
    <w:rsid w:val="00CC492C"/>
    <w:rsid w:val="00CC4C49"/>
    <w:rsid w:val="00CC4CC6"/>
    <w:rsid w:val="00CC4D78"/>
    <w:rsid w:val="00CC4E37"/>
    <w:rsid w:val="00CC4E71"/>
    <w:rsid w:val="00CC4E78"/>
    <w:rsid w:val="00CC4EAD"/>
    <w:rsid w:val="00CC4FA7"/>
    <w:rsid w:val="00CC5035"/>
    <w:rsid w:val="00CC508D"/>
    <w:rsid w:val="00CC50AC"/>
    <w:rsid w:val="00CC5365"/>
    <w:rsid w:val="00CC5466"/>
    <w:rsid w:val="00CC54AB"/>
    <w:rsid w:val="00CC551B"/>
    <w:rsid w:val="00CC55F2"/>
    <w:rsid w:val="00CC5672"/>
    <w:rsid w:val="00CC5718"/>
    <w:rsid w:val="00CC59B9"/>
    <w:rsid w:val="00CC59EA"/>
    <w:rsid w:val="00CC5A98"/>
    <w:rsid w:val="00CC5ADC"/>
    <w:rsid w:val="00CC5AE4"/>
    <w:rsid w:val="00CC5C1D"/>
    <w:rsid w:val="00CC5CFC"/>
    <w:rsid w:val="00CC5D5C"/>
    <w:rsid w:val="00CC5E74"/>
    <w:rsid w:val="00CC5EC2"/>
    <w:rsid w:val="00CC5F34"/>
    <w:rsid w:val="00CC5F5D"/>
    <w:rsid w:val="00CC5F6E"/>
    <w:rsid w:val="00CC5FB4"/>
    <w:rsid w:val="00CC6183"/>
    <w:rsid w:val="00CC6257"/>
    <w:rsid w:val="00CC6277"/>
    <w:rsid w:val="00CC63A5"/>
    <w:rsid w:val="00CC653F"/>
    <w:rsid w:val="00CC6607"/>
    <w:rsid w:val="00CC6706"/>
    <w:rsid w:val="00CC67F3"/>
    <w:rsid w:val="00CC6911"/>
    <w:rsid w:val="00CC6A24"/>
    <w:rsid w:val="00CC6B13"/>
    <w:rsid w:val="00CC6BFC"/>
    <w:rsid w:val="00CC6BFE"/>
    <w:rsid w:val="00CC6E8E"/>
    <w:rsid w:val="00CC6FF5"/>
    <w:rsid w:val="00CC7031"/>
    <w:rsid w:val="00CC70B6"/>
    <w:rsid w:val="00CC72AE"/>
    <w:rsid w:val="00CC741D"/>
    <w:rsid w:val="00CC7421"/>
    <w:rsid w:val="00CC7536"/>
    <w:rsid w:val="00CC7574"/>
    <w:rsid w:val="00CC7617"/>
    <w:rsid w:val="00CC7622"/>
    <w:rsid w:val="00CC768E"/>
    <w:rsid w:val="00CC76E4"/>
    <w:rsid w:val="00CC77F2"/>
    <w:rsid w:val="00CC7853"/>
    <w:rsid w:val="00CC7952"/>
    <w:rsid w:val="00CC7A22"/>
    <w:rsid w:val="00CC7A51"/>
    <w:rsid w:val="00CC7A92"/>
    <w:rsid w:val="00CC7D7F"/>
    <w:rsid w:val="00CC7EDF"/>
    <w:rsid w:val="00CD00A1"/>
    <w:rsid w:val="00CD01FE"/>
    <w:rsid w:val="00CD022C"/>
    <w:rsid w:val="00CD031B"/>
    <w:rsid w:val="00CD0329"/>
    <w:rsid w:val="00CD035A"/>
    <w:rsid w:val="00CD0387"/>
    <w:rsid w:val="00CD03E3"/>
    <w:rsid w:val="00CD05E7"/>
    <w:rsid w:val="00CD0684"/>
    <w:rsid w:val="00CD0997"/>
    <w:rsid w:val="00CD0A1C"/>
    <w:rsid w:val="00CD0C3D"/>
    <w:rsid w:val="00CD0C90"/>
    <w:rsid w:val="00CD0E08"/>
    <w:rsid w:val="00CD0E81"/>
    <w:rsid w:val="00CD0F43"/>
    <w:rsid w:val="00CD109B"/>
    <w:rsid w:val="00CD10EA"/>
    <w:rsid w:val="00CD117D"/>
    <w:rsid w:val="00CD1355"/>
    <w:rsid w:val="00CD1467"/>
    <w:rsid w:val="00CD14C1"/>
    <w:rsid w:val="00CD14E9"/>
    <w:rsid w:val="00CD1665"/>
    <w:rsid w:val="00CD16ED"/>
    <w:rsid w:val="00CD1A5F"/>
    <w:rsid w:val="00CD1A66"/>
    <w:rsid w:val="00CD1ACD"/>
    <w:rsid w:val="00CD1B1F"/>
    <w:rsid w:val="00CD1CCF"/>
    <w:rsid w:val="00CD1CD4"/>
    <w:rsid w:val="00CD1D5F"/>
    <w:rsid w:val="00CD1D79"/>
    <w:rsid w:val="00CD1DC7"/>
    <w:rsid w:val="00CD1ED7"/>
    <w:rsid w:val="00CD1F1F"/>
    <w:rsid w:val="00CD2055"/>
    <w:rsid w:val="00CD20CC"/>
    <w:rsid w:val="00CD2260"/>
    <w:rsid w:val="00CD239C"/>
    <w:rsid w:val="00CD23F6"/>
    <w:rsid w:val="00CD2420"/>
    <w:rsid w:val="00CD24C2"/>
    <w:rsid w:val="00CD24D7"/>
    <w:rsid w:val="00CD2560"/>
    <w:rsid w:val="00CD2615"/>
    <w:rsid w:val="00CD2698"/>
    <w:rsid w:val="00CD27FC"/>
    <w:rsid w:val="00CD2864"/>
    <w:rsid w:val="00CD2922"/>
    <w:rsid w:val="00CD29D2"/>
    <w:rsid w:val="00CD29EE"/>
    <w:rsid w:val="00CD29F5"/>
    <w:rsid w:val="00CD2A5B"/>
    <w:rsid w:val="00CD2B4C"/>
    <w:rsid w:val="00CD2DAB"/>
    <w:rsid w:val="00CD2E14"/>
    <w:rsid w:val="00CD2E67"/>
    <w:rsid w:val="00CD313C"/>
    <w:rsid w:val="00CD31CD"/>
    <w:rsid w:val="00CD323B"/>
    <w:rsid w:val="00CD340E"/>
    <w:rsid w:val="00CD3455"/>
    <w:rsid w:val="00CD351D"/>
    <w:rsid w:val="00CD356A"/>
    <w:rsid w:val="00CD3658"/>
    <w:rsid w:val="00CD3961"/>
    <w:rsid w:val="00CD39A8"/>
    <w:rsid w:val="00CD39FA"/>
    <w:rsid w:val="00CD3A76"/>
    <w:rsid w:val="00CD3AAC"/>
    <w:rsid w:val="00CD3BFD"/>
    <w:rsid w:val="00CD3C94"/>
    <w:rsid w:val="00CD3FA0"/>
    <w:rsid w:val="00CD3FDC"/>
    <w:rsid w:val="00CD403A"/>
    <w:rsid w:val="00CD42BB"/>
    <w:rsid w:val="00CD433C"/>
    <w:rsid w:val="00CD4366"/>
    <w:rsid w:val="00CD4465"/>
    <w:rsid w:val="00CD44F6"/>
    <w:rsid w:val="00CD4689"/>
    <w:rsid w:val="00CD46A1"/>
    <w:rsid w:val="00CD46E9"/>
    <w:rsid w:val="00CD4731"/>
    <w:rsid w:val="00CD4761"/>
    <w:rsid w:val="00CD48DA"/>
    <w:rsid w:val="00CD492B"/>
    <w:rsid w:val="00CD4942"/>
    <w:rsid w:val="00CD4975"/>
    <w:rsid w:val="00CD49A3"/>
    <w:rsid w:val="00CD49BC"/>
    <w:rsid w:val="00CD4ABF"/>
    <w:rsid w:val="00CD4C10"/>
    <w:rsid w:val="00CD4C5C"/>
    <w:rsid w:val="00CD4CC6"/>
    <w:rsid w:val="00CD4EC8"/>
    <w:rsid w:val="00CD51D0"/>
    <w:rsid w:val="00CD523F"/>
    <w:rsid w:val="00CD56F2"/>
    <w:rsid w:val="00CD5976"/>
    <w:rsid w:val="00CD5A09"/>
    <w:rsid w:val="00CD5A67"/>
    <w:rsid w:val="00CD5B37"/>
    <w:rsid w:val="00CD5FFF"/>
    <w:rsid w:val="00CD6004"/>
    <w:rsid w:val="00CD60AF"/>
    <w:rsid w:val="00CD61D2"/>
    <w:rsid w:val="00CD61D9"/>
    <w:rsid w:val="00CD62B5"/>
    <w:rsid w:val="00CD62F4"/>
    <w:rsid w:val="00CD6328"/>
    <w:rsid w:val="00CD6387"/>
    <w:rsid w:val="00CD63EB"/>
    <w:rsid w:val="00CD63FE"/>
    <w:rsid w:val="00CD64CF"/>
    <w:rsid w:val="00CD6584"/>
    <w:rsid w:val="00CD6598"/>
    <w:rsid w:val="00CD65DC"/>
    <w:rsid w:val="00CD65ED"/>
    <w:rsid w:val="00CD6683"/>
    <w:rsid w:val="00CD67F0"/>
    <w:rsid w:val="00CD68EB"/>
    <w:rsid w:val="00CD6A6A"/>
    <w:rsid w:val="00CD6A79"/>
    <w:rsid w:val="00CD6A80"/>
    <w:rsid w:val="00CD6AB3"/>
    <w:rsid w:val="00CD6B9D"/>
    <w:rsid w:val="00CD6C5D"/>
    <w:rsid w:val="00CD6CD8"/>
    <w:rsid w:val="00CD6D50"/>
    <w:rsid w:val="00CD6D96"/>
    <w:rsid w:val="00CD6D9D"/>
    <w:rsid w:val="00CD6DC5"/>
    <w:rsid w:val="00CD6DE5"/>
    <w:rsid w:val="00CD6DE6"/>
    <w:rsid w:val="00CD6FFA"/>
    <w:rsid w:val="00CD72E7"/>
    <w:rsid w:val="00CD732E"/>
    <w:rsid w:val="00CD735D"/>
    <w:rsid w:val="00CD73B0"/>
    <w:rsid w:val="00CD73C1"/>
    <w:rsid w:val="00CD7481"/>
    <w:rsid w:val="00CD749F"/>
    <w:rsid w:val="00CD75B2"/>
    <w:rsid w:val="00CD75D6"/>
    <w:rsid w:val="00CD7BB5"/>
    <w:rsid w:val="00CD7C6D"/>
    <w:rsid w:val="00CD7CDC"/>
    <w:rsid w:val="00CD7E2F"/>
    <w:rsid w:val="00CD7E7D"/>
    <w:rsid w:val="00CD7ED6"/>
    <w:rsid w:val="00CD7EE7"/>
    <w:rsid w:val="00CD7F74"/>
    <w:rsid w:val="00CE00BF"/>
    <w:rsid w:val="00CE01C1"/>
    <w:rsid w:val="00CE01D4"/>
    <w:rsid w:val="00CE0226"/>
    <w:rsid w:val="00CE0337"/>
    <w:rsid w:val="00CE0511"/>
    <w:rsid w:val="00CE0582"/>
    <w:rsid w:val="00CE05C4"/>
    <w:rsid w:val="00CE0731"/>
    <w:rsid w:val="00CE0737"/>
    <w:rsid w:val="00CE07A2"/>
    <w:rsid w:val="00CE083A"/>
    <w:rsid w:val="00CE0A2A"/>
    <w:rsid w:val="00CE0A81"/>
    <w:rsid w:val="00CE0A92"/>
    <w:rsid w:val="00CE0B08"/>
    <w:rsid w:val="00CE0B8F"/>
    <w:rsid w:val="00CE0C73"/>
    <w:rsid w:val="00CE0C9F"/>
    <w:rsid w:val="00CE0D49"/>
    <w:rsid w:val="00CE0EE5"/>
    <w:rsid w:val="00CE0F55"/>
    <w:rsid w:val="00CE100F"/>
    <w:rsid w:val="00CE10BC"/>
    <w:rsid w:val="00CE1149"/>
    <w:rsid w:val="00CE11A1"/>
    <w:rsid w:val="00CE13F9"/>
    <w:rsid w:val="00CE155E"/>
    <w:rsid w:val="00CE156F"/>
    <w:rsid w:val="00CE166B"/>
    <w:rsid w:val="00CE167D"/>
    <w:rsid w:val="00CE175A"/>
    <w:rsid w:val="00CE1774"/>
    <w:rsid w:val="00CE1963"/>
    <w:rsid w:val="00CE1B17"/>
    <w:rsid w:val="00CE1BDE"/>
    <w:rsid w:val="00CE1CC6"/>
    <w:rsid w:val="00CE1E6C"/>
    <w:rsid w:val="00CE1E78"/>
    <w:rsid w:val="00CE1EBC"/>
    <w:rsid w:val="00CE1F73"/>
    <w:rsid w:val="00CE1F92"/>
    <w:rsid w:val="00CE1FE5"/>
    <w:rsid w:val="00CE20CD"/>
    <w:rsid w:val="00CE24B5"/>
    <w:rsid w:val="00CE24E8"/>
    <w:rsid w:val="00CE2562"/>
    <w:rsid w:val="00CE25D4"/>
    <w:rsid w:val="00CE26A9"/>
    <w:rsid w:val="00CE2725"/>
    <w:rsid w:val="00CE2884"/>
    <w:rsid w:val="00CE29F5"/>
    <w:rsid w:val="00CE2A08"/>
    <w:rsid w:val="00CE2AFF"/>
    <w:rsid w:val="00CE2C12"/>
    <w:rsid w:val="00CE2C6F"/>
    <w:rsid w:val="00CE2DC6"/>
    <w:rsid w:val="00CE2E3B"/>
    <w:rsid w:val="00CE2ED6"/>
    <w:rsid w:val="00CE2F93"/>
    <w:rsid w:val="00CE3166"/>
    <w:rsid w:val="00CE32B5"/>
    <w:rsid w:val="00CE34A9"/>
    <w:rsid w:val="00CE36B3"/>
    <w:rsid w:val="00CE36BC"/>
    <w:rsid w:val="00CE387D"/>
    <w:rsid w:val="00CE39A8"/>
    <w:rsid w:val="00CE3A81"/>
    <w:rsid w:val="00CE3AB8"/>
    <w:rsid w:val="00CE3AC8"/>
    <w:rsid w:val="00CE3C56"/>
    <w:rsid w:val="00CE3CD1"/>
    <w:rsid w:val="00CE3D57"/>
    <w:rsid w:val="00CE3D78"/>
    <w:rsid w:val="00CE4057"/>
    <w:rsid w:val="00CE4232"/>
    <w:rsid w:val="00CE4299"/>
    <w:rsid w:val="00CE42BA"/>
    <w:rsid w:val="00CE42FC"/>
    <w:rsid w:val="00CE43F4"/>
    <w:rsid w:val="00CE4456"/>
    <w:rsid w:val="00CE45A2"/>
    <w:rsid w:val="00CE45A5"/>
    <w:rsid w:val="00CE45E1"/>
    <w:rsid w:val="00CE480E"/>
    <w:rsid w:val="00CE48AE"/>
    <w:rsid w:val="00CE49C7"/>
    <w:rsid w:val="00CE4A0E"/>
    <w:rsid w:val="00CE4FD1"/>
    <w:rsid w:val="00CE5096"/>
    <w:rsid w:val="00CE509C"/>
    <w:rsid w:val="00CE50BB"/>
    <w:rsid w:val="00CE50ED"/>
    <w:rsid w:val="00CE5189"/>
    <w:rsid w:val="00CE5260"/>
    <w:rsid w:val="00CE526A"/>
    <w:rsid w:val="00CE52CF"/>
    <w:rsid w:val="00CE52FB"/>
    <w:rsid w:val="00CE5335"/>
    <w:rsid w:val="00CE5358"/>
    <w:rsid w:val="00CE54D0"/>
    <w:rsid w:val="00CE54DC"/>
    <w:rsid w:val="00CE5576"/>
    <w:rsid w:val="00CE55B1"/>
    <w:rsid w:val="00CE5686"/>
    <w:rsid w:val="00CE569B"/>
    <w:rsid w:val="00CE56CE"/>
    <w:rsid w:val="00CE56E4"/>
    <w:rsid w:val="00CE56F5"/>
    <w:rsid w:val="00CE57FF"/>
    <w:rsid w:val="00CE58E9"/>
    <w:rsid w:val="00CE5A18"/>
    <w:rsid w:val="00CE5A58"/>
    <w:rsid w:val="00CE5A60"/>
    <w:rsid w:val="00CE5A81"/>
    <w:rsid w:val="00CE5AB8"/>
    <w:rsid w:val="00CE5BEB"/>
    <w:rsid w:val="00CE5E02"/>
    <w:rsid w:val="00CE5EDE"/>
    <w:rsid w:val="00CE5F88"/>
    <w:rsid w:val="00CE5FBB"/>
    <w:rsid w:val="00CE605E"/>
    <w:rsid w:val="00CE6072"/>
    <w:rsid w:val="00CE60E8"/>
    <w:rsid w:val="00CE60EA"/>
    <w:rsid w:val="00CE614B"/>
    <w:rsid w:val="00CE61E3"/>
    <w:rsid w:val="00CE6245"/>
    <w:rsid w:val="00CE6276"/>
    <w:rsid w:val="00CE62AC"/>
    <w:rsid w:val="00CE6334"/>
    <w:rsid w:val="00CE6351"/>
    <w:rsid w:val="00CE654D"/>
    <w:rsid w:val="00CE65A5"/>
    <w:rsid w:val="00CE65FD"/>
    <w:rsid w:val="00CE66DA"/>
    <w:rsid w:val="00CE672D"/>
    <w:rsid w:val="00CE67BA"/>
    <w:rsid w:val="00CE6970"/>
    <w:rsid w:val="00CE698A"/>
    <w:rsid w:val="00CE6B6B"/>
    <w:rsid w:val="00CE6B7B"/>
    <w:rsid w:val="00CE6C25"/>
    <w:rsid w:val="00CE6C9A"/>
    <w:rsid w:val="00CE6D0D"/>
    <w:rsid w:val="00CE6DD5"/>
    <w:rsid w:val="00CE6F27"/>
    <w:rsid w:val="00CE6FA9"/>
    <w:rsid w:val="00CE7001"/>
    <w:rsid w:val="00CE7066"/>
    <w:rsid w:val="00CE71B7"/>
    <w:rsid w:val="00CE71C2"/>
    <w:rsid w:val="00CE727E"/>
    <w:rsid w:val="00CE7317"/>
    <w:rsid w:val="00CE73F8"/>
    <w:rsid w:val="00CE7432"/>
    <w:rsid w:val="00CE7508"/>
    <w:rsid w:val="00CE7729"/>
    <w:rsid w:val="00CE772B"/>
    <w:rsid w:val="00CE77E6"/>
    <w:rsid w:val="00CE792F"/>
    <w:rsid w:val="00CE794F"/>
    <w:rsid w:val="00CE7A9D"/>
    <w:rsid w:val="00CE7B2A"/>
    <w:rsid w:val="00CE7B63"/>
    <w:rsid w:val="00CE7BC2"/>
    <w:rsid w:val="00CE7BCC"/>
    <w:rsid w:val="00CE7DD6"/>
    <w:rsid w:val="00CE7E5D"/>
    <w:rsid w:val="00CE7EF3"/>
    <w:rsid w:val="00CE7F1D"/>
    <w:rsid w:val="00CE7F90"/>
    <w:rsid w:val="00CE7FB8"/>
    <w:rsid w:val="00CF0013"/>
    <w:rsid w:val="00CF0106"/>
    <w:rsid w:val="00CF0169"/>
    <w:rsid w:val="00CF01CD"/>
    <w:rsid w:val="00CF02CE"/>
    <w:rsid w:val="00CF02F5"/>
    <w:rsid w:val="00CF0353"/>
    <w:rsid w:val="00CF055F"/>
    <w:rsid w:val="00CF057A"/>
    <w:rsid w:val="00CF05EB"/>
    <w:rsid w:val="00CF0654"/>
    <w:rsid w:val="00CF06AA"/>
    <w:rsid w:val="00CF070A"/>
    <w:rsid w:val="00CF072D"/>
    <w:rsid w:val="00CF0767"/>
    <w:rsid w:val="00CF07D3"/>
    <w:rsid w:val="00CF09A9"/>
    <w:rsid w:val="00CF0C31"/>
    <w:rsid w:val="00CF0C3A"/>
    <w:rsid w:val="00CF0DE9"/>
    <w:rsid w:val="00CF0E85"/>
    <w:rsid w:val="00CF0EFC"/>
    <w:rsid w:val="00CF0FCA"/>
    <w:rsid w:val="00CF1132"/>
    <w:rsid w:val="00CF11B0"/>
    <w:rsid w:val="00CF120A"/>
    <w:rsid w:val="00CF1287"/>
    <w:rsid w:val="00CF12AE"/>
    <w:rsid w:val="00CF1360"/>
    <w:rsid w:val="00CF15D6"/>
    <w:rsid w:val="00CF1729"/>
    <w:rsid w:val="00CF17AA"/>
    <w:rsid w:val="00CF1869"/>
    <w:rsid w:val="00CF1918"/>
    <w:rsid w:val="00CF19F9"/>
    <w:rsid w:val="00CF1B6C"/>
    <w:rsid w:val="00CF1CB7"/>
    <w:rsid w:val="00CF1CD5"/>
    <w:rsid w:val="00CF1CD9"/>
    <w:rsid w:val="00CF1EB6"/>
    <w:rsid w:val="00CF1EF7"/>
    <w:rsid w:val="00CF1F26"/>
    <w:rsid w:val="00CF1F90"/>
    <w:rsid w:val="00CF204A"/>
    <w:rsid w:val="00CF2095"/>
    <w:rsid w:val="00CF2133"/>
    <w:rsid w:val="00CF2158"/>
    <w:rsid w:val="00CF21D2"/>
    <w:rsid w:val="00CF245A"/>
    <w:rsid w:val="00CF26C9"/>
    <w:rsid w:val="00CF26D4"/>
    <w:rsid w:val="00CF287C"/>
    <w:rsid w:val="00CF2915"/>
    <w:rsid w:val="00CF2974"/>
    <w:rsid w:val="00CF2A2F"/>
    <w:rsid w:val="00CF2B08"/>
    <w:rsid w:val="00CF2B15"/>
    <w:rsid w:val="00CF2B2C"/>
    <w:rsid w:val="00CF2B32"/>
    <w:rsid w:val="00CF2B73"/>
    <w:rsid w:val="00CF2C02"/>
    <w:rsid w:val="00CF2D52"/>
    <w:rsid w:val="00CF2E0F"/>
    <w:rsid w:val="00CF2E62"/>
    <w:rsid w:val="00CF303D"/>
    <w:rsid w:val="00CF30F9"/>
    <w:rsid w:val="00CF3142"/>
    <w:rsid w:val="00CF3345"/>
    <w:rsid w:val="00CF33BE"/>
    <w:rsid w:val="00CF37AC"/>
    <w:rsid w:val="00CF37B6"/>
    <w:rsid w:val="00CF37CB"/>
    <w:rsid w:val="00CF389C"/>
    <w:rsid w:val="00CF38AF"/>
    <w:rsid w:val="00CF38CC"/>
    <w:rsid w:val="00CF3943"/>
    <w:rsid w:val="00CF3A53"/>
    <w:rsid w:val="00CF3A88"/>
    <w:rsid w:val="00CF3B2B"/>
    <w:rsid w:val="00CF3C1A"/>
    <w:rsid w:val="00CF3CBF"/>
    <w:rsid w:val="00CF3FC2"/>
    <w:rsid w:val="00CF4095"/>
    <w:rsid w:val="00CF41B4"/>
    <w:rsid w:val="00CF4232"/>
    <w:rsid w:val="00CF42C0"/>
    <w:rsid w:val="00CF4403"/>
    <w:rsid w:val="00CF44B4"/>
    <w:rsid w:val="00CF4644"/>
    <w:rsid w:val="00CF4654"/>
    <w:rsid w:val="00CF4707"/>
    <w:rsid w:val="00CF4785"/>
    <w:rsid w:val="00CF47E1"/>
    <w:rsid w:val="00CF4A64"/>
    <w:rsid w:val="00CF4AD6"/>
    <w:rsid w:val="00CF4B47"/>
    <w:rsid w:val="00CF4B76"/>
    <w:rsid w:val="00CF4BA9"/>
    <w:rsid w:val="00CF4BFC"/>
    <w:rsid w:val="00CF4CC7"/>
    <w:rsid w:val="00CF4FA3"/>
    <w:rsid w:val="00CF5060"/>
    <w:rsid w:val="00CF5104"/>
    <w:rsid w:val="00CF5109"/>
    <w:rsid w:val="00CF52A2"/>
    <w:rsid w:val="00CF52E1"/>
    <w:rsid w:val="00CF5312"/>
    <w:rsid w:val="00CF548F"/>
    <w:rsid w:val="00CF54DF"/>
    <w:rsid w:val="00CF5540"/>
    <w:rsid w:val="00CF5598"/>
    <w:rsid w:val="00CF5815"/>
    <w:rsid w:val="00CF58F3"/>
    <w:rsid w:val="00CF5900"/>
    <w:rsid w:val="00CF5965"/>
    <w:rsid w:val="00CF59AD"/>
    <w:rsid w:val="00CF59D6"/>
    <w:rsid w:val="00CF5A34"/>
    <w:rsid w:val="00CF5A5C"/>
    <w:rsid w:val="00CF5B82"/>
    <w:rsid w:val="00CF5C92"/>
    <w:rsid w:val="00CF5CD8"/>
    <w:rsid w:val="00CF5D1A"/>
    <w:rsid w:val="00CF5DF6"/>
    <w:rsid w:val="00CF5DFA"/>
    <w:rsid w:val="00CF6161"/>
    <w:rsid w:val="00CF63ED"/>
    <w:rsid w:val="00CF651C"/>
    <w:rsid w:val="00CF664A"/>
    <w:rsid w:val="00CF6656"/>
    <w:rsid w:val="00CF68C7"/>
    <w:rsid w:val="00CF69EA"/>
    <w:rsid w:val="00CF6A13"/>
    <w:rsid w:val="00CF6A1D"/>
    <w:rsid w:val="00CF6BE7"/>
    <w:rsid w:val="00CF6D3E"/>
    <w:rsid w:val="00CF6E1F"/>
    <w:rsid w:val="00CF6EB7"/>
    <w:rsid w:val="00CF6FEE"/>
    <w:rsid w:val="00CF708A"/>
    <w:rsid w:val="00CF7183"/>
    <w:rsid w:val="00CF725C"/>
    <w:rsid w:val="00CF727A"/>
    <w:rsid w:val="00CF7529"/>
    <w:rsid w:val="00CF76B4"/>
    <w:rsid w:val="00CF785C"/>
    <w:rsid w:val="00CF78AB"/>
    <w:rsid w:val="00CF78DA"/>
    <w:rsid w:val="00CF7A36"/>
    <w:rsid w:val="00CF7A62"/>
    <w:rsid w:val="00CF7BA0"/>
    <w:rsid w:val="00CF7C4D"/>
    <w:rsid w:val="00D00023"/>
    <w:rsid w:val="00D00056"/>
    <w:rsid w:val="00D00126"/>
    <w:rsid w:val="00D001DF"/>
    <w:rsid w:val="00D002AE"/>
    <w:rsid w:val="00D00424"/>
    <w:rsid w:val="00D004C3"/>
    <w:rsid w:val="00D00509"/>
    <w:rsid w:val="00D0055E"/>
    <w:rsid w:val="00D0057E"/>
    <w:rsid w:val="00D005AA"/>
    <w:rsid w:val="00D00626"/>
    <w:rsid w:val="00D0076F"/>
    <w:rsid w:val="00D0077B"/>
    <w:rsid w:val="00D008DB"/>
    <w:rsid w:val="00D00936"/>
    <w:rsid w:val="00D009C2"/>
    <w:rsid w:val="00D00BB0"/>
    <w:rsid w:val="00D00CAE"/>
    <w:rsid w:val="00D00DA3"/>
    <w:rsid w:val="00D00E9F"/>
    <w:rsid w:val="00D01056"/>
    <w:rsid w:val="00D01058"/>
    <w:rsid w:val="00D01073"/>
    <w:rsid w:val="00D01233"/>
    <w:rsid w:val="00D014DD"/>
    <w:rsid w:val="00D01549"/>
    <w:rsid w:val="00D01608"/>
    <w:rsid w:val="00D016A5"/>
    <w:rsid w:val="00D01750"/>
    <w:rsid w:val="00D017B5"/>
    <w:rsid w:val="00D017F5"/>
    <w:rsid w:val="00D018AA"/>
    <w:rsid w:val="00D018C0"/>
    <w:rsid w:val="00D019FB"/>
    <w:rsid w:val="00D01C1B"/>
    <w:rsid w:val="00D01C89"/>
    <w:rsid w:val="00D01D75"/>
    <w:rsid w:val="00D01D8A"/>
    <w:rsid w:val="00D01DD2"/>
    <w:rsid w:val="00D01E03"/>
    <w:rsid w:val="00D01E7C"/>
    <w:rsid w:val="00D01EDF"/>
    <w:rsid w:val="00D021BD"/>
    <w:rsid w:val="00D02211"/>
    <w:rsid w:val="00D02388"/>
    <w:rsid w:val="00D023B1"/>
    <w:rsid w:val="00D02417"/>
    <w:rsid w:val="00D02486"/>
    <w:rsid w:val="00D024EA"/>
    <w:rsid w:val="00D0255C"/>
    <w:rsid w:val="00D025C0"/>
    <w:rsid w:val="00D0263E"/>
    <w:rsid w:val="00D02663"/>
    <w:rsid w:val="00D0273E"/>
    <w:rsid w:val="00D027AA"/>
    <w:rsid w:val="00D02948"/>
    <w:rsid w:val="00D02992"/>
    <w:rsid w:val="00D02994"/>
    <w:rsid w:val="00D02A5E"/>
    <w:rsid w:val="00D02ACA"/>
    <w:rsid w:val="00D02BAD"/>
    <w:rsid w:val="00D02C0C"/>
    <w:rsid w:val="00D02C2A"/>
    <w:rsid w:val="00D02DB8"/>
    <w:rsid w:val="00D02DD9"/>
    <w:rsid w:val="00D02E46"/>
    <w:rsid w:val="00D02E60"/>
    <w:rsid w:val="00D02EB2"/>
    <w:rsid w:val="00D02FCA"/>
    <w:rsid w:val="00D0301F"/>
    <w:rsid w:val="00D031B9"/>
    <w:rsid w:val="00D03238"/>
    <w:rsid w:val="00D0324B"/>
    <w:rsid w:val="00D0328F"/>
    <w:rsid w:val="00D032DE"/>
    <w:rsid w:val="00D03324"/>
    <w:rsid w:val="00D033D2"/>
    <w:rsid w:val="00D036AD"/>
    <w:rsid w:val="00D0374B"/>
    <w:rsid w:val="00D037A9"/>
    <w:rsid w:val="00D0397A"/>
    <w:rsid w:val="00D03A27"/>
    <w:rsid w:val="00D03ADA"/>
    <w:rsid w:val="00D03B3F"/>
    <w:rsid w:val="00D03BD2"/>
    <w:rsid w:val="00D03C93"/>
    <w:rsid w:val="00D03C9E"/>
    <w:rsid w:val="00D03D6E"/>
    <w:rsid w:val="00D03F0A"/>
    <w:rsid w:val="00D040BC"/>
    <w:rsid w:val="00D040D5"/>
    <w:rsid w:val="00D0411D"/>
    <w:rsid w:val="00D041B0"/>
    <w:rsid w:val="00D04303"/>
    <w:rsid w:val="00D043DF"/>
    <w:rsid w:val="00D04401"/>
    <w:rsid w:val="00D04408"/>
    <w:rsid w:val="00D044E9"/>
    <w:rsid w:val="00D04875"/>
    <w:rsid w:val="00D04D09"/>
    <w:rsid w:val="00D04D30"/>
    <w:rsid w:val="00D050A1"/>
    <w:rsid w:val="00D050A2"/>
    <w:rsid w:val="00D050B0"/>
    <w:rsid w:val="00D05220"/>
    <w:rsid w:val="00D05329"/>
    <w:rsid w:val="00D05387"/>
    <w:rsid w:val="00D053B3"/>
    <w:rsid w:val="00D0542B"/>
    <w:rsid w:val="00D05602"/>
    <w:rsid w:val="00D0586B"/>
    <w:rsid w:val="00D05905"/>
    <w:rsid w:val="00D05AF4"/>
    <w:rsid w:val="00D05B12"/>
    <w:rsid w:val="00D05B38"/>
    <w:rsid w:val="00D05BAF"/>
    <w:rsid w:val="00D05C7D"/>
    <w:rsid w:val="00D05D05"/>
    <w:rsid w:val="00D05D81"/>
    <w:rsid w:val="00D05E11"/>
    <w:rsid w:val="00D05F74"/>
    <w:rsid w:val="00D06019"/>
    <w:rsid w:val="00D060DC"/>
    <w:rsid w:val="00D061BD"/>
    <w:rsid w:val="00D06204"/>
    <w:rsid w:val="00D062DB"/>
    <w:rsid w:val="00D065DD"/>
    <w:rsid w:val="00D065E6"/>
    <w:rsid w:val="00D065EC"/>
    <w:rsid w:val="00D066E1"/>
    <w:rsid w:val="00D06703"/>
    <w:rsid w:val="00D06783"/>
    <w:rsid w:val="00D067BE"/>
    <w:rsid w:val="00D067C0"/>
    <w:rsid w:val="00D067E6"/>
    <w:rsid w:val="00D067EA"/>
    <w:rsid w:val="00D068C6"/>
    <w:rsid w:val="00D0692A"/>
    <w:rsid w:val="00D0694A"/>
    <w:rsid w:val="00D0699A"/>
    <w:rsid w:val="00D069F6"/>
    <w:rsid w:val="00D06AD4"/>
    <w:rsid w:val="00D06B66"/>
    <w:rsid w:val="00D06D79"/>
    <w:rsid w:val="00D06D91"/>
    <w:rsid w:val="00D06E70"/>
    <w:rsid w:val="00D06EAC"/>
    <w:rsid w:val="00D06FF8"/>
    <w:rsid w:val="00D070A3"/>
    <w:rsid w:val="00D07252"/>
    <w:rsid w:val="00D0738B"/>
    <w:rsid w:val="00D073B6"/>
    <w:rsid w:val="00D0745B"/>
    <w:rsid w:val="00D075C1"/>
    <w:rsid w:val="00D076BD"/>
    <w:rsid w:val="00D07722"/>
    <w:rsid w:val="00D07771"/>
    <w:rsid w:val="00D07852"/>
    <w:rsid w:val="00D07948"/>
    <w:rsid w:val="00D07A7B"/>
    <w:rsid w:val="00D07A9B"/>
    <w:rsid w:val="00D07ADB"/>
    <w:rsid w:val="00D07B6F"/>
    <w:rsid w:val="00D07D58"/>
    <w:rsid w:val="00D07E1D"/>
    <w:rsid w:val="00D07E50"/>
    <w:rsid w:val="00D07ED5"/>
    <w:rsid w:val="00D07F45"/>
    <w:rsid w:val="00D07FF4"/>
    <w:rsid w:val="00D10065"/>
    <w:rsid w:val="00D1021C"/>
    <w:rsid w:val="00D10273"/>
    <w:rsid w:val="00D10298"/>
    <w:rsid w:val="00D102D0"/>
    <w:rsid w:val="00D1038A"/>
    <w:rsid w:val="00D104B3"/>
    <w:rsid w:val="00D104D9"/>
    <w:rsid w:val="00D106E6"/>
    <w:rsid w:val="00D10738"/>
    <w:rsid w:val="00D10793"/>
    <w:rsid w:val="00D107F1"/>
    <w:rsid w:val="00D10814"/>
    <w:rsid w:val="00D10880"/>
    <w:rsid w:val="00D1095B"/>
    <w:rsid w:val="00D10A75"/>
    <w:rsid w:val="00D10A93"/>
    <w:rsid w:val="00D10B0B"/>
    <w:rsid w:val="00D10BE1"/>
    <w:rsid w:val="00D10C77"/>
    <w:rsid w:val="00D10DA1"/>
    <w:rsid w:val="00D10DCC"/>
    <w:rsid w:val="00D10DD2"/>
    <w:rsid w:val="00D10E97"/>
    <w:rsid w:val="00D10F11"/>
    <w:rsid w:val="00D10F8F"/>
    <w:rsid w:val="00D11109"/>
    <w:rsid w:val="00D11164"/>
    <w:rsid w:val="00D111CB"/>
    <w:rsid w:val="00D1122E"/>
    <w:rsid w:val="00D112B1"/>
    <w:rsid w:val="00D114AF"/>
    <w:rsid w:val="00D115ED"/>
    <w:rsid w:val="00D11604"/>
    <w:rsid w:val="00D11759"/>
    <w:rsid w:val="00D118CF"/>
    <w:rsid w:val="00D118D8"/>
    <w:rsid w:val="00D1197C"/>
    <w:rsid w:val="00D11A14"/>
    <w:rsid w:val="00D11AD0"/>
    <w:rsid w:val="00D11B01"/>
    <w:rsid w:val="00D11C96"/>
    <w:rsid w:val="00D11D34"/>
    <w:rsid w:val="00D11D61"/>
    <w:rsid w:val="00D11DB8"/>
    <w:rsid w:val="00D11DD1"/>
    <w:rsid w:val="00D11EFD"/>
    <w:rsid w:val="00D12107"/>
    <w:rsid w:val="00D12148"/>
    <w:rsid w:val="00D121A1"/>
    <w:rsid w:val="00D12325"/>
    <w:rsid w:val="00D123E3"/>
    <w:rsid w:val="00D12411"/>
    <w:rsid w:val="00D124EA"/>
    <w:rsid w:val="00D124EF"/>
    <w:rsid w:val="00D1251C"/>
    <w:rsid w:val="00D125C6"/>
    <w:rsid w:val="00D12638"/>
    <w:rsid w:val="00D12728"/>
    <w:rsid w:val="00D1275C"/>
    <w:rsid w:val="00D1284F"/>
    <w:rsid w:val="00D1291D"/>
    <w:rsid w:val="00D12932"/>
    <w:rsid w:val="00D12978"/>
    <w:rsid w:val="00D129D5"/>
    <w:rsid w:val="00D12A03"/>
    <w:rsid w:val="00D12A73"/>
    <w:rsid w:val="00D12ACC"/>
    <w:rsid w:val="00D12DA5"/>
    <w:rsid w:val="00D12F1A"/>
    <w:rsid w:val="00D131C7"/>
    <w:rsid w:val="00D13356"/>
    <w:rsid w:val="00D13406"/>
    <w:rsid w:val="00D13452"/>
    <w:rsid w:val="00D134A2"/>
    <w:rsid w:val="00D134A7"/>
    <w:rsid w:val="00D13503"/>
    <w:rsid w:val="00D13640"/>
    <w:rsid w:val="00D136BF"/>
    <w:rsid w:val="00D13733"/>
    <w:rsid w:val="00D137B1"/>
    <w:rsid w:val="00D137EA"/>
    <w:rsid w:val="00D13890"/>
    <w:rsid w:val="00D138FF"/>
    <w:rsid w:val="00D1391C"/>
    <w:rsid w:val="00D1391E"/>
    <w:rsid w:val="00D13AEE"/>
    <w:rsid w:val="00D13CAC"/>
    <w:rsid w:val="00D13F65"/>
    <w:rsid w:val="00D13FA5"/>
    <w:rsid w:val="00D13FF4"/>
    <w:rsid w:val="00D14220"/>
    <w:rsid w:val="00D1444E"/>
    <w:rsid w:val="00D14485"/>
    <w:rsid w:val="00D145A1"/>
    <w:rsid w:val="00D1478F"/>
    <w:rsid w:val="00D147A0"/>
    <w:rsid w:val="00D147CF"/>
    <w:rsid w:val="00D1480F"/>
    <w:rsid w:val="00D14A31"/>
    <w:rsid w:val="00D14B7F"/>
    <w:rsid w:val="00D14E16"/>
    <w:rsid w:val="00D14E4C"/>
    <w:rsid w:val="00D14E76"/>
    <w:rsid w:val="00D14FA4"/>
    <w:rsid w:val="00D14FB8"/>
    <w:rsid w:val="00D150F4"/>
    <w:rsid w:val="00D1519B"/>
    <w:rsid w:val="00D1539B"/>
    <w:rsid w:val="00D15408"/>
    <w:rsid w:val="00D154CA"/>
    <w:rsid w:val="00D15533"/>
    <w:rsid w:val="00D15553"/>
    <w:rsid w:val="00D15600"/>
    <w:rsid w:val="00D1561B"/>
    <w:rsid w:val="00D1572D"/>
    <w:rsid w:val="00D157BB"/>
    <w:rsid w:val="00D158EB"/>
    <w:rsid w:val="00D1598A"/>
    <w:rsid w:val="00D15A42"/>
    <w:rsid w:val="00D15A72"/>
    <w:rsid w:val="00D15B92"/>
    <w:rsid w:val="00D15C39"/>
    <w:rsid w:val="00D15CDA"/>
    <w:rsid w:val="00D15CE6"/>
    <w:rsid w:val="00D15EB1"/>
    <w:rsid w:val="00D15F3F"/>
    <w:rsid w:val="00D15F81"/>
    <w:rsid w:val="00D15FA9"/>
    <w:rsid w:val="00D16040"/>
    <w:rsid w:val="00D1604D"/>
    <w:rsid w:val="00D1617F"/>
    <w:rsid w:val="00D161BE"/>
    <w:rsid w:val="00D163C6"/>
    <w:rsid w:val="00D1651C"/>
    <w:rsid w:val="00D165C5"/>
    <w:rsid w:val="00D16816"/>
    <w:rsid w:val="00D16889"/>
    <w:rsid w:val="00D168D4"/>
    <w:rsid w:val="00D16953"/>
    <w:rsid w:val="00D16A7C"/>
    <w:rsid w:val="00D16AF9"/>
    <w:rsid w:val="00D16B43"/>
    <w:rsid w:val="00D16B97"/>
    <w:rsid w:val="00D16BF8"/>
    <w:rsid w:val="00D16E4A"/>
    <w:rsid w:val="00D16EE2"/>
    <w:rsid w:val="00D16F3F"/>
    <w:rsid w:val="00D16F96"/>
    <w:rsid w:val="00D1702F"/>
    <w:rsid w:val="00D170D0"/>
    <w:rsid w:val="00D17361"/>
    <w:rsid w:val="00D17363"/>
    <w:rsid w:val="00D17490"/>
    <w:rsid w:val="00D175D8"/>
    <w:rsid w:val="00D176DE"/>
    <w:rsid w:val="00D1774D"/>
    <w:rsid w:val="00D17893"/>
    <w:rsid w:val="00D178D3"/>
    <w:rsid w:val="00D1794E"/>
    <w:rsid w:val="00D17979"/>
    <w:rsid w:val="00D17A51"/>
    <w:rsid w:val="00D17B06"/>
    <w:rsid w:val="00D17BC5"/>
    <w:rsid w:val="00D17CB1"/>
    <w:rsid w:val="00D17D45"/>
    <w:rsid w:val="00D17DE7"/>
    <w:rsid w:val="00D17E0A"/>
    <w:rsid w:val="00D17E78"/>
    <w:rsid w:val="00D17F36"/>
    <w:rsid w:val="00D2005F"/>
    <w:rsid w:val="00D20155"/>
    <w:rsid w:val="00D201AE"/>
    <w:rsid w:val="00D20285"/>
    <w:rsid w:val="00D204F1"/>
    <w:rsid w:val="00D204FF"/>
    <w:rsid w:val="00D205CB"/>
    <w:rsid w:val="00D207DF"/>
    <w:rsid w:val="00D20847"/>
    <w:rsid w:val="00D208DD"/>
    <w:rsid w:val="00D20905"/>
    <w:rsid w:val="00D209C7"/>
    <w:rsid w:val="00D20AB6"/>
    <w:rsid w:val="00D20C2C"/>
    <w:rsid w:val="00D20D51"/>
    <w:rsid w:val="00D20E78"/>
    <w:rsid w:val="00D20EFC"/>
    <w:rsid w:val="00D20FA3"/>
    <w:rsid w:val="00D211A6"/>
    <w:rsid w:val="00D211A9"/>
    <w:rsid w:val="00D215E0"/>
    <w:rsid w:val="00D216E6"/>
    <w:rsid w:val="00D21716"/>
    <w:rsid w:val="00D217B7"/>
    <w:rsid w:val="00D2183E"/>
    <w:rsid w:val="00D2187B"/>
    <w:rsid w:val="00D218AA"/>
    <w:rsid w:val="00D21918"/>
    <w:rsid w:val="00D219B2"/>
    <w:rsid w:val="00D219D4"/>
    <w:rsid w:val="00D21A89"/>
    <w:rsid w:val="00D21B77"/>
    <w:rsid w:val="00D21CAE"/>
    <w:rsid w:val="00D21DF1"/>
    <w:rsid w:val="00D21FCE"/>
    <w:rsid w:val="00D2204E"/>
    <w:rsid w:val="00D221D9"/>
    <w:rsid w:val="00D22290"/>
    <w:rsid w:val="00D2238E"/>
    <w:rsid w:val="00D223D7"/>
    <w:rsid w:val="00D22455"/>
    <w:rsid w:val="00D22506"/>
    <w:rsid w:val="00D22529"/>
    <w:rsid w:val="00D226C7"/>
    <w:rsid w:val="00D226D5"/>
    <w:rsid w:val="00D228D2"/>
    <w:rsid w:val="00D22B24"/>
    <w:rsid w:val="00D22BDB"/>
    <w:rsid w:val="00D22C25"/>
    <w:rsid w:val="00D22D78"/>
    <w:rsid w:val="00D22F93"/>
    <w:rsid w:val="00D23019"/>
    <w:rsid w:val="00D2303B"/>
    <w:rsid w:val="00D230CB"/>
    <w:rsid w:val="00D23116"/>
    <w:rsid w:val="00D2321C"/>
    <w:rsid w:val="00D234AF"/>
    <w:rsid w:val="00D23531"/>
    <w:rsid w:val="00D235A9"/>
    <w:rsid w:val="00D2367F"/>
    <w:rsid w:val="00D2369E"/>
    <w:rsid w:val="00D237F5"/>
    <w:rsid w:val="00D23810"/>
    <w:rsid w:val="00D238F1"/>
    <w:rsid w:val="00D23AF6"/>
    <w:rsid w:val="00D23C1D"/>
    <w:rsid w:val="00D23CE0"/>
    <w:rsid w:val="00D23DE7"/>
    <w:rsid w:val="00D23E45"/>
    <w:rsid w:val="00D24193"/>
    <w:rsid w:val="00D241C4"/>
    <w:rsid w:val="00D24292"/>
    <w:rsid w:val="00D243C6"/>
    <w:rsid w:val="00D2448F"/>
    <w:rsid w:val="00D24533"/>
    <w:rsid w:val="00D24547"/>
    <w:rsid w:val="00D245D0"/>
    <w:rsid w:val="00D24602"/>
    <w:rsid w:val="00D24622"/>
    <w:rsid w:val="00D246B0"/>
    <w:rsid w:val="00D24792"/>
    <w:rsid w:val="00D24A92"/>
    <w:rsid w:val="00D24C19"/>
    <w:rsid w:val="00D24D33"/>
    <w:rsid w:val="00D24E57"/>
    <w:rsid w:val="00D24E82"/>
    <w:rsid w:val="00D25013"/>
    <w:rsid w:val="00D2510B"/>
    <w:rsid w:val="00D25158"/>
    <w:rsid w:val="00D25243"/>
    <w:rsid w:val="00D252B0"/>
    <w:rsid w:val="00D2540C"/>
    <w:rsid w:val="00D25470"/>
    <w:rsid w:val="00D254DE"/>
    <w:rsid w:val="00D25525"/>
    <w:rsid w:val="00D256AA"/>
    <w:rsid w:val="00D25760"/>
    <w:rsid w:val="00D25847"/>
    <w:rsid w:val="00D25B30"/>
    <w:rsid w:val="00D25B52"/>
    <w:rsid w:val="00D25D56"/>
    <w:rsid w:val="00D25E14"/>
    <w:rsid w:val="00D25E4B"/>
    <w:rsid w:val="00D25E9C"/>
    <w:rsid w:val="00D25F13"/>
    <w:rsid w:val="00D25F2A"/>
    <w:rsid w:val="00D25FC2"/>
    <w:rsid w:val="00D25FE4"/>
    <w:rsid w:val="00D261CB"/>
    <w:rsid w:val="00D261E5"/>
    <w:rsid w:val="00D26223"/>
    <w:rsid w:val="00D2634A"/>
    <w:rsid w:val="00D26360"/>
    <w:rsid w:val="00D2639C"/>
    <w:rsid w:val="00D2651A"/>
    <w:rsid w:val="00D26562"/>
    <w:rsid w:val="00D26576"/>
    <w:rsid w:val="00D26785"/>
    <w:rsid w:val="00D26950"/>
    <w:rsid w:val="00D269F6"/>
    <w:rsid w:val="00D26A7F"/>
    <w:rsid w:val="00D26CB5"/>
    <w:rsid w:val="00D26D34"/>
    <w:rsid w:val="00D26D9E"/>
    <w:rsid w:val="00D26F9C"/>
    <w:rsid w:val="00D27014"/>
    <w:rsid w:val="00D27024"/>
    <w:rsid w:val="00D27251"/>
    <w:rsid w:val="00D27268"/>
    <w:rsid w:val="00D27403"/>
    <w:rsid w:val="00D27439"/>
    <w:rsid w:val="00D274AC"/>
    <w:rsid w:val="00D2756B"/>
    <w:rsid w:val="00D2764F"/>
    <w:rsid w:val="00D2788A"/>
    <w:rsid w:val="00D27CEB"/>
    <w:rsid w:val="00D27DC4"/>
    <w:rsid w:val="00D27F5D"/>
    <w:rsid w:val="00D30032"/>
    <w:rsid w:val="00D30046"/>
    <w:rsid w:val="00D30213"/>
    <w:rsid w:val="00D30238"/>
    <w:rsid w:val="00D303B1"/>
    <w:rsid w:val="00D304F4"/>
    <w:rsid w:val="00D3078D"/>
    <w:rsid w:val="00D307A5"/>
    <w:rsid w:val="00D307C8"/>
    <w:rsid w:val="00D3084C"/>
    <w:rsid w:val="00D30889"/>
    <w:rsid w:val="00D30908"/>
    <w:rsid w:val="00D30987"/>
    <w:rsid w:val="00D30A62"/>
    <w:rsid w:val="00D30A66"/>
    <w:rsid w:val="00D30CDA"/>
    <w:rsid w:val="00D30D2F"/>
    <w:rsid w:val="00D30D50"/>
    <w:rsid w:val="00D30E6E"/>
    <w:rsid w:val="00D30FA2"/>
    <w:rsid w:val="00D31038"/>
    <w:rsid w:val="00D31099"/>
    <w:rsid w:val="00D310ED"/>
    <w:rsid w:val="00D3114D"/>
    <w:rsid w:val="00D31289"/>
    <w:rsid w:val="00D3135E"/>
    <w:rsid w:val="00D314B4"/>
    <w:rsid w:val="00D314F4"/>
    <w:rsid w:val="00D316AA"/>
    <w:rsid w:val="00D31762"/>
    <w:rsid w:val="00D31829"/>
    <w:rsid w:val="00D318EE"/>
    <w:rsid w:val="00D318EF"/>
    <w:rsid w:val="00D319A5"/>
    <w:rsid w:val="00D319AA"/>
    <w:rsid w:val="00D31B1F"/>
    <w:rsid w:val="00D31BAD"/>
    <w:rsid w:val="00D31BE0"/>
    <w:rsid w:val="00D31BE6"/>
    <w:rsid w:val="00D31C8E"/>
    <w:rsid w:val="00D31CA7"/>
    <w:rsid w:val="00D31E5A"/>
    <w:rsid w:val="00D31ED5"/>
    <w:rsid w:val="00D31F92"/>
    <w:rsid w:val="00D32197"/>
    <w:rsid w:val="00D3227E"/>
    <w:rsid w:val="00D32281"/>
    <w:rsid w:val="00D322F0"/>
    <w:rsid w:val="00D323D8"/>
    <w:rsid w:val="00D3246E"/>
    <w:rsid w:val="00D325B7"/>
    <w:rsid w:val="00D32688"/>
    <w:rsid w:val="00D326BB"/>
    <w:rsid w:val="00D326CE"/>
    <w:rsid w:val="00D326EC"/>
    <w:rsid w:val="00D32717"/>
    <w:rsid w:val="00D3271A"/>
    <w:rsid w:val="00D327F0"/>
    <w:rsid w:val="00D32940"/>
    <w:rsid w:val="00D3297F"/>
    <w:rsid w:val="00D32AEE"/>
    <w:rsid w:val="00D32C01"/>
    <w:rsid w:val="00D32D37"/>
    <w:rsid w:val="00D32EF0"/>
    <w:rsid w:val="00D32FB9"/>
    <w:rsid w:val="00D3308B"/>
    <w:rsid w:val="00D33101"/>
    <w:rsid w:val="00D33118"/>
    <w:rsid w:val="00D33230"/>
    <w:rsid w:val="00D332D9"/>
    <w:rsid w:val="00D33389"/>
    <w:rsid w:val="00D334F0"/>
    <w:rsid w:val="00D3354A"/>
    <w:rsid w:val="00D3356E"/>
    <w:rsid w:val="00D33576"/>
    <w:rsid w:val="00D33582"/>
    <w:rsid w:val="00D336E1"/>
    <w:rsid w:val="00D3370C"/>
    <w:rsid w:val="00D3373B"/>
    <w:rsid w:val="00D33791"/>
    <w:rsid w:val="00D337CE"/>
    <w:rsid w:val="00D338A3"/>
    <w:rsid w:val="00D338A4"/>
    <w:rsid w:val="00D339C2"/>
    <w:rsid w:val="00D33A0B"/>
    <w:rsid w:val="00D33C6A"/>
    <w:rsid w:val="00D33E9D"/>
    <w:rsid w:val="00D33EA8"/>
    <w:rsid w:val="00D340A0"/>
    <w:rsid w:val="00D340CA"/>
    <w:rsid w:val="00D3417D"/>
    <w:rsid w:val="00D341D9"/>
    <w:rsid w:val="00D34214"/>
    <w:rsid w:val="00D34312"/>
    <w:rsid w:val="00D343C1"/>
    <w:rsid w:val="00D343C8"/>
    <w:rsid w:val="00D3446F"/>
    <w:rsid w:val="00D344C7"/>
    <w:rsid w:val="00D3453A"/>
    <w:rsid w:val="00D34617"/>
    <w:rsid w:val="00D34901"/>
    <w:rsid w:val="00D34905"/>
    <w:rsid w:val="00D34BEF"/>
    <w:rsid w:val="00D34C30"/>
    <w:rsid w:val="00D34CC9"/>
    <w:rsid w:val="00D34F33"/>
    <w:rsid w:val="00D35175"/>
    <w:rsid w:val="00D3518F"/>
    <w:rsid w:val="00D353B9"/>
    <w:rsid w:val="00D353E7"/>
    <w:rsid w:val="00D354B2"/>
    <w:rsid w:val="00D355C0"/>
    <w:rsid w:val="00D355E4"/>
    <w:rsid w:val="00D35638"/>
    <w:rsid w:val="00D3563D"/>
    <w:rsid w:val="00D3565A"/>
    <w:rsid w:val="00D35771"/>
    <w:rsid w:val="00D35782"/>
    <w:rsid w:val="00D357DE"/>
    <w:rsid w:val="00D358F7"/>
    <w:rsid w:val="00D35990"/>
    <w:rsid w:val="00D359A6"/>
    <w:rsid w:val="00D35A52"/>
    <w:rsid w:val="00D35B87"/>
    <w:rsid w:val="00D35C83"/>
    <w:rsid w:val="00D35C9A"/>
    <w:rsid w:val="00D35F58"/>
    <w:rsid w:val="00D35F70"/>
    <w:rsid w:val="00D36239"/>
    <w:rsid w:val="00D36388"/>
    <w:rsid w:val="00D364A4"/>
    <w:rsid w:val="00D364BB"/>
    <w:rsid w:val="00D3658A"/>
    <w:rsid w:val="00D365AD"/>
    <w:rsid w:val="00D365FF"/>
    <w:rsid w:val="00D3670A"/>
    <w:rsid w:val="00D36782"/>
    <w:rsid w:val="00D36804"/>
    <w:rsid w:val="00D3687B"/>
    <w:rsid w:val="00D3693B"/>
    <w:rsid w:val="00D36A6D"/>
    <w:rsid w:val="00D36AF8"/>
    <w:rsid w:val="00D36B15"/>
    <w:rsid w:val="00D36B4B"/>
    <w:rsid w:val="00D36BE9"/>
    <w:rsid w:val="00D36CE6"/>
    <w:rsid w:val="00D36D46"/>
    <w:rsid w:val="00D36DAA"/>
    <w:rsid w:val="00D36FAC"/>
    <w:rsid w:val="00D36FBB"/>
    <w:rsid w:val="00D36FC6"/>
    <w:rsid w:val="00D37038"/>
    <w:rsid w:val="00D37091"/>
    <w:rsid w:val="00D3720F"/>
    <w:rsid w:val="00D372B1"/>
    <w:rsid w:val="00D37303"/>
    <w:rsid w:val="00D37379"/>
    <w:rsid w:val="00D37470"/>
    <w:rsid w:val="00D377E8"/>
    <w:rsid w:val="00D3781B"/>
    <w:rsid w:val="00D3785F"/>
    <w:rsid w:val="00D37968"/>
    <w:rsid w:val="00D379EE"/>
    <w:rsid w:val="00D37BBE"/>
    <w:rsid w:val="00D37C77"/>
    <w:rsid w:val="00D37C90"/>
    <w:rsid w:val="00D37CEF"/>
    <w:rsid w:val="00D37E16"/>
    <w:rsid w:val="00D37EB8"/>
    <w:rsid w:val="00D401C3"/>
    <w:rsid w:val="00D4023C"/>
    <w:rsid w:val="00D40405"/>
    <w:rsid w:val="00D404CE"/>
    <w:rsid w:val="00D405F6"/>
    <w:rsid w:val="00D406DE"/>
    <w:rsid w:val="00D40B3B"/>
    <w:rsid w:val="00D40B66"/>
    <w:rsid w:val="00D40B93"/>
    <w:rsid w:val="00D40C23"/>
    <w:rsid w:val="00D40C3B"/>
    <w:rsid w:val="00D40D7A"/>
    <w:rsid w:val="00D40E40"/>
    <w:rsid w:val="00D40F00"/>
    <w:rsid w:val="00D40F98"/>
    <w:rsid w:val="00D410F8"/>
    <w:rsid w:val="00D41139"/>
    <w:rsid w:val="00D41189"/>
    <w:rsid w:val="00D4129A"/>
    <w:rsid w:val="00D413B8"/>
    <w:rsid w:val="00D413D0"/>
    <w:rsid w:val="00D413DA"/>
    <w:rsid w:val="00D413F1"/>
    <w:rsid w:val="00D414F2"/>
    <w:rsid w:val="00D416A3"/>
    <w:rsid w:val="00D416CB"/>
    <w:rsid w:val="00D417E6"/>
    <w:rsid w:val="00D418F4"/>
    <w:rsid w:val="00D4199D"/>
    <w:rsid w:val="00D419A5"/>
    <w:rsid w:val="00D41AEF"/>
    <w:rsid w:val="00D41B80"/>
    <w:rsid w:val="00D41BB0"/>
    <w:rsid w:val="00D41D56"/>
    <w:rsid w:val="00D41E57"/>
    <w:rsid w:val="00D41EE1"/>
    <w:rsid w:val="00D41F1C"/>
    <w:rsid w:val="00D4204A"/>
    <w:rsid w:val="00D4213B"/>
    <w:rsid w:val="00D42217"/>
    <w:rsid w:val="00D42353"/>
    <w:rsid w:val="00D42392"/>
    <w:rsid w:val="00D42497"/>
    <w:rsid w:val="00D42625"/>
    <w:rsid w:val="00D42662"/>
    <w:rsid w:val="00D42721"/>
    <w:rsid w:val="00D42784"/>
    <w:rsid w:val="00D42966"/>
    <w:rsid w:val="00D42AFA"/>
    <w:rsid w:val="00D42B7F"/>
    <w:rsid w:val="00D42C70"/>
    <w:rsid w:val="00D42CA6"/>
    <w:rsid w:val="00D42D92"/>
    <w:rsid w:val="00D42DBD"/>
    <w:rsid w:val="00D42E00"/>
    <w:rsid w:val="00D42EBD"/>
    <w:rsid w:val="00D42F5B"/>
    <w:rsid w:val="00D43207"/>
    <w:rsid w:val="00D4345D"/>
    <w:rsid w:val="00D435A0"/>
    <w:rsid w:val="00D437D2"/>
    <w:rsid w:val="00D4393F"/>
    <w:rsid w:val="00D43BDA"/>
    <w:rsid w:val="00D43C6E"/>
    <w:rsid w:val="00D43CFA"/>
    <w:rsid w:val="00D43DDB"/>
    <w:rsid w:val="00D43E66"/>
    <w:rsid w:val="00D43EC6"/>
    <w:rsid w:val="00D43EC7"/>
    <w:rsid w:val="00D4400B"/>
    <w:rsid w:val="00D44053"/>
    <w:rsid w:val="00D44156"/>
    <w:rsid w:val="00D44209"/>
    <w:rsid w:val="00D4424F"/>
    <w:rsid w:val="00D442D2"/>
    <w:rsid w:val="00D44363"/>
    <w:rsid w:val="00D4437C"/>
    <w:rsid w:val="00D443CB"/>
    <w:rsid w:val="00D4441D"/>
    <w:rsid w:val="00D44597"/>
    <w:rsid w:val="00D447BC"/>
    <w:rsid w:val="00D447F9"/>
    <w:rsid w:val="00D44AF7"/>
    <w:rsid w:val="00D44B80"/>
    <w:rsid w:val="00D44E18"/>
    <w:rsid w:val="00D44EE9"/>
    <w:rsid w:val="00D44FF6"/>
    <w:rsid w:val="00D4504E"/>
    <w:rsid w:val="00D45110"/>
    <w:rsid w:val="00D4516C"/>
    <w:rsid w:val="00D453C9"/>
    <w:rsid w:val="00D45445"/>
    <w:rsid w:val="00D4545B"/>
    <w:rsid w:val="00D45472"/>
    <w:rsid w:val="00D45610"/>
    <w:rsid w:val="00D4566D"/>
    <w:rsid w:val="00D45868"/>
    <w:rsid w:val="00D45A71"/>
    <w:rsid w:val="00D45BCC"/>
    <w:rsid w:val="00D45D14"/>
    <w:rsid w:val="00D45FD5"/>
    <w:rsid w:val="00D46148"/>
    <w:rsid w:val="00D4618A"/>
    <w:rsid w:val="00D46195"/>
    <w:rsid w:val="00D46200"/>
    <w:rsid w:val="00D463BB"/>
    <w:rsid w:val="00D463E1"/>
    <w:rsid w:val="00D4641D"/>
    <w:rsid w:val="00D46438"/>
    <w:rsid w:val="00D464CA"/>
    <w:rsid w:val="00D46760"/>
    <w:rsid w:val="00D467E5"/>
    <w:rsid w:val="00D46855"/>
    <w:rsid w:val="00D46883"/>
    <w:rsid w:val="00D46912"/>
    <w:rsid w:val="00D46A23"/>
    <w:rsid w:val="00D46D02"/>
    <w:rsid w:val="00D46D6A"/>
    <w:rsid w:val="00D46D72"/>
    <w:rsid w:val="00D46D89"/>
    <w:rsid w:val="00D46E5F"/>
    <w:rsid w:val="00D46E69"/>
    <w:rsid w:val="00D46F37"/>
    <w:rsid w:val="00D4701A"/>
    <w:rsid w:val="00D470F3"/>
    <w:rsid w:val="00D47165"/>
    <w:rsid w:val="00D471A6"/>
    <w:rsid w:val="00D471B4"/>
    <w:rsid w:val="00D472A5"/>
    <w:rsid w:val="00D47371"/>
    <w:rsid w:val="00D4745A"/>
    <w:rsid w:val="00D47494"/>
    <w:rsid w:val="00D47508"/>
    <w:rsid w:val="00D47539"/>
    <w:rsid w:val="00D4764D"/>
    <w:rsid w:val="00D47A24"/>
    <w:rsid w:val="00D47AF2"/>
    <w:rsid w:val="00D47B27"/>
    <w:rsid w:val="00D47BCD"/>
    <w:rsid w:val="00D47D9E"/>
    <w:rsid w:val="00D47E10"/>
    <w:rsid w:val="00D500F0"/>
    <w:rsid w:val="00D501F2"/>
    <w:rsid w:val="00D50218"/>
    <w:rsid w:val="00D50236"/>
    <w:rsid w:val="00D502A3"/>
    <w:rsid w:val="00D50455"/>
    <w:rsid w:val="00D50613"/>
    <w:rsid w:val="00D5063E"/>
    <w:rsid w:val="00D50649"/>
    <w:rsid w:val="00D50A7D"/>
    <w:rsid w:val="00D50AD6"/>
    <w:rsid w:val="00D50B41"/>
    <w:rsid w:val="00D50E31"/>
    <w:rsid w:val="00D50FA3"/>
    <w:rsid w:val="00D51014"/>
    <w:rsid w:val="00D5113D"/>
    <w:rsid w:val="00D516F4"/>
    <w:rsid w:val="00D517FB"/>
    <w:rsid w:val="00D5186B"/>
    <w:rsid w:val="00D51B02"/>
    <w:rsid w:val="00D51C6E"/>
    <w:rsid w:val="00D51CBE"/>
    <w:rsid w:val="00D51D76"/>
    <w:rsid w:val="00D51D96"/>
    <w:rsid w:val="00D51DE3"/>
    <w:rsid w:val="00D51DE8"/>
    <w:rsid w:val="00D51F80"/>
    <w:rsid w:val="00D52010"/>
    <w:rsid w:val="00D52071"/>
    <w:rsid w:val="00D52140"/>
    <w:rsid w:val="00D52142"/>
    <w:rsid w:val="00D521DC"/>
    <w:rsid w:val="00D522BF"/>
    <w:rsid w:val="00D52330"/>
    <w:rsid w:val="00D523F7"/>
    <w:rsid w:val="00D52833"/>
    <w:rsid w:val="00D5298C"/>
    <w:rsid w:val="00D5299F"/>
    <w:rsid w:val="00D52A13"/>
    <w:rsid w:val="00D52E85"/>
    <w:rsid w:val="00D52F29"/>
    <w:rsid w:val="00D52F32"/>
    <w:rsid w:val="00D530EF"/>
    <w:rsid w:val="00D53109"/>
    <w:rsid w:val="00D5314A"/>
    <w:rsid w:val="00D5319F"/>
    <w:rsid w:val="00D53225"/>
    <w:rsid w:val="00D53400"/>
    <w:rsid w:val="00D53439"/>
    <w:rsid w:val="00D53488"/>
    <w:rsid w:val="00D535C1"/>
    <w:rsid w:val="00D536D6"/>
    <w:rsid w:val="00D53742"/>
    <w:rsid w:val="00D538D3"/>
    <w:rsid w:val="00D539F2"/>
    <w:rsid w:val="00D53BC0"/>
    <w:rsid w:val="00D53C4B"/>
    <w:rsid w:val="00D53C90"/>
    <w:rsid w:val="00D53D14"/>
    <w:rsid w:val="00D53D16"/>
    <w:rsid w:val="00D53EB0"/>
    <w:rsid w:val="00D53F1E"/>
    <w:rsid w:val="00D53FFB"/>
    <w:rsid w:val="00D540E9"/>
    <w:rsid w:val="00D54134"/>
    <w:rsid w:val="00D54141"/>
    <w:rsid w:val="00D541DF"/>
    <w:rsid w:val="00D542AF"/>
    <w:rsid w:val="00D54429"/>
    <w:rsid w:val="00D54630"/>
    <w:rsid w:val="00D54676"/>
    <w:rsid w:val="00D546C7"/>
    <w:rsid w:val="00D54738"/>
    <w:rsid w:val="00D54830"/>
    <w:rsid w:val="00D5487C"/>
    <w:rsid w:val="00D54A5F"/>
    <w:rsid w:val="00D54BC2"/>
    <w:rsid w:val="00D54C08"/>
    <w:rsid w:val="00D54C15"/>
    <w:rsid w:val="00D54C62"/>
    <w:rsid w:val="00D54E1C"/>
    <w:rsid w:val="00D54E3F"/>
    <w:rsid w:val="00D54E45"/>
    <w:rsid w:val="00D54E67"/>
    <w:rsid w:val="00D54FDE"/>
    <w:rsid w:val="00D550A6"/>
    <w:rsid w:val="00D55113"/>
    <w:rsid w:val="00D551FA"/>
    <w:rsid w:val="00D552E9"/>
    <w:rsid w:val="00D55458"/>
    <w:rsid w:val="00D5562C"/>
    <w:rsid w:val="00D5563D"/>
    <w:rsid w:val="00D55687"/>
    <w:rsid w:val="00D557DA"/>
    <w:rsid w:val="00D557E1"/>
    <w:rsid w:val="00D55873"/>
    <w:rsid w:val="00D558AD"/>
    <w:rsid w:val="00D559B6"/>
    <w:rsid w:val="00D55B88"/>
    <w:rsid w:val="00D55BCB"/>
    <w:rsid w:val="00D55D64"/>
    <w:rsid w:val="00D55D6C"/>
    <w:rsid w:val="00D55DC6"/>
    <w:rsid w:val="00D55EDE"/>
    <w:rsid w:val="00D560FD"/>
    <w:rsid w:val="00D56113"/>
    <w:rsid w:val="00D56525"/>
    <w:rsid w:val="00D566F1"/>
    <w:rsid w:val="00D56812"/>
    <w:rsid w:val="00D5683A"/>
    <w:rsid w:val="00D56854"/>
    <w:rsid w:val="00D568F4"/>
    <w:rsid w:val="00D569F6"/>
    <w:rsid w:val="00D56B9D"/>
    <w:rsid w:val="00D56C6E"/>
    <w:rsid w:val="00D56CAA"/>
    <w:rsid w:val="00D56D66"/>
    <w:rsid w:val="00D56D7C"/>
    <w:rsid w:val="00D56D96"/>
    <w:rsid w:val="00D56E64"/>
    <w:rsid w:val="00D56E9D"/>
    <w:rsid w:val="00D56F15"/>
    <w:rsid w:val="00D57159"/>
    <w:rsid w:val="00D571C6"/>
    <w:rsid w:val="00D5720D"/>
    <w:rsid w:val="00D57351"/>
    <w:rsid w:val="00D5735A"/>
    <w:rsid w:val="00D573BB"/>
    <w:rsid w:val="00D573D5"/>
    <w:rsid w:val="00D5745C"/>
    <w:rsid w:val="00D57588"/>
    <w:rsid w:val="00D57591"/>
    <w:rsid w:val="00D57599"/>
    <w:rsid w:val="00D5769C"/>
    <w:rsid w:val="00D57734"/>
    <w:rsid w:val="00D577DC"/>
    <w:rsid w:val="00D5798B"/>
    <w:rsid w:val="00D57A6E"/>
    <w:rsid w:val="00D60048"/>
    <w:rsid w:val="00D60083"/>
    <w:rsid w:val="00D600FA"/>
    <w:rsid w:val="00D6023F"/>
    <w:rsid w:val="00D602A4"/>
    <w:rsid w:val="00D604F7"/>
    <w:rsid w:val="00D604FD"/>
    <w:rsid w:val="00D6062A"/>
    <w:rsid w:val="00D607B8"/>
    <w:rsid w:val="00D607FA"/>
    <w:rsid w:val="00D6083A"/>
    <w:rsid w:val="00D609DC"/>
    <w:rsid w:val="00D60B09"/>
    <w:rsid w:val="00D60B38"/>
    <w:rsid w:val="00D60BE8"/>
    <w:rsid w:val="00D60CB4"/>
    <w:rsid w:val="00D60DD8"/>
    <w:rsid w:val="00D60FB6"/>
    <w:rsid w:val="00D6108A"/>
    <w:rsid w:val="00D610E5"/>
    <w:rsid w:val="00D611D6"/>
    <w:rsid w:val="00D61362"/>
    <w:rsid w:val="00D613F2"/>
    <w:rsid w:val="00D61451"/>
    <w:rsid w:val="00D61470"/>
    <w:rsid w:val="00D6151E"/>
    <w:rsid w:val="00D61612"/>
    <w:rsid w:val="00D6164D"/>
    <w:rsid w:val="00D616B0"/>
    <w:rsid w:val="00D61823"/>
    <w:rsid w:val="00D618BF"/>
    <w:rsid w:val="00D61906"/>
    <w:rsid w:val="00D6193B"/>
    <w:rsid w:val="00D61950"/>
    <w:rsid w:val="00D619FB"/>
    <w:rsid w:val="00D61A08"/>
    <w:rsid w:val="00D61B8F"/>
    <w:rsid w:val="00D61E73"/>
    <w:rsid w:val="00D61F3E"/>
    <w:rsid w:val="00D61F69"/>
    <w:rsid w:val="00D62181"/>
    <w:rsid w:val="00D622A6"/>
    <w:rsid w:val="00D62302"/>
    <w:rsid w:val="00D62363"/>
    <w:rsid w:val="00D62416"/>
    <w:rsid w:val="00D62419"/>
    <w:rsid w:val="00D62468"/>
    <w:rsid w:val="00D62486"/>
    <w:rsid w:val="00D626D3"/>
    <w:rsid w:val="00D626ED"/>
    <w:rsid w:val="00D62AD4"/>
    <w:rsid w:val="00D62D36"/>
    <w:rsid w:val="00D62E99"/>
    <w:rsid w:val="00D62F31"/>
    <w:rsid w:val="00D62F98"/>
    <w:rsid w:val="00D62F99"/>
    <w:rsid w:val="00D63176"/>
    <w:rsid w:val="00D6322C"/>
    <w:rsid w:val="00D6325F"/>
    <w:rsid w:val="00D63331"/>
    <w:rsid w:val="00D635C0"/>
    <w:rsid w:val="00D63637"/>
    <w:rsid w:val="00D636A9"/>
    <w:rsid w:val="00D63768"/>
    <w:rsid w:val="00D638A5"/>
    <w:rsid w:val="00D63B92"/>
    <w:rsid w:val="00D63BD2"/>
    <w:rsid w:val="00D63C26"/>
    <w:rsid w:val="00D63CCB"/>
    <w:rsid w:val="00D63D9C"/>
    <w:rsid w:val="00D63E4A"/>
    <w:rsid w:val="00D63EC3"/>
    <w:rsid w:val="00D63ED3"/>
    <w:rsid w:val="00D63FB2"/>
    <w:rsid w:val="00D63FC0"/>
    <w:rsid w:val="00D64036"/>
    <w:rsid w:val="00D641E4"/>
    <w:rsid w:val="00D642AC"/>
    <w:rsid w:val="00D642D8"/>
    <w:rsid w:val="00D64410"/>
    <w:rsid w:val="00D644C7"/>
    <w:rsid w:val="00D6459B"/>
    <w:rsid w:val="00D64633"/>
    <w:rsid w:val="00D6469B"/>
    <w:rsid w:val="00D646B1"/>
    <w:rsid w:val="00D64765"/>
    <w:rsid w:val="00D6479A"/>
    <w:rsid w:val="00D648A1"/>
    <w:rsid w:val="00D648A5"/>
    <w:rsid w:val="00D648CD"/>
    <w:rsid w:val="00D6490B"/>
    <w:rsid w:val="00D64B85"/>
    <w:rsid w:val="00D64CCC"/>
    <w:rsid w:val="00D64CD6"/>
    <w:rsid w:val="00D64E82"/>
    <w:rsid w:val="00D64F4B"/>
    <w:rsid w:val="00D64FA1"/>
    <w:rsid w:val="00D65075"/>
    <w:rsid w:val="00D6507F"/>
    <w:rsid w:val="00D65157"/>
    <w:rsid w:val="00D652A1"/>
    <w:rsid w:val="00D652B6"/>
    <w:rsid w:val="00D652CF"/>
    <w:rsid w:val="00D65328"/>
    <w:rsid w:val="00D6539B"/>
    <w:rsid w:val="00D6539C"/>
    <w:rsid w:val="00D653E0"/>
    <w:rsid w:val="00D65519"/>
    <w:rsid w:val="00D65579"/>
    <w:rsid w:val="00D65691"/>
    <w:rsid w:val="00D656C9"/>
    <w:rsid w:val="00D656CC"/>
    <w:rsid w:val="00D656F6"/>
    <w:rsid w:val="00D6572C"/>
    <w:rsid w:val="00D65754"/>
    <w:rsid w:val="00D657A4"/>
    <w:rsid w:val="00D657AF"/>
    <w:rsid w:val="00D65910"/>
    <w:rsid w:val="00D65932"/>
    <w:rsid w:val="00D659C2"/>
    <w:rsid w:val="00D65A65"/>
    <w:rsid w:val="00D65A92"/>
    <w:rsid w:val="00D65D89"/>
    <w:rsid w:val="00D65DD0"/>
    <w:rsid w:val="00D65E2F"/>
    <w:rsid w:val="00D65E60"/>
    <w:rsid w:val="00D65F02"/>
    <w:rsid w:val="00D65FA7"/>
    <w:rsid w:val="00D66056"/>
    <w:rsid w:val="00D661D5"/>
    <w:rsid w:val="00D661DD"/>
    <w:rsid w:val="00D66268"/>
    <w:rsid w:val="00D663D0"/>
    <w:rsid w:val="00D6672C"/>
    <w:rsid w:val="00D66789"/>
    <w:rsid w:val="00D667C9"/>
    <w:rsid w:val="00D668BB"/>
    <w:rsid w:val="00D66902"/>
    <w:rsid w:val="00D66935"/>
    <w:rsid w:val="00D66A59"/>
    <w:rsid w:val="00D66B63"/>
    <w:rsid w:val="00D66D0C"/>
    <w:rsid w:val="00D66EB8"/>
    <w:rsid w:val="00D67152"/>
    <w:rsid w:val="00D672A4"/>
    <w:rsid w:val="00D6733B"/>
    <w:rsid w:val="00D67434"/>
    <w:rsid w:val="00D6745B"/>
    <w:rsid w:val="00D67481"/>
    <w:rsid w:val="00D67520"/>
    <w:rsid w:val="00D675A3"/>
    <w:rsid w:val="00D675C5"/>
    <w:rsid w:val="00D676ED"/>
    <w:rsid w:val="00D677DA"/>
    <w:rsid w:val="00D677F8"/>
    <w:rsid w:val="00D67805"/>
    <w:rsid w:val="00D6782B"/>
    <w:rsid w:val="00D6786A"/>
    <w:rsid w:val="00D67B6A"/>
    <w:rsid w:val="00D67BE6"/>
    <w:rsid w:val="00D67D1C"/>
    <w:rsid w:val="00D67DB5"/>
    <w:rsid w:val="00D67DDA"/>
    <w:rsid w:val="00D67E8C"/>
    <w:rsid w:val="00D700F8"/>
    <w:rsid w:val="00D7014B"/>
    <w:rsid w:val="00D701D9"/>
    <w:rsid w:val="00D7047F"/>
    <w:rsid w:val="00D705CC"/>
    <w:rsid w:val="00D706BF"/>
    <w:rsid w:val="00D70752"/>
    <w:rsid w:val="00D707A6"/>
    <w:rsid w:val="00D7083A"/>
    <w:rsid w:val="00D70880"/>
    <w:rsid w:val="00D708EC"/>
    <w:rsid w:val="00D70AC4"/>
    <w:rsid w:val="00D70B38"/>
    <w:rsid w:val="00D70B68"/>
    <w:rsid w:val="00D70BCA"/>
    <w:rsid w:val="00D70BE7"/>
    <w:rsid w:val="00D70CE3"/>
    <w:rsid w:val="00D70D57"/>
    <w:rsid w:val="00D70DAE"/>
    <w:rsid w:val="00D70F70"/>
    <w:rsid w:val="00D71037"/>
    <w:rsid w:val="00D71086"/>
    <w:rsid w:val="00D7123E"/>
    <w:rsid w:val="00D7124D"/>
    <w:rsid w:val="00D7127A"/>
    <w:rsid w:val="00D712A0"/>
    <w:rsid w:val="00D712FA"/>
    <w:rsid w:val="00D71369"/>
    <w:rsid w:val="00D713B5"/>
    <w:rsid w:val="00D71547"/>
    <w:rsid w:val="00D715E6"/>
    <w:rsid w:val="00D715F5"/>
    <w:rsid w:val="00D71614"/>
    <w:rsid w:val="00D71618"/>
    <w:rsid w:val="00D7169C"/>
    <w:rsid w:val="00D717A7"/>
    <w:rsid w:val="00D71876"/>
    <w:rsid w:val="00D71965"/>
    <w:rsid w:val="00D7197B"/>
    <w:rsid w:val="00D71A8B"/>
    <w:rsid w:val="00D71AE7"/>
    <w:rsid w:val="00D71C7F"/>
    <w:rsid w:val="00D71C86"/>
    <w:rsid w:val="00D71C95"/>
    <w:rsid w:val="00D71D34"/>
    <w:rsid w:val="00D71D91"/>
    <w:rsid w:val="00D71DA8"/>
    <w:rsid w:val="00D71DB6"/>
    <w:rsid w:val="00D71DCB"/>
    <w:rsid w:val="00D71E7A"/>
    <w:rsid w:val="00D7208C"/>
    <w:rsid w:val="00D72176"/>
    <w:rsid w:val="00D722ED"/>
    <w:rsid w:val="00D72309"/>
    <w:rsid w:val="00D723D9"/>
    <w:rsid w:val="00D724F9"/>
    <w:rsid w:val="00D72520"/>
    <w:rsid w:val="00D726CF"/>
    <w:rsid w:val="00D72768"/>
    <w:rsid w:val="00D72916"/>
    <w:rsid w:val="00D72AF1"/>
    <w:rsid w:val="00D72BEF"/>
    <w:rsid w:val="00D72C32"/>
    <w:rsid w:val="00D72C5F"/>
    <w:rsid w:val="00D72C9E"/>
    <w:rsid w:val="00D72CA7"/>
    <w:rsid w:val="00D72CD3"/>
    <w:rsid w:val="00D72E6F"/>
    <w:rsid w:val="00D72E9C"/>
    <w:rsid w:val="00D72F0C"/>
    <w:rsid w:val="00D73043"/>
    <w:rsid w:val="00D7308B"/>
    <w:rsid w:val="00D73091"/>
    <w:rsid w:val="00D731A5"/>
    <w:rsid w:val="00D731E8"/>
    <w:rsid w:val="00D7341F"/>
    <w:rsid w:val="00D73428"/>
    <w:rsid w:val="00D73726"/>
    <w:rsid w:val="00D7372B"/>
    <w:rsid w:val="00D73800"/>
    <w:rsid w:val="00D7388A"/>
    <w:rsid w:val="00D7396C"/>
    <w:rsid w:val="00D73A38"/>
    <w:rsid w:val="00D73C7D"/>
    <w:rsid w:val="00D73C8F"/>
    <w:rsid w:val="00D73CED"/>
    <w:rsid w:val="00D73D55"/>
    <w:rsid w:val="00D73D9C"/>
    <w:rsid w:val="00D73E13"/>
    <w:rsid w:val="00D73E20"/>
    <w:rsid w:val="00D73EFA"/>
    <w:rsid w:val="00D73F36"/>
    <w:rsid w:val="00D741DF"/>
    <w:rsid w:val="00D7421D"/>
    <w:rsid w:val="00D74229"/>
    <w:rsid w:val="00D743FA"/>
    <w:rsid w:val="00D745A4"/>
    <w:rsid w:val="00D74807"/>
    <w:rsid w:val="00D7495E"/>
    <w:rsid w:val="00D749B9"/>
    <w:rsid w:val="00D74A70"/>
    <w:rsid w:val="00D74AE7"/>
    <w:rsid w:val="00D74B33"/>
    <w:rsid w:val="00D74B52"/>
    <w:rsid w:val="00D74BFF"/>
    <w:rsid w:val="00D74C13"/>
    <w:rsid w:val="00D74E33"/>
    <w:rsid w:val="00D75018"/>
    <w:rsid w:val="00D75032"/>
    <w:rsid w:val="00D7503B"/>
    <w:rsid w:val="00D7511B"/>
    <w:rsid w:val="00D75163"/>
    <w:rsid w:val="00D75174"/>
    <w:rsid w:val="00D7519C"/>
    <w:rsid w:val="00D7521F"/>
    <w:rsid w:val="00D752A1"/>
    <w:rsid w:val="00D75495"/>
    <w:rsid w:val="00D75591"/>
    <w:rsid w:val="00D75702"/>
    <w:rsid w:val="00D7572B"/>
    <w:rsid w:val="00D75776"/>
    <w:rsid w:val="00D75802"/>
    <w:rsid w:val="00D75918"/>
    <w:rsid w:val="00D75C5D"/>
    <w:rsid w:val="00D75CF4"/>
    <w:rsid w:val="00D75E2B"/>
    <w:rsid w:val="00D75E2C"/>
    <w:rsid w:val="00D75E42"/>
    <w:rsid w:val="00D75E7A"/>
    <w:rsid w:val="00D75F0C"/>
    <w:rsid w:val="00D76060"/>
    <w:rsid w:val="00D76152"/>
    <w:rsid w:val="00D761A0"/>
    <w:rsid w:val="00D761A3"/>
    <w:rsid w:val="00D761F6"/>
    <w:rsid w:val="00D7645E"/>
    <w:rsid w:val="00D765F2"/>
    <w:rsid w:val="00D76628"/>
    <w:rsid w:val="00D76699"/>
    <w:rsid w:val="00D7669C"/>
    <w:rsid w:val="00D76769"/>
    <w:rsid w:val="00D767D1"/>
    <w:rsid w:val="00D7680C"/>
    <w:rsid w:val="00D769BE"/>
    <w:rsid w:val="00D76BD8"/>
    <w:rsid w:val="00D76C0C"/>
    <w:rsid w:val="00D76C15"/>
    <w:rsid w:val="00D76C7E"/>
    <w:rsid w:val="00D76DE3"/>
    <w:rsid w:val="00D76F67"/>
    <w:rsid w:val="00D76FCC"/>
    <w:rsid w:val="00D77555"/>
    <w:rsid w:val="00D77655"/>
    <w:rsid w:val="00D77968"/>
    <w:rsid w:val="00D77979"/>
    <w:rsid w:val="00D77A39"/>
    <w:rsid w:val="00D77AEB"/>
    <w:rsid w:val="00D77B11"/>
    <w:rsid w:val="00D77B99"/>
    <w:rsid w:val="00D77BEA"/>
    <w:rsid w:val="00D77C29"/>
    <w:rsid w:val="00D77C82"/>
    <w:rsid w:val="00D77E0A"/>
    <w:rsid w:val="00D77EB6"/>
    <w:rsid w:val="00D80077"/>
    <w:rsid w:val="00D80088"/>
    <w:rsid w:val="00D800FF"/>
    <w:rsid w:val="00D8013F"/>
    <w:rsid w:val="00D801FC"/>
    <w:rsid w:val="00D8021B"/>
    <w:rsid w:val="00D80297"/>
    <w:rsid w:val="00D80628"/>
    <w:rsid w:val="00D80650"/>
    <w:rsid w:val="00D8083C"/>
    <w:rsid w:val="00D808D5"/>
    <w:rsid w:val="00D80A5C"/>
    <w:rsid w:val="00D80C4C"/>
    <w:rsid w:val="00D80C99"/>
    <w:rsid w:val="00D80D3B"/>
    <w:rsid w:val="00D80D84"/>
    <w:rsid w:val="00D80D85"/>
    <w:rsid w:val="00D80DA2"/>
    <w:rsid w:val="00D80E3E"/>
    <w:rsid w:val="00D8112E"/>
    <w:rsid w:val="00D811A0"/>
    <w:rsid w:val="00D81593"/>
    <w:rsid w:val="00D8159F"/>
    <w:rsid w:val="00D815E5"/>
    <w:rsid w:val="00D816E5"/>
    <w:rsid w:val="00D81764"/>
    <w:rsid w:val="00D8178D"/>
    <w:rsid w:val="00D8186C"/>
    <w:rsid w:val="00D81899"/>
    <w:rsid w:val="00D8189F"/>
    <w:rsid w:val="00D8199D"/>
    <w:rsid w:val="00D81A17"/>
    <w:rsid w:val="00D81A9F"/>
    <w:rsid w:val="00D81BF2"/>
    <w:rsid w:val="00D81BFE"/>
    <w:rsid w:val="00D81D0B"/>
    <w:rsid w:val="00D81D15"/>
    <w:rsid w:val="00D81EDB"/>
    <w:rsid w:val="00D820AE"/>
    <w:rsid w:val="00D821B1"/>
    <w:rsid w:val="00D822E4"/>
    <w:rsid w:val="00D8234B"/>
    <w:rsid w:val="00D82361"/>
    <w:rsid w:val="00D82606"/>
    <w:rsid w:val="00D826A4"/>
    <w:rsid w:val="00D826F1"/>
    <w:rsid w:val="00D82885"/>
    <w:rsid w:val="00D828F4"/>
    <w:rsid w:val="00D82937"/>
    <w:rsid w:val="00D829C6"/>
    <w:rsid w:val="00D82A1F"/>
    <w:rsid w:val="00D82A4E"/>
    <w:rsid w:val="00D82B8A"/>
    <w:rsid w:val="00D82B95"/>
    <w:rsid w:val="00D82B9E"/>
    <w:rsid w:val="00D82CD6"/>
    <w:rsid w:val="00D82D91"/>
    <w:rsid w:val="00D82EBA"/>
    <w:rsid w:val="00D8314F"/>
    <w:rsid w:val="00D831A9"/>
    <w:rsid w:val="00D831B6"/>
    <w:rsid w:val="00D83210"/>
    <w:rsid w:val="00D8323E"/>
    <w:rsid w:val="00D8327C"/>
    <w:rsid w:val="00D8330F"/>
    <w:rsid w:val="00D83412"/>
    <w:rsid w:val="00D83458"/>
    <w:rsid w:val="00D834CB"/>
    <w:rsid w:val="00D834D2"/>
    <w:rsid w:val="00D834E0"/>
    <w:rsid w:val="00D8353B"/>
    <w:rsid w:val="00D8362C"/>
    <w:rsid w:val="00D83642"/>
    <w:rsid w:val="00D8377B"/>
    <w:rsid w:val="00D83863"/>
    <w:rsid w:val="00D83A4E"/>
    <w:rsid w:val="00D83B77"/>
    <w:rsid w:val="00D83C02"/>
    <w:rsid w:val="00D83DD7"/>
    <w:rsid w:val="00D83F56"/>
    <w:rsid w:val="00D83FC0"/>
    <w:rsid w:val="00D84154"/>
    <w:rsid w:val="00D842CB"/>
    <w:rsid w:val="00D842E3"/>
    <w:rsid w:val="00D8435F"/>
    <w:rsid w:val="00D844DC"/>
    <w:rsid w:val="00D8454D"/>
    <w:rsid w:val="00D845B8"/>
    <w:rsid w:val="00D84681"/>
    <w:rsid w:val="00D84750"/>
    <w:rsid w:val="00D8486F"/>
    <w:rsid w:val="00D848D8"/>
    <w:rsid w:val="00D84917"/>
    <w:rsid w:val="00D84965"/>
    <w:rsid w:val="00D849F6"/>
    <w:rsid w:val="00D84BD3"/>
    <w:rsid w:val="00D84BFA"/>
    <w:rsid w:val="00D84CAB"/>
    <w:rsid w:val="00D84D9F"/>
    <w:rsid w:val="00D84E41"/>
    <w:rsid w:val="00D84E66"/>
    <w:rsid w:val="00D84E6B"/>
    <w:rsid w:val="00D84FF2"/>
    <w:rsid w:val="00D85017"/>
    <w:rsid w:val="00D85120"/>
    <w:rsid w:val="00D8519E"/>
    <w:rsid w:val="00D85286"/>
    <w:rsid w:val="00D85297"/>
    <w:rsid w:val="00D8554B"/>
    <w:rsid w:val="00D85561"/>
    <w:rsid w:val="00D85600"/>
    <w:rsid w:val="00D85700"/>
    <w:rsid w:val="00D85718"/>
    <w:rsid w:val="00D85751"/>
    <w:rsid w:val="00D8578D"/>
    <w:rsid w:val="00D858AC"/>
    <w:rsid w:val="00D85A93"/>
    <w:rsid w:val="00D85B66"/>
    <w:rsid w:val="00D85BBD"/>
    <w:rsid w:val="00D85D02"/>
    <w:rsid w:val="00D85D80"/>
    <w:rsid w:val="00D85D83"/>
    <w:rsid w:val="00D85DBD"/>
    <w:rsid w:val="00D85DD3"/>
    <w:rsid w:val="00D85E46"/>
    <w:rsid w:val="00D85ECE"/>
    <w:rsid w:val="00D85FCE"/>
    <w:rsid w:val="00D8604E"/>
    <w:rsid w:val="00D861C2"/>
    <w:rsid w:val="00D86271"/>
    <w:rsid w:val="00D86282"/>
    <w:rsid w:val="00D86286"/>
    <w:rsid w:val="00D86302"/>
    <w:rsid w:val="00D863F0"/>
    <w:rsid w:val="00D8654C"/>
    <w:rsid w:val="00D866C0"/>
    <w:rsid w:val="00D86712"/>
    <w:rsid w:val="00D86808"/>
    <w:rsid w:val="00D86A24"/>
    <w:rsid w:val="00D86AFB"/>
    <w:rsid w:val="00D86D12"/>
    <w:rsid w:val="00D86E56"/>
    <w:rsid w:val="00D86F81"/>
    <w:rsid w:val="00D87164"/>
    <w:rsid w:val="00D871BC"/>
    <w:rsid w:val="00D87230"/>
    <w:rsid w:val="00D873E4"/>
    <w:rsid w:val="00D874B9"/>
    <w:rsid w:val="00D874C0"/>
    <w:rsid w:val="00D87622"/>
    <w:rsid w:val="00D87755"/>
    <w:rsid w:val="00D87757"/>
    <w:rsid w:val="00D87862"/>
    <w:rsid w:val="00D87888"/>
    <w:rsid w:val="00D8795C"/>
    <w:rsid w:val="00D87A09"/>
    <w:rsid w:val="00D87A0F"/>
    <w:rsid w:val="00D87A7D"/>
    <w:rsid w:val="00D87AA4"/>
    <w:rsid w:val="00D87AB9"/>
    <w:rsid w:val="00D87AD2"/>
    <w:rsid w:val="00D87D44"/>
    <w:rsid w:val="00D87DD8"/>
    <w:rsid w:val="00D87E0D"/>
    <w:rsid w:val="00D87E75"/>
    <w:rsid w:val="00D87FAF"/>
    <w:rsid w:val="00D90036"/>
    <w:rsid w:val="00D90088"/>
    <w:rsid w:val="00D9008E"/>
    <w:rsid w:val="00D9016B"/>
    <w:rsid w:val="00D9021F"/>
    <w:rsid w:val="00D902ED"/>
    <w:rsid w:val="00D90365"/>
    <w:rsid w:val="00D906E2"/>
    <w:rsid w:val="00D906E8"/>
    <w:rsid w:val="00D906F4"/>
    <w:rsid w:val="00D906F5"/>
    <w:rsid w:val="00D90842"/>
    <w:rsid w:val="00D9091C"/>
    <w:rsid w:val="00D90935"/>
    <w:rsid w:val="00D909AD"/>
    <w:rsid w:val="00D90A46"/>
    <w:rsid w:val="00D90B77"/>
    <w:rsid w:val="00D90B8E"/>
    <w:rsid w:val="00D90C0D"/>
    <w:rsid w:val="00D90C0F"/>
    <w:rsid w:val="00D90DCA"/>
    <w:rsid w:val="00D90EBA"/>
    <w:rsid w:val="00D90F2C"/>
    <w:rsid w:val="00D90FA3"/>
    <w:rsid w:val="00D90FF8"/>
    <w:rsid w:val="00D91068"/>
    <w:rsid w:val="00D910BA"/>
    <w:rsid w:val="00D91136"/>
    <w:rsid w:val="00D911E0"/>
    <w:rsid w:val="00D912AE"/>
    <w:rsid w:val="00D913A1"/>
    <w:rsid w:val="00D91483"/>
    <w:rsid w:val="00D91491"/>
    <w:rsid w:val="00D914B4"/>
    <w:rsid w:val="00D91503"/>
    <w:rsid w:val="00D9151B"/>
    <w:rsid w:val="00D9155F"/>
    <w:rsid w:val="00D91607"/>
    <w:rsid w:val="00D917A4"/>
    <w:rsid w:val="00D9180D"/>
    <w:rsid w:val="00D9182D"/>
    <w:rsid w:val="00D918D3"/>
    <w:rsid w:val="00D91966"/>
    <w:rsid w:val="00D91A97"/>
    <w:rsid w:val="00D91C34"/>
    <w:rsid w:val="00D91D71"/>
    <w:rsid w:val="00D91F1E"/>
    <w:rsid w:val="00D91F53"/>
    <w:rsid w:val="00D91F5E"/>
    <w:rsid w:val="00D91FBF"/>
    <w:rsid w:val="00D92091"/>
    <w:rsid w:val="00D920D2"/>
    <w:rsid w:val="00D921F5"/>
    <w:rsid w:val="00D92252"/>
    <w:rsid w:val="00D923BF"/>
    <w:rsid w:val="00D923E9"/>
    <w:rsid w:val="00D92507"/>
    <w:rsid w:val="00D92619"/>
    <w:rsid w:val="00D92662"/>
    <w:rsid w:val="00D9272C"/>
    <w:rsid w:val="00D92825"/>
    <w:rsid w:val="00D928C2"/>
    <w:rsid w:val="00D9293C"/>
    <w:rsid w:val="00D92B21"/>
    <w:rsid w:val="00D92C8A"/>
    <w:rsid w:val="00D92CC1"/>
    <w:rsid w:val="00D92D39"/>
    <w:rsid w:val="00D92D76"/>
    <w:rsid w:val="00D92F72"/>
    <w:rsid w:val="00D93023"/>
    <w:rsid w:val="00D93251"/>
    <w:rsid w:val="00D93252"/>
    <w:rsid w:val="00D9329E"/>
    <w:rsid w:val="00D93371"/>
    <w:rsid w:val="00D93397"/>
    <w:rsid w:val="00D93445"/>
    <w:rsid w:val="00D934DE"/>
    <w:rsid w:val="00D9357A"/>
    <w:rsid w:val="00D93599"/>
    <w:rsid w:val="00D936AD"/>
    <w:rsid w:val="00D937DA"/>
    <w:rsid w:val="00D93A54"/>
    <w:rsid w:val="00D93AE7"/>
    <w:rsid w:val="00D93B4E"/>
    <w:rsid w:val="00D93B5E"/>
    <w:rsid w:val="00D93C00"/>
    <w:rsid w:val="00D93D37"/>
    <w:rsid w:val="00D93E3B"/>
    <w:rsid w:val="00D93E3E"/>
    <w:rsid w:val="00D93F20"/>
    <w:rsid w:val="00D93F4F"/>
    <w:rsid w:val="00D93F5B"/>
    <w:rsid w:val="00D93FAB"/>
    <w:rsid w:val="00D942D2"/>
    <w:rsid w:val="00D942EE"/>
    <w:rsid w:val="00D943A5"/>
    <w:rsid w:val="00D94453"/>
    <w:rsid w:val="00D9450A"/>
    <w:rsid w:val="00D94542"/>
    <w:rsid w:val="00D94584"/>
    <w:rsid w:val="00D94622"/>
    <w:rsid w:val="00D9481F"/>
    <w:rsid w:val="00D9496A"/>
    <w:rsid w:val="00D949C5"/>
    <w:rsid w:val="00D94A90"/>
    <w:rsid w:val="00D94AD1"/>
    <w:rsid w:val="00D94B04"/>
    <w:rsid w:val="00D94C1E"/>
    <w:rsid w:val="00D94C68"/>
    <w:rsid w:val="00D94DBA"/>
    <w:rsid w:val="00D94E01"/>
    <w:rsid w:val="00D95226"/>
    <w:rsid w:val="00D952DE"/>
    <w:rsid w:val="00D952E4"/>
    <w:rsid w:val="00D95969"/>
    <w:rsid w:val="00D95AC4"/>
    <w:rsid w:val="00D95BE2"/>
    <w:rsid w:val="00D95C2D"/>
    <w:rsid w:val="00D95C45"/>
    <w:rsid w:val="00D95F6C"/>
    <w:rsid w:val="00D95FE8"/>
    <w:rsid w:val="00D960BB"/>
    <w:rsid w:val="00D961C1"/>
    <w:rsid w:val="00D9626D"/>
    <w:rsid w:val="00D962D9"/>
    <w:rsid w:val="00D962F4"/>
    <w:rsid w:val="00D9657D"/>
    <w:rsid w:val="00D965E1"/>
    <w:rsid w:val="00D966F4"/>
    <w:rsid w:val="00D96714"/>
    <w:rsid w:val="00D9674C"/>
    <w:rsid w:val="00D9680E"/>
    <w:rsid w:val="00D968A3"/>
    <w:rsid w:val="00D96BDE"/>
    <w:rsid w:val="00D96CCF"/>
    <w:rsid w:val="00D96D44"/>
    <w:rsid w:val="00D96E54"/>
    <w:rsid w:val="00D96EC3"/>
    <w:rsid w:val="00D96FAB"/>
    <w:rsid w:val="00D97020"/>
    <w:rsid w:val="00D970AE"/>
    <w:rsid w:val="00D97151"/>
    <w:rsid w:val="00D9718B"/>
    <w:rsid w:val="00D971A0"/>
    <w:rsid w:val="00D971C2"/>
    <w:rsid w:val="00D97324"/>
    <w:rsid w:val="00D9745D"/>
    <w:rsid w:val="00D97605"/>
    <w:rsid w:val="00D977E6"/>
    <w:rsid w:val="00D9795E"/>
    <w:rsid w:val="00D97B09"/>
    <w:rsid w:val="00D97B69"/>
    <w:rsid w:val="00D97C4B"/>
    <w:rsid w:val="00D97D7F"/>
    <w:rsid w:val="00D97D92"/>
    <w:rsid w:val="00DA001A"/>
    <w:rsid w:val="00DA006A"/>
    <w:rsid w:val="00DA00B8"/>
    <w:rsid w:val="00DA00C6"/>
    <w:rsid w:val="00DA00E4"/>
    <w:rsid w:val="00DA0180"/>
    <w:rsid w:val="00DA019D"/>
    <w:rsid w:val="00DA026D"/>
    <w:rsid w:val="00DA02F1"/>
    <w:rsid w:val="00DA0417"/>
    <w:rsid w:val="00DA0547"/>
    <w:rsid w:val="00DA059C"/>
    <w:rsid w:val="00DA0713"/>
    <w:rsid w:val="00DA0808"/>
    <w:rsid w:val="00DA084A"/>
    <w:rsid w:val="00DA0879"/>
    <w:rsid w:val="00DA08F7"/>
    <w:rsid w:val="00DA0954"/>
    <w:rsid w:val="00DA0977"/>
    <w:rsid w:val="00DA0995"/>
    <w:rsid w:val="00DA09F0"/>
    <w:rsid w:val="00DA0ACE"/>
    <w:rsid w:val="00DA0AE2"/>
    <w:rsid w:val="00DA0B26"/>
    <w:rsid w:val="00DA0BFC"/>
    <w:rsid w:val="00DA0C61"/>
    <w:rsid w:val="00DA0D1B"/>
    <w:rsid w:val="00DA1061"/>
    <w:rsid w:val="00DA1064"/>
    <w:rsid w:val="00DA106C"/>
    <w:rsid w:val="00DA1217"/>
    <w:rsid w:val="00DA12FB"/>
    <w:rsid w:val="00DA1389"/>
    <w:rsid w:val="00DA139E"/>
    <w:rsid w:val="00DA13F8"/>
    <w:rsid w:val="00DA158C"/>
    <w:rsid w:val="00DA15AB"/>
    <w:rsid w:val="00DA15E9"/>
    <w:rsid w:val="00DA15EB"/>
    <w:rsid w:val="00DA15FC"/>
    <w:rsid w:val="00DA161E"/>
    <w:rsid w:val="00DA174C"/>
    <w:rsid w:val="00DA1792"/>
    <w:rsid w:val="00DA17C1"/>
    <w:rsid w:val="00DA196A"/>
    <w:rsid w:val="00DA1A15"/>
    <w:rsid w:val="00DA1B81"/>
    <w:rsid w:val="00DA1C47"/>
    <w:rsid w:val="00DA1C8A"/>
    <w:rsid w:val="00DA1CB8"/>
    <w:rsid w:val="00DA1D6F"/>
    <w:rsid w:val="00DA1E16"/>
    <w:rsid w:val="00DA1FA3"/>
    <w:rsid w:val="00DA202B"/>
    <w:rsid w:val="00DA20B1"/>
    <w:rsid w:val="00DA22E5"/>
    <w:rsid w:val="00DA27BF"/>
    <w:rsid w:val="00DA295E"/>
    <w:rsid w:val="00DA2AC9"/>
    <w:rsid w:val="00DA2AFA"/>
    <w:rsid w:val="00DA2C24"/>
    <w:rsid w:val="00DA2D1B"/>
    <w:rsid w:val="00DA2D36"/>
    <w:rsid w:val="00DA2DA9"/>
    <w:rsid w:val="00DA2DD6"/>
    <w:rsid w:val="00DA2E05"/>
    <w:rsid w:val="00DA2E08"/>
    <w:rsid w:val="00DA2E78"/>
    <w:rsid w:val="00DA30AB"/>
    <w:rsid w:val="00DA31B1"/>
    <w:rsid w:val="00DA3215"/>
    <w:rsid w:val="00DA3297"/>
    <w:rsid w:val="00DA33A8"/>
    <w:rsid w:val="00DA3643"/>
    <w:rsid w:val="00DA364F"/>
    <w:rsid w:val="00DA3659"/>
    <w:rsid w:val="00DA36CB"/>
    <w:rsid w:val="00DA3839"/>
    <w:rsid w:val="00DA39A0"/>
    <w:rsid w:val="00DA3E05"/>
    <w:rsid w:val="00DA3E98"/>
    <w:rsid w:val="00DA3F68"/>
    <w:rsid w:val="00DA4123"/>
    <w:rsid w:val="00DA41C4"/>
    <w:rsid w:val="00DA4312"/>
    <w:rsid w:val="00DA4440"/>
    <w:rsid w:val="00DA44B6"/>
    <w:rsid w:val="00DA44D1"/>
    <w:rsid w:val="00DA450E"/>
    <w:rsid w:val="00DA4518"/>
    <w:rsid w:val="00DA4775"/>
    <w:rsid w:val="00DA47E5"/>
    <w:rsid w:val="00DA480D"/>
    <w:rsid w:val="00DA482E"/>
    <w:rsid w:val="00DA484B"/>
    <w:rsid w:val="00DA495F"/>
    <w:rsid w:val="00DA49A6"/>
    <w:rsid w:val="00DA4A4F"/>
    <w:rsid w:val="00DA4A99"/>
    <w:rsid w:val="00DA4B12"/>
    <w:rsid w:val="00DA4C90"/>
    <w:rsid w:val="00DA4CB5"/>
    <w:rsid w:val="00DA4CFD"/>
    <w:rsid w:val="00DA4D1D"/>
    <w:rsid w:val="00DA4D46"/>
    <w:rsid w:val="00DA4E81"/>
    <w:rsid w:val="00DA4FFC"/>
    <w:rsid w:val="00DA501E"/>
    <w:rsid w:val="00DA51BA"/>
    <w:rsid w:val="00DA523C"/>
    <w:rsid w:val="00DA526B"/>
    <w:rsid w:val="00DA5291"/>
    <w:rsid w:val="00DA53F1"/>
    <w:rsid w:val="00DA5403"/>
    <w:rsid w:val="00DA5459"/>
    <w:rsid w:val="00DA546B"/>
    <w:rsid w:val="00DA549A"/>
    <w:rsid w:val="00DA5537"/>
    <w:rsid w:val="00DA5583"/>
    <w:rsid w:val="00DA572B"/>
    <w:rsid w:val="00DA5734"/>
    <w:rsid w:val="00DA5955"/>
    <w:rsid w:val="00DA59AF"/>
    <w:rsid w:val="00DA5ABC"/>
    <w:rsid w:val="00DA5BB2"/>
    <w:rsid w:val="00DA5E07"/>
    <w:rsid w:val="00DA5EED"/>
    <w:rsid w:val="00DA5FBA"/>
    <w:rsid w:val="00DA5FF7"/>
    <w:rsid w:val="00DA6030"/>
    <w:rsid w:val="00DA605D"/>
    <w:rsid w:val="00DA613A"/>
    <w:rsid w:val="00DA616D"/>
    <w:rsid w:val="00DA6197"/>
    <w:rsid w:val="00DA6325"/>
    <w:rsid w:val="00DA63DD"/>
    <w:rsid w:val="00DA6406"/>
    <w:rsid w:val="00DA643C"/>
    <w:rsid w:val="00DA645C"/>
    <w:rsid w:val="00DA6502"/>
    <w:rsid w:val="00DA6642"/>
    <w:rsid w:val="00DA6645"/>
    <w:rsid w:val="00DA6755"/>
    <w:rsid w:val="00DA6833"/>
    <w:rsid w:val="00DA6AEF"/>
    <w:rsid w:val="00DA6B74"/>
    <w:rsid w:val="00DA6B91"/>
    <w:rsid w:val="00DA6BAB"/>
    <w:rsid w:val="00DA6CED"/>
    <w:rsid w:val="00DA6D41"/>
    <w:rsid w:val="00DA6F5B"/>
    <w:rsid w:val="00DA714A"/>
    <w:rsid w:val="00DA728D"/>
    <w:rsid w:val="00DA734A"/>
    <w:rsid w:val="00DA735D"/>
    <w:rsid w:val="00DA73C9"/>
    <w:rsid w:val="00DA7489"/>
    <w:rsid w:val="00DA75EC"/>
    <w:rsid w:val="00DA75F3"/>
    <w:rsid w:val="00DA7792"/>
    <w:rsid w:val="00DA77C3"/>
    <w:rsid w:val="00DA780C"/>
    <w:rsid w:val="00DA7D45"/>
    <w:rsid w:val="00DA7D66"/>
    <w:rsid w:val="00DA7DCF"/>
    <w:rsid w:val="00DA7EFD"/>
    <w:rsid w:val="00DA7F2D"/>
    <w:rsid w:val="00DA7F77"/>
    <w:rsid w:val="00DB0011"/>
    <w:rsid w:val="00DB0159"/>
    <w:rsid w:val="00DB01B9"/>
    <w:rsid w:val="00DB01CA"/>
    <w:rsid w:val="00DB01FF"/>
    <w:rsid w:val="00DB0233"/>
    <w:rsid w:val="00DB025D"/>
    <w:rsid w:val="00DB0617"/>
    <w:rsid w:val="00DB0625"/>
    <w:rsid w:val="00DB06BA"/>
    <w:rsid w:val="00DB0785"/>
    <w:rsid w:val="00DB085A"/>
    <w:rsid w:val="00DB08D3"/>
    <w:rsid w:val="00DB091A"/>
    <w:rsid w:val="00DB0971"/>
    <w:rsid w:val="00DB0A70"/>
    <w:rsid w:val="00DB0B03"/>
    <w:rsid w:val="00DB0B93"/>
    <w:rsid w:val="00DB0BB3"/>
    <w:rsid w:val="00DB0C8B"/>
    <w:rsid w:val="00DB0C95"/>
    <w:rsid w:val="00DB0DF6"/>
    <w:rsid w:val="00DB0E5C"/>
    <w:rsid w:val="00DB0E8C"/>
    <w:rsid w:val="00DB0F51"/>
    <w:rsid w:val="00DB0F6F"/>
    <w:rsid w:val="00DB0FEE"/>
    <w:rsid w:val="00DB109B"/>
    <w:rsid w:val="00DB10FC"/>
    <w:rsid w:val="00DB1138"/>
    <w:rsid w:val="00DB11D7"/>
    <w:rsid w:val="00DB1471"/>
    <w:rsid w:val="00DB14D1"/>
    <w:rsid w:val="00DB15E9"/>
    <w:rsid w:val="00DB15F3"/>
    <w:rsid w:val="00DB17A7"/>
    <w:rsid w:val="00DB18A8"/>
    <w:rsid w:val="00DB19A8"/>
    <w:rsid w:val="00DB1A15"/>
    <w:rsid w:val="00DB1B27"/>
    <w:rsid w:val="00DB1E38"/>
    <w:rsid w:val="00DB1ED4"/>
    <w:rsid w:val="00DB1F11"/>
    <w:rsid w:val="00DB1F26"/>
    <w:rsid w:val="00DB1F38"/>
    <w:rsid w:val="00DB20F6"/>
    <w:rsid w:val="00DB2151"/>
    <w:rsid w:val="00DB2202"/>
    <w:rsid w:val="00DB2217"/>
    <w:rsid w:val="00DB237D"/>
    <w:rsid w:val="00DB24ED"/>
    <w:rsid w:val="00DB2743"/>
    <w:rsid w:val="00DB27A3"/>
    <w:rsid w:val="00DB27DD"/>
    <w:rsid w:val="00DB2928"/>
    <w:rsid w:val="00DB299D"/>
    <w:rsid w:val="00DB2A8B"/>
    <w:rsid w:val="00DB2B03"/>
    <w:rsid w:val="00DB2B5F"/>
    <w:rsid w:val="00DB2C51"/>
    <w:rsid w:val="00DB2E0B"/>
    <w:rsid w:val="00DB2E1A"/>
    <w:rsid w:val="00DB2E21"/>
    <w:rsid w:val="00DB2F04"/>
    <w:rsid w:val="00DB2F2B"/>
    <w:rsid w:val="00DB2F7A"/>
    <w:rsid w:val="00DB30E5"/>
    <w:rsid w:val="00DB3344"/>
    <w:rsid w:val="00DB3400"/>
    <w:rsid w:val="00DB3418"/>
    <w:rsid w:val="00DB345F"/>
    <w:rsid w:val="00DB36D7"/>
    <w:rsid w:val="00DB37A8"/>
    <w:rsid w:val="00DB37AC"/>
    <w:rsid w:val="00DB3B37"/>
    <w:rsid w:val="00DB3BB4"/>
    <w:rsid w:val="00DB3BC6"/>
    <w:rsid w:val="00DB3CAB"/>
    <w:rsid w:val="00DB3D1C"/>
    <w:rsid w:val="00DB3E18"/>
    <w:rsid w:val="00DB3E8F"/>
    <w:rsid w:val="00DB3F4D"/>
    <w:rsid w:val="00DB4091"/>
    <w:rsid w:val="00DB4105"/>
    <w:rsid w:val="00DB423F"/>
    <w:rsid w:val="00DB425B"/>
    <w:rsid w:val="00DB4271"/>
    <w:rsid w:val="00DB431A"/>
    <w:rsid w:val="00DB4364"/>
    <w:rsid w:val="00DB444B"/>
    <w:rsid w:val="00DB4487"/>
    <w:rsid w:val="00DB44F2"/>
    <w:rsid w:val="00DB4545"/>
    <w:rsid w:val="00DB459A"/>
    <w:rsid w:val="00DB473B"/>
    <w:rsid w:val="00DB4757"/>
    <w:rsid w:val="00DB478A"/>
    <w:rsid w:val="00DB4820"/>
    <w:rsid w:val="00DB4862"/>
    <w:rsid w:val="00DB4A92"/>
    <w:rsid w:val="00DB4BFD"/>
    <w:rsid w:val="00DB4C7A"/>
    <w:rsid w:val="00DB4CD6"/>
    <w:rsid w:val="00DB4E70"/>
    <w:rsid w:val="00DB4F9D"/>
    <w:rsid w:val="00DB4FEC"/>
    <w:rsid w:val="00DB50CE"/>
    <w:rsid w:val="00DB5217"/>
    <w:rsid w:val="00DB54C7"/>
    <w:rsid w:val="00DB55C2"/>
    <w:rsid w:val="00DB5648"/>
    <w:rsid w:val="00DB57AF"/>
    <w:rsid w:val="00DB59F2"/>
    <w:rsid w:val="00DB5A42"/>
    <w:rsid w:val="00DB5CF0"/>
    <w:rsid w:val="00DB5D4C"/>
    <w:rsid w:val="00DB5D89"/>
    <w:rsid w:val="00DB5D8C"/>
    <w:rsid w:val="00DB5EDC"/>
    <w:rsid w:val="00DB5F0D"/>
    <w:rsid w:val="00DB5F4E"/>
    <w:rsid w:val="00DB5F54"/>
    <w:rsid w:val="00DB5FC5"/>
    <w:rsid w:val="00DB60B4"/>
    <w:rsid w:val="00DB613E"/>
    <w:rsid w:val="00DB645E"/>
    <w:rsid w:val="00DB6466"/>
    <w:rsid w:val="00DB64C2"/>
    <w:rsid w:val="00DB6506"/>
    <w:rsid w:val="00DB6541"/>
    <w:rsid w:val="00DB667D"/>
    <w:rsid w:val="00DB66B1"/>
    <w:rsid w:val="00DB67D5"/>
    <w:rsid w:val="00DB685A"/>
    <w:rsid w:val="00DB689C"/>
    <w:rsid w:val="00DB6B48"/>
    <w:rsid w:val="00DB6BB2"/>
    <w:rsid w:val="00DB6CB5"/>
    <w:rsid w:val="00DB709F"/>
    <w:rsid w:val="00DB70A9"/>
    <w:rsid w:val="00DB70CC"/>
    <w:rsid w:val="00DB70D5"/>
    <w:rsid w:val="00DB7116"/>
    <w:rsid w:val="00DB722E"/>
    <w:rsid w:val="00DB732F"/>
    <w:rsid w:val="00DB733A"/>
    <w:rsid w:val="00DB7345"/>
    <w:rsid w:val="00DB755B"/>
    <w:rsid w:val="00DB75BB"/>
    <w:rsid w:val="00DB772D"/>
    <w:rsid w:val="00DB775D"/>
    <w:rsid w:val="00DB783A"/>
    <w:rsid w:val="00DB790F"/>
    <w:rsid w:val="00DB797F"/>
    <w:rsid w:val="00DB7AE5"/>
    <w:rsid w:val="00DB7BF1"/>
    <w:rsid w:val="00DB7D22"/>
    <w:rsid w:val="00DB7DFE"/>
    <w:rsid w:val="00DB7E8F"/>
    <w:rsid w:val="00DB7FF7"/>
    <w:rsid w:val="00DC0220"/>
    <w:rsid w:val="00DC0283"/>
    <w:rsid w:val="00DC0301"/>
    <w:rsid w:val="00DC0316"/>
    <w:rsid w:val="00DC035E"/>
    <w:rsid w:val="00DC0393"/>
    <w:rsid w:val="00DC04A3"/>
    <w:rsid w:val="00DC04A6"/>
    <w:rsid w:val="00DC0514"/>
    <w:rsid w:val="00DC0547"/>
    <w:rsid w:val="00DC069E"/>
    <w:rsid w:val="00DC08C9"/>
    <w:rsid w:val="00DC0943"/>
    <w:rsid w:val="00DC09F8"/>
    <w:rsid w:val="00DC0B08"/>
    <w:rsid w:val="00DC0B64"/>
    <w:rsid w:val="00DC0BDF"/>
    <w:rsid w:val="00DC0CA8"/>
    <w:rsid w:val="00DC0EDA"/>
    <w:rsid w:val="00DC0F62"/>
    <w:rsid w:val="00DC10E8"/>
    <w:rsid w:val="00DC10E9"/>
    <w:rsid w:val="00DC111E"/>
    <w:rsid w:val="00DC112D"/>
    <w:rsid w:val="00DC114F"/>
    <w:rsid w:val="00DC1249"/>
    <w:rsid w:val="00DC132E"/>
    <w:rsid w:val="00DC1362"/>
    <w:rsid w:val="00DC147C"/>
    <w:rsid w:val="00DC153A"/>
    <w:rsid w:val="00DC15C9"/>
    <w:rsid w:val="00DC1624"/>
    <w:rsid w:val="00DC186C"/>
    <w:rsid w:val="00DC1876"/>
    <w:rsid w:val="00DC195C"/>
    <w:rsid w:val="00DC1A48"/>
    <w:rsid w:val="00DC1B02"/>
    <w:rsid w:val="00DC1B1A"/>
    <w:rsid w:val="00DC1C3A"/>
    <w:rsid w:val="00DC1C5A"/>
    <w:rsid w:val="00DC1DFF"/>
    <w:rsid w:val="00DC1E00"/>
    <w:rsid w:val="00DC1E7F"/>
    <w:rsid w:val="00DC209F"/>
    <w:rsid w:val="00DC20B0"/>
    <w:rsid w:val="00DC212E"/>
    <w:rsid w:val="00DC2257"/>
    <w:rsid w:val="00DC2410"/>
    <w:rsid w:val="00DC24A7"/>
    <w:rsid w:val="00DC24EF"/>
    <w:rsid w:val="00DC2504"/>
    <w:rsid w:val="00DC250E"/>
    <w:rsid w:val="00DC250F"/>
    <w:rsid w:val="00DC253A"/>
    <w:rsid w:val="00DC2575"/>
    <w:rsid w:val="00DC25F3"/>
    <w:rsid w:val="00DC260E"/>
    <w:rsid w:val="00DC2667"/>
    <w:rsid w:val="00DC2717"/>
    <w:rsid w:val="00DC28F6"/>
    <w:rsid w:val="00DC29B0"/>
    <w:rsid w:val="00DC29C8"/>
    <w:rsid w:val="00DC2A5B"/>
    <w:rsid w:val="00DC2B9C"/>
    <w:rsid w:val="00DC2C97"/>
    <w:rsid w:val="00DC2CFD"/>
    <w:rsid w:val="00DC2D48"/>
    <w:rsid w:val="00DC2D54"/>
    <w:rsid w:val="00DC2D6B"/>
    <w:rsid w:val="00DC2FF5"/>
    <w:rsid w:val="00DC3103"/>
    <w:rsid w:val="00DC3133"/>
    <w:rsid w:val="00DC32D7"/>
    <w:rsid w:val="00DC32DA"/>
    <w:rsid w:val="00DC32EA"/>
    <w:rsid w:val="00DC34AE"/>
    <w:rsid w:val="00DC352A"/>
    <w:rsid w:val="00DC3590"/>
    <w:rsid w:val="00DC3710"/>
    <w:rsid w:val="00DC3716"/>
    <w:rsid w:val="00DC3772"/>
    <w:rsid w:val="00DC3807"/>
    <w:rsid w:val="00DC383A"/>
    <w:rsid w:val="00DC397D"/>
    <w:rsid w:val="00DC3A95"/>
    <w:rsid w:val="00DC3B1E"/>
    <w:rsid w:val="00DC3C17"/>
    <w:rsid w:val="00DC3D84"/>
    <w:rsid w:val="00DC3E69"/>
    <w:rsid w:val="00DC3F34"/>
    <w:rsid w:val="00DC412C"/>
    <w:rsid w:val="00DC41C4"/>
    <w:rsid w:val="00DC42BF"/>
    <w:rsid w:val="00DC430C"/>
    <w:rsid w:val="00DC4513"/>
    <w:rsid w:val="00DC46BB"/>
    <w:rsid w:val="00DC4794"/>
    <w:rsid w:val="00DC4811"/>
    <w:rsid w:val="00DC4845"/>
    <w:rsid w:val="00DC4943"/>
    <w:rsid w:val="00DC49BF"/>
    <w:rsid w:val="00DC49FA"/>
    <w:rsid w:val="00DC4B10"/>
    <w:rsid w:val="00DC4D5C"/>
    <w:rsid w:val="00DC4EEE"/>
    <w:rsid w:val="00DC4F20"/>
    <w:rsid w:val="00DC4F4F"/>
    <w:rsid w:val="00DC4F6A"/>
    <w:rsid w:val="00DC5078"/>
    <w:rsid w:val="00DC50AF"/>
    <w:rsid w:val="00DC5137"/>
    <w:rsid w:val="00DC5355"/>
    <w:rsid w:val="00DC5363"/>
    <w:rsid w:val="00DC5368"/>
    <w:rsid w:val="00DC5431"/>
    <w:rsid w:val="00DC5545"/>
    <w:rsid w:val="00DC560B"/>
    <w:rsid w:val="00DC564B"/>
    <w:rsid w:val="00DC571D"/>
    <w:rsid w:val="00DC57B5"/>
    <w:rsid w:val="00DC5861"/>
    <w:rsid w:val="00DC5987"/>
    <w:rsid w:val="00DC59AC"/>
    <w:rsid w:val="00DC5A85"/>
    <w:rsid w:val="00DC5A8A"/>
    <w:rsid w:val="00DC5C19"/>
    <w:rsid w:val="00DC5D1E"/>
    <w:rsid w:val="00DC5D75"/>
    <w:rsid w:val="00DC5ECD"/>
    <w:rsid w:val="00DC5F0C"/>
    <w:rsid w:val="00DC60E5"/>
    <w:rsid w:val="00DC612E"/>
    <w:rsid w:val="00DC6173"/>
    <w:rsid w:val="00DC622B"/>
    <w:rsid w:val="00DC63A9"/>
    <w:rsid w:val="00DC6466"/>
    <w:rsid w:val="00DC6536"/>
    <w:rsid w:val="00DC6638"/>
    <w:rsid w:val="00DC66BC"/>
    <w:rsid w:val="00DC670A"/>
    <w:rsid w:val="00DC685B"/>
    <w:rsid w:val="00DC68A9"/>
    <w:rsid w:val="00DC6959"/>
    <w:rsid w:val="00DC6B73"/>
    <w:rsid w:val="00DC6D9F"/>
    <w:rsid w:val="00DC6EA6"/>
    <w:rsid w:val="00DC6EE8"/>
    <w:rsid w:val="00DC6F3B"/>
    <w:rsid w:val="00DC6F5E"/>
    <w:rsid w:val="00DC7035"/>
    <w:rsid w:val="00DC7084"/>
    <w:rsid w:val="00DC7090"/>
    <w:rsid w:val="00DC7154"/>
    <w:rsid w:val="00DC73D1"/>
    <w:rsid w:val="00DC7453"/>
    <w:rsid w:val="00DC74A8"/>
    <w:rsid w:val="00DC7578"/>
    <w:rsid w:val="00DC7597"/>
    <w:rsid w:val="00DC7669"/>
    <w:rsid w:val="00DC76FC"/>
    <w:rsid w:val="00DC7738"/>
    <w:rsid w:val="00DC7808"/>
    <w:rsid w:val="00DC7958"/>
    <w:rsid w:val="00DC7A2D"/>
    <w:rsid w:val="00DC7AC3"/>
    <w:rsid w:val="00DC7C98"/>
    <w:rsid w:val="00DC7D77"/>
    <w:rsid w:val="00DC7DFB"/>
    <w:rsid w:val="00DC7E67"/>
    <w:rsid w:val="00DC7F4B"/>
    <w:rsid w:val="00DC7FDB"/>
    <w:rsid w:val="00DD017A"/>
    <w:rsid w:val="00DD0393"/>
    <w:rsid w:val="00DD03C7"/>
    <w:rsid w:val="00DD04B4"/>
    <w:rsid w:val="00DD0660"/>
    <w:rsid w:val="00DD06F0"/>
    <w:rsid w:val="00DD081B"/>
    <w:rsid w:val="00DD0834"/>
    <w:rsid w:val="00DD0903"/>
    <w:rsid w:val="00DD0A02"/>
    <w:rsid w:val="00DD0A68"/>
    <w:rsid w:val="00DD0B2A"/>
    <w:rsid w:val="00DD0C0D"/>
    <w:rsid w:val="00DD0CF7"/>
    <w:rsid w:val="00DD0D26"/>
    <w:rsid w:val="00DD0D51"/>
    <w:rsid w:val="00DD0D82"/>
    <w:rsid w:val="00DD1049"/>
    <w:rsid w:val="00DD1077"/>
    <w:rsid w:val="00DD10E9"/>
    <w:rsid w:val="00DD119B"/>
    <w:rsid w:val="00DD122A"/>
    <w:rsid w:val="00DD123C"/>
    <w:rsid w:val="00DD12E4"/>
    <w:rsid w:val="00DD132C"/>
    <w:rsid w:val="00DD1339"/>
    <w:rsid w:val="00DD15BF"/>
    <w:rsid w:val="00DD1633"/>
    <w:rsid w:val="00DD16CA"/>
    <w:rsid w:val="00DD1740"/>
    <w:rsid w:val="00DD1742"/>
    <w:rsid w:val="00DD191F"/>
    <w:rsid w:val="00DD1A29"/>
    <w:rsid w:val="00DD1A8C"/>
    <w:rsid w:val="00DD1A9E"/>
    <w:rsid w:val="00DD1B21"/>
    <w:rsid w:val="00DD1B57"/>
    <w:rsid w:val="00DD1BA0"/>
    <w:rsid w:val="00DD1BAD"/>
    <w:rsid w:val="00DD1BD7"/>
    <w:rsid w:val="00DD1C6E"/>
    <w:rsid w:val="00DD1CBB"/>
    <w:rsid w:val="00DD1F07"/>
    <w:rsid w:val="00DD1F3A"/>
    <w:rsid w:val="00DD20AE"/>
    <w:rsid w:val="00DD21EA"/>
    <w:rsid w:val="00DD22C1"/>
    <w:rsid w:val="00DD22D0"/>
    <w:rsid w:val="00DD22D9"/>
    <w:rsid w:val="00DD2373"/>
    <w:rsid w:val="00DD269C"/>
    <w:rsid w:val="00DD2843"/>
    <w:rsid w:val="00DD284F"/>
    <w:rsid w:val="00DD285F"/>
    <w:rsid w:val="00DD293E"/>
    <w:rsid w:val="00DD2A45"/>
    <w:rsid w:val="00DD2C0E"/>
    <w:rsid w:val="00DD2C31"/>
    <w:rsid w:val="00DD2CFC"/>
    <w:rsid w:val="00DD2E0E"/>
    <w:rsid w:val="00DD2E46"/>
    <w:rsid w:val="00DD3014"/>
    <w:rsid w:val="00DD3048"/>
    <w:rsid w:val="00DD3108"/>
    <w:rsid w:val="00DD31E0"/>
    <w:rsid w:val="00DD3217"/>
    <w:rsid w:val="00DD3230"/>
    <w:rsid w:val="00DD3376"/>
    <w:rsid w:val="00DD33D3"/>
    <w:rsid w:val="00DD33DA"/>
    <w:rsid w:val="00DD34D2"/>
    <w:rsid w:val="00DD3551"/>
    <w:rsid w:val="00DD35A4"/>
    <w:rsid w:val="00DD3790"/>
    <w:rsid w:val="00DD37E1"/>
    <w:rsid w:val="00DD3935"/>
    <w:rsid w:val="00DD3AE8"/>
    <w:rsid w:val="00DD3C37"/>
    <w:rsid w:val="00DD3DA1"/>
    <w:rsid w:val="00DD3E3B"/>
    <w:rsid w:val="00DD3E61"/>
    <w:rsid w:val="00DD3E69"/>
    <w:rsid w:val="00DD3F01"/>
    <w:rsid w:val="00DD4044"/>
    <w:rsid w:val="00DD405E"/>
    <w:rsid w:val="00DD40D4"/>
    <w:rsid w:val="00DD40DB"/>
    <w:rsid w:val="00DD4162"/>
    <w:rsid w:val="00DD4275"/>
    <w:rsid w:val="00DD428F"/>
    <w:rsid w:val="00DD42B1"/>
    <w:rsid w:val="00DD42E3"/>
    <w:rsid w:val="00DD4396"/>
    <w:rsid w:val="00DD43EF"/>
    <w:rsid w:val="00DD4495"/>
    <w:rsid w:val="00DD45F0"/>
    <w:rsid w:val="00DD4606"/>
    <w:rsid w:val="00DD4822"/>
    <w:rsid w:val="00DD485E"/>
    <w:rsid w:val="00DD48E2"/>
    <w:rsid w:val="00DD496C"/>
    <w:rsid w:val="00DD4B19"/>
    <w:rsid w:val="00DD4B1D"/>
    <w:rsid w:val="00DD4B20"/>
    <w:rsid w:val="00DD4BFF"/>
    <w:rsid w:val="00DD4C4C"/>
    <w:rsid w:val="00DD4C6F"/>
    <w:rsid w:val="00DD4D25"/>
    <w:rsid w:val="00DD4D53"/>
    <w:rsid w:val="00DD4FF4"/>
    <w:rsid w:val="00DD508D"/>
    <w:rsid w:val="00DD51C2"/>
    <w:rsid w:val="00DD5406"/>
    <w:rsid w:val="00DD5463"/>
    <w:rsid w:val="00DD5491"/>
    <w:rsid w:val="00DD5506"/>
    <w:rsid w:val="00DD5547"/>
    <w:rsid w:val="00DD558A"/>
    <w:rsid w:val="00DD5633"/>
    <w:rsid w:val="00DD59BC"/>
    <w:rsid w:val="00DD5A43"/>
    <w:rsid w:val="00DD5AB7"/>
    <w:rsid w:val="00DD5AE7"/>
    <w:rsid w:val="00DD5B29"/>
    <w:rsid w:val="00DD5BAA"/>
    <w:rsid w:val="00DD5D06"/>
    <w:rsid w:val="00DD5D44"/>
    <w:rsid w:val="00DD5DCB"/>
    <w:rsid w:val="00DD5E6B"/>
    <w:rsid w:val="00DD5EAC"/>
    <w:rsid w:val="00DD5FB9"/>
    <w:rsid w:val="00DD6210"/>
    <w:rsid w:val="00DD62E4"/>
    <w:rsid w:val="00DD633E"/>
    <w:rsid w:val="00DD65B3"/>
    <w:rsid w:val="00DD66C8"/>
    <w:rsid w:val="00DD66FD"/>
    <w:rsid w:val="00DD6A7A"/>
    <w:rsid w:val="00DD6B03"/>
    <w:rsid w:val="00DD6BA4"/>
    <w:rsid w:val="00DD6BE7"/>
    <w:rsid w:val="00DD6D03"/>
    <w:rsid w:val="00DD6D1E"/>
    <w:rsid w:val="00DD6F0F"/>
    <w:rsid w:val="00DD6F87"/>
    <w:rsid w:val="00DD70B6"/>
    <w:rsid w:val="00DD70C1"/>
    <w:rsid w:val="00DD719E"/>
    <w:rsid w:val="00DD72FF"/>
    <w:rsid w:val="00DD738F"/>
    <w:rsid w:val="00DD7393"/>
    <w:rsid w:val="00DD75AD"/>
    <w:rsid w:val="00DD75BE"/>
    <w:rsid w:val="00DD764E"/>
    <w:rsid w:val="00DD769B"/>
    <w:rsid w:val="00DD76B4"/>
    <w:rsid w:val="00DD7778"/>
    <w:rsid w:val="00DD7857"/>
    <w:rsid w:val="00DD7897"/>
    <w:rsid w:val="00DD7934"/>
    <w:rsid w:val="00DD7975"/>
    <w:rsid w:val="00DD7A7E"/>
    <w:rsid w:val="00DD7AAA"/>
    <w:rsid w:val="00DD7B1E"/>
    <w:rsid w:val="00DD7BA7"/>
    <w:rsid w:val="00DD7C14"/>
    <w:rsid w:val="00DD7C23"/>
    <w:rsid w:val="00DD7CCC"/>
    <w:rsid w:val="00DD7D44"/>
    <w:rsid w:val="00DD7E0A"/>
    <w:rsid w:val="00DD7E32"/>
    <w:rsid w:val="00DD7F1B"/>
    <w:rsid w:val="00DD7FB2"/>
    <w:rsid w:val="00DE0009"/>
    <w:rsid w:val="00DE038A"/>
    <w:rsid w:val="00DE049D"/>
    <w:rsid w:val="00DE0620"/>
    <w:rsid w:val="00DE0629"/>
    <w:rsid w:val="00DE064E"/>
    <w:rsid w:val="00DE0671"/>
    <w:rsid w:val="00DE07C8"/>
    <w:rsid w:val="00DE0833"/>
    <w:rsid w:val="00DE083E"/>
    <w:rsid w:val="00DE086A"/>
    <w:rsid w:val="00DE0909"/>
    <w:rsid w:val="00DE0936"/>
    <w:rsid w:val="00DE0B12"/>
    <w:rsid w:val="00DE0B2B"/>
    <w:rsid w:val="00DE0B30"/>
    <w:rsid w:val="00DE0CC7"/>
    <w:rsid w:val="00DE0E23"/>
    <w:rsid w:val="00DE0EA4"/>
    <w:rsid w:val="00DE0EB9"/>
    <w:rsid w:val="00DE0F18"/>
    <w:rsid w:val="00DE1008"/>
    <w:rsid w:val="00DE11BC"/>
    <w:rsid w:val="00DE120D"/>
    <w:rsid w:val="00DE127C"/>
    <w:rsid w:val="00DE1409"/>
    <w:rsid w:val="00DE15BC"/>
    <w:rsid w:val="00DE15DB"/>
    <w:rsid w:val="00DE16FC"/>
    <w:rsid w:val="00DE1824"/>
    <w:rsid w:val="00DE18B3"/>
    <w:rsid w:val="00DE18B5"/>
    <w:rsid w:val="00DE19EB"/>
    <w:rsid w:val="00DE1B5B"/>
    <w:rsid w:val="00DE1C0B"/>
    <w:rsid w:val="00DE1DB6"/>
    <w:rsid w:val="00DE1EBA"/>
    <w:rsid w:val="00DE1EFD"/>
    <w:rsid w:val="00DE2015"/>
    <w:rsid w:val="00DE20E9"/>
    <w:rsid w:val="00DE22B5"/>
    <w:rsid w:val="00DE22C4"/>
    <w:rsid w:val="00DE2309"/>
    <w:rsid w:val="00DE2836"/>
    <w:rsid w:val="00DE2978"/>
    <w:rsid w:val="00DE29EE"/>
    <w:rsid w:val="00DE2B4A"/>
    <w:rsid w:val="00DE2BF0"/>
    <w:rsid w:val="00DE2D53"/>
    <w:rsid w:val="00DE2DA7"/>
    <w:rsid w:val="00DE2E97"/>
    <w:rsid w:val="00DE30F4"/>
    <w:rsid w:val="00DE3190"/>
    <w:rsid w:val="00DE31FF"/>
    <w:rsid w:val="00DE32D3"/>
    <w:rsid w:val="00DE3356"/>
    <w:rsid w:val="00DE338C"/>
    <w:rsid w:val="00DE383B"/>
    <w:rsid w:val="00DE39AB"/>
    <w:rsid w:val="00DE3A06"/>
    <w:rsid w:val="00DE3B44"/>
    <w:rsid w:val="00DE3BBE"/>
    <w:rsid w:val="00DE3C06"/>
    <w:rsid w:val="00DE3CF4"/>
    <w:rsid w:val="00DE3E4E"/>
    <w:rsid w:val="00DE3E83"/>
    <w:rsid w:val="00DE4160"/>
    <w:rsid w:val="00DE41B0"/>
    <w:rsid w:val="00DE43AD"/>
    <w:rsid w:val="00DE447F"/>
    <w:rsid w:val="00DE46B8"/>
    <w:rsid w:val="00DE48AA"/>
    <w:rsid w:val="00DE4900"/>
    <w:rsid w:val="00DE492B"/>
    <w:rsid w:val="00DE4A30"/>
    <w:rsid w:val="00DE4A56"/>
    <w:rsid w:val="00DE4B60"/>
    <w:rsid w:val="00DE4B8E"/>
    <w:rsid w:val="00DE4BC5"/>
    <w:rsid w:val="00DE4C13"/>
    <w:rsid w:val="00DE4E1B"/>
    <w:rsid w:val="00DE4F15"/>
    <w:rsid w:val="00DE4F95"/>
    <w:rsid w:val="00DE4FC8"/>
    <w:rsid w:val="00DE4FD3"/>
    <w:rsid w:val="00DE4FEF"/>
    <w:rsid w:val="00DE512E"/>
    <w:rsid w:val="00DE5194"/>
    <w:rsid w:val="00DE51F8"/>
    <w:rsid w:val="00DE528F"/>
    <w:rsid w:val="00DE533D"/>
    <w:rsid w:val="00DE545C"/>
    <w:rsid w:val="00DE552A"/>
    <w:rsid w:val="00DE5573"/>
    <w:rsid w:val="00DE55C2"/>
    <w:rsid w:val="00DE55D3"/>
    <w:rsid w:val="00DE5625"/>
    <w:rsid w:val="00DE563C"/>
    <w:rsid w:val="00DE56F0"/>
    <w:rsid w:val="00DE570D"/>
    <w:rsid w:val="00DE5764"/>
    <w:rsid w:val="00DE57E4"/>
    <w:rsid w:val="00DE58A5"/>
    <w:rsid w:val="00DE58C2"/>
    <w:rsid w:val="00DE5922"/>
    <w:rsid w:val="00DE5AE1"/>
    <w:rsid w:val="00DE5BF1"/>
    <w:rsid w:val="00DE5F3A"/>
    <w:rsid w:val="00DE5FEC"/>
    <w:rsid w:val="00DE6147"/>
    <w:rsid w:val="00DE62E5"/>
    <w:rsid w:val="00DE632A"/>
    <w:rsid w:val="00DE6423"/>
    <w:rsid w:val="00DE6450"/>
    <w:rsid w:val="00DE64BA"/>
    <w:rsid w:val="00DE654A"/>
    <w:rsid w:val="00DE65B4"/>
    <w:rsid w:val="00DE65B5"/>
    <w:rsid w:val="00DE65F4"/>
    <w:rsid w:val="00DE6647"/>
    <w:rsid w:val="00DE6683"/>
    <w:rsid w:val="00DE66AB"/>
    <w:rsid w:val="00DE6709"/>
    <w:rsid w:val="00DE677D"/>
    <w:rsid w:val="00DE67BC"/>
    <w:rsid w:val="00DE68D0"/>
    <w:rsid w:val="00DE68F5"/>
    <w:rsid w:val="00DE6AC8"/>
    <w:rsid w:val="00DE6F7E"/>
    <w:rsid w:val="00DE6FC9"/>
    <w:rsid w:val="00DE709F"/>
    <w:rsid w:val="00DE73BE"/>
    <w:rsid w:val="00DE7514"/>
    <w:rsid w:val="00DE7555"/>
    <w:rsid w:val="00DE767C"/>
    <w:rsid w:val="00DE7690"/>
    <w:rsid w:val="00DE76CA"/>
    <w:rsid w:val="00DE787A"/>
    <w:rsid w:val="00DE78D0"/>
    <w:rsid w:val="00DE78F9"/>
    <w:rsid w:val="00DE7BCD"/>
    <w:rsid w:val="00DE7C5A"/>
    <w:rsid w:val="00DE7C89"/>
    <w:rsid w:val="00DE7E99"/>
    <w:rsid w:val="00DE7EB4"/>
    <w:rsid w:val="00DE7EC7"/>
    <w:rsid w:val="00DE7F4E"/>
    <w:rsid w:val="00DE7FFB"/>
    <w:rsid w:val="00DF0037"/>
    <w:rsid w:val="00DF01C1"/>
    <w:rsid w:val="00DF02EC"/>
    <w:rsid w:val="00DF030F"/>
    <w:rsid w:val="00DF0399"/>
    <w:rsid w:val="00DF03BE"/>
    <w:rsid w:val="00DF046C"/>
    <w:rsid w:val="00DF0567"/>
    <w:rsid w:val="00DF0570"/>
    <w:rsid w:val="00DF075C"/>
    <w:rsid w:val="00DF07C1"/>
    <w:rsid w:val="00DF091D"/>
    <w:rsid w:val="00DF0925"/>
    <w:rsid w:val="00DF0A05"/>
    <w:rsid w:val="00DF0AA8"/>
    <w:rsid w:val="00DF0B45"/>
    <w:rsid w:val="00DF0BBC"/>
    <w:rsid w:val="00DF0BC1"/>
    <w:rsid w:val="00DF0D96"/>
    <w:rsid w:val="00DF0E34"/>
    <w:rsid w:val="00DF0E5F"/>
    <w:rsid w:val="00DF0E62"/>
    <w:rsid w:val="00DF0F31"/>
    <w:rsid w:val="00DF0F6B"/>
    <w:rsid w:val="00DF0F8F"/>
    <w:rsid w:val="00DF118F"/>
    <w:rsid w:val="00DF1478"/>
    <w:rsid w:val="00DF147A"/>
    <w:rsid w:val="00DF158E"/>
    <w:rsid w:val="00DF15A9"/>
    <w:rsid w:val="00DF1806"/>
    <w:rsid w:val="00DF18AE"/>
    <w:rsid w:val="00DF1A4F"/>
    <w:rsid w:val="00DF1AF3"/>
    <w:rsid w:val="00DF1BA7"/>
    <w:rsid w:val="00DF1BD2"/>
    <w:rsid w:val="00DF1BF5"/>
    <w:rsid w:val="00DF205D"/>
    <w:rsid w:val="00DF23A9"/>
    <w:rsid w:val="00DF2410"/>
    <w:rsid w:val="00DF24FB"/>
    <w:rsid w:val="00DF26A9"/>
    <w:rsid w:val="00DF2742"/>
    <w:rsid w:val="00DF2866"/>
    <w:rsid w:val="00DF298F"/>
    <w:rsid w:val="00DF2A27"/>
    <w:rsid w:val="00DF2A4A"/>
    <w:rsid w:val="00DF2A70"/>
    <w:rsid w:val="00DF2A71"/>
    <w:rsid w:val="00DF2B58"/>
    <w:rsid w:val="00DF2D32"/>
    <w:rsid w:val="00DF2F8E"/>
    <w:rsid w:val="00DF339D"/>
    <w:rsid w:val="00DF33B4"/>
    <w:rsid w:val="00DF352D"/>
    <w:rsid w:val="00DF354F"/>
    <w:rsid w:val="00DF35FA"/>
    <w:rsid w:val="00DF3632"/>
    <w:rsid w:val="00DF3750"/>
    <w:rsid w:val="00DF3A08"/>
    <w:rsid w:val="00DF3B37"/>
    <w:rsid w:val="00DF3B8E"/>
    <w:rsid w:val="00DF3C6E"/>
    <w:rsid w:val="00DF3DB0"/>
    <w:rsid w:val="00DF3DDB"/>
    <w:rsid w:val="00DF3E5B"/>
    <w:rsid w:val="00DF4091"/>
    <w:rsid w:val="00DF419B"/>
    <w:rsid w:val="00DF41A5"/>
    <w:rsid w:val="00DF422E"/>
    <w:rsid w:val="00DF436E"/>
    <w:rsid w:val="00DF43A8"/>
    <w:rsid w:val="00DF443B"/>
    <w:rsid w:val="00DF444C"/>
    <w:rsid w:val="00DF4454"/>
    <w:rsid w:val="00DF4465"/>
    <w:rsid w:val="00DF4574"/>
    <w:rsid w:val="00DF46A0"/>
    <w:rsid w:val="00DF4798"/>
    <w:rsid w:val="00DF479B"/>
    <w:rsid w:val="00DF47C4"/>
    <w:rsid w:val="00DF4D9A"/>
    <w:rsid w:val="00DF51F1"/>
    <w:rsid w:val="00DF5255"/>
    <w:rsid w:val="00DF52BA"/>
    <w:rsid w:val="00DF52F4"/>
    <w:rsid w:val="00DF54E6"/>
    <w:rsid w:val="00DF55C3"/>
    <w:rsid w:val="00DF5702"/>
    <w:rsid w:val="00DF5A62"/>
    <w:rsid w:val="00DF5BF8"/>
    <w:rsid w:val="00DF5BF9"/>
    <w:rsid w:val="00DF5C97"/>
    <w:rsid w:val="00DF5CB3"/>
    <w:rsid w:val="00DF5E8B"/>
    <w:rsid w:val="00DF5F67"/>
    <w:rsid w:val="00DF60DF"/>
    <w:rsid w:val="00DF615B"/>
    <w:rsid w:val="00DF61B2"/>
    <w:rsid w:val="00DF63FA"/>
    <w:rsid w:val="00DF66BF"/>
    <w:rsid w:val="00DF6775"/>
    <w:rsid w:val="00DF6854"/>
    <w:rsid w:val="00DF6C4E"/>
    <w:rsid w:val="00DF6C54"/>
    <w:rsid w:val="00DF6E04"/>
    <w:rsid w:val="00DF6E4E"/>
    <w:rsid w:val="00DF6E62"/>
    <w:rsid w:val="00DF6E8A"/>
    <w:rsid w:val="00DF6EDA"/>
    <w:rsid w:val="00DF6FFC"/>
    <w:rsid w:val="00DF70A3"/>
    <w:rsid w:val="00DF70FB"/>
    <w:rsid w:val="00DF7157"/>
    <w:rsid w:val="00DF71BF"/>
    <w:rsid w:val="00DF72B4"/>
    <w:rsid w:val="00DF730B"/>
    <w:rsid w:val="00DF7524"/>
    <w:rsid w:val="00DF7604"/>
    <w:rsid w:val="00DF76D1"/>
    <w:rsid w:val="00DF76E0"/>
    <w:rsid w:val="00DF77A2"/>
    <w:rsid w:val="00DF7814"/>
    <w:rsid w:val="00DF7816"/>
    <w:rsid w:val="00DF7994"/>
    <w:rsid w:val="00DF7999"/>
    <w:rsid w:val="00DF7A27"/>
    <w:rsid w:val="00DF7A9B"/>
    <w:rsid w:val="00DF7B5E"/>
    <w:rsid w:val="00DF7D12"/>
    <w:rsid w:val="00DF7EB7"/>
    <w:rsid w:val="00DF7FC4"/>
    <w:rsid w:val="00E0005B"/>
    <w:rsid w:val="00E00144"/>
    <w:rsid w:val="00E00187"/>
    <w:rsid w:val="00E00212"/>
    <w:rsid w:val="00E002E6"/>
    <w:rsid w:val="00E002EE"/>
    <w:rsid w:val="00E00478"/>
    <w:rsid w:val="00E0047B"/>
    <w:rsid w:val="00E0049B"/>
    <w:rsid w:val="00E005EF"/>
    <w:rsid w:val="00E00673"/>
    <w:rsid w:val="00E006B3"/>
    <w:rsid w:val="00E007E9"/>
    <w:rsid w:val="00E00CAC"/>
    <w:rsid w:val="00E00E3F"/>
    <w:rsid w:val="00E00E64"/>
    <w:rsid w:val="00E00E8D"/>
    <w:rsid w:val="00E00EF9"/>
    <w:rsid w:val="00E00F93"/>
    <w:rsid w:val="00E010F0"/>
    <w:rsid w:val="00E0111A"/>
    <w:rsid w:val="00E0119C"/>
    <w:rsid w:val="00E011D4"/>
    <w:rsid w:val="00E011EA"/>
    <w:rsid w:val="00E0135F"/>
    <w:rsid w:val="00E01371"/>
    <w:rsid w:val="00E013D7"/>
    <w:rsid w:val="00E0151F"/>
    <w:rsid w:val="00E01597"/>
    <w:rsid w:val="00E015A3"/>
    <w:rsid w:val="00E01613"/>
    <w:rsid w:val="00E0168B"/>
    <w:rsid w:val="00E01BC5"/>
    <w:rsid w:val="00E01CFF"/>
    <w:rsid w:val="00E01D09"/>
    <w:rsid w:val="00E01D2E"/>
    <w:rsid w:val="00E01EC6"/>
    <w:rsid w:val="00E01F1E"/>
    <w:rsid w:val="00E01F67"/>
    <w:rsid w:val="00E01F86"/>
    <w:rsid w:val="00E01FC2"/>
    <w:rsid w:val="00E0213E"/>
    <w:rsid w:val="00E022A4"/>
    <w:rsid w:val="00E023AD"/>
    <w:rsid w:val="00E023C2"/>
    <w:rsid w:val="00E02498"/>
    <w:rsid w:val="00E02747"/>
    <w:rsid w:val="00E027CF"/>
    <w:rsid w:val="00E02810"/>
    <w:rsid w:val="00E02B35"/>
    <w:rsid w:val="00E02B72"/>
    <w:rsid w:val="00E02C90"/>
    <w:rsid w:val="00E02D3C"/>
    <w:rsid w:val="00E02DF6"/>
    <w:rsid w:val="00E02E16"/>
    <w:rsid w:val="00E0302F"/>
    <w:rsid w:val="00E030CB"/>
    <w:rsid w:val="00E03201"/>
    <w:rsid w:val="00E03281"/>
    <w:rsid w:val="00E0331A"/>
    <w:rsid w:val="00E03401"/>
    <w:rsid w:val="00E034FA"/>
    <w:rsid w:val="00E03581"/>
    <w:rsid w:val="00E036F2"/>
    <w:rsid w:val="00E038B9"/>
    <w:rsid w:val="00E038E6"/>
    <w:rsid w:val="00E0395D"/>
    <w:rsid w:val="00E03A0E"/>
    <w:rsid w:val="00E03A84"/>
    <w:rsid w:val="00E03AF2"/>
    <w:rsid w:val="00E03B2B"/>
    <w:rsid w:val="00E03B84"/>
    <w:rsid w:val="00E03C87"/>
    <w:rsid w:val="00E03C89"/>
    <w:rsid w:val="00E03CFA"/>
    <w:rsid w:val="00E03DCF"/>
    <w:rsid w:val="00E04117"/>
    <w:rsid w:val="00E0425D"/>
    <w:rsid w:val="00E043E1"/>
    <w:rsid w:val="00E043F2"/>
    <w:rsid w:val="00E045A9"/>
    <w:rsid w:val="00E046D8"/>
    <w:rsid w:val="00E04768"/>
    <w:rsid w:val="00E04802"/>
    <w:rsid w:val="00E0486D"/>
    <w:rsid w:val="00E04934"/>
    <w:rsid w:val="00E04987"/>
    <w:rsid w:val="00E04B01"/>
    <w:rsid w:val="00E04C24"/>
    <w:rsid w:val="00E04D9F"/>
    <w:rsid w:val="00E04E9A"/>
    <w:rsid w:val="00E04F25"/>
    <w:rsid w:val="00E05173"/>
    <w:rsid w:val="00E051B1"/>
    <w:rsid w:val="00E0528F"/>
    <w:rsid w:val="00E0540F"/>
    <w:rsid w:val="00E05497"/>
    <w:rsid w:val="00E054D5"/>
    <w:rsid w:val="00E05637"/>
    <w:rsid w:val="00E057DF"/>
    <w:rsid w:val="00E05911"/>
    <w:rsid w:val="00E0594C"/>
    <w:rsid w:val="00E059C6"/>
    <w:rsid w:val="00E05AAA"/>
    <w:rsid w:val="00E05ADE"/>
    <w:rsid w:val="00E05EA2"/>
    <w:rsid w:val="00E05F68"/>
    <w:rsid w:val="00E05FF7"/>
    <w:rsid w:val="00E06106"/>
    <w:rsid w:val="00E06107"/>
    <w:rsid w:val="00E0614A"/>
    <w:rsid w:val="00E0614F"/>
    <w:rsid w:val="00E0616B"/>
    <w:rsid w:val="00E063A6"/>
    <w:rsid w:val="00E064DD"/>
    <w:rsid w:val="00E0654C"/>
    <w:rsid w:val="00E0666F"/>
    <w:rsid w:val="00E066F9"/>
    <w:rsid w:val="00E06796"/>
    <w:rsid w:val="00E068ED"/>
    <w:rsid w:val="00E06903"/>
    <w:rsid w:val="00E06913"/>
    <w:rsid w:val="00E06950"/>
    <w:rsid w:val="00E06A5E"/>
    <w:rsid w:val="00E06A71"/>
    <w:rsid w:val="00E06AE1"/>
    <w:rsid w:val="00E06B03"/>
    <w:rsid w:val="00E06BBF"/>
    <w:rsid w:val="00E06D7F"/>
    <w:rsid w:val="00E06E7C"/>
    <w:rsid w:val="00E06EE4"/>
    <w:rsid w:val="00E06F0E"/>
    <w:rsid w:val="00E06F16"/>
    <w:rsid w:val="00E06F40"/>
    <w:rsid w:val="00E0710D"/>
    <w:rsid w:val="00E072BC"/>
    <w:rsid w:val="00E07472"/>
    <w:rsid w:val="00E074D3"/>
    <w:rsid w:val="00E07507"/>
    <w:rsid w:val="00E0755E"/>
    <w:rsid w:val="00E0759D"/>
    <w:rsid w:val="00E07611"/>
    <w:rsid w:val="00E076C9"/>
    <w:rsid w:val="00E0770C"/>
    <w:rsid w:val="00E07766"/>
    <w:rsid w:val="00E0789A"/>
    <w:rsid w:val="00E078A8"/>
    <w:rsid w:val="00E0793B"/>
    <w:rsid w:val="00E07AC8"/>
    <w:rsid w:val="00E07B9F"/>
    <w:rsid w:val="00E07C2E"/>
    <w:rsid w:val="00E07C4E"/>
    <w:rsid w:val="00E07C94"/>
    <w:rsid w:val="00E07D4C"/>
    <w:rsid w:val="00E07E90"/>
    <w:rsid w:val="00E07F0A"/>
    <w:rsid w:val="00E07F2D"/>
    <w:rsid w:val="00E07F33"/>
    <w:rsid w:val="00E07F9B"/>
    <w:rsid w:val="00E10119"/>
    <w:rsid w:val="00E10268"/>
    <w:rsid w:val="00E10271"/>
    <w:rsid w:val="00E10315"/>
    <w:rsid w:val="00E104F5"/>
    <w:rsid w:val="00E10581"/>
    <w:rsid w:val="00E1061A"/>
    <w:rsid w:val="00E10650"/>
    <w:rsid w:val="00E10711"/>
    <w:rsid w:val="00E1073E"/>
    <w:rsid w:val="00E10761"/>
    <w:rsid w:val="00E1076C"/>
    <w:rsid w:val="00E1080F"/>
    <w:rsid w:val="00E10834"/>
    <w:rsid w:val="00E1083A"/>
    <w:rsid w:val="00E108FB"/>
    <w:rsid w:val="00E10935"/>
    <w:rsid w:val="00E10B77"/>
    <w:rsid w:val="00E10D95"/>
    <w:rsid w:val="00E10FCE"/>
    <w:rsid w:val="00E11022"/>
    <w:rsid w:val="00E1107A"/>
    <w:rsid w:val="00E111A9"/>
    <w:rsid w:val="00E11374"/>
    <w:rsid w:val="00E11391"/>
    <w:rsid w:val="00E114B8"/>
    <w:rsid w:val="00E114D0"/>
    <w:rsid w:val="00E116AB"/>
    <w:rsid w:val="00E11803"/>
    <w:rsid w:val="00E11905"/>
    <w:rsid w:val="00E1190E"/>
    <w:rsid w:val="00E11B80"/>
    <w:rsid w:val="00E11D2A"/>
    <w:rsid w:val="00E11D62"/>
    <w:rsid w:val="00E11EEC"/>
    <w:rsid w:val="00E11FFB"/>
    <w:rsid w:val="00E12037"/>
    <w:rsid w:val="00E12064"/>
    <w:rsid w:val="00E122C4"/>
    <w:rsid w:val="00E122E0"/>
    <w:rsid w:val="00E122ED"/>
    <w:rsid w:val="00E12359"/>
    <w:rsid w:val="00E12404"/>
    <w:rsid w:val="00E12468"/>
    <w:rsid w:val="00E125B2"/>
    <w:rsid w:val="00E126A2"/>
    <w:rsid w:val="00E12708"/>
    <w:rsid w:val="00E1273F"/>
    <w:rsid w:val="00E12809"/>
    <w:rsid w:val="00E128B3"/>
    <w:rsid w:val="00E12A07"/>
    <w:rsid w:val="00E12A76"/>
    <w:rsid w:val="00E12A82"/>
    <w:rsid w:val="00E12AC6"/>
    <w:rsid w:val="00E12B89"/>
    <w:rsid w:val="00E12C1D"/>
    <w:rsid w:val="00E12C42"/>
    <w:rsid w:val="00E12D8D"/>
    <w:rsid w:val="00E12FCE"/>
    <w:rsid w:val="00E133B2"/>
    <w:rsid w:val="00E13426"/>
    <w:rsid w:val="00E1342B"/>
    <w:rsid w:val="00E13470"/>
    <w:rsid w:val="00E1352F"/>
    <w:rsid w:val="00E137FE"/>
    <w:rsid w:val="00E1383F"/>
    <w:rsid w:val="00E13867"/>
    <w:rsid w:val="00E138A0"/>
    <w:rsid w:val="00E13A6C"/>
    <w:rsid w:val="00E13A85"/>
    <w:rsid w:val="00E13B6C"/>
    <w:rsid w:val="00E13D59"/>
    <w:rsid w:val="00E13D6D"/>
    <w:rsid w:val="00E13F1D"/>
    <w:rsid w:val="00E13F93"/>
    <w:rsid w:val="00E142C8"/>
    <w:rsid w:val="00E142FF"/>
    <w:rsid w:val="00E1439B"/>
    <w:rsid w:val="00E144BA"/>
    <w:rsid w:val="00E148A7"/>
    <w:rsid w:val="00E14914"/>
    <w:rsid w:val="00E1495F"/>
    <w:rsid w:val="00E14E9A"/>
    <w:rsid w:val="00E14FB2"/>
    <w:rsid w:val="00E150C6"/>
    <w:rsid w:val="00E150CA"/>
    <w:rsid w:val="00E15130"/>
    <w:rsid w:val="00E15137"/>
    <w:rsid w:val="00E151ED"/>
    <w:rsid w:val="00E154E9"/>
    <w:rsid w:val="00E1555A"/>
    <w:rsid w:val="00E155E3"/>
    <w:rsid w:val="00E155EB"/>
    <w:rsid w:val="00E156A2"/>
    <w:rsid w:val="00E1579B"/>
    <w:rsid w:val="00E157BA"/>
    <w:rsid w:val="00E15847"/>
    <w:rsid w:val="00E15A24"/>
    <w:rsid w:val="00E15BB2"/>
    <w:rsid w:val="00E15BBE"/>
    <w:rsid w:val="00E15C08"/>
    <w:rsid w:val="00E15CC1"/>
    <w:rsid w:val="00E15D86"/>
    <w:rsid w:val="00E15EEC"/>
    <w:rsid w:val="00E15F1A"/>
    <w:rsid w:val="00E15F5E"/>
    <w:rsid w:val="00E15FAE"/>
    <w:rsid w:val="00E15FD6"/>
    <w:rsid w:val="00E1609F"/>
    <w:rsid w:val="00E160BC"/>
    <w:rsid w:val="00E16186"/>
    <w:rsid w:val="00E161AB"/>
    <w:rsid w:val="00E162C6"/>
    <w:rsid w:val="00E16349"/>
    <w:rsid w:val="00E16352"/>
    <w:rsid w:val="00E1644E"/>
    <w:rsid w:val="00E1652C"/>
    <w:rsid w:val="00E1656B"/>
    <w:rsid w:val="00E1658A"/>
    <w:rsid w:val="00E16666"/>
    <w:rsid w:val="00E166BA"/>
    <w:rsid w:val="00E16746"/>
    <w:rsid w:val="00E1684E"/>
    <w:rsid w:val="00E1688C"/>
    <w:rsid w:val="00E168F1"/>
    <w:rsid w:val="00E16ACE"/>
    <w:rsid w:val="00E16C20"/>
    <w:rsid w:val="00E16D60"/>
    <w:rsid w:val="00E16E36"/>
    <w:rsid w:val="00E16F3D"/>
    <w:rsid w:val="00E16F8F"/>
    <w:rsid w:val="00E16FA3"/>
    <w:rsid w:val="00E16FB4"/>
    <w:rsid w:val="00E16FCC"/>
    <w:rsid w:val="00E1702F"/>
    <w:rsid w:val="00E1707E"/>
    <w:rsid w:val="00E17083"/>
    <w:rsid w:val="00E170AA"/>
    <w:rsid w:val="00E17159"/>
    <w:rsid w:val="00E17201"/>
    <w:rsid w:val="00E172A5"/>
    <w:rsid w:val="00E17313"/>
    <w:rsid w:val="00E1732C"/>
    <w:rsid w:val="00E1735C"/>
    <w:rsid w:val="00E174D0"/>
    <w:rsid w:val="00E1770A"/>
    <w:rsid w:val="00E1775C"/>
    <w:rsid w:val="00E177B7"/>
    <w:rsid w:val="00E17933"/>
    <w:rsid w:val="00E179A6"/>
    <w:rsid w:val="00E17A71"/>
    <w:rsid w:val="00E17B2B"/>
    <w:rsid w:val="00E17B8D"/>
    <w:rsid w:val="00E17C84"/>
    <w:rsid w:val="00E17C97"/>
    <w:rsid w:val="00E17CE2"/>
    <w:rsid w:val="00E17D93"/>
    <w:rsid w:val="00E17E52"/>
    <w:rsid w:val="00E17EE6"/>
    <w:rsid w:val="00E17F6A"/>
    <w:rsid w:val="00E203AD"/>
    <w:rsid w:val="00E20510"/>
    <w:rsid w:val="00E206E8"/>
    <w:rsid w:val="00E2072F"/>
    <w:rsid w:val="00E20753"/>
    <w:rsid w:val="00E207F0"/>
    <w:rsid w:val="00E20821"/>
    <w:rsid w:val="00E2082E"/>
    <w:rsid w:val="00E2085F"/>
    <w:rsid w:val="00E2094F"/>
    <w:rsid w:val="00E209B4"/>
    <w:rsid w:val="00E209CE"/>
    <w:rsid w:val="00E20A3A"/>
    <w:rsid w:val="00E20AA6"/>
    <w:rsid w:val="00E20AAE"/>
    <w:rsid w:val="00E20B2B"/>
    <w:rsid w:val="00E20B91"/>
    <w:rsid w:val="00E20CD8"/>
    <w:rsid w:val="00E20D1E"/>
    <w:rsid w:val="00E20D7B"/>
    <w:rsid w:val="00E20DD7"/>
    <w:rsid w:val="00E20E2C"/>
    <w:rsid w:val="00E20F00"/>
    <w:rsid w:val="00E21013"/>
    <w:rsid w:val="00E21311"/>
    <w:rsid w:val="00E2136D"/>
    <w:rsid w:val="00E213F3"/>
    <w:rsid w:val="00E21425"/>
    <w:rsid w:val="00E2159C"/>
    <w:rsid w:val="00E2159D"/>
    <w:rsid w:val="00E215AF"/>
    <w:rsid w:val="00E2163F"/>
    <w:rsid w:val="00E21755"/>
    <w:rsid w:val="00E21772"/>
    <w:rsid w:val="00E217AC"/>
    <w:rsid w:val="00E218A7"/>
    <w:rsid w:val="00E21951"/>
    <w:rsid w:val="00E21A96"/>
    <w:rsid w:val="00E21B2F"/>
    <w:rsid w:val="00E21DB6"/>
    <w:rsid w:val="00E21E68"/>
    <w:rsid w:val="00E21E7A"/>
    <w:rsid w:val="00E21EB6"/>
    <w:rsid w:val="00E2213C"/>
    <w:rsid w:val="00E222EA"/>
    <w:rsid w:val="00E22475"/>
    <w:rsid w:val="00E22563"/>
    <w:rsid w:val="00E226D7"/>
    <w:rsid w:val="00E2271D"/>
    <w:rsid w:val="00E227F4"/>
    <w:rsid w:val="00E22845"/>
    <w:rsid w:val="00E2285B"/>
    <w:rsid w:val="00E2298B"/>
    <w:rsid w:val="00E229E7"/>
    <w:rsid w:val="00E22A11"/>
    <w:rsid w:val="00E22AE5"/>
    <w:rsid w:val="00E22CAA"/>
    <w:rsid w:val="00E22DA1"/>
    <w:rsid w:val="00E22DC6"/>
    <w:rsid w:val="00E23359"/>
    <w:rsid w:val="00E233C0"/>
    <w:rsid w:val="00E234C6"/>
    <w:rsid w:val="00E234F6"/>
    <w:rsid w:val="00E23517"/>
    <w:rsid w:val="00E23538"/>
    <w:rsid w:val="00E237E1"/>
    <w:rsid w:val="00E238B5"/>
    <w:rsid w:val="00E23C02"/>
    <w:rsid w:val="00E23C8C"/>
    <w:rsid w:val="00E23DFF"/>
    <w:rsid w:val="00E23F99"/>
    <w:rsid w:val="00E23FB9"/>
    <w:rsid w:val="00E2408F"/>
    <w:rsid w:val="00E2414E"/>
    <w:rsid w:val="00E24440"/>
    <w:rsid w:val="00E24459"/>
    <w:rsid w:val="00E24460"/>
    <w:rsid w:val="00E2448A"/>
    <w:rsid w:val="00E24574"/>
    <w:rsid w:val="00E24596"/>
    <w:rsid w:val="00E2459B"/>
    <w:rsid w:val="00E2460C"/>
    <w:rsid w:val="00E24681"/>
    <w:rsid w:val="00E246A5"/>
    <w:rsid w:val="00E24773"/>
    <w:rsid w:val="00E24774"/>
    <w:rsid w:val="00E24972"/>
    <w:rsid w:val="00E249A5"/>
    <w:rsid w:val="00E24AD1"/>
    <w:rsid w:val="00E24B1B"/>
    <w:rsid w:val="00E24B99"/>
    <w:rsid w:val="00E24BAC"/>
    <w:rsid w:val="00E24C13"/>
    <w:rsid w:val="00E24C53"/>
    <w:rsid w:val="00E24D1C"/>
    <w:rsid w:val="00E24EA0"/>
    <w:rsid w:val="00E24F8A"/>
    <w:rsid w:val="00E25022"/>
    <w:rsid w:val="00E251D4"/>
    <w:rsid w:val="00E2537A"/>
    <w:rsid w:val="00E253D6"/>
    <w:rsid w:val="00E254AE"/>
    <w:rsid w:val="00E2553D"/>
    <w:rsid w:val="00E256A9"/>
    <w:rsid w:val="00E257AC"/>
    <w:rsid w:val="00E257F0"/>
    <w:rsid w:val="00E25828"/>
    <w:rsid w:val="00E2582E"/>
    <w:rsid w:val="00E259BD"/>
    <w:rsid w:val="00E25AEB"/>
    <w:rsid w:val="00E25B14"/>
    <w:rsid w:val="00E25C22"/>
    <w:rsid w:val="00E25C24"/>
    <w:rsid w:val="00E25CDA"/>
    <w:rsid w:val="00E25E25"/>
    <w:rsid w:val="00E25E40"/>
    <w:rsid w:val="00E25EAD"/>
    <w:rsid w:val="00E260A8"/>
    <w:rsid w:val="00E260C6"/>
    <w:rsid w:val="00E261D7"/>
    <w:rsid w:val="00E26241"/>
    <w:rsid w:val="00E26311"/>
    <w:rsid w:val="00E2635D"/>
    <w:rsid w:val="00E26439"/>
    <w:rsid w:val="00E264D4"/>
    <w:rsid w:val="00E264DF"/>
    <w:rsid w:val="00E265E4"/>
    <w:rsid w:val="00E266DF"/>
    <w:rsid w:val="00E26766"/>
    <w:rsid w:val="00E268F2"/>
    <w:rsid w:val="00E2691E"/>
    <w:rsid w:val="00E26AA7"/>
    <w:rsid w:val="00E26B1A"/>
    <w:rsid w:val="00E26B1C"/>
    <w:rsid w:val="00E26D5A"/>
    <w:rsid w:val="00E26EB0"/>
    <w:rsid w:val="00E26F62"/>
    <w:rsid w:val="00E270DA"/>
    <w:rsid w:val="00E272A0"/>
    <w:rsid w:val="00E274A4"/>
    <w:rsid w:val="00E2756B"/>
    <w:rsid w:val="00E2757B"/>
    <w:rsid w:val="00E275F3"/>
    <w:rsid w:val="00E27646"/>
    <w:rsid w:val="00E27730"/>
    <w:rsid w:val="00E2785B"/>
    <w:rsid w:val="00E27860"/>
    <w:rsid w:val="00E2795B"/>
    <w:rsid w:val="00E27A4A"/>
    <w:rsid w:val="00E27A52"/>
    <w:rsid w:val="00E27A62"/>
    <w:rsid w:val="00E27BC0"/>
    <w:rsid w:val="00E27BD2"/>
    <w:rsid w:val="00E27D70"/>
    <w:rsid w:val="00E27EB3"/>
    <w:rsid w:val="00E27F63"/>
    <w:rsid w:val="00E27F8F"/>
    <w:rsid w:val="00E300C0"/>
    <w:rsid w:val="00E30283"/>
    <w:rsid w:val="00E302D2"/>
    <w:rsid w:val="00E3043A"/>
    <w:rsid w:val="00E304D3"/>
    <w:rsid w:val="00E30508"/>
    <w:rsid w:val="00E306CF"/>
    <w:rsid w:val="00E307B8"/>
    <w:rsid w:val="00E307E2"/>
    <w:rsid w:val="00E307E7"/>
    <w:rsid w:val="00E309DF"/>
    <w:rsid w:val="00E309F8"/>
    <w:rsid w:val="00E30A29"/>
    <w:rsid w:val="00E30AC0"/>
    <w:rsid w:val="00E30B44"/>
    <w:rsid w:val="00E30BFE"/>
    <w:rsid w:val="00E30CFA"/>
    <w:rsid w:val="00E30D95"/>
    <w:rsid w:val="00E30DBC"/>
    <w:rsid w:val="00E30DC1"/>
    <w:rsid w:val="00E30FF0"/>
    <w:rsid w:val="00E31030"/>
    <w:rsid w:val="00E3116B"/>
    <w:rsid w:val="00E311DE"/>
    <w:rsid w:val="00E312E9"/>
    <w:rsid w:val="00E3134D"/>
    <w:rsid w:val="00E31408"/>
    <w:rsid w:val="00E314B8"/>
    <w:rsid w:val="00E31673"/>
    <w:rsid w:val="00E316CB"/>
    <w:rsid w:val="00E31805"/>
    <w:rsid w:val="00E31887"/>
    <w:rsid w:val="00E31963"/>
    <w:rsid w:val="00E31967"/>
    <w:rsid w:val="00E31A44"/>
    <w:rsid w:val="00E31AD2"/>
    <w:rsid w:val="00E31BC6"/>
    <w:rsid w:val="00E31CAF"/>
    <w:rsid w:val="00E31D3D"/>
    <w:rsid w:val="00E31DAB"/>
    <w:rsid w:val="00E31E04"/>
    <w:rsid w:val="00E31E86"/>
    <w:rsid w:val="00E31E8E"/>
    <w:rsid w:val="00E31EA9"/>
    <w:rsid w:val="00E31EFD"/>
    <w:rsid w:val="00E32143"/>
    <w:rsid w:val="00E3219A"/>
    <w:rsid w:val="00E321AA"/>
    <w:rsid w:val="00E3227A"/>
    <w:rsid w:val="00E32343"/>
    <w:rsid w:val="00E323F7"/>
    <w:rsid w:val="00E323FD"/>
    <w:rsid w:val="00E32436"/>
    <w:rsid w:val="00E32471"/>
    <w:rsid w:val="00E3251A"/>
    <w:rsid w:val="00E3273E"/>
    <w:rsid w:val="00E32853"/>
    <w:rsid w:val="00E328D2"/>
    <w:rsid w:val="00E3293A"/>
    <w:rsid w:val="00E32945"/>
    <w:rsid w:val="00E3297D"/>
    <w:rsid w:val="00E32A06"/>
    <w:rsid w:val="00E32A08"/>
    <w:rsid w:val="00E32A1A"/>
    <w:rsid w:val="00E32BC9"/>
    <w:rsid w:val="00E32C48"/>
    <w:rsid w:val="00E32C7A"/>
    <w:rsid w:val="00E32D3A"/>
    <w:rsid w:val="00E32DCA"/>
    <w:rsid w:val="00E32DDD"/>
    <w:rsid w:val="00E32E84"/>
    <w:rsid w:val="00E32E93"/>
    <w:rsid w:val="00E32F1E"/>
    <w:rsid w:val="00E32F7B"/>
    <w:rsid w:val="00E330EA"/>
    <w:rsid w:val="00E33161"/>
    <w:rsid w:val="00E33168"/>
    <w:rsid w:val="00E331F9"/>
    <w:rsid w:val="00E332FB"/>
    <w:rsid w:val="00E33435"/>
    <w:rsid w:val="00E33488"/>
    <w:rsid w:val="00E334B5"/>
    <w:rsid w:val="00E33533"/>
    <w:rsid w:val="00E33692"/>
    <w:rsid w:val="00E336C7"/>
    <w:rsid w:val="00E336E3"/>
    <w:rsid w:val="00E3374B"/>
    <w:rsid w:val="00E337E2"/>
    <w:rsid w:val="00E337E3"/>
    <w:rsid w:val="00E33A62"/>
    <w:rsid w:val="00E33AD4"/>
    <w:rsid w:val="00E33B0C"/>
    <w:rsid w:val="00E33BA2"/>
    <w:rsid w:val="00E33C35"/>
    <w:rsid w:val="00E33C4C"/>
    <w:rsid w:val="00E33C96"/>
    <w:rsid w:val="00E33E5F"/>
    <w:rsid w:val="00E33F94"/>
    <w:rsid w:val="00E34189"/>
    <w:rsid w:val="00E34486"/>
    <w:rsid w:val="00E345E9"/>
    <w:rsid w:val="00E346DC"/>
    <w:rsid w:val="00E34860"/>
    <w:rsid w:val="00E348C2"/>
    <w:rsid w:val="00E34A51"/>
    <w:rsid w:val="00E34B24"/>
    <w:rsid w:val="00E34C64"/>
    <w:rsid w:val="00E34D92"/>
    <w:rsid w:val="00E34E5B"/>
    <w:rsid w:val="00E34EF2"/>
    <w:rsid w:val="00E350CC"/>
    <w:rsid w:val="00E3521D"/>
    <w:rsid w:val="00E35299"/>
    <w:rsid w:val="00E352B1"/>
    <w:rsid w:val="00E3536B"/>
    <w:rsid w:val="00E354BB"/>
    <w:rsid w:val="00E3557B"/>
    <w:rsid w:val="00E3559E"/>
    <w:rsid w:val="00E35777"/>
    <w:rsid w:val="00E35795"/>
    <w:rsid w:val="00E357C2"/>
    <w:rsid w:val="00E35960"/>
    <w:rsid w:val="00E359A5"/>
    <w:rsid w:val="00E35A1B"/>
    <w:rsid w:val="00E35A4A"/>
    <w:rsid w:val="00E35D7C"/>
    <w:rsid w:val="00E35EBA"/>
    <w:rsid w:val="00E35EED"/>
    <w:rsid w:val="00E35F53"/>
    <w:rsid w:val="00E3609C"/>
    <w:rsid w:val="00E3613A"/>
    <w:rsid w:val="00E362C7"/>
    <w:rsid w:val="00E362E0"/>
    <w:rsid w:val="00E36318"/>
    <w:rsid w:val="00E36357"/>
    <w:rsid w:val="00E363A8"/>
    <w:rsid w:val="00E365F7"/>
    <w:rsid w:val="00E3662B"/>
    <w:rsid w:val="00E36894"/>
    <w:rsid w:val="00E369F8"/>
    <w:rsid w:val="00E36A46"/>
    <w:rsid w:val="00E36AFB"/>
    <w:rsid w:val="00E36BA5"/>
    <w:rsid w:val="00E36CE4"/>
    <w:rsid w:val="00E36D78"/>
    <w:rsid w:val="00E36E47"/>
    <w:rsid w:val="00E36E68"/>
    <w:rsid w:val="00E36E9F"/>
    <w:rsid w:val="00E36EF2"/>
    <w:rsid w:val="00E36FDE"/>
    <w:rsid w:val="00E36FF5"/>
    <w:rsid w:val="00E370B5"/>
    <w:rsid w:val="00E3712A"/>
    <w:rsid w:val="00E37151"/>
    <w:rsid w:val="00E371BC"/>
    <w:rsid w:val="00E3724B"/>
    <w:rsid w:val="00E3732B"/>
    <w:rsid w:val="00E373E9"/>
    <w:rsid w:val="00E374CC"/>
    <w:rsid w:val="00E374F3"/>
    <w:rsid w:val="00E374FA"/>
    <w:rsid w:val="00E37867"/>
    <w:rsid w:val="00E379A9"/>
    <w:rsid w:val="00E379DE"/>
    <w:rsid w:val="00E37BB3"/>
    <w:rsid w:val="00E37BC5"/>
    <w:rsid w:val="00E37CF8"/>
    <w:rsid w:val="00E37D18"/>
    <w:rsid w:val="00E37E29"/>
    <w:rsid w:val="00E37EFA"/>
    <w:rsid w:val="00E37F01"/>
    <w:rsid w:val="00E40007"/>
    <w:rsid w:val="00E40022"/>
    <w:rsid w:val="00E40058"/>
    <w:rsid w:val="00E4005F"/>
    <w:rsid w:val="00E401A4"/>
    <w:rsid w:val="00E40224"/>
    <w:rsid w:val="00E40295"/>
    <w:rsid w:val="00E4043B"/>
    <w:rsid w:val="00E40642"/>
    <w:rsid w:val="00E407DC"/>
    <w:rsid w:val="00E407FC"/>
    <w:rsid w:val="00E4087B"/>
    <w:rsid w:val="00E40AA1"/>
    <w:rsid w:val="00E40D00"/>
    <w:rsid w:val="00E40D62"/>
    <w:rsid w:val="00E40DEB"/>
    <w:rsid w:val="00E40E2E"/>
    <w:rsid w:val="00E40EC2"/>
    <w:rsid w:val="00E41011"/>
    <w:rsid w:val="00E4113B"/>
    <w:rsid w:val="00E411A0"/>
    <w:rsid w:val="00E411D1"/>
    <w:rsid w:val="00E411D5"/>
    <w:rsid w:val="00E411F0"/>
    <w:rsid w:val="00E4120E"/>
    <w:rsid w:val="00E41285"/>
    <w:rsid w:val="00E413F4"/>
    <w:rsid w:val="00E4142A"/>
    <w:rsid w:val="00E4142E"/>
    <w:rsid w:val="00E41453"/>
    <w:rsid w:val="00E414DF"/>
    <w:rsid w:val="00E41580"/>
    <w:rsid w:val="00E415F4"/>
    <w:rsid w:val="00E4165F"/>
    <w:rsid w:val="00E4184E"/>
    <w:rsid w:val="00E41A9E"/>
    <w:rsid w:val="00E41AE9"/>
    <w:rsid w:val="00E41BCF"/>
    <w:rsid w:val="00E41BE0"/>
    <w:rsid w:val="00E41C4F"/>
    <w:rsid w:val="00E41CD3"/>
    <w:rsid w:val="00E41D3F"/>
    <w:rsid w:val="00E41DD3"/>
    <w:rsid w:val="00E41ECA"/>
    <w:rsid w:val="00E41ECF"/>
    <w:rsid w:val="00E420F7"/>
    <w:rsid w:val="00E4215F"/>
    <w:rsid w:val="00E42244"/>
    <w:rsid w:val="00E422EA"/>
    <w:rsid w:val="00E42421"/>
    <w:rsid w:val="00E427CB"/>
    <w:rsid w:val="00E4280D"/>
    <w:rsid w:val="00E42918"/>
    <w:rsid w:val="00E42923"/>
    <w:rsid w:val="00E42A20"/>
    <w:rsid w:val="00E42BFA"/>
    <w:rsid w:val="00E42C9C"/>
    <w:rsid w:val="00E42D6D"/>
    <w:rsid w:val="00E42DF1"/>
    <w:rsid w:val="00E4302E"/>
    <w:rsid w:val="00E430AF"/>
    <w:rsid w:val="00E4320C"/>
    <w:rsid w:val="00E43246"/>
    <w:rsid w:val="00E433D3"/>
    <w:rsid w:val="00E43407"/>
    <w:rsid w:val="00E435C7"/>
    <w:rsid w:val="00E4369A"/>
    <w:rsid w:val="00E4374C"/>
    <w:rsid w:val="00E43773"/>
    <w:rsid w:val="00E438DD"/>
    <w:rsid w:val="00E439C7"/>
    <w:rsid w:val="00E43A02"/>
    <w:rsid w:val="00E43A61"/>
    <w:rsid w:val="00E43B52"/>
    <w:rsid w:val="00E43C5D"/>
    <w:rsid w:val="00E4409B"/>
    <w:rsid w:val="00E440C5"/>
    <w:rsid w:val="00E44414"/>
    <w:rsid w:val="00E44444"/>
    <w:rsid w:val="00E44446"/>
    <w:rsid w:val="00E444D8"/>
    <w:rsid w:val="00E4453A"/>
    <w:rsid w:val="00E4459C"/>
    <w:rsid w:val="00E445A0"/>
    <w:rsid w:val="00E445A2"/>
    <w:rsid w:val="00E44692"/>
    <w:rsid w:val="00E446AE"/>
    <w:rsid w:val="00E446C3"/>
    <w:rsid w:val="00E4487A"/>
    <w:rsid w:val="00E4489B"/>
    <w:rsid w:val="00E44936"/>
    <w:rsid w:val="00E44948"/>
    <w:rsid w:val="00E4498C"/>
    <w:rsid w:val="00E4499D"/>
    <w:rsid w:val="00E449B8"/>
    <w:rsid w:val="00E44A57"/>
    <w:rsid w:val="00E44AE1"/>
    <w:rsid w:val="00E44B4C"/>
    <w:rsid w:val="00E44B84"/>
    <w:rsid w:val="00E44B98"/>
    <w:rsid w:val="00E44D48"/>
    <w:rsid w:val="00E44E95"/>
    <w:rsid w:val="00E44F63"/>
    <w:rsid w:val="00E44F6A"/>
    <w:rsid w:val="00E45210"/>
    <w:rsid w:val="00E45229"/>
    <w:rsid w:val="00E45393"/>
    <w:rsid w:val="00E45417"/>
    <w:rsid w:val="00E4548A"/>
    <w:rsid w:val="00E4552D"/>
    <w:rsid w:val="00E456C7"/>
    <w:rsid w:val="00E45803"/>
    <w:rsid w:val="00E458DD"/>
    <w:rsid w:val="00E45913"/>
    <w:rsid w:val="00E45966"/>
    <w:rsid w:val="00E45A23"/>
    <w:rsid w:val="00E45A2F"/>
    <w:rsid w:val="00E45B4E"/>
    <w:rsid w:val="00E45D7F"/>
    <w:rsid w:val="00E45DDE"/>
    <w:rsid w:val="00E45ED5"/>
    <w:rsid w:val="00E45F59"/>
    <w:rsid w:val="00E45FFF"/>
    <w:rsid w:val="00E46232"/>
    <w:rsid w:val="00E4636F"/>
    <w:rsid w:val="00E46397"/>
    <w:rsid w:val="00E463F0"/>
    <w:rsid w:val="00E463F1"/>
    <w:rsid w:val="00E46503"/>
    <w:rsid w:val="00E4653C"/>
    <w:rsid w:val="00E465B3"/>
    <w:rsid w:val="00E465E2"/>
    <w:rsid w:val="00E466B9"/>
    <w:rsid w:val="00E466C4"/>
    <w:rsid w:val="00E46726"/>
    <w:rsid w:val="00E4677D"/>
    <w:rsid w:val="00E468B4"/>
    <w:rsid w:val="00E468D8"/>
    <w:rsid w:val="00E4690C"/>
    <w:rsid w:val="00E46A14"/>
    <w:rsid w:val="00E46A3F"/>
    <w:rsid w:val="00E46B03"/>
    <w:rsid w:val="00E46B71"/>
    <w:rsid w:val="00E46BF8"/>
    <w:rsid w:val="00E46E1B"/>
    <w:rsid w:val="00E46E3A"/>
    <w:rsid w:val="00E46F3D"/>
    <w:rsid w:val="00E46FC5"/>
    <w:rsid w:val="00E47065"/>
    <w:rsid w:val="00E470A3"/>
    <w:rsid w:val="00E47157"/>
    <w:rsid w:val="00E471CF"/>
    <w:rsid w:val="00E4742A"/>
    <w:rsid w:val="00E47569"/>
    <w:rsid w:val="00E4764F"/>
    <w:rsid w:val="00E47758"/>
    <w:rsid w:val="00E47813"/>
    <w:rsid w:val="00E47989"/>
    <w:rsid w:val="00E47A3F"/>
    <w:rsid w:val="00E47B3B"/>
    <w:rsid w:val="00E47BC1"/>
    <w:rsid w:val="00E47C44"/>
    <w:rsid w:val="00E47D07"/>
    <w:rsid w:val="00E47D5F"/>
    <w:rsid w:val="00E47DC2"/>
    <w:rsid w:val="00E47F32"/>
    <w:rsid w:val="00E47F4A"/>
    <w:rsid w:val="00E47F54"/>
    <w:rsid w:val="00E47F6B"/>
    <w:rsid w:val="00E50079"/>
    <w:rsid w:val="00E50103"/>
    <w:rsid w:val="00E501A5"/>
    <w:rsid w:val="00E5020D"/>
    <w:rsid w:val="00E50393"/>
    <w:rsid w:val="00E504AE"/>
    <w:rsid w:val="00E506BC"/>
    <w:rsid w:val="00E506CB"/>
    <w:rsid w:val="00E50772"/>
    <w:rsid w:val="00E507FF"/>
    <w:rsid w:val="00E5082D"/>
    <w:rsid w:val="00E5085A"/>
    <w:rsid w:val="00E5088C"/>
    <w:rsid w:val="00E509E2"/>
    <w:rsid w:val="00E50A2F"/>
    <w:rsid w:val="00E50C59"/>
    <w:rsid w:val="00E50CB5"/>
    <w:rsid w:val="00E50D90"/>
    <w:rsid w:val="00E50DB5"/>
    <w:rsid w:val="00E50DBB"/>
    <w:rsid w:val="00E50F79"/>
    <w:rsid w:val="00E5110E"/>
    <w:rsid w:val="00E5111C"/>
    <w:rsid w:val="00E51164"/>
    <w:rsid w:val="00E51165"/>
    <w:rsid w:val="00E51275"/>
    <w:rsid w:val="00E5130D"/>
    <w:rsid w:val="00E513A1"/>
    <w:rsid w:val="00E51404"/>
    <w:rsid w:val="00E514A7"/>
    <w:rsid w:val="00E515ED"/>
    <w:rsid w:val="00E51713"/>
    <w:rsid w:val="00E518C7"/>
    <w:rsid w:val="00E519BE"/>
    <w:rsid w:val="00E519E4"/>
    <w:rsid w:val="00E51A16"/>
    <w:rsid w:val="00E51B0A"/>
    <w:rsid w:val="00E51B14"/>
    <w:rsid w:val="00E51D10"/>
    <w:rsid w:val="00E51D34"/>
    <w:rsid w:val="00E51D78"/>
    <w:rsid w:val="00E51EDB"/>
    <w:rsid w:val="00E51F52"/>
    <w:rsid w:val="00E51F8F"/>
    <w:rsid w:val="00E52004"/>
    <w:rsid w:val="00E5202E"/>
    <w:rsid w:val="00E520A6"/>
    <w:rsid w:val="00E52148"/>
    <w:rsid w:val="00E52207"/>
    <w:rsid w:val="00E52218"/>
    <w:rsid w:val="00E523BB"/>
    <w:rsid w:val="00E5249A"/>
    <w:rsid w:val="00E524A7"/>
    <w:rsid w:val="00E526D7"/>
    <w:rsid w:val="00E52716"/>
    <w:rsid w:val="00E52749"/>
    <w:rsid w:val="00E5280E"/>
    <w:rsid w:val="00E52841"/>
    <w:rsid w:val="00E52877"/>
    <w:rsid w:val="00E52936"/>
    <w:rsid w:val="00E52B47"/>
    <w:rsid w:val="00E52D11"/>
    <w:rsid w:val="00E52D3B"/>
    <w:rsid w:val="00E52DE5"/>
    <w:rsid w:val="00E52E67"/>
    <w:rsid w:val="00E52E7A"/>
    <w:rsid w:val="00E52ECC"/>
    <w:rsid w:val="00E52F17"/>
    <w:rsid w:val="00E52FAC"/>
    <w:rsid w:val="00E53072"/>
    <w:rsid w:val="00E530D8"/>
    <w:rsid w:val="00E531F7"/>
    <w:rsid w:val="00E53201"/>
    <w:rsid w:val="00E532A3"/>
    <w:rsid w:val="00E535D0"/>
    <w:rsid w:val="00E53726"/>
    <w:rsid w:val="00E53786"/>
    <w:rsid w:val="00E5381E"/>
    <w:rsid w:val="00E53864"/>
    <w:rsid w:val="00E53C23"/>
    <w:rsid w:val="00E53CF1"/>
    <w:rsid w:val="00E53DB3"/>
    <w:rsid w:val="00E53E99"/>
    <w:rsid w:val="00E53EB2"/>
    <w:rsid w:val="00E53F70"/>
    <w:rsid w:val="00E5400F"/>
    <w:rsid w:val="00E540DF"/>
    <w:rsid w:val="00E540F6"/>
    <w:rsid w:val="00E54304"/>
    <w:rsid w:val="00E543A0"/>
    <w:rsid w:val="00E5443A"/>
    <w:rsid w:val="00E54497"/>
    <w:rsid w:val="00E54773"/>
    <w:rsid w:val="00E547F4"/>
    <w:rsid w:val="00E5492B"/>
    <w:rsid w:val="00E54A78"/>
    <w:rsid w:val="00E54AFA"/>
    <w:rsid w:val="00E54B2C"/>
    <w:rsid w:val="00E54B68"/>
    <w:rsid w:val="00E54B96"/>
    <w:rsid w:val="00E54CFB"/>
    <w:rsid w:val="00E54D7B"/>
    <w:rsid w:val="00E54E0F"/>
    <w:rsid w:val="00E54E2C"/>
    <w:rsid w:val="00E54ED2"/>
    <w:rsid w:val="00E54F09"/>
    <w:rsid w:val="00E54FD3"/>
    <w:rsid w:val="00E5514A"/>
    <w:rsid w:val="00E552DA"/>
    <w:rsid w:val="00E553B7"/>
    <w:rsid w:val="00E55507"/>
    <w:rsid w:val="00E5550E"/>
    <w:rsid w:val="00E556CF"/>
    <w:rsid w:val="00E55711"/>
    <w:rsid w:val="00E559BE"/>
    <w:rsid w:val="00E559D4"/>
    <w:rsid w:val="00E55A05"/>
    <w:rsid w:val="00E55B15"/>
    <w:rsid w:val="00E55B50"/>
    <w:rsid w:val="00E55C4D"/>
    <w:rsid w:val="00E55DB9"/>
    <w:rsid w:val="00E55DF1"/>
    <w:rsid w:val="00E55FE5"/>
    <w:rsid w:val="00E56017"/>
    <w:rsid w:val="00E560DB"/>
    <w:rsid w:val="00E560F8"/>
    <w:rsid w:val="00E56140"/>
    <w:rsid w:val="00E56200"/>
    <w:rsid w:val="00E56278"/>
    <w:rsid w:val="00E562D8"/>
    <w:rsid w:val="00E56350"/>
    <w:rsid w:val="00E563E7"/>
    <w:rsid w:val="00E563F1"/>
    <w:rsid w:val="00E5640A"/>
    <w:rsid w:val="00E5652C"/>
    <w:rsid w:val="00E5662D"/>
    <w:rsid w:val="00E566EB"/>
    <w:rsid w:val="00E566FD"/>
    <w:rsid w:val="00E56711"/>
    <w:rsid w:val="00E567D4"/>
    <w:rsid w:val="00E568C5"/>
    <w:rsid w:val="00E56931"/>
    <w:rsid w:val="00E5699E"/>
    <w:rsid w:val="00E56AD1"/>
    <w:rsid w:val="00E56B51"/>
    <w:rsid w:val="00E56D95"/>
    <w:rsid w:val="00E56E84"/>
    <w:rsid w:val="00E56F53"/>
    <w:rsid w:val="00E56FE3"/>
    <w:rsid w:val="00E57014"/>
    <w:rsid w:val="00E570B6"/>
    <w:rsid w:val="00E5716B"/>
    <w:rsid w:val="00E5742E"/>
    <w:rsid w:val="00E57432"/>
    <w:rsid w:val="00E575FF"/>
    <w:rsid w:val="00E57643"/>
    <w:rsid w:val="00E57760"/>
    <w:rsid w:val="00E578C9"/>
    <w:rsid w:val="00E57914"/>
    <w:rsid w:val="00E57948"/>
    <w:rsid w:val="00E57A62"/>
    <w:rsid w:val="00E57B7B"/>
    <w:rsid w:val="00E57BB0"/>
    <w:rsid w:val="00E57CA3"/>
    <w:rsid w:val="00E57D84"/>
    <w:rsid w:val="00E60166"/>
    <w:rsid w:val="00E6017D"/>
    <w:rsid w:val="00E60217"/>
    <w:rsid w:val="00E60224"/>
    <w:rsid w:val="00E60386"/>
    <w:rsid w:val="00E6049C"/>
    <w:rsid w:val="00E60583"/>
    <w:rsid w:val="00E6059D"/>
    <w:rsid w:val="00E605B5"/>
    <w:rsid w:val="00E60631"/>
    <w:rsid w:val="00E607A2"/>
    <w:rsid w:val="00E60806"/>
    <w:rsid w:val="00E60964"/>
    <w:rsid w:val="00E609B8"/>
    <w:rsid w:val="00E60ADD"/>
    <w:rsid w:val="00E60C61"/>
    <w:rsid w:val="00E60CFC"/>
    <w:rsid w:val="00E60E3E"/>
    <w:rsid w:val="00E60F62"/>
    <w:rsid w:val="00E60F6C"/>
    <w:rsid w:val="00E61151"/>
    <w:rsid w:val="00E611D9"/>
    <w:rsid w:val="00E612EA"/>
    <w:rsid w:val="00E61301"/>
    <w:rsid w:val="00E6130B"/>
    <w:rsid w:val="00E61311"/>
    <w:rsid w:val="00E613AA"/>
    <w:rsid w:val="00E61552"/>
    <w:rsid w:val="00E61664"/>
    <w:rsid w:val="00E61714"/>
    <w:rsid w:val="00E61759"/>
    <w:rsid w:val="00E61764"/>
    <w:rsid w:val="00E617CD"/>
    <w:rsid w:val="00E6187C"/>
    <w:rsid w:val="00E618A6"/>
    <w:rsid w:val="00E61900"/>
    <w:rsid w:val="00E619FF"/>
    <w:rsid w:val="00E61A7B"/>
    <w:rsid w:val="00E61AC2"/>
    <w:rsid w:val="00E61AE0"/>
    <w:rsid w:val="00E61BF4"/>
    <w:rsid w:val="00E61D34"/>
    <w:rsid w:val="00E61E06"/>
    <w:rsid w:val="00E61E07"/>
    <w:rsid w:val="00E61E2F"/>
    <w:rsid w:val="00E61ED9"/>
    <w:rsid w:val="00E61F57"/>
    <w:rsid w:val="00E61FBB"/>
    <w:rsid w:val="00E6206A"/>
    <w:rsid w:val="00E62098"/>
    <w:rsid w:val="00E6217A"/>
    <w:rsid w:val="00E6227C"/>
    <w:rsid w:val="00E62282"/>
    <w:rsid w:val="00E6233D"/>
    <w:rsid w:val="00E623C8"/>
    <w:rsid w:val="00E6248E"/>
    <w:rsid w:val="00E624B4"/>
    <w:rsid w:val="00E624C5"/>
    <w:rsid w:val="00E62791"/>
    <w:rsid w:val="00E627A2"/>
    <w:rsid w:val="00E627D4"/>
    <w:rsid w:val="00E627F6"/>
    <w:rsid w:val="00E628E7"/>
    <w:rsid w:val="00E628F4"/>
    <w:rsid w:val="00E62939"/>
    <w:rsid w:val="00E6294E"/>
    <w:rsid w:val="00E629F0"/>
    <w:rsid w:val="00E62A2A"/>
    <w:rsid w:val="00E62A93"/>
    <w:rsid w:val="00E62BC0"/>
    <w:rsid w:val="00E62C14"/>
    <w:rsid w:val="00E62C1C"/>
    <w:rsid w:val="00E62CAE"/>
    <w:rsid w:val="00E62D23"/>
    <w:rsid w:val="00E62DE2"/>
    <w:rsid w:val="00E62EE7"/>
    <w:rsid w:val="00E63005"/>
    <w:rsid w:val="00E63139"/>
    <w:rsid w:val="00E633AF"/>
    <w:rsid w:val="00E6348C"/>
    <w:rsid w:val="00E63518"/>
    <w:rsid w:val="00E63521"/>
    <w:rsid w:val="00E6355A"/>
    <w:rsid w:val="00E6356A"/>
    <w:rsid w:val="00E636F9"/>
    <w:rsid w:val="00E63728"/>
    <w:rsid w:val="00E63790"/>
    <w:rsid w:val="00E637BD"/>
    <w:rsid w:val="00E637C6"/>
    <w:rsid w:val="00E63858"/>
    <w:rsid w:val="00E6394F"/>
    <w:rsid w:val="00E6396C"/>
    <w:rsid w:val="00E639CC"/>
    <w:rsid w:val="00E63A62"/>
    <w:rsid w:val="00E63B29"/>
    <w:rsid w:val="00E63B4F"/>
    <w:rsid w:val="00E63B77"/>
    <w:rsid w:val="00E63B87"/>
    <w:rsid w:val="00E63BEE"/>
    <w:rsid w:val="00E63D34"/>
    <w:rsid w:val="00E63D41"/>
    <w:rsid w:val="00E63DC1"/>
    <w:rsid w:val="00E63E96"/>
    <w:rsid w:val="00E63EA9"/>
    <w:rsid w:val="00E64052"/>
    <w:rsid w:val="00E640E1"/>
    <w:rsid w:val="00E642AD"/>
    <w:rsid w:val="00E643BE"/>
    <w:rsid w:val="00E6460D"/>
    <w:rsid w:val="00E646D9"/>
    <w:rsid w:val="00E6470E"/>
    <w:rsid w:val="00E6499E"/>
    <w:rsid w:val="00E64B06"/>
    <w:rsid w:val="00E64B1C"/>
    <w:rsid w:val="00E64C64"/>
    <w:rsid w:val="00E64D42"/>
    <w:rsid w:val="00E64DBB"/>
    <w:rsid w:val="00E64E0E"/>
    <w:rsid w:val="00E64E3E"/>
    <w:rsid w:val="00E64FBD"/>
    <w:rsid w:val="00E650D0"/>
    <w:rsid w:val="00E6510B"/>
    <w:rsid w:val="00E651BF"/>
    <w:rsid w:val="00E652A8"/>
    <w:rsid w:val="00E65336"/>
    <w:rsid w:val="00E65344"/>
    <w:rsid w:val="00E653E6"/>
    <w:rsid w:val="00E65460"/>
    <w:rsid w:val="00E65527"/>
    <w:rsid w:val="00E655D5"/>
    <w:rsid w:val="00E655FF"/>
    <w:rsid w:val="00E6560E"/>
    <w:rsid w:val="00E656E8"/>
    <w:rsid w:val="00E65713"/>
    <w:rsid w:val="00E657B7"/>
    <w:rsid w:val="00E65854"/>
    <w:rsid w:val="00E658D6"/>
    <w:rsid w:val="00E6593B"/>
    <w:rsid w:val="00E65960"/>
    <w:rsid w:val="00E6596A"/>
    <w:rsid w:val="00E6596D"/>
    <w:rsid w:val="00E659B3"/>
    <w:rsid w:val="00E659D0"/>
    <w:rsid w:val="00E65A2E"/>
    <w:rsid w:val="00E65B44"/>
    <w:rsid w:val="00E65B9E"/>
    <w:rsid w:val="00E65BAE"/>
    <w:rsid w:val="00E65BB1"/>
    <w:rsid w:val="00E65C61"/>
    <w:rsid w:val="00E65CBF"/>
    <w:rsid w:val="00E65CC6"/>
    <w:rsid w:val="00E65CD6"/>
    <w:rsid w:val="00E65D0E"/>
    <w:rsid w:val="00E65D6F"/>
    <w:rsid w:val="00E65E0F"/>
    <w:rsid w:val="00E65FF3"/>
    <w:rsid w:val="00E66200"/>
    <w:rsid w:val="00E6620D"/>
    <w:rsid w:val="00E6620F"/>
    <w:rsid w:val="00E66240"/>
    <w:rsid w:val="00E66276"/>
    <w:rsid w:val="00E6640E"/>
    <w:rsid w:val="00E66587"/>
    <w:rsid w:val="00E66688"/>
    <w:rsid w:val="00E666F6"/>
    <w:rsid w:val="00E66720"/>
    <w:rsid w:val="00E6676F"/>
    <w:rsid w:val="00E66784"/>
    <w:rsid w:val="00E6686C"/>
    <w:rsid w:val="00E668D7"/>
    <w:rsid w:val="00E66B49"/>
    <w:rsid w:val="00E66B86"/>
    <w:rsid w:val="00E66D31"/>
    <w:rsid w:val="00E66DA5"/>
    <w:rsid w:val="00E66DA9"/>
    <w:rsid w:val="00E66DB1"/>
    <w:rsid w:val="00E66E03"/>
    <w:rsid w:val="00E66EF9"/>
    <w:rsid w:val="00E67085"/>
    <w:rsid w:val="00E670FE"/>
    <w:rsid w:val="00E67317"/>
    <w:rsid w:val="00E67340"/>
    <w:rsid w:val="00E6743B"/>
    <w:rsid w:val="00E6758C"/>
    <w:rsid w:val="00E675BC"/>
    <w:rsid w:val="00E67641"/>
    <w:rsid w:val="00E6764C"/>
    <w:rsid w:val="00E676E8"/>
    <w:rsid w:val="00E676F1"/>
    <w:rsid w:val="00E677D7"/>
    <w:rsid w:val="00E67816"/>
    <w:rsid w:val="00E678D8"/>
    <w:rsid w:val="00E67955"/>
    <w:rsid w:val="00E67A02"/>
    <w:rsid w:val="00E67A19"/>
    <w:rsid w:val="00E67A5E"/>
    <w:rsid w:val="00E67B11"/>
    <w:rsid w:val="00E67B74"/>
    <w:rsid w:val="00E67B9A"/>
    <w:rsid w:val="00E67D0E"/>
    <w:rsid w:val="00E67DA4"/>
    <w:rsid w:val="00E67E39"/>
    <w:rsid w:val="00E67E3A"/>
    <w:rsid w:val="00E67E71"/>
    <w:rsid w:val="00E67E98"/>
    <w:rsid w:val="00E67F0F"/>
    <w:rsid w:val="00E67FB0"/>
    <w:rsid w:val="00E67FDF"/>
    <w:rsid w:val="00E700C4"/>
    <w:rsid w:val="00E700C5"/>
    <w:rsid w:val="00E7019B"/>
    <w:rsid w:val="00E701BA"/>
    <w:rsid w:val="00E702CA"/>
    <w:rsid w:val="00E702CE"/>
    <w:rsid w:val="00E704EB"/>
    <w:rsid w:val="00E706A7"/>
    <w:rsid w:val="00E70729"/>
    <w:rsid w:val="00E70763"/>
    <w:rsid w:val="00E7081A"/>
    <w:rsid w:val="00E709EF"/>
    <w:rsid w:val="00E70A7D"/>
    <w:rsid w:val="00E70A89"/>
    <w:rsid w:val="00E70A8F"/>
    <w:rsid w:val="00E70AC3"/>
    <w:rsid w:val="00E70AD1"/>
    <w:rsid w:val="00E70B6C"/>
    <w:rsid w:val="00E70D09"/>
    <w:rsid w:val="00E70EB1"/>
    <w:rsid w:val="00E70EB2"/>
    <w:rsid w:val="00E70EC7"/>
    <w:rsid w:val="00E71029"/>
    <w:rsid w:val="00E71113"/>
    <w:rsid w:val="00E711A1"/>
    <w:rsid w:val="00E712C9"/>
    <w:rsid w:val="00E7143D"/>
    <w:rsid w:val="00E715CA"/>
    <w:rsid w:val="00E715DE"/>
    <w:rsid w:val="00E716B7"/>
    <w:rsid w:val="00E717A3"/>
    <w:rsid w:val="00E71840"/>
    <w:rsid w:val="00E7197E"/>
    <w:rsid w:val="00E71985"/>
    <w:rsid w:val="00E71A36"/>
    <w:rsid w:val="00E71AD9"/>
    <w:rsid w:val="00E71F5D"/>
    <w:rsid w:val="00E720F5"/>
    <w:rsid w:val="00E7217C"/>
    <w:rsid w:val="00E72194"/>
    <w:rsid w:val="00E72272"/>
    <w:rsid w:val="00E72446"/>
    <w:rsid w:val="00E724D0"/>
    <w:rsid w:val="00E726BA"/>
    <w:rsid w:val="00E72900"/>
    <w:rsid w:val="00E729C4"/>
    <w:rsid w:val="00E72A50"/>
    <w:rsid w:val="00E72AF7"/>
    <w:rsid w:val="00E72B4F"/>
    <w:rsid w:val="00E72B8E"/>
    <w:rsid w:val="00E72C69"/>
    <w:rsid w:val="00E72DA2"/>
    <w:rsid w:val="00E72EAF"/>
    <w:rsid w:val="00E72FB9"/>
    <w:rsid w:val="00E7308C"/>
    <w:rsid w:val="00E730E9"/>
    <w:rsid w:val="00E7317F"/>
    <w:rsid w:val="00E731FD"/>
    <w:rsid w:val="00E7321A"/>
    <w:rsid w:val="00E73334"/>
    <w:rsid w:val="00E734BE"/>
    <w:rsid w:val="00E735FD"/>
    <w:rsid w:val="00E73643"/>
    <w:rsid w:val="00E73697"/>
    <w:rsid w:val="00E7373B"/>
    <w:rsid w:val="00E73757"/>
    <w:rsid w:val="00E73A18"/>
    <w:rsid w:val="00E73AD6"/>
    <w:rsid w:val="00E73B23"/>
    <w:rsid w:val="00E73B36"/>
    <w:rsid w:val="00E73BCF"/>
    <w:rsid w:val="00E73BF1"/>
    <w:rsid w:val="00E73C6C"/>
    <w:rsid w:val="00E73D5C"/>
    <w:rsid w:val="00E74089"/>
    <w:rsid w:val="00E740F5"/>
    <w:rsid w:val="00E74121"/>
    <w:rsid w:val="00E742ED"/>
    <w:rsid w:val="00E742FA"/>
    <w:rsid w:val="00E7430A"/>
    <w:rsid w:val="00E744CB"/>
    <w:rsid w:val="00E744DC"/>
    <w:rsid w:val="00E744FF"/>
    <w:rsid w:val="00E74505"/>
    <w:rsid w:val="00E7457C"/>
    <w:rsid w:val="00E74669"/>
    <w:rsid w:val="00E7476F"/>
    <w:rsid w:val="00E74ABA"/>
    <w:rsid w:val="00E74BEF"/>
    <w:rsid w:val="00E74C64"/>
    <w:rsid w:val="00E74C71"/>
    <w:rsid w:val="00E74CC5"/>
    <w:rsid w:val="00E74D26"/>
    <w:rsid w:val="00E74E39"/>
    <w:rsid w:val="00E7510E"/>
    <w:rsid w:val="00E75179"/>
    <w:rsid w:val="00E751A3"/>
    <w:rsid w:val="00E752DA"/>
    <w:rsid w:val="00E752E1"/>
    <w:rsid w:val="00E7531E"/>
    <w:rsid w:val="00E75440"/>
    <w:rsid w:val="00E75481"/>
    <w:rsid w:val="00E754FF"/>
    <w:rsid w:val="00E75778"/>
    <w:rsid w:val="00E75807"/>
    <w:rsid w:val="00E758A0"/>
    <w:rsid w:val="00E75991"/>
    <w:rsid w:val="00E75A3D"/>
    <w:rsid w:val="00E75CC9"/>
    <w:rsid w:val="00E75CCB"/>
    <w:rsid w:val="00E75E26"/>
    <w:rsid w:val="00E75E66"/>
    <w:rsid w:val="00E75FF9"/>
    <w:rsid w:val="00E760B5"/>
    <w:rsid w:val="00E76172"/>
    <w:rsid w:val="00E761DE"/>
    <w:rsid w:val="00E761E8"/>
    <w:rsid w:val="00E762B0"/>
    <w:rsid w:val="00E763B8"/>
    <w:rsid w:val="00E7660F"/>
    <w:rsid w:val="00E7669F"/>
    <w:rsid w:val="00E7672C"/>
    <w:rsid w:val="00E7675C"/>
    <w:rsid w:val="00E767B7"/>
    <w:rsid w:val="00E767BA"/>
    <w:rsid w:val="00E76867"/>
    <w:rsid w:val="00E768A1"/>
    <w:rsid w:val="00E76AD9"/>
    <w:rsid w:val="00E76BD5"/>
    <w:rsid w:val="00E76CD1"/>
    <w:rsid w:val="00E76DA4"/>
    <w:rsid w:val="00E76E02"/>
    <w:rsid w:val="00E76E2B"/>
    <w:rsid w:val="00E76E7C"/>
    <w:rsid w:val="00E76F4D"/>
    <w:rsid w:val="00E77038"/>
    <w:rsid w:val="00E77080"/>
    <w:rsid w:val="00E77224"/>
    <w:rsid w:val="00E772F2"/>
    <w:rsid w:val="00E77410"/>
    <w:rsid w:val="00E775FE"/>
    <w:rsid w:val="00E7767B"/>
    <w:rsid w:val="00E77950"/>
    <w:rsid w:val="00E77A13"/>
    <w:rsid w:val="00E77A49"/>
    <w:rsid w:val="00E77A70"/>
    <w:rsid w:val="00E77A79"/>
    <w:rsid w:val="00E77C21"/>
    <w:rsid w:val="00E77E62"/>
    <w:rsid w:val="00E801D9"/>
    <w:rsid w:val="00E8030C"/>
    <w:rsid w:val="00E8045E"/>
    <w:rsid w:val="00E8047C"/>
    <w:rsid w:val="00E80654"/>
    <w:rsid w:val="00E8067B"/>
    <w:rsid w:val="00E806AA"/>
    <w:rsid w:val="00E807D2"/>
    <w:rsid w:val="00E808E8"/>
    <w:rsid w:val="00E80932"/>
    <w:rsid w:val="00E80968"/>
    <w:rsid w:val="00E80993"/>
    <w:rsid w:val="00E80B3D"/>
    <w:rsid w:val="00E80B3E"/>
    <w:rsid w:val="00E80B74"/>
    <w:rsid w:val="00E80C66"/>
    <w:rsid w:val="00E80EAA"/>
    <w:rsid w:val="00E81118"/>
    <w:rsid w:val="00E813C8"/>
    <w:rsid w:val="00E814A1"/>
    <w:rsid w:val="00E8157B"/>
    <w:rsid w:val="00E81587"/>
    <w:rsid w:val="00E81594"/>
    <w:rsid w:val="00E815D6"/>
    <w:rsid w:val="00E81606"/>
    <w:rsid w:val="00E816E9"/>
    <w:rsid w:val="00E8187D"/>
    <w:rsid w:val="00E819D2"/>
    <w:rsid w:val="00E81B34"/>
    <w:rsid w:val="00E81B77"/>
    <w:rsid w:val="00E81C7D"/>
    <w:rsid w:val="00E81CDB"/>
    <w:rsid w:val="00E81DB2"/>
    <w:rsid w:val="00E81E7E"/>
    <w:rsid w:val="00E81F71"/>
    <w:rsid w:val="00E8204D"/>
    <w:rsid w:val="00E8205A"/>
    <w:rsid w:val="00E82097"/>
    <w:rsid w:val="00E82180"/>
    <w:rsid w:val="00E82193"/>
    <w:rsid w:val="00E82238"/>
    <w:rsid w:val="00E8225B"/>
    <w:rsid w:val="00E824E9"/>
    <w:rsid w:val="00E82513"/>
    <w:rsid w:val="00E82642"/>
    <w:rsid w:val="00E826B9"/>
    <w:rsid w:val="00E8275A"/>
    <w:rsid w:val="00E8276E"/>
    <w:rsid w:val="00E82812"/>
    <w:rsid w:val="00E82860"/>
    <w:rsid w:val="00E828C7"/>
    <w:rsid w:val="00E828FF"/>
    <w:rsid w:val="00E82AEE"/>
    <w:rsid w:val="00E82AF2"/>
    <w:rsid w:val="00E82B9B"/>
    <w:rsid w:val="00E82BDF"/>
    <w:rsid w:val="00E82CD1"/>
    <w:rsid w:val="00E82D4F"/>
    <w:rsid w:val="00E82D81"/>
    <w:rsid w:val="00E82DA5"/>
    <w:rsid w:val="00E82F74"/>
    <w:rsid w:val="00E830B7"/>
    <w:rsid w:val="00E83147"/>
    <w:rsid w:val="00E83148"/>
    <w:rsid w:val="00E833D2"/>
    <w:rsid w:val="00E83429"/>
    <w:rsid w:val="00E836EA"/>
    <w:rsid w:val="00E83713"/>
    <w:rsid w:val="00E8377B"/>
    <w:rsid w:val="00E837C9"/>
    <w:rsid w:val="00E83865"/>
    <w:rsid w:val="00E838BF"/>
    <w:rsid w:val="00E83936"/>
    <w:rsid w:val="00E83A4F"/>
    <w:rsid w:val="00E83C0F"/>
    <w:rsid w:val="00E83C2F"/>
    <w:rsid w:val="00E83C48"/>
    <w:rsid w:val="00E83C53"/>
    <w:rsid w:val="00E83CCF"/>
    <w:rsid w:val="00E83D48"/>
    <w:rsid w:val="00E83E94"/>
    <w:rsid w:val="00E83F0E"/>
    <w:rsid w:val="00E84252"/>
    <w:rsid w:val="00E842F0"/>
    <w:rsid w:val="00E84397"/>
    <w:rsid w:val="00E84408"/>
    <w:rsid w:val="00E844ED"/>
    <w:rsid w:val="00E84547"/>
    <w:rsid w:val="00E84568"/>
    <w:rsid w:val="00E847F7"/>
    <w:rsid w:val="00E8482E"/>
    <w:rsid w:val="00E848CA"/>
    <w:rsid w:val="00E848E0"/>
    <w:rsid w:val="00E84A95"/>
    <w:rsid w:val="00E84BA6"/>
    <w:rsid w:val="00E84C48"/>
    <w:rsid w:val="00E84CF5"/>
    <w:rsid w:val="00E84E45"/>
    <w:rsid w:val="00E84E63"/>
    <w:rsid w:val="00E84EE8"/>
    <w:rsid w:val="00E85010"/>
    <w:rsid w:val="00E852A2"/>
    <w:rsid w:val="00E854FA"/>
    <w:rsid w:val="00E855F3"/>
    <w:rsid w:val="00E8573F"/>
    <w:rsid w:val="00E8576E"/>
    <w:rsid w:val="00E85808"/>
    <w:rsid w:val="00E85938"/>
    <w:rsid w:val="00E85A40"/>
    <w:rsid w:val="00E85ADE"/>
    <w:rsid w:val="00E85B2A"/>
    <w:rsid w:val="00E85E2F"/>
    <w:rsid w:val="00E85E52"/>
    <w:rsid w:val="00E86121"/>
    <w:rsid w:val="00E8615F"/>
    <w:rsid w:val="00E863CF"/>
    <w:rsid w:val="00E86465"/>
    <w:rsid w:val="00E86538"/>
    <w:rsid w:val="00E86567"/>
    <w:rsid w:val="00E8661A"/>
    <w:rsid w:val="00E86711"/>
    <w:rsid w:val="00E868A1"/>
    <w:rsid w:val="00E868A7"/>
    <w:rsid w:val="00E86906"/>
    <w:rsid w:val="00E8695E"/>
    <w:rsid w:val="00E86A53"/>
    <w:rsid w:val="00E86CC4"/>
    <w:rsid w:val="00E86D56"/>
    <w:rsid w:val="00E86DFF"/>
    <w:rsid w:val="00E86FDE"/>
    <w:rsid w:val="00E86FDF"/>
    <w:rsid w:val="00E870CA"/>
    <w:rsid w:val="00E87165"/>
    <w:rsid w:val="00E872CA"/>
    <w:rsid w:val="00E873C6"/>
    <w:rsid w:val="00E873F8"/>
    <w:rsid w:val="00E87445"/>
    <w:rsid w:val="00E874C4"/>
    <w:rsid w:val="00E874D0"/>
    <w:rsid w:val="00E87531"/>
    <w:rsid w:val="00E87555"/>
    <w:rsid w:val="00E8764F"/>
    <w:rsid w:val="00E8767C"/>
    <w:rsid w:val="00E87818"/>
    <w:rsid w:val="00E878B5"/>
    <w:rsid w:val="00E87950"/>
    <w:rsid w:val="00E87BAA"/>
    <w:rsid w:val="00E87C22"/>
    <w:rsid w:val="00E87D40"/>
    <w:rsid w:val="00E87D51"/>
    <w:rsid w:val="00E87E39"/>
    <w:rsid w:val="00E87EE7"/>
    <w:rsid w:val="00E87F2C"/>
    <w:rsid w:val="00E87F83"/>
    <w:rsid w:val="00E90001"/>
    <w:rsid w:val="00E9003A"/>
    <w:rsid w:val="00E90131"/>
    <w:rsid w:val="00E9019E"/>
    <w:rsid w:val="00E90221"/>
    <w:rsid w:val="00E902F0"/>
    <w:rsid w:val="00E9033D"/>
    <w:rsid w:val="00E903E9"/>
    <w:rsid w:val="00E9041A"/>
    <w:rsid w:val="00E904E3"/>
    <w:rsid w:val="00E90577"/>
    <w:rsid w:val="00E905FC"/>
    <w:rsid w:val="00E907F9"/>
    <w:rsid w:val="00E9080D"/>
    <w:rsid w:val="00E9097B"/>
    <w:rsid w:val="00E90A26"/>
    <w:rsid w:val="00E90AC4"/>
    <w:rsid w:val="00E90B5E"/>
    <w:rsid w:val="00E90BA4"/>
    <w:rsid w:val="00E90BD8"/>
    <w:rsid w:val="00E90C2C"/>
    <w:rsid w:val="00E90C4A"/>
    <w:rsid w:val="00E90CB6"/>
    <w:rsid w:val="00E90CC1"/>
    <w:rsid w:val="00E90D05"/>
    <w:rsid w:val="00E90DEC"/>
    <w:rsid w:val="00E90FDB"/>
    <w:rsid w:val="00E9106C"/>
    <w:rsid w:val="00E91106"/>
    <w:rsid w:val="00E91123"/>
    <w:rsid w:val="00E91184"/>
    <w:rsid w:val="00E911C3"/>
    <w:rsid w:val="00E91231"/>
    <w:rsid w:val="00E91243"/>
    <w:rsid w:val="00E91314"/>
    <w:rsid w:val="00E91364"/>
    <w:rsid w:val="00E91486"/>
    <w:rsid w:val="00E91593"/>
    <w:rsid w:val="00E91603"/>
    <w:rsid w:val="00E916FE"/>
    <w:rsid w:val="00E91863"/>
    <w:rsid w:val="00E91ACA"/>
    <w:rsid w:val="00E91B4B"/>
    <w:rsid w:val="00E91BCA"/>
    <w:rsid w:val="00E91C37"/>
    <w:rsid w:val="00E91E7C"/>
    <w:rsid w:val="00E91E89"/>
    <w:rsid w:val="00E91FFE"/>
    <w:rsid w:val="00E920FF"/>
    <w:rsid w:val="00E922C7"/>
    <w:rsid w:val="00E92351"/>
    <w:rsid w:val="00E92352"/>
    <w:rsid w:val="00E924D6"/>
    <w:rsid w:val="00E926BC"/>
    <w:rsid w:val="00E929AA"/>
    <w:rsid w:val="00E92AF2"/>
    <w:rsid w:val="00E92B1A"/>
    <w:rsid w:val="00E92C54"/>
    <w:rsid w:val="00E92CE0"/>
    <w:rsid w:val="00E92D87"/>
    <w:rsid w:val="00E92DF1"/>
    <w:rsid w:val="00E92E3F"/>
    <w:rsid w:val="00E92F18"/>
    <w:rsid w:val="00E93000"/>
    <w:rsid w:val="00E9303C"/>
    <w:rsid w:val="00E9326C"/>
    <w:rsid w:val="00E93322"/>
    <w:rsid w:val="00E9339B"/>
    <w:rsid w:val="00E933DB"/>
    <w:rsid w:val="00E93482"/>
    <w:rsid w:val="00E9387C"/>
    <w:rsid w:val="00E939A3"/>
    <w:rsid w:val="00E939B0"/>
    <w:rsid w:val="00E939D0"/>
    <w:rsid w:val="00E939E8"/>
    <w:rsid w:val="00E93A53"/>
    <w:rsid w:val="00E93BAA"/>
    <w:rsid w:val="00E93CCA"/>
    <w:rsid w:val="00E93DEC"/>
    <w:rsid w:val="00E93F17"/>
    <w:rsid w:val="00E93F94"/>
    <w:rsid w:val="00E93FC3"/>
    <w:rsid w:val="00E941CA"/>
    <w:rsid w:val="00E942B5"/>
    <w:rsid w:val="00E942C0"/>
    <w:rsid w:val="00E9442B"/>
    <w:rsid w:val="00E94438"/>
    <w:rsid w:val="00E94450"/>
    <w:rsid w:val="00E944F8"/>
    <w:rsid w:val="00E944FF"/>
    <w:rsid w:val="00E945CD"/>
    <w:rsid w:val="00E94601"/>
    <w:rsid w:val="00E946AB"/>
    <w:rsid w:val="00E947A4"/>
    <w:rsid w:val="00E947A9"/>
    <w:rsid w:val="00E9481B"/>
    <w:rsid w:val="00E94897"/>
    <w:rsid w:val="00E9490D"/>
    <w:rsid w:val="00E94A81"/>
    <w:rsid w:val="00E94BFC"/>
    <w:rsid w:val="00E94D08"/>
    <w:rsid w:val="00E94D0B"/>
    <w:rsid w:val="00E94D5F"/>
    <w:rsid w:val="00E94E1E"/>
    <w:rsid w:val="00E94EC5"/>
    <w:rsid w:val="00E94F7C"/>
    <w:rsid w:val="00E94F83"/>
    <w:rsid w:val="00E95077"/>
    <w:rsid w:val="00E95096"/>
    <w:rsid w:val="00E952B2"/>
    <w:rsid w:val="00E952F4"/>
    <w:rsid w:val="00E9532D"/>
    <w:rsid w:val="00E953A4"/>
    <w:rsid w:val="00E953B3"/>
    <w:rsid w:val="00E9546E"/>
    <w:rsid w:val="00E95607"/>
    <w:rsid w:val="00E9565C"/>
    <w:rsid w:val="00E9565D"/>
    <w:rsid w:val="00E956C3"/>
    <w:rsid w:val="00E95771"/>
    <w:rsid w:val="00E959A3"/>
    <w:rsid w:val="00E959CB"/>
    <w:rsid w:val="00E95CB0"/>
    <w:rsid w:val="00E95E0D"/>
    <w:rsid w:val="00E95E84"/>
    <w:rsid w:val="00E95EEB"/>
    <w:rsid w:val="00E9607C"/>
    <w:rsid w:val="00E961A5"/>
    <w:rsid w:val="00E961D4"/>
    <w:rsid w:val="00E9632C"/>
    <w:rsid w:val="00E96441"/>
    <w:rsid w:val="00E9677D"/>
    <w:rsid w:val="00E9677E"/>
    <w:rsid w:val="00E967FB"/>
    <w:rsid w:val="00E96A15"/>
    <w:rsid w:val="00E96A1A"/>
    <w:rsid w:val="00E96A81"/>
    <w:rsid w:val="00E96C02"/>
    <w:rsid w:val="00E96CAA"/>
    <w:rsid w:val="00E96D89"/>
    <w:rsid w:val="00E96D94"/>
    <w:rsid w:val="00E96ED6"/>
    <w:rsid w:val="00E96FC2"/>
    <w:rsid w:val="00E973CB"/>
    <w:rsid w:val="00E97521"/>
    <w:rsid w:val="00E9756A"/>
    <w:rsid w:val="00E97668"/>
    <w:rsid w:val="00E97740"/>
    <w:rsid w:val="00E97871"/>
    <w:rsid w:val="00E97874"/>
    <w:rsid w:val="00E97882"/>
    <w:rsid w:val="00E9788F"/>
    <w:rsid w:val="00E97922"/>
    <w:rsid w:val="00E9797C"/>
    <w:rsid w:val="00E9799C"/>
    <w:rsid w:val="00E97BEC"/>
    <w:rsid w:val="00E97C65"/>
    <w:rsid w:val="00E97CE5"/>
    <w:rsid w:val="00E97CFC"/>
    <w:rsid w:val="00E97E8F"/>
    <w:rsid w:val="00E97EFB"/>
    <w:rsid w:val="00E97F0E"/>
    <w:rsid w:val="00E97F5D"/>
    <w:rsid w:val="00E97FBE"/>
    <w:rsid w:val="00EA003C"/>
    <w:rsid w:val="00EA0061"/>
    <w:rsid w:val="00EA006E"/>
    <w:rsid w:val="00EA0174"/>
    <w:rsid w:val="00EA0299"/>
    <w:rsid w:val="00EA0344"/>
    <w:rsid w:val="00EA0392"/>
    <w:rsid w:val="00EA0396"/>
    <w:rsid w:val="00EA0539"/>
    <w:rsid w:val="00EA0722"/>
    <w:rsid w:val="00EA0780"/>
    <w:rsid w:val="00EA0789"/>
    <w:rsid w:val="00EA0897"/>
    <w:rsid w:val="00EA0943"/>
    <w:rsid w:val="00EA099C"/>
    <w:rsid w:val="00EA0BB8"/>
    <w:rsid w:val="00EA0C2E"/>
    <w:rsid w:val="00EA0EC7"/>
    <w:rsid w:val="00EA0EFB"/>
    <w:rsid w:val="00EA108E"/>
    <w:rsid w:val="00EA10B7"/>
    <w:rsid w:val="00EA10FF"/>
    <w:rsid w:val="00EA1252"/>
    <w:rsid w:val="00EA12DF"/>
    <w:rsid w:val="00EA12F8"/>
    <w:rsid w:val="00EA144B"/>
    <w:rsid w:val="00EA146B"/>
    <w:rsid w:val="00EA153C"/>
    <w:rsid w:val="00EA15EF"/>
    <w:rsid w:val="00EA1707"/>
    <w:rsid w:val="00EA1A83"/>
    <w:rsid w:val="00EA1B80"/>
    <w:rsid w:val="00EA1BCF"/>
    <w:rsid w:val="00EA1C10"/>
    <w:rsid w:val="00EA1D59"/>
    <w:rsid w:val="00EA1DB4"/>
    <w:rsid w:val="00EA1DE1"/>
    <w:rsid w:val="00EA1F98"/>
    <w:rsid w:val="00EA2189"/>
    <w:rsid w:val="00EA22EA"/>
    <w:rsid w:val="00EA2302"/>
    <w:rsid w:val="00EA2322"/>
    <w:rsid w:val="00EA2428"/>
    <w:rsid w:val="00EA245E"/>
    <w:rsid w:val="00EA25F1"/>
    <w:rsid w:val="00EA274A"/>
    <w:rsid w:val="00EA27A0"/>
    <w:rsid w:val="00EA2920"/>
    <w:rsid w:val="00EA293E"/>
    <w:rsid w:val="00EA29C4"/>
    <w:rsid w:val="00EA2A31"/>
    <w:rsid w:val="00EA2ABC"/>
    <w:rsid w:val="00EA2C00"/>
    <w:rsid w:val="00EA2D7C"/>
    <w:rsid w:val="00EA2E08"/>
    <w:rsid w:val="00EA2E54"/>
    <w:rsid w:val="00EA2F09"/>
    <w:rsid w:val="00EA2FC8"/>
    <w:rsid w:val="00EA311E"/>
    <w:rsid w:val="00EA317F"/>
    <w:rsid w:val="00EA31FA"/>
    <w:rsid w:val="00EA33A7"/>
    <w:rsid w:val="00EA34C2"/>
    <w:rsid w:val="00EA3545"/>
    <w:rsid w:val="00EA3644"/>
    <w:rsid w:val="00EA36BB"/>
    <w:rsid w:val="00EA378C"/>
    <w:rsid w:val="00EA37C0"/>
    <w:rsid w:val="00EA3A5A"/>
    <w:rsid w:val="00EA3B2E"/>
    <w:rsid w:val="00EA3B5C"/>
    <w:rsid w:val="00EA3BA7"/>
    <w:rsid w:val="00EA3BC0"/>
    <w:rsid w:val="00EA3C3D"/>
    <w:rsid w:val="00EA3C97"/>
    <w:rsid w:val="00EA3CF4"/>
    <w:rsid w:val="00EA3D14"/>
    <w:rsid w:val="00EA3EAA"/>
    <w:rsid w:val="00EA3F2D"/>
    <w:rsid w:val="00EA405B"/>
    <w:rsid w:val="00EA4127"/>
    <w:rsid w:val="00EA4169"/>
    <w:rsid w:val="00EA41C7"/>
    <w:rsid w:val="00EA42C8"/>
    <w:rsid w:val="00EA453F"/>
    <w:rsid w:val="00EA463A"/>
    <w:rsid w:val="00EA4691"/>
    <w:rsid w:val="00EA476A"/>
    <w:rsid w:val="00EA4914"/>
    <w:rsid w:val="00EA491B"/>
    <w:rsid w:val="00EA4B94"/>
    <w:rsid w:val="00EA4BE7"/>
    <w:rsid w:val="00EA4CC8"/>
    <w:rsid w:val="00EA4CEC"/>
    <w:rsid w:val="00EA4F66"/>
    <w:rsid w:val="00EA50D4"/>
    <w:rsid w:val="00EA5218"/>
    <w:rsid w:val="00EA5263"/>
    <w:rsid w:val="00EA5300"/>
    <w:rsid w:val="00EA534E"/>
    <w:rsid w:val="00EA5417"/>
    <w:rsid w:val="00EA5453"/>
    <w:rsid w:val="00EA55E3"/>
    <w:rsid w:val="00EA560D"/>
    <w:rsid w:val="00EA568F"/>
    <w:rsid w:val="00EA5836"/>
    <w:rsid w:val="00EA58ED"/>
    <w:rsid w:val="00EA5A39"/>
    <w:rsid w:val="00EA5A5C"/>
    <w:rsid w:val="00EA5A69"/>
    <w:rsid w:val="00EA5AA7"/>
    <w:rsid w:val="00EA5AAA"/>
    <w:rsid w:val="00EA5BD0"/>
    <w:rsid w:val="00EA5D8A"/>
    <w:rsid w:val="00EA5DC0"/>
    <w:rsid w:val="00EA5DC8"/>
    <w:rsid w:val="00EA5E30"/>
    <w:rsid w:val="00EA5E8A"/>
    <w:rsid w:val="00EA5FBD"/>
    <w:rsid w:val="00EA5FE3"/>
    <w:rsid w:val="00EA5FFC"/>
    <w:rsid w:val="00EA606E"/>
    <w:rsid w:val="00EA60B0"/>
    <w:rsid w:val="00EA60FE"/>
    <w:rsid w:val="00EA6199"/>
    <w:rsid w:val="00EA61F0"/>
    <w:rsid w:val="00EA6263"/>
    <w:rsid w:val="00EA6293"/>
    <w:rsid w:val="00EA6316"/>
    <w:rsid w:val="00EA64C1"/>
    <w:rsid w:val="00EA66A4"/>
    <w:rsid w:val="00EA674B"/>
    <w:rsid w:val="00EA6863"/>
    <w:rsid w:val="00EA6868"/>
    <w:rsid w:val="00EA687D"/>
    <w:rsid w:val="00EA68DB"/>
    <w:rsid w:val="00EA6A40"/>
    <w:rsid w:val="00EA6A42"/>
    <w:rsid w:val="00EA6AA2"/>
    <w:rsid w:val="00EA6B98"/>
    <w:rsid w:val="00EA6BD0"/>
    <w:rsid w:val="00EA6CE0"/>
    <w:rsid w:val="00EA6E2D"/>
    <w:rsid w:val="00EA6EB9"/>
    <w:rsid w:val="00EA6EF5"/>
    <w:rsid w:val="00EA6F64"/>
    <w:rsid w:val="00EA7092"/>
    <w:rsid w:val="00EA70A1"/>
    <w:rsid w:val="00EA710F"/>
    <w:rsid w:val="00EA7187"/>
    <w:rsid w:val="00EA71B8"/>
    <w:rsid w:val="00EA7256"/>
    <w:rsid w:val="00EA72DD"/>
    <w:rsid w:val="00EA7376"/>
    <w:rsid w:val="00EA745E"/>
    <w:rsid w:val="00EA75CB"/>
    <w:rsid w:val="00EA765A"/>
    <w:rsid w:val="00EA7703"/>
    <w:rsid w:val="00EA77C9"/>
    <w:rsid w:val="00EA787A"/>
    <w:rsid w:val="00EA792F"/>
    <w:rsid w:val="00EA795A"/>
    <w:rsid w:val="00EA7AD0"/>
    <w:rsid w:val="00EA7B85"/>
    <w:rsid w:val="00EA7BAB"/>
    <w:rsid w:val="00EA7C01"/>
    <w:rsid w:val="00EA7D89"/>
    <w:rsid w:val="00EA7DC9"/>
    <w:rsid w:val="00EA7E53"/>
    <w:rsid w:val="00EA7E55"/>
    <w:rsid w:val="00EA7E7B"/>
    <w:rsid w:val="00EA7ED6"/>
    <w:rsid w:val="00EB0072"/>
    <w:rsid w:val="00EB01B9"/>
    <w:rsid w:val="00EB01FA"/>
    <w:rsid w:val="00EB0564"/>
    <w:rsid w:val="00EB0591"/>
    <w:rsid w:val="00EB0628"/>
    <w:rsid w:val="00EB078C"/>
    <w:rsid w:val="00EB0853"/>
    <w:rsid w:val="00EB0871"/>
    <w:rsid w:val="00EB091B"/>
    <w:rsid w:val="00EB0A8F"/>
    <w:rsid w:val="00EB0B09"/>
    <w:rsid w:val="00EB0C4C"/>
    <w:rsid w:val="00EB0CBC"/>
    <w:rsid w:val="00EB0ED2"/>
    <w:rsid w:val="00EB11A7"/>
    <w:rsid w:val="00EB126D"/>
    <w:rsid w:val="00EB12B2"/>
    <w:rsid w:val="00EB14D2"/>
    <w:rsid w:val="00EB1574"/>
    <w:rsid w:val="00EB16D8"/>
    <w:rsid w:val="00EB17A6"/>
    <w:rsid w:val="00EB17CE"/>
    <w:rsid w:val="00EB18B8"/>
    <w:rsid w:val="00EB1942"/>
    <w:rsid w:val="00EB1947"/>
    <w:rsid w:val="00EB1A96"/>
    <w:rsid w:val="00EB1B5E"/>
    <w:rsid w:val="00EB1BD8"/>
    <w:rsid w:val="00EB1BF6"/>
    <w:rsid w:val="00EB1D79"/>
    <w:rsid w:val="00EB1E4B"/>
    <w:rsid w:val="00EB1E72"/>
    <w:rsid w:val="00EB1F2B"/>
    <w:rsid w:val="00EB1F39"/>
    <w:rsid w:val="00EB1FB0"/>
    <w:rsid w:val="00EB2509"/>
    <w:rsid w:val="00EB25C4"/>
    <w:rsid w:val="00EB25F5"/>
    <w:rsid w:val="00EB26F8"/>
    <w:rsid w:val="00EB276E"/>
    <w:rsid w:val="00EB2822"/>
    <w:rsid w:val="00EB2831"/>
    <w:rsid w:val="00EB29EA"/>
    <w:rsid w:val="00EB2A19"/>
    <w:rsid w:val="00EB2A6C"/>
    <w:rsid w:val="00EB2B7D"/>
    <w:rsid w:val="00EB2BD5"/>
    <w:rsid w:val="00EB2C4B"/>
    <w:rsid w:val="00EB30CF"/>
    <w:rsid w:val="00EB31AC"/>
    <w:rsid w:val="00EB321E"/>
    <w:rsid w:val="00EB322B"/>
    <w:rsid w:val="00EB3374"/>
    <w:rsid w:val="00EB33F3"/>
    <w:rsid w:val="00EB34E7"/>
    <w:rsid w:val="00EB3501"/>
    <w:rsid w:val="00EB3556"/>
    <w:rsid w:val="00EB3594"/>
    <w:rsid w:val="00EB36C7"/>
    <w:rsid w:val="00EB378D"/>
    <w:rsid w:val="00EB37FC"/>
    <w:rsid w:val="00EB3889"/>
    <w:rsid w:val="00EB38CD"/>
    <w:rsid w:val="00EB3A1D"/>
    <w:rsid w:val="00EB3BB2"/>
    <w:rsid w:val="00EB3C42"/>
    <w:rsid w:val="00EB3E40"/>
    <w:rsid w:val="00EB3F17"/>
    <w:rsid w:val="00EB3FD5"/>
    <w:rsid w:val="00EB40B3"/>
    <w:rsid w:val="00EB4202"/>
    <w:rsid w:val="00EB426B"/>
    <w:rsid w:val="00EB429A"/>
    <w:rsid w:val="00EB42E1"/>
    <w:rsid w:val="00EB462E"/>
    <w:rsid w:val="00EB4683"/>
    <w:rsid w:val="00EB468B"/>
    <w:rsid w:val="00EB4708"/>
    <w:rsid w:val="00EB4773"/>
    <w:rsid w:val="00EB47A1"/>
    <w:rsid w:val="00EB49E2"/>
    <w:rsid w:val="00EB4B04"/>
    <w:rsid w:val="00EB4B61"/>
    <w:rsid w:val="00EB4F1C"/>
    <w:rsid w:val="00EB4F35"/>
    <w:rsid w:val="00EB509F"/>
    <w:rsid w:val="00EB51F3"/>
    <w:rsid w:val="00EB5239"/>
    <w:rsid w:val="00EB52B0"/>
    <w:rsid w:val="00EB52F9"/>
    <w:rsid w:val="00EB53F7"/>
    <w:rsid w:val="00EB541F"/>
    <w:rsid w:val="00EB5581"/>
    <w:rsid w:val="00EB5592"/>
    <w:rsid w:val="00EB56AA"/>
    <w:rsid w:val="00EB56ED"/>
    <w:rsid w:val="00EB5879"/>
    <w:rsid w:val="00EB58BD"/>
    <w:rsid w:val="00EB58CA"/>
    <w:rsid w:val="00EB590A"/>
    <w:rsid w:val="00EB595F"/>
    <w:rsid w:val="00EB599B"/>
    <w:rsid w:val="00EB5A65"/>
    <w:rsid w:val="00EB5B70"/>
    <w:rsid w:val="00EB5BC4"/>
    <w:rsid w:val="00EB5C13"/>
    <w:rsid w:val="00EB5C16"/>
    <w:rsid w:val="00EB5D8E"/>
    <w:rsid w:val="00EB5DEC"/>
    <w:rsid w:val="00EB5F47"/>
    <w:rsid w:val="00EB606C"/>
    <w:rsid w:val="00EB6094"/>
    <w:rsid w:val="00EB60E8"/>
    <w:rsid w:val="00EB6142"/>
    <w:rsid w:val="00EB6165"/>
    <w:rsid w:val="00EB616A"/>
    <w:rsid w:val="00EB6172"/>
    <w:rsid w:val="00EB6233"/>
    <w:rsid w:val="00EB6262"/>
    <w:rsid w:val="00EB639A"/>
    <w:rsid w:val="00EB63F8"/>
    <w:rsid w:val="00EB640F"/>
    <w:rsid w:val="00EB64E4"/>
    <w:rsid w:val="00EB6703"/>
    <w:rsid w:val="00EB6708"/>
    <w:rsid w:val="00EB6725"/>
    <w:rsid w:val="00EB6738"/>
    <w:rsid w:val="00EB6740"/>
    <w:rsid w:val="00EB67C8"/>
    <w:rsid w:val="00EB68CC"/>
    <w:rsid w:val="00EB6CDD"/>
    <w:rsid w:val="00EB6CFC"/>
    <w:rsid w:val="00EB6D6E"/>
    <w:rsid w:val="00EB6EC8"/>
    <w:rsid w:val="00EB6F9B"/>
    <w:rsid w:val="00EB6FC1"/>
    <w:rsid w:val="00EB704D"/>
    <w:rsid w:val="00EB7127"/>
    <w:rsid w:val="00EB72B8"/>
    <w:rsid w:val="00EB7357"/>
    <w:rsid w:val="00EB73AC"/>
    <w:rsid w:val="00EB7547"/>
    <w:rsid w:val="00EB7670"/>
    <w:rsid w:val="00EB7751"/>
    <w:rsid w:val="00EB777D"/>
    <w:rsid w:val="00EB79A9"/>
    <w:rsid w:val="00EB79D1"/>
    <w:rsid w:val="00EB7AE9"/>
    <w:rsid w:val="00EB7BB7"/>
    <w:rsid w:val="00EB7C7F"/>
    <w:rsid w:val="00EB7E3E"/>
    <w:rsid w:val="00EB7EFA"/>
    <w:rsid w:val="00EB7F9A"/>
    <w:rsid w:val="00EC0000"/>
    <w:rsid w:val="00EC0007"/>
    <w:rsid w:val="00EC0009"/>
    <w:rsid w:val="00EC003B"/>
    <w:rsid w:val="00EC006B"/>
    <w:rsid w:val="00EC0150"/>
    <w:rsid w:val="00EC016C"/>
    <w:rsid w:val="00EC01BF"/>
    <w:rsid w:val="00EC022C"/>
    <w:rsid w:val="00EC0254"/>
    <w:rsid w:val="00EC031A"/>
    <w:rsid w:val="00EC0417"/>
    <w:rsid w:val="00EC042C"/>
    <w:rsid w:val="00EC06B1"/>
    <w:rsid w:val="00EC06D2"/>
    <w:rsid w:val="00EC07C3"/>
    <w:rsid w:val="00EC08BE"/>
    <w:rsid w:val="00EC098C"/>
    <w:rsid w:val="00EC09A5"/>
    <w:rsid w:val="00EC0A7F"/>
    <w:rsid w:val="00EC0AF6"/>
    <w:rsid w:val="00EC0B92"/>
    <w:rsid w:val="00EC0CC0"/>
    <w:rsid w:val="00EC0DCF"/>
    <w:rsid w:val="00EC0E1C"/>
    <w:rsid w:val="00EC0E4F"/>
    <w:rsid w:val="00EC0E98"/>
    <w:rsid w:val="00EC0ED4"/>
    <w:rsid w:val="00EC11B3"/>
    <w:rsid w:val="00EC1299"/>
    <w:rsid w:val="00EC1387"/>
    <w:rsid w:val="00EC13A0"/>
    <w:rsid w:val="00EC13B4"/>
    <w:rsid w:val="00EC1599"/>
    <w:rsid w:val="00EC162F"/>
    <w:rsid w:val="00EC174A"/>
    <w:rsid w:val="00EC175C"/>
    <w:rsid w:val="00EC17E6"/>
    <w:rsid w:val="00EC1839"/>
    <w:rsid w:val="00EC1865"/>
    <w:rsid w:val="00EC193C"/>
    <w:rsid w:val="00EC19D4"/>
    <w:rsid w:val="00EC1A3B"/>
    <w:rsid w:val="00EC1AFE"/>
    <w:rsid w:val="00EC1B81"/>
    <w:rsid w:val="00EC1C2B"/>
    <w:rsid w:val="00EC1CA9"/>
    <w:rsid w:val="00EC1E0E"/>
    <w:rsid w:val="00EC1EE5"/>
    <w:rsid w:val="00EC2036"/>
    <w:rsid w:val="00EC20E7"/>
    <w:rsid w:val="00EC2124"/>
    <w:rsid w:val="00EC21FF"/>
    <w:rsid w:val="00EC23EB"/>
    <w:rsid w:val="00EC24CC"/>
    <w:rsid w:val="00EC2529"/>
    <w:rsid w:val="00EC264F"/>
    <w:rsid w:val="00EC265A"/>
    <w:rsid w:val="00EC27E3"/>
    <w:rsid w:val="00EC2A62"/>
    <w:rsid w:val="00EC2AFB"/>
    <w:rsid w:val="00EC2B13"/>
    <w:rsid w:val="00EC2C0A"/>
    <w:rsid w:val="00EC2C37"/>
    <w:rsid w:val="00EC2D47"/>
    <w:rsid w:val="00EC2EFC"/>
    <w:rsid w:val="00EC310C"/>
    <w:rsid w:val="00EC31DC"/>
    <w:rsid w:val="00EC3252"/>
    <w:rsid w:val="00EC32F0"/>
    <w:rsid w:val="00EC3431"/>
    <w:rsid w:val="00EC34EE"/>
    <w:rsid w:val="00EC355A"/>
    <w:rsid w:val="00EC3575"/>
    <w:rsid w:val="00EC3611"/>
    <w:rsid w:val="00EC3809"/>
    <w:rsid w:val="00EC3C96"/>
    <w:rsid w:val="00EC3DAA"/>
    <w:rsid w:val="00EC3E76"/>
    <w:rsid w:val="00EC404B"/>
    <w:rsid w:val="00EC4127"/>
    <w:rsid w:val="00EC4272"/>
    <w:rsid w:val="00EC4315"/>
    <w:rsid w:val="00EC447F"/>
    <w:rsid w:val="00EC4482"/>
    <w:rsid w:val="00EC4559"/>
    <w:rsid w:val="00EC46C1"/>
    <w:rsid w:val="00EC4810"/>
    <w:rsid w:val="00EC4889"/>
    <w:rsid w:val="00EC48D5"/>
    <w:rsid w:val="00EC4923"/>
    <w:rsid w:val="00EC4948"/>
    <w:rsid w:val="00EC49CD"/>
    <w:rsid w:val="00EC4A78"/>
    <w:rsid w:val="00EC4B52"/>
    <w:rsid w:val="00EC4BF7"/>
    <w:rsid w:val="00EC4C1F"/>
    <w:rsid w:val="00EC4DFA"/>
    <w:rsid w:val="00EC4E12"/>
    <w:rsid w:val="00EC4E37"/>
    <w:rsid w:val="00EC4E52"/>
    <w:rsid w:val="00EC519F"/>
    <w:rsid w:val="00EC520F"/>
    <w:rsid w:val="00EC529E"/>
    <w:rsid w:val="00EC5334"/>
    <w:rsid w:val="00EC535D"/>
    <w:rsid w:val="00EC53A2"/>
    <w:rsid w:val="00EC543B"/>
    <w:rsid w:val="00EC5511"/>
    <w:rsid w:val="00EC5551"/>
    <w:rsid w:val="00EC55FB"/>
    <w:rsid w:val="00EC5601"/>
    <w:rsid w:val="00EC5698"/>
    <w:rsid w:val="00EC577E"/>
    <w:rsid w:val="00EC578B"/>
    <w:rsid w:val="00EC57DA"/>
    <w:rsid w:val="00EC588C"/>
    <w:rsid w:val="00EC58A3"/>
    <w:rsid w:val="00EC59AD"/>
    <w:rsid w:val="00EC59DE"/>
    <w:rsid w:val="00EC5A53"/>
    <w:rsid w:val="00EC5A9A"/>
    <w:rsid w:val="00EC5AA5"/>
    <w:rsid w:val="00EC5B3F"/>
    <w:rsid w:val="00EC5D23"/>
    <w:rsid w:val="00EC5FFD"/>
    <w:rsid w:val="00EC602B"/>
    <w:rsid w:val="00EC6181"/>
    <w:rsid w:val="00EC6194"/>
    <w:rsid w:val="00EC622B"/>
    <w:rsid w:val="00EC63ED"/>
    <w:rsid w:val="00EC650E"/>
    <w:rsid w:val="00EC656E"/>
    <w:rsid w:val="00EC6609"/>
    <w:rsid w:val="00EC6767"/>
    <w:rsid w:val="00EC68B1"/>
    <w:rsid w:val="00EC68BB"/>
    <w:rsid w:val="00EC6A66"/>
    <w:rsid w:val="00EC6B52"/>
    <w:rsid w:val="00EC6BFB"/>
    <w:rsid w:val="00EC6C37"/>
    <w:rsid w:val="00EC6D2F"/>
    <w:rsid w:val="00EC6DC3"/>
    <w:rsid w:val="00EC6E08"/>
    <w:rsid w:val="00EC6EC2"/>
    <w:rsid w:val="00EC6F21"/>
    <w:rsid w:val="00EC6F58"/>
    <w:rsid w:val="00EC70F2"/>
    <w:rsid w:val="00EC7131"/>
    <w:rsid w:val="00EC727A"/>
    <w:rsid w:val="00EC743A"/>
    <w:rsid w:val="00EC74DD"/>
    <w:rsid w:val="00EC7525"/>
    <w:rsid w:val="00EC774A"/>
    <w:rsid w:val="00EC79A8"/>
    <w:rsid w:val="00EC7B22"/>
    <w:rsid w:val="00EC7B8A"/>
    <w:rsid w:val="00EC7BD7"/>
    <w:rsid w:val="00EC7C0E"/>
    <w:rsid w:val="00EC7D14"/>
    <w:rsid w:val="00EC7EA2"/>
    <w:rsid w:val="00ED00E6"/>
    <w:rsid w:val="00ED01E7"/>
    <w:rsid w:val="00ED02B2"/>
    <w:rsid w:val="00ED03CD"/>
    <w:rsid w:val="00ED03EB"/>
    <w:rsid w:val="00ED0410"/>
    <w:rsid w:val="00ED0439"/>
    <w:rsid w:val="00ED05B7"/>
    <w:rsid w:val="00ED05F4"/>
    <w:rsid w:val="00ED060D"/>
    <w:rsid w:val="00ED068F"/>
    <w:rsid w:val="00ED06A1"/>
    <w:rsid w:val="00ED0919"/>
    <w:rsid w:val="00ED0922"/>
    <w:rsid w:val="00ED0929"/>
    <w:rsid w:val="00ED09B7"/>
    <w:rsid w:val="00ED0A23"/>
    <w:rsid w:val="00ED0B44"/>
    <w:rsid w:val="00ED0B6B"/>
    <w:rsid w:val="00ED0D5A"/>
    <w:rsid w:val="00ED0D5E"/>
    <w:rsid w:val="00ED0DEB"/>
    <w:rsid w:val="00ED0DF1"/>
    <w:rsid w:val="00ED0E10"/>
    <w:rsid w:val="00ED0E80"/>
    <w:rsid w:val="00ED0F92"/>
    <w:rsid w:val="00ED1014"/>
    <w:rsid w:val="00ED1101"/>
    <w:rsid w:val="00ED1133"/>
    <w:rsid w:val="00ED11DD"/>
    <w:rsid w:val="00ED1290"/>
    <w:rsid w:val="00ED13FF"/>
    <w:rsid w:val="00ED1431"/>
    <w:rsid w:val="00ED151F"/>
    <w:rsid w:val="00ED1544"/>
    <w:rsid w:val="00ED154B"/>
    <w:rsid w:val="00ED157A"/>
    <w:rsid w:val="00ED1604"/>
    <w:rsid w:val="00ED1639"/>
    <w:rsid w:val="00ED1641"/>
    <w:rsid w:val="00ED1659"/>
    <w:rsid w:val="00ED16FB"/>
    <w:rsid w:val="00ED1702"/>
    <w:rsid w:val="00ED17A5"/>
    <w:rsid w:val="00ED187F"/>
    <w:rsid w:val="00ED18C7"/>
    <w:rsid w:val="00ED18C9"/>
    <w:rsid w:val="00ED1BE9"/>
    <w:rsid w:val="00ED1C4E"/>
    <w:rsid w:val="00ED1CF8"/>
    <w:rsid w:val="00ED1D1A"/>
    <w:rsid w:val="00ED1D81"/>
    <w:rsid w:val="00ED1D88"/>
    <w:rsid w:val="00ED1E7E"/>
    <w:rsid w:val="00ED1F03"/>
    <w:rsid w:val="00ED2080"/>
    <w:rsid w:val="00ED20B2"/>
    <w:rsid w:val="00ED2168"/>
    <w:rsid w:val="00ED21A6"/>
    <w:rsid w:val="00ED21DC"/>
    <w:rsid w:val="00ED2262"/>
    <w:rsid w:val="00ED227A"/>
    <w:rsid w:val="00ED230A"/>
    <w:rsid w:val="00ED2472"/>
    <w:rsid w:val="00ED24FC"/>
    <w:rsid w:val="00ED27AE"/>
    <w:rsid w:val="00ED2903"/>
    <w:rsid w:val="00ED29A0"/>
    <w:rsid w:val="00ED2A78"/>
    <w:rsid w:val="00ED2ADB"/>
    <w:rsid w:val="00ED2B77"/>
    <w:rsid w:val="00ED2B79"/>
    <w:rsid w:val="00ED2D09"/>
    <w:rsid w:val="00ED2E50"/>
    <w:rsid w:val="00ED2E80"/>
    <w:rsid w:val="00ED3161"/>
    <w:rsid w:val="00ED3172"/>
    <w:rsid w:val="00ED31A7"/>
    <w:rsid w:val="00ED322B"/>
    <w:rsid w:val="00ED326D"/>
    <w:rsid w:val="00ED3392"/>
    <w:rsid w:val="00ED33D2"/>
    <w:rsid w:val="00ED3426"/>
    <w:rsid w:val="00ED34DB"/>
    <w:rsid w:val="00ED3536"/>
    <w:rsid w:val="00ED3607"/>
    <w:rsid w:val="00ED36D6"/>
    <w:rsid w:val="00ED36F8"/>
    <w:rsid w:val="00ED3703"/>
    <w:rsid w:val="00ED37AD"/>
    <w:rsid w:val="00ED381F"/>
    <w:rsid w:val="00ED387A"/>
    <w:rsid w:val="00ED38B8"/>
    <w:rsid w:val="00ED3A99"/>
    <w:rsid w:val="00ED3D72"/>
    <w:rsid w:val="00ED3DEC"/>
    <w:rsid w:val="00ED4084"/>
    <w:rsid w:val="00ED413A"/>
    <w:rsid w:val="00ED41F2"/>
    <w:rsid w:val="00ED4212"/>
    <w:rsid w:val="00ED4287"/>
    <w:rsid w:val="00ED4325"/>
    <w:rsid w:val="00ED4451"/>
    <w:rsid w:val="00ED4683"/>
    <w:rsid w:val="00ED46CD"/>
    <w:rsid w:val="00ED492E"/>
    <w:rsid w:val="00ED4950"/>
    <w:rsid w:val="00ED4976"/>
    <w:rsid w:val="00ED4D4D"/>
    <w:rsid w:val="00ED4D83"/>
    <w:rsid w:val="00ED4E6C"/>
    <w:rsid w:val="00ED503F"/>
    <w:rsid w:val="00ED52B7"/>
    <w:rsid w:val="00ED544D"/>
    <w:rsid w:val="00ED54D3"/>
    <w:rsid w:val="00ED55EB"/>
    <w:rsid w:val="00ED5696"/>
    <w:rsid w:val="00ED5CC2"/>
    <w:rsid w:val="00ED5D1C"/>
    <w:rsid w:val="00ED5DB1"/>
    <w:rsid w:val="00ED5E1D"/>
    <w:rsid w:val="00ED5F5D"/>
    <w:rsid w:val="00ED6007"/>
    <w:rsid w:val="00ED60FA"/>
    <w:rsid w:val="00ED6334"/>
    <w:rsid w:val="00ED6406"/>
    <w:rsid w:val="00ED652A"/>
    <w:rsid w:val="00ED6718"/>
    <w:rsid w:val="00ED676A"/>
    <w:rsid w:val="00ED67E9"/>
    <w:rsid w:val="00ED6814"/>
    <w:rsid w:val="00ED68C7"/>
    <w:rsid w:val="00ED6CF3"/>
    <w:rsid w:val="00ED6DCC"/>
    <w:rsid w:val="00ED6EBE"/>
    <w:rsid w:val="00ED6F38"/>
    <w:rsid w:val="00ED6F3B"/>
    <w:rsid w:val="00ED71BC"/>
    <w:rsid w:val="00ED73E3"/>
    <w:rsid w:val="00ED74CF"/>
    <w:rsid w:val="00ED7543"/>
    <w:rsid w:val="00ED757A"/>
    <w:rsid w:val="00ED7580"/>
    <w:rsid w:val="00ED762B"/>
    <w:rsid w:val="00ED7749"/>
    <w:rsid w:val="00ED7788"/>
    <w:rsid w:val="00ED78C9"/>
    <w:rsid w:val="00ED795F"/>
    <w:rsid w:val="00ED7BA7"/>
    <w:rsid w:val="00ED7C6A"/>
    <w:rsid w:val="00ED7C8D"/>
    <w:rsid w:val="00ED7E26"/>
    <w:rsid w:val="00ED7FD0"/>
    <w:rsid w:val="00EE00CE"/>
    <w:rsid w:val="00EE0196"/>
    <w:rsid w:val="00EE0238"/>
    <w:rsid w:val="00EE02CB"/>
    <w:rsid w:val="00EE02D9"/>
    <w:rsid w:val="00EE0438"/>
    <w:rsid w:val="00EE0461"/>
    <w:rsid w:val="00EE04E6"/>
    <w:rsid w:val="00EE064A"/>
    <w:rsid w:val="00EE065E"/>
    <w:rsid w:val="00EE0729"/>
    <w:rsid w:val="00EE0749"/>
    <w:rsid w:val="00EE083B"/>
    <w:rsid w:val="00EE090F"/>
    <w:rsid w:val="00EE0AC7"/>
    <w:rsid w:val="00EE0ADC"/>
    <w:rsid w:val="00EE0BB8"/>
    <w:rsid w:val="00EE0BF1"/>
    <w:rsid w:val="00EE0D00"/>
    <w:rsid w:val="00EE0D6A"/>
    <w:rsid w:val="00EE0DE8"/>
    <w:rsid w:val="00EE0E16"/>
    <w:rsid w:val="00EE0EDE"/>
    <w:rsid w:val="00EE0EEE"/>
    <w:rsid w:val="00EE0F1D"/>
    <w:rsid w:val="00EE0F44"/>
    <w:rsid w:val="00EE0FA5"/>
    <w:rsid w:val="00EE114B"/>
    <w:rsid w:val="00EE1216"/>
    <w:rsid w:val="00EE17AC"/>
    <w:rsid w:val="00EE17B2"/>
    <w:rsid w:val="00EE1807"/>
    <w:rsid w:val="00EE183C"/>
    <w:rsid w:val="00EE18A1"/>
    <w:rsid w:val="00EE1945"/>
    <w:rsid w:val="00EE198A"/>
    <w:rsid w:val="00EE19DE"/>
    <w:rsid w:val="00EE1AF5"/>
    <w:rsid w:val="00EE1BD0"/>
    <w:rsid w:val="00EE1C43"/>
    <w:rsid w:val="00EE1D22"/>
    <w:rsid w:val="00EE1D23"/>
    <w:rsid w:val="00EE1D2D"/>
    <w:rsid w:val="00EE1D31"/>
    <w:rsid w:val="00EE1D93"/>
    <w:rsid w:val="00EE1EFE"/>
    <w:rsid w:val="00EE1F5C"/>
    <w:rsid w:val="00EE1F82"/>
    <w:rsid w:val="00EE1F97"/>
    <w:rsid w:val="00EE2020"/>
    <w:rsid w:val="00EE210C"/>
    <w:rsid w:val="00EE21AF"/>
    <w:rsid w:val="00EE21ED"/>
    <w:rsid w:val="00EE233E"/>
    <w:rsid w:val="00EE2383"/>
    <w:rsid w:val="00EE25C8"/>
    <w:rsid w:val="00EE2615"/>
    <w:rsid w:val="00EE262A"/>
    <w:rsid w:val="00EE26D9"/>
    <w:rsid w:val="00EE2775"/>
    <w:rsid w:val="00EE2795"/>
    <w:rsid w:val="00EE27A8"/>
    <w:rsid w:val="00EE2884"/>
    <w:rsid w:val="00EE28E6"/>
    <w:rsid w:val="00EE2910"/>
    <w:rsid w:val="00EE2A02"/>
    <w:rsid w:val="00EE2AD2"/>
    <w:rsid w:val="00EE2B66"/>
    <w:rsid w:val="00EE2B8D"/>
    <w:rsid w:val="00EE2BC4"/>
    <w:rsid w:val="00EE2C90"/>
    <w:rsid w:val="00EE2CD6"/>
    <w:rsid w:val="00EE2DBC"/>
    <w:rsid w:val="00EE2DD2"/>
    <w:rsid w:val="00EE2FB3"/>
    <w:rsid w:val="00EE2FBF"/>
    <w:rsid w:val="00EE2FFF"/>
    <w:rsid w:val="00EE30FA"/>
    <w:rsid w:val="00EE31EC"/>
    <w:rsid w:val="00EE3206"/>
    <w:rsid w:val="00EE3379"/>
    <w:rsid w:val="00EE3421"/>
    <w:rsid w:val="00EE3570"/>
    <w:rsid w:val="00EE358B"/>
    <w:rsid w:val="00EE35CA"/>
    <w:rsid w:val="00EE35DF"/>
    <w:rsid w:val="00EE36D2"/>
    <w:rsid w:val="00EE3755"/>
    <w:rsid w:val="00EE3787"/>
    <w:rsid w:val="00EE37DF"/>
    <w:rsid w:val="00EE3F3D"/>
    <w:rsid w:val="00EE3F56"/>
    <w:rsid w:val="00EE4129"/>
    <w:rsid w:val="00EE41F3"/>
    <w:rsid w:val="00EE4298"/>
    <w:rsid w:val="00EE4301"/>
    <w:rsid w:val="00EE437E"/>
    <w:rsid w:val="00EE43CA"/>
    <w:rsid w:val="00EE4428"/>
    <w:rsid w:val="00EE4431"/>
    <w:rsid w:val="00EE4468"/>
    <w:rsid w:val="00EE446D"/>
    <w:rsid w:val="00EE4549"/>
    <w:rsid w:val="00EE46D7"/>
    <w:rsid w:val="00EE46ED"/>
    <w:rsid w:val="00EE4A25"/>
    <w:rsid w:val="00EE4B40"/>
    <w:rsid w:val="00EE4B8F"/>
    <w:rsid w:val="00EE4C11"/>
    <w:rsid w:val="00EE4E0F"/>
    <w:rsid w:val="00EE4E20"/>
    <w:rsid w:val="00EE4E2C"/>
    <w:rsid w:val="00EE4EDF"/>
    <w:rsid w:val="00EE4F34"/>
    <w:rsid w:val="00EE5008"/>
    <w:rsid w:val="00EE50AC"/>
    <w:rsid w:val="00EE5106"/>
    <w:rsid w:val="00EE5277"/>
    <w:rsid w:val="00EE55C0"/>
    <w:rsid w:val="00EE55C5"/>
    <w:rsid w:val="00EE5685"/>
    <w:rsid w:val="00EE5886"/>
    <w:rsid w:val="00EE58C2"/>
    <w:rsid w:val="00EE5915"/>
    <w:rsid w:val="00EE5919"/>
    <w:rsid w:val="00EE59AE"/>
    <w:rsid w:val="00EE5A18"/>
    <w:rsid w:val="00EE5ABD"/>
    <w:rsid w:val="00EE5AFF"/>
    <w:rsid w:val="00EE5B46"/>
    <w:rsid w:val="00EE5B61"/>
    <w:rsid w:val="00EE5C29"/>
    <w:rsid w:val="00EE5C84"/>
    <w:rsid w:val="00EE5C91"/>
    <w:rsid w:val="00EE5D80"/>
    <w:rsid w:val="00EE5D8C"/>
    <w:rsid w:val="00EE5D8F"/>
    <w:rsid w:val="00EE5DDD"/>
    <w:rsid w:val="00EE60D1"/>
    <w:rsid w:val="00EE60DB"/>
    <w:rsid w:val="00EE633E"/>
    <w:rsid w:val="00EE647B"/>
    <w:rsid w:val="00EE662D"/>
    <w:rsid w:val="00EE67CB"/>
    <w:rsid w:val="00EE681A"/>
    <w:rsid w:val="00EE6850"/>
    <w:rsid w:val="00EE6876"/>
    <w:rsid w:val="00EE6941"/>
    <w:rsid w:val="00EE69AF"/>
    <w:rsid w:val="00EE6A0A"/>
    <w:rsid w:val="00EE6A88"/>
    <w:rsid w:val="00EE6C73"/>
    <w:rsid w:val="00EE6CB3"/>
    <w:rsid w:val="00EE6CE7"/>
    <w:rsid w:val="00EE6D7F"/>
    <w:rsid w:val="00EE6E92"/>
    <w:rsid w:val="00EE6FB7"/>
    <w:rsid w:val="00EE70CD"/>
    <w:rsid w:val="00EE70D4"/>
    <w:rsid w:val="00EE7291"/>
    <w:rsid w:val="00EE72D6"/>
    <w:rsid w:val="00EE7389"/>
    <w:rsid w:val="00EE7428"/>
    <w:rsid w:val="00EE7492"/>
    <w:rsid w:val="00EE7589"/>
    <w:rsid w:val="00EE7746"/>
    <w:rsid w:val="00EE78DF"/>
    <w:rsid w:val="00EE79B2"/>
    <w:rsid w:val="00EE7A60"/>
    <w:rsid w:val="00EE7AF0"/>
    <w:rsid w:val="00EE7BA9"/>
    <w:rsid w:val="00EE7E17"/>
    <w:rsid w:val="00EE7ED0"/>
    <w:rsid w:val="00EE7EF8"/>
    <w:rsid w:val="00EF0033"/>
    <w:rsid w:val="00EF005E"/>
    <w:rsid w:val="00EF0085"/>
    <w:rsid w:val="00EF0374"/>
    <w:rsid w:val="00EF03AB"/>
    <w:rsid w:val="00EF03E3"/>
    <w:rsid w:val="00EF03FA"/>
    <w:rsid w:val="00EF044F"/>
    <w:rsid w:val="00EF04E2"/>
    <w:rsid w:val="00EF0548"/>
    <w:rsid w:val="00EF05CF"/>
    <w:rsid w:val="00EF05D5"/>
    <w:rsid w:val="00EF0616"/>
    <w:rsid w:val="00EF0624"/>
    <w:rsid w:val="00EF062E"/>
    <w:rsid w:val="00EF06D0"/>
    <w:rsid w:val="00EF08A7"/>
    <w:rsid w:val="00EF09C5"/>
    <w:rsid w:val="00EF0AB7"/>
    <w:rsid w:val="00EF0D0A"/>
    <w:rsid w:val="00EF0DE1"/>
    <w:rsid w:val="00EF0DFE"/>
    <w:rsid w:val="00EF0F19"/>
    <w:rsid w:val="00EF0F65"/>
    <w:rsid w:val="00EF0FA3"/>
    <w:rsid w:val="00EF0FB3"/>
    <w:rsid w:val="00EF0FE2"/>
    <w:rsid w:val="00EF10CF"/>
    <w:rsid w:val="00EF10D1"/>
    <w:rsid w:val="00EF10F4"/>
    <w:rsid w:val="00EF1117"/>
    <w:rsid w:val="00EF1154"/>
    <w:rsid w:val="00EF117F"/>
    <w:rsid w:val="00EF1298"/>
    <w:rsid w:val="00EF1307"/>
    <w:rsid w:val="00EF1386"/>
    <w:rsid w:val="00EF1398"/>
    <w:rsid w:val="00EF13B5"/>
    <w:rsid w:val="00EF14D2"/>
    <w:rsid w:val="00EF1546"/>
    <w:rsid w:val="00EF1559"/>
    <w:rsid w:val="00EF15AE"/>
    <w:rsid w:val="00EF15AF"/>
    <w:rsid w:val="00EF1789"/>
    <w:rsid w:val="00EF1AF3"/>
    <w:rsid w:val="00EF1C3E"/>
    <w:rsid w:val="00EF1CE4"/>
    <w:rsid w:val="00EF1E93"/>
    <w:rsid w:val="00EF1F1B"/>
    <w:rsid w:val="00EF1FDE"/>
    <w:rsid w:val="00EF20DD"/>
    <w:rsid w:val="00EF220C"/>
    <w:rsid w:val="00EF23DE"/>
    <w:rsid w:val="00EF24D6"/>
    <w:rsid w:val="00EF24FF"/>
    <w:rsid w:val="00EF257D"/>
    <w:rsid w:val="00EF260A"/>
    <w:rsid w:val="00EF26AB"/>
    <w:rsid w:val="00EF2898"/>
    <w:rsid w:val="00EF28C8"/>
    <w:rsid w:val="00EF2942"/>
    <w:rsid w:val="00EF298D"/>
    <w:rsid w:val="00EF2AA6"/>
    <w:rsid w:val="00EF2B21"/>
    <w:rsid w:val="00EF2B27"/>
    <w:rsid w:val="00EF2EB0"/>
    <w:rsid w:val="00EF2F46"/>
    <w:rsid w:val="00EF3195"/>
    <w:rsid w:val="00EF3238"/>
    <w:rsid w:val="00EF3348"/>
    <w:rsid w:val="00EF3392"/>
    <w:rsid w:val="00EF34FD"/>
    <w:rsid w:val="00EF366D"/>
    <w:rsid w:val="00EF3744"/>
    <w:rsid w:val="00EF375E"/>
    <w:rsid w:val="00EF3897"/>
    <w:rsid w:val="00EF3A48"/>
    <w:rsid w:val="00EF3AA4"/>
    <w:rsid w:val="00EF3B1D"/>
    <w:rsid w:val="00EF3B61"/>
    <w:rsid w:val="00EF3C86"/>
    <w:rsid w:val="00EF3CB1"/>
    <w:rsid w:val="00EF3CC0"/>
    <w:rsid w:val="00EF3D18"/>
    <w:rsid w:val="00EF3D83"/>
    <w:rsid w:val="00EF3E0A"/>
    <w:rsid w:val="00EF3E26"/>
    <w:rsid w:val="00EF3FB2"/>
    <w:rsid w:val="00EF3FED"/>
    <w:rsid w:val="00EF4003"/>
    <w:rsid w:val="00EF405D"/>
    <w:rsid w:val="00EF4064"/>
    <w:rsid w:val="00EF40E0"/>
    <w:rsid w:val="00EF428E"/>
    <w:rsid w:val="00EF43E4"/>
    <w:rsid w:val="00EF44EF"/>
    <w:rsid w:val="00EF4645"/>
    <w:rsid w:val="00EF469C"/>
    <w:rsid w:val="00EF480A"/>
    <w:rsid w:val="00EF4830"/>
    <w:rsid w:val="00EF48E5"/>
    <w:rsid w:val="00EF4A56"/>
    <w:rsid w:val="00EF4A5F"/>
    <w:rsid w:val="00EF4B0A"/>
    <w:rsid w:val="00EF4B98"/>
    <w:rsid w:val="00EF4C54"/>
    <w:rsid w:val="00EF4CE1"/>
    <w:rsid w:val="00EF4DD1"/>
    <w:rsid w:val="00EF4E3B"/>
    <w:rsid w:val="00EF4EA9"/>
    <w:rsid w:val="00EF515F"/>
    <w:rsid w:val="00EF519E"/>
    <w:rsid w:val="00EF51C0"/>
    <w:rsid w:val="00EF5376"/>
    <w:rsid w:val="00EF5547"/>
    <w:rsid w:val="00EF5837"/>
    <w:rsid w:val="00EF5851"/>
    <w:rsid w:val="00EF586A"/>
    <w:rsid w:val="00EF5890"/>
    <w:rsid w:val="00EF59A5"/>
    <w:rsid w:val="00EF5A2E"/>
    <w:rsid w:val="00EF5AF2"/>
    <w:rsid w:val="00EF5E18"/>
    <w:rsid w:val="00EF5E7E"/>
    <w:rsid w:val="00EF5EBA"/>
    <w:rsid w:val="00EF5F21"/>
    <w:rsid w:val="00EF5F93"/>
    <w:rsid w:val="00EF5F98"/>
    <w:rsid w:val="00EF5FC6"/>
    <w:rsid w:val="00EF619F"/>
    <w:rsid w:val="00EF62D6"/>
    <w:rsid w:val="00EF63C0"/>
    <w:rsid w:val="00EF6496"/>
    <w:rsid w:val="00EF64E1"/>
    <w:rsid w:val="00EF653A"/>
    <w:rsid w:val="00EF65CC"/>
    <w:rsid w:val="00EF6632"/>
    <w:rsid w:val="00EF67BA"/>
    <w:rsid w:val="00EF67E8"/>
    <w:rsid w:val="00EF699F"/>
    <w:rsid w:val="00EF6AE3"/>
    <w:rsid w:val="00EF6B5D"/>
    <w:rsid w:val="00EF6C34"/>
    <w:rsid w:val="00EF6CFC"/>
    <w:rsid w:val="00EF6D2B"/>
    <w:rsid w:val="00EF6DB5"/>
    <w:rsid w:val="00EF6E3A"/>
    <w:rsid w:val="00EF6F50"/>
    <w:rsid w:val="00EF70A2"/>
    <w:rsid w:val="00EF70B1"/>
    <w:rsid w:val="00EF71CD"/>
    <w:rsid w:val="00EF7213"/>
    <w:rsid w:val="00EF722B"/>
    <w:rsid w:val="00EF73D3"/>
    <w:rsid w:val="00EF7536"/>
    <w:rsid w:val="00EF75CD"/>
    <w:rsid w:val="00EF76E1"/>
    <w:rsid w:val="00EF7933"/>
    <w:rsid w:val="00EF7AEA"/>
    <w:rsid w:val="00EF7C3F"/>
    <w:rsid w:val="00EF7C5C"/>
    <w:rsid w:val="00EF7CC1"/>
    <w:rsid w:val="00EF7E46"/>
    <w:rsid w:val="00EF7EC3"/>
    <w:rsid w:val="00EF7EF9"/>
    <w:rsid w:val="00F00022"/>
    <w:rsid w:val="00F00066"/>
    <w:rsid w:val="00F000A3"/>
    <w:rsid w:val="00F000B4"/>
    <w:rsid w:val="00F000E5"/>
    <w:rsid w:val="00F001DB"/>
    <w:rsid w:val="00F0027E"/>
    <w:rsid w:val="00F00477"/>
    <w:rsid w:val="00F005FB"/>
    <w:rsid w:val="00F0065A"/>
    <w:rsid w:val="00F00719"/>
    <w:rsid w:val="00F00881"/>
    <w:rsid w:val="00F00A43"/>
    <w:rsid w:val="00F00A70"/>
    <w:rsid w:val="00F00C7E"/>
    <w:rsid w:val="00F00C9B"/>
    <w:rsid w:val="00F00D45"/>
    <w:rsid w:val="00F00D72"/>
    <w:rsid w:val="00F00FFF"/>
    <w:rsid w:val="00F010CC"/>
    <w:rsid w:val="00F01182"/>
    <w:rsid w:val="00F01233"/>
    <w:rsid w:val="00F0130C"/>
    <w:rsid w:val="00F01385"/>
    <w:rsid w:val="00F013B3"/>
    <w:rsid w:val="00F013C8"/>
    <w:rsid w:val="00F013D9"/>
    <w:rsid w:val="00F01413"/>
    <w:rsid w:val="00F0152A"/>
    <w:rsid w:val="00F01685"/>
    <w:rsid w:val="00F016EC"/>
    <w:rsid w:val="00F016EE"/>
    <w:rsid w:val="00F01843"/>
    <w:rsid w:val="00F01917"/>
    <w:rsid w:val="00F0191A"/>
    <w:rsid w:val="00F01BA5"/>
    <w:rsid w:val="00F01C10"/>
    <w:rsid w:val="00F01C22"/>
    <w:rsid w:val="00F01C67"/>
    <w:rsid w:val="00F01C6A"/>
    <w:rsid w:val="00F01DBA"/>
    <w:rsid w:val="00F01DCF"/>
    <w:rsid w:val="00F01E1D"/>
    <w:rsid w:val="00F01EB9"/>
    <w:rsid w:val="00F01F25"/>
    <w:rsid w:val="00F020D7"/>
    <w:rsid w:val="00F0219D"/>
    <w:rsid w:val="00F022AF"/>
    <w:rsid w:val="00F02419"/>
    <w:rsid w:val="00F02507"/>
    <w:rsid w:val="00F0250A"/>
    <w:rsid w:val="00F025C7"/>
    <w:rsid w:val="00F025D0"/>
    <w:rsid w:val="00F0267B"/>
    <w:rsid w:val="00F026C9"/>
    <w:rsid w:val="00F0270F"/>
    <w:rsid w:val="00F027F4"/>
    <w:rsid w:val="00F02D66"/>
    <w:rsid w:val="00F02DF9"/>
    <w:rsid w:val="00F02E01"/>
    <w:rsid w:val="00F02E2A"/>
    <w:rsid w:val="00F02E4F"/>
    <w:rsid w:val="00F02E73"/>
    <w:rsid w:val="00F02EF2"/>
    <w:rsid w:val="00F02F68"/>
    <w:rsid w:val="00F0301B"/>
    <w:rsid w:val="00F0309A"/>
    <w:rsid w:val="00F030B2"/>
    <w:rsid w:val="00F03208"/>
    <w:rsid w:val="00F032F5"/>
    <w:rsid w:val="00F0330B"/>
    <w:rsid w:val="00F0343B"/>
    <w:rsid w:val="00F034DF"/>
    <w:rsid w:val="00F034F0"/>
    <w:rsid w:val="00F03639"/>
    <w:rsid w:val="00F037AD"/>
    <w:rsid w:val="00F03A19"/>
    <w:rsid w:val="00F03A69"/>
    <w:rsid w:val="00F03ACB"/>
    <w:rsid w:val="00F03C3B"/>
    <w:rsid w:val="00F03D62"/>
    <w:rsid w:val="00F03E49"/>
    <w:rsid w:val="00F03E5F"/>
    <w:rsid w:val="00F03E68"/>
    <w:rsid w:val="00F03F18"/>
    <w:rsid w:val="00F03F4B"/>
    <w:rsid w:val="00F03F5B"/>
    <w:rsid w:val="00F0420E"/>
    <w:rsid w:val="00F04246"/>
    <w:rsid w:val="00F04268"/>
    <w:rsid w:val="00F042AF"/>
    <w:rsid w:val="00F0436F"/>
    <w:rsid w:val="00F04379"/>
    <w:rsid w:val="00F0445E"/>
    <w:rsid w:val="00F044B7"/>
    <w:rsid w:val="00F045C8"/>
    <w:rsid w:val="00F04658"/>
    <w:rsid w:val="00F04739"/>
    <w:rsid w:val="00F04953"/>
    <w:rsid w:val="00F0495E"/>
    <w:rsid w:val="00F04973"/>
    <w:rsid w:val="00F04A1E"/>
    <w:rsid w:val="00F04A61"/>
    <w:rsid w:val="00F04AC4"/>
    <w:rsid w:val="00F04B9E"/>
    <w:rsid w:val="00F04BCF"/>
    <w:rsid w:val="00F04C60"/>
    <w:rsid w:val="00F04CFF"/>
    <w:rsid w:val="00F04D8D"/>
    <w:rsid w:val="00F04D9A"/>
    <w:rsid w:val="00F04EE0"/>
    <w:rsid w:val="00F04F7B"/>
    <w:rsid w:val="00F05070"/>
    <w:rsid w:val="00F0510F"/>
    <w:rsid w:val="00F05115"/>
    <w:rsid w:val="00F052D6"/>
    <w:rsid w:val="00F05483"/>
    <w:rsid w:val="00F05509"/>
    <w:rsid w:val="00F05545"/>
    <w:rsid w:val="00F0563C"/>
    <w:rsid w:val="00F058B3"/>
    <w:rsid w:val="00F05BE3"/>
    <w:rsid w:val="00F05C18"/>
    <w:rsid w:val="00F05DDC"/>
    <w:rsid w:val="00F05E44"/>
    <w:rsid w:val="00F05E87"/>
    <w:rsid w:val="00F05E8B"/>
    <w:rsid w:val="00F05ED8"/>
    <w:rsid w:val="00F05EDC"/>
    <w:rsid w:val="00F05F24"/>
    <w:rsid w:val="00F05FA3"/>
    <w:rsid w:val="00F05FEF"/>
    <w:rsid w:val="00F0615D"/>
    <w:rsid w:val="00F06183"/>
    <w:rsid w:val="00F06257"/>
    <w:rsid w:val="00F06734"/>
    <w:rsid w:val="00F0674A"/>
    <w:rsid w:val="00F06803"/>
    <w:rsid w:val="00F0680A"/>
    <w:rsid w:val="00F06BFF"/>
    <w:rsid w:val="00F06D7E"/>
    <w:rsid w:val="00F06E7C"/>
    <w:rsid w:val="00F07012"/>
    <w:rsid w:val="00F070AC"/>
    <w:rsid w:val="00F070FC"/>
    <w:rsid w:val="00F07152"/>
    <w:rsid w:val="00F07261"/>
    <w:rsid w:val="00F072F2"/>
    <w:rsid w:val="00F0755A"/>
    <w:rsid w:val="00F0766F"/>
    <w:rsid w:val="00F077D9"/>
    <w:rsid w:val="00F07A4D"/>
    <w:rsid w:val="00F07A4E"/>
    <w:rsid w:val="00F07A58"/>
    <w:rsid w:val="00F07B13"/>
    <w:rsid w:val="00F07B7B"/>
    <w:rsid w:val="00F07B83"/>
    <w:rsid w:val="00F07BE0"/>
    <w:rsid w:val="00F07EF6"/>
    <w:rsid w:val="00F10096"/>
    <w:rsid w:val="00F100A0"/>
    <w:rsid w:val="00F1018F"/>
    <w:rsid w:val="00F101CA"/>
    <w:rsid w:val="00F10210"/>
    <w:rsid w:val="00F1027D"/>
    <w:rsid w:val="00F10322"/>
    <w:rsid w:val="00F1049C"/>
    <w:rsid w:val="00F104D4"/>
    <w:rsid w:val="00F104F6"/>
    <w:rsid w:val="00F10657"/>
    <w:rsid w:val="00F1077D"/>
    <w:rsid w:val="00F1088F"/>
    <w:rsid w:val="00F109FD"/>
    <w:rsid w:val="00F10AC3"/>
    <w:rsid w:val="00F10AFE"/>
    <w:rsid w:val="00F10C26"/>
    <w:rsid w:val="00F10C72"/>
    <w:rsid w:val="00F10CBA"/>
    <w:rsid w:val="00F10D2C"/>
    <w:rsid w:val="00F10E66"/>
    <w:rsid w:val="00F11050"/>
    <w:rsid w:val="00F110A6"/>
    <w:rsid w:val="00F110EA"/>
    <w:rsid w:val="00F11167"/>
    <w:rsid w:val="00F11266"/>
    <w:rsid w:val="00F11272"/>
    <w:rsid w:val="00F1133C"/>
    <w:rsid w:val="00F1135D"/>
    <w:rsid w:val="00F11380"/>
    <w:rsid w:val="00F1138D"/>
    <w:rsid w:val="00F114E5"/>
    <w:rsid w:val="00F115FC"/>
    <w:rsid w:val="00F116F4"/>
    <w:rsid w:val="00F1171D"/>
    <w:rsid w:val="00F11A7A"/>
    <w:rsid w:val="00F11AE3"/>
    <w:rsid w:val="00F11BC1"/>
    <w:rsid w:val="00F11C19"/>
    <w:rsid w:val="00F11C83"/>
    <w:rsid w:val="00F11FD1"/>
    <w:rsid w:val="00F12279"/>
    <w:rsid w:val="00F12361"/>
    <w:rsid w:val="00F12384"/>
    <w:rsid w:val="00F12406"/>
    <w:rsid w:val="00F12483"/>
    <w:rsid w:val="00F12500"/>
    <w:rsid w:val="00F12564"/>
    <w:rsid w:val="00F12573"/>
    <w:rsid w:val="00F12707"/>
    <w:rsid w:val="00F1271B"/>
    <w:rsid w:val="00F127BB"/>
    <w:rsid w:val="00F12894"/>
    <w:rsid w:val="00F128C9"/>
    <w:rsid w:val="00F129A5"/>
    <w:rsid w:val="00F12A5C"/>
    <w:rsid w:val="00F12A68"/>
    <w:rsid w:val="00F12B89"/>
    <w:rsid w:val="00F12CD6"/>
    <w:rsid w:val="00F12DC0"/>
    <w:rsid w:val="00F12E03"/>
    <w:rsid w:val="00F12F3F"/>
    <w:rsid w:val="00F12FF9"/>
    <w:rsid w:val="00F13072"/>
    <w:rsid w:val="00F131EC"/>
    <w:rsid w:val="00F13289"/>
    <w:rsid w:val="00F133E1"/>
    <w:rsid w:val="00F13504"/>
    <w:rsid w:val="00F13653"/>
    <w:rsid w:val="00F137BE"/>
    <w:rsid w:val="00F1386D"/>
    <w:rsid w:val="00F13900"/>
    <w:rsid w:val="00F13932"/>
    <w:rsid w:val="00F13B64"/>
    <w:rsid w:val="00F13C5E"/>
    <w:rsid w:val="00F13C73"/>
    <w:rsid w:val="00F13C8D"/>
    <w:rsid w:val="00F13D8C"/>
    <w:rsid w:val="00F13DE5"/>
    <w:rsid w:val="00F13E6D"/>
    <w:rsid w:val="00F13E94"/>
    <w:rsid w:val="00F13F39"/>
    <w:rsid w:val="00F13F98"/>
    <w:rsid w:val="00F13FE3"/>
    <w:rsid w:val="00F14066"/>
    <w:rsid w:val="00F14128"/>
    <w:rsid w:val="00F1417F"/>
    <w:rsid w:val="00F142B1"/>
    <w:rsid w:val="00F142F3"/>
    <w:rsid w:val="00F1433D"/>
    <w:rsid w:val="00F144E1"/>
    <w:rsid w:val="00F14606"/>
    <w:rsid w:val="00F148FE"/>
    <w:rsid w:val="00F1490A"/>
    <w:rsid w:val="00F14C35"/>
    <w:rsid w:val="00F14C5E"/>
    <w:rsid w:val="00F14D28"/>
    <w:rsid w:val="00F14D98"/>
    <w:rsid w:val="00F14E22"/>
    <w:rsid w:val="00F150F7"/>
    <w:rsid w:val="00F1510C"/>
    <w:rsid w:val="00F1517D"/>
    <w:rsid w:val="00F151AF"/>
    <w:rsid w:val="00F15261"/>
    <w:rsid w:val="00F1527F"/>
    <w:rsid w:val="00F152FC"/>
    <w:rsid w:val="00F153A3"/>
    <w:rsid w:val="00F15527"/>
    <w:rsid w:val="00F15542"/>
    <w:rsid w:val="00F1593C"/>
    <w:rsid w:val="00F15984"/>
    <w:rsid w:val="00F15B05"/>
    <w:rsid w:val="00F15B8E"/>
    <w:rsid w:val="00F15C2A"/>
    <w:rsid w:val="00F15C46"/>
    <w:rsid w:val="00F15DDA"/>
    <w:rsid w:val="00F15E85"/>
    <w:rsid w:val="00F15FE7"/>
    <w:rsid w:val="00F160AE"/>
    <w:rsid w:val="00F1618B"/>
    <w:rsid w:val="00F161F2"/>
    <w:rsid w:val="00F16247"/>
    <w:rsid w:val="00F162FB"/>
    <w:rsid w:val="00F16394"/>
    <w:rsid w:val="00F16418"/>
    <w:rsid w:val="00F1645A"/>
    <w:rsid w:val="00F16544"/>
    <w:rsid w:val="00F165DF"/>
    <w:rsid w:val="00F16649"/>
    <w:rsid w:val="00F1665D"/>
    <w:rsid w:val="00F166A7"/>
    <w:rsid w:val="00F1677D"/>
    <w:rsid w:val="00F167C0"/>
    <w:rsid w:val="00F16845"/>
    <w:rsid w:val="00F168E2"/>
    <w:rsid w:val="00F16949"/>
    <w:rsid w:val="00F16952"/>
    <w:rsid w:val="00F1695A"/>
    <w:rsid w:val="00F16965"/>
    <w:rsid w:val="00F169B1"/>
    <w:rsid w:val="00F16B3F"/>
    <w:rsid w:val="00F16C9B"/>
    <w:rsid w:val="00F17068"/>
    <w:rsid w:val="00F173D3"/>
    <w:rsid w:val="00F173FD"/>
    <w:rsid w:val="00F174B7"/>
    <w:rsid w:val="00F1752A"/>
    <w:rsid w:val="00F1768B"/>
    <w:rsid w:val="00F1782D"/>
    <w:rsid w:val="00F17920"/>
    <w:rsid w:val="00F1796D"/>
    <w:rsid w:val="00F17A15"/>
    <w:rsid w:val="00F17B56"/>
    <w:rsid w:val="00F17BC3"/>
    <w:rsid w:val="00F17BD2"/>
    <w:rsid w:val="00F17D52"/>
    <w:rsid w:val="00F17F3A"/>
    <w:rsid w:val="00F17F9F"/>
    <w:rsid w:val="00F2024A"/>
    <w:rsid w:val="00F20338"/>
    <w:rsid w:val="00F2049C"/>
    <w:rsid w:val="00F2061E"/>
    <w:rsid w:val="00F20637"/>
    <w:rsid w:val="00F20685"/>
    <w:rsid w:val="00F2072C"/>
    <w:rsid w:val="00F207A6"/>
    <w:rsid w:val="00F2098D"/>
    <w:rsid w:val="00F20AD0"/>
    <w:rsid w:val="00F20B91"/>
    <w:rsid w:val="00F20BFD"/>
    <w:rsid w:val="00F20E11"/>
    <w:rsid w:val="00F210EB"/>
    <w:rsid w:val="00F21160"/>
    <w:rsid w:val="00F213BC"/>
    <w:rsid w:val="00F21B3F"/>
    <w:rsid w:val="00F21D31"/>
    <w:rsid w:val="00F21F67"/>
    <w:rsid w:val="00F21F86"/>
    <w:rsid w:val="00F2205D"/>
    <w:rsid w:val="00F221DA"/>
    <w:rsid w:val="00F22310"/>
    <w:rsid w:val="00F22330"/>
    <w:rsid w:val="00F22334"/>
    <w:rsid w:val="00F22421"/>
    <w:rsid w:val="00F22568"/>
    <w:rsid w:val="00F226F7"/>
    <w:rsid w:val="00F227A4"/>
    <w:rsid w:val="00F228F1"/>
    <w:rsid w:val="00F228F8"/>
    <w:rsid w:val="00F22A63"/>
    <w:rsid w:val="00F22AA2"/>
    <w:rsid w:val="00F22AC1"/>
    <w:rsid w:val="00F22B00"/>
    <w:rsid w:val="00F22B93"/>
    <w:rsid w:val="00F22B9D"/>
    <w:rsid w:val="00F22C77"/>
    <w:rsid w:val="00F22CDF"/>
    <w:rsid w:val="00F22CF1"/>
    <w:rsid w:val="00F23212"/>
    <w:rsid w:val="00F232E4"/>
    <w:rsid w:val="00F233AB"/>
    <w:rsid w:val="00F233AF"/>
    <w:rsid w:val="00F2349A"/>
    <w:rsid w:val="00F234C0"/>
    <w:rsid w:val="00F2353E"/>
    <w:rsid w:val="00F2367B"/>
    <w:rsid w:val="00F2371C"/>
    <w:rsid w:val="00F23747"/>
    <w:rsid w:val="00F23ABB"/>
    <w:rsid w:val="00F23C0A"/>
    <w:rsid w:val="00F23C9A"/>
    <w:rsid w:val="00F23E6A"/>
    <w:rsid w:val="00F23EA2"/>
    <w:rsid w:val="00F23F94"/>
    <w:rsid w:val="00F23FA1"/>
    <w:rsid w:val="00F24062"/>
    <w:rsid w:val="00F240B7"/>
    <w:rsid w:val="00F240E4"/>
    <w:rsid w:val="00F2427F"/>
    <w:rsid w:val="00F242B4"/>
    <w:rsid w:val="00F243C9"/>
    <w:rsid w:val="00F2445D"/>
    <w:rsid w:val="00F244BC"/>
    <w:rsid w:val="00F244F7"/>
    <w:rsid w:val="00F24507"/>
    <w:rsid w:val="00F24637"/>
    <w:rsid w:val="00F2483C"/>
    <w:rsid w:val="00F248D6"/>
    <w:rsid w:val="00F249DC"/>
    <w:rsid w:val="00F24A0E"/>
    <w:rsid w:val="00F24BD3"/>
    <w:rsid w:val="00F24C8C"/>
    <w:rsid w:val="00F24CB2"/>
    <w:rsid w:val="00F24CB6"/>
    <w:rsid w:val="00F24D38"/>
    <w:rsid w:val="00F24DA1"/>
    <w:rsid w:val="00F24E19"/>
    <w:rsid w:val="00F24E1D"/>
    <w:rsid w:val="00F24E76"/>
    <w:rsid w:val="00F24EFF"/>
    <w:rsid w:val="00F25025"/>
    <w:rsid w:val="00F2509E"/>
    <w:rsid w:val="00F251F7"/>
    <w:rsid w:val="00F25263"/>
    <w:rsid w:val="00F2527B"/>
    <w:rsid w:val="00F2528F"/>
    <w:rsid w:val="00F25337"/>
    <w:rsid w:val="00F2540A"/>
    <w:rsid w:val="00F255B6"/>
    <w:rsid w:val="00F255E5"/>
    <w:rsid w:val="00F2563D"/>
    <w:rsid w:val="00F256AF"/>
    <w:rsid w:val="00F256CC"/>
    <w:rsid w:val="00F2588D"/>
    <w:rsid w:val="00F25908"/>
    <w:rsid w:val="00F25A7E"/>
    <w:rsid w:val="00F25B1C"/>
    <w:rsid w:val="00F25BD6"/>
    <w:rsid w:val="00F25E93"/>
    <w:rsid w:val="00F25FB5"/>
    <w:rsid w:val="00F261AA"/>
    <w:rsid w:val="00F261D4"/>
    <w:rsid w:val="00F262A2"/>
    <w:rsid w:val="00F2651E"/>
    <w:rsid w:val="00F2668B"/>
    <w:rsid w:val="00F2676B"/>
    <w:rsid w:val="00F268A8"/>
    <w:rsid w:val="00F26993"/>
    <w:rsid w:val="00F26AED"/>
    <w:rsid w:val="00F26C2E"/>
    <w:rsid w:val="00F26F94"/>
    <w:rsid w:val="00F2700C"/>
    <w:rsid w:val="00F273E6"/>
    <w:rsid w:val="00F2740B"/>
    <w:rsid w:val="00F274AC"/>
    <w:rsid w:val="00F274E4"/>
    <w:rsid w:val="00F2775F"/>
    <w:rsid w:val="00F2783A"/>
    <w:rsid w:val="00F27864"/>
    <w:rsid w:val="00F27884"/>
    <w:rsid w:val="00F27B58"/>
    <w:rsid w:val="00F27C57"/>
    <w:rsid w:val="00F27CEA"/>
    <w:rsid w:val="00F27E6D"/>
    <w:rsid w:val="00F27EBD"/>
    <w:rsid w:val="00F300E9"/>
    <w:rsid w:val="00F301BD"/>
    <w:rsid w:val="00F301FA"/>
    <w:rsid w:val="00F30224"/>
    <w:rsid w:val="00F3026B"/>
    <w:rsid w:val="00F302C4"/>
    <w:rsid w:val="00F302E5"/>
    <w:rsid w:val="00F302F0"/>
    <w:rsid w:val="00F30354"/>
    <w:rsid w:val="00F303CF"/>
    <w:rsid w:val="00F303FE"/>
    <w:rsid w:val="00F3040E"/>
    <w:rsid w:val="00F30836"/>
    <w:rsid w:val="00F308D8"/>
    <w:rsid w:val="00F30A0C"/>
    <w:rsid w:val="00F30A5A"/>
    <w:rsid w:val="00F30C67"/>
    <w:rsid w:val="00F30CD7"/>
    <w:rsid w:val="00F30F16"/>
    <w:rsid w:val="00F30FAE"/>
    <w:rsid w:val="00F30FC8"/>
    <w:rsid w:val="00F31011"/>
    <w:rsid w:val="00F31055"/>
    <w:rsid w:val="00F310BC"/>
    <w:rsid w:val="00F3112C"/>
    <w:rsid w:val="00F31147"/>
    <w:rsid w:val="00F31165"/>
    <w:rsid w:val="00F311CC"/>
    <w:rsid w:val="00F311F1"/>
    <w:rsid w:val="00F3140B"/>
    <w:rsid w:val="00F31479"/>
    <w:rsid w:val="00F314E7"/>
    <w:rsid w:val="00F3151B"/>
    <w:rsid w:val="00F3153B"/>
    <w:rsid w:val="00F315A8"/>
    <w:rsid w:val="00F3160D"/>
    <w:rsid w:val="00F316C2"/>
    <w:rsid w:val="00F317C3"/>
    <w:rsid w:val="00F317D1"/>
    <w:rsid w:val="00F31B60"/>
    <w:rsid w:val="00F31C26"/>
    <w:rsid w:val="00F31C32"/>
    <w:rsid w:val="00F31CE1"/>
    <w:rsid w:val="00F31DE0"/>
    <w:rsid w:val="00F31E64"/>
    <w:rsid w:val="00F31E85"/>
    <w:rsid w:val="00F31EDF"/>
    <w:rsid w:val="00F32134"/>
    <w:rsid w:val="00F32164"/>
    <w:rsid w:val="00F32413"/>
    <w:rsid w:val="00F3253A"/>
    <w:rsid w:val="00F326F4"/>
    <w:rsid w:val="00F3270F"/>
    <w:rsid w:val="00F327CD"/>
    <w:rsid w:val="00F32872"/>
    <w:rsid w:val="00F329F9"/>
    <w:rsid w:val="00F32B2C"/>
    <w:rsid w:val="00F32B58"/>
    <w:rsid w:val="00F32F84"/>
    <w:rsid w:val="00F3308C"/>
    <w:rsid w:val="00F330B5"/>
    <w:rsid w:val="00F33197"/>
    <w:rsid w:val="00F3331A"/>
    <w:rsid w:val="00F33475"/>
    <w:rsid w:val="00F33491"/>
    <w:rsid w:val="00F334EB"/>
    <w:rsid w:val="00F336C7"/>
    <w:rsid w:val="00F3391C"/>
    <w:rsid w:val="00F3397D"/>
    <w:rsid w:val="00F33AE1"/>
    <w:rsid w:val="00F33C02"/>
    <w:rsid w:val="00F33C31"/>
    <w:rsid w:val="00F33CFA"/>
    <w:rsid w:val="00F33E26"/>
    <w:rsid w:val="00F34024"/>
    <w:rsid w:val="00F34046"/>
    <w:rsid w:val="00F3405B"/>
    <w:rsid w:val="00F3406E"/>
    <w:rsid w:val="00F3407A"/>
    <w:rsid w:val="00F34098"/>
    <w:rsid w:val="00F3409F"/>
    <w:rsid w:val="00F340CC"/>
    <w:rsid w:val="00F3413B"/>
    <w:rsid w:val="00F3431C"/>
    <w:rsid w:val="00F3434B"/>
    <w:rsid w:val="00F3438D"/>
    <w:rsid w:val="00F34410"/>
    <w:rsid w:val="00F3446A"/>
    <w:rsid w:val="00F344AD"/>
    <w:rsid w:val="00F3456B"/>
    <w:rsid w:val="00F345AE"/>
    <w:rsid w:val="00F345DA"/>
    <w:rsid w:val="00F34609"/>
    <w:rsid w:val="00F347D6"/>
    <w:rsid w:val="00F34821"/>
    <w:rsid w:val="00F34917"/>
    <w:rsid w:val="00F349E1"/>
    <w:rsid w:val="00F34A78"/>
    <w:rsid w:val="00F34AF8"/>
    <w:rsid w:val="00F34BFD"/>
    <w:rsid w:val="00F34DCE"/>
    <w:rsid w:val="00F34DE0"/>
    <w:rsid w:val="00F34E67"/>
    <w:rsid w:val="00F34EBB"/>
    <w:rsid w:val="00F34EDA"/>
    <w:rsid w:val="00F34EF6"/>
    <w:rsid w:val="00F34FB2"/>
    <w:rsid w:val="00F34FFE"/>
    <w:rsid w:val="00F352E0"/>
    <w:rsid w:val="00F352F3"/>
    <w:rsid w:val="00F3532D"/>
    <w:rsid w:val="00F35376"/>
    <w:rsid w:val="00F35381"/>
    <w:rsid w:val="00F35425"/>
    <w:rsid w:val="00F35437"/>
    <w:rsid w:val="00F354F3"/>
    <w:rsid w:val="00F356DE"/>
    <w:rsid w:val="00F35769"/>
    <w:rsid w:val="00F358DB"/>
    <w:rsid w:val="00F358F9"/>
    <w:rsid w:val="00F35966"/>
    <w:rsid w:val="00F35A2C"/>
    <w:rsid w:val="00F35A53"/>
    <w:rsid w:val="00F35B5F"/>
    <w:rsid w:val="00F35C1D"/>
    <w:rsid w:val="00F35C74"/>
    <w:rsid w:val="00F35C83"/>
    <w:rsid w:val="00F35F46"/>
    <w:rsid w:val="00F35F7B"/>
    <w:rsid w:val="00F36008"/>
    <w:rsid w:val="00F36138"/>
    <w:rsid w:val="00F362A8"/>
    <w:rsid w:val="00F362E4"/>
    <w:rsid w:val="00F36494"/>
    <w:rsid w:val="00F36574"/>
    <w:rsid w:val="00F3663C"/>
    <w:rsid w:val="00F36706"/>
    <w:rsid w:val="00F3680C"/>
    <w:rsid w:val="00F36840"/>
    <w:rsid w:val="00F36AEE"/>
    <w:rsid w:val="00F36AF5"/>
    <w:rsid w:val="00F36BB3"/>
    <w:rsid w:val="00F36CA7"/>
    <w:rsid w:val="00F36EF6"/>
    <w:rsid w:val="00F3712C"/>
    <w:rsid w:val="00F37257"/>
    <w:rsid w:val="00F3729E"/>
    <w:rsid w:val="00F374A4"/>
    <w:rsid w:val="00F3763D"/>
    <w:rsid w:val="00F3783D"/>
    <w:rsid w:val="00F37905"/>
    <w:rsid w:val="00F3797A"/>
    <w:rsid w:val="00F37A19"/>
    <w:rsid w:val="00F37A53"/>
    <w:rsid w:val="00F37D06"/>
    <w:rsid w:val="00F37D39"/>
    <w:rsid w:val="00F37D71"/>
    <w:rsid w:val="00F37DED"/>
    <w:rsid w:val="00F37FDA"/>
    <w:rsid w:val="00F4015F"/>
    <w:rsid w:val="00F402BB"/>
    <w:rsid w:val="00F4037E"/>
    <w:rsid w:val="00F4039D"/>
    <w:rsid w:val="00F406B6"/>
    <w:rsid w:val="00F408FB"/>
    <w:rsid w:val="00F40901"/>
    <w:rsid w:val="00F4098A"/>
    <w:rsid w:val="00F40BE9"/>
    <w:rsid w:val="00F40D02"/>
    <w:rsid w:val="00F40D9B"/>
    <w:rsid w:val="00F40DA7"/>
    <w:rsid w:val="00F40E18"/>
    <w:rsid w:val="00F40F11"/>
    <w:rsid w:val="00F41269"/>
    <w:rsid w:val="00F41308"/>
    <w:rsid w:val="00F4130D"/>
    <w:rsid w:val="00F415BE"/>
    <w:rsid w:val="00F416AE"/>
    <w:rsid w:val="00F41722"/>
    <w:rsid w:val="00F417F8"/>
    <w:rsid w:val="00F41804"/>
    <w:rsid w:val="00F418BD"/>
    <w:rsid w:val="00F418E8"/>
    <w:rsid w:val="00F419E0"/>
    <w:rsid w:val="00F41B32"/>
    <w:rsid w:val="00F41D01"/>
    <w:rsid w:val="00F41D1D"/>
    <w:rsid w:val="00F41DDB"/>
    <w:rsid w:val="00F42129"/>
    <w:rsid w:val="00F42172"/>
    <w:rsid w:val="00F422E4"/>
    <w:rsid w:val="00F4233D"/>
    <w:rsid w:val="00F4253C"/>
    <w:rsid w:val="00F42568"/>
    <w:rsid w:val="00F4259E"/>
    <w:rsid w:val="00F42669"/>
    <w:rsid w:val="00F426CF"/>
    <w:rsid w:val="00F4277D"/>
    <w:rsid w:val="00F427BD"/>
    <w:rsid w:val="00F428A3"/>
    <w:rsid w:val="00F428D5"/>
    <w:rsid w:val="00F4294B"/>
    <w:rsid w:val="00F429AC"/>
    <w:rsid w:val="00F429F0"/>
    <w:rsid w:val="00F42A2F"/>
    <w:rsid w:val="00F42BA5"/>
    <w:rsid w:val="00F42C20"/>
    <w:rsid w:val="00F42C89"/>
    <w:rsid w:val="00F42D7A"/>
    <w:rsid w:val="00F43056"/>
    <w:rsid w:val="00F43075"/>
    <w:rsid w:val="00F430B7"/>
    <w:rsid w:val="00F43168"/>
    <w:rsid w:val="00F43209"/>
    <w:rsid w:val="00F432E1"/>
    <w:rsid w:val="00F43349"/>
    <w:rsid w:val="00F433EB"/>
    <w:rsid w:val="00F4340F"/>
    <w:rsid w:val="00F434B8"/>
    <w:rsid w:val="00F43559"/>
    <w:rsid w:val="00F4355F"/>
    <w:rsid w:val="00F436F9"/>
    <w:rsid w:val="00F43A1A"/>
    <w:rsid w:val="00F43BD3"/>
    <w:rsid w:val="00F43BD8"/>
    <w:rsid w:val="00F43DCF"/>
    <w:rsid w:val="00F43E05"/>
    <w:rsid w:val="00F43E1C"/>
    <w:rsid w:val="00F43ECA"/>
    <w:rsid w:val="00F44096"/>
    <w:rsid w:val="00F44214"/>
    <w:rsid w:val="00F44215"/>
    <w:rsid w:val="00F44225"/>
    <w:rsid w:val="00F442E4"/>
    <w:rsid w:val="00F445EF"/>
    <w:rsid w:val="00F4466C"/>
    <w:rsid w:val="00F44779"/>
    <w:rsid w:val="00F447C6"/>
    <w:rsid w:val="00F448FE"/>
    <w:rsid w:val="00F44977"/>
    <w:rsid w:val="00F449A2"/>
    <w:rsid w:val="00F44A5B"/>
    <w:rsid w:val="00F44A7A"/>
    <w:rsid w:val="00F44AAE"/>
    <w:rsid w:val="00F44AD6"/>
    <w:rsid w:val="00F44C6C"/>
    <w:rsid w:val="00F44D31"/>
    <w:rsid w:val="00F44DAD"/>
    <w:rsid w:val="00F44DB8"/>
    <w:rsid w:val="00F44DBD"/>
    <w:rsid w:val="00F44E4F"/>
    <w:rsid w:val="00F44F1A"/>
    <w:rsid w:val="00F44F6E"/>
    <w:rsid w:val="00F44F86"/>
    <w:rsid w:val="00F4500E"/>
    <w:rsid w:val="00F451A5"/>
    <w:rsid w:val="00F451A6"/>
    <w:rsid w:val="00F45270"/>
    <w:rsid w:val="00F452F3"/>
    <w:rsid w:val="00F45404"/>
    <w:rsid w:val="00F45435"/>
    <w:rsid w:val="00F45446"/>
    <w:rsid w:val="00F45450"/>
    <w:rsid w:val="00F4546E"/>
    <w:rsid w:val="00F455C7"/>
    <w:rsid w:val="00F45617"/>
    <w:rsid w:val="00F45620"/>
    <w:rsid w:val="00F456EC"/>
    <w:rsid w:val="00F45733"/>
    <w:rsid w:val="00F45873"/>
    <w:rsid w:val="00F45877"/>
    <w:rsid w:val="00F4593A"/>
    <w:rsid w:val="00F45955"/>
    <w:rsid w:val="00F45980"/>
    <w:rsid w:val="00F45A34"/>
    <w:rsid w:val="00F45AC5"/>
    <w:rsid w:val="00F45BCA"/>
    <w:rsid w:val="00F45D4F"/>
    <w:rsid w:val="00F45DB8"/>
    <w:rsid w:val="00F45F51"/>
    <w:rsid w:val="00F45F8A"/>
    <w:rsid w:val="00F45FB7"/>
    <w:rsid w:val="00F46162"/>
    <w:rsid w:val="00F46197"/>
    <w:rsid w:val="00F461ED"/>
    <w:rsid w:val="00F4647E"/>
    <w:rsid w:val="00F46584"/>
    <w:rsid w:val="00F465B7"/>
    <w:rsid w:val="00F46658"/>
    <w:rsid w:val="00F466E1"/>
    <w:rsid w:val="00F46789"/>
    <w:rsid w:val="00F4678B"/>
    <w:rsid w:val="00F46827"/>
    <w:rsid w:val="00F46918"/>
    <w:rsid w:val="00F4694D"/>
    <w:rsid w:val="00F469C1"/>
    <w:rsid w:val="00F46AC2"/>
    <w:rsid w:val="00F46AEC"/>
    <w:rsid w:val="00F46F79"/>
    <w:rsid w:val="00F47183"/>
    <w:rsid w:val="00F47474"/>
    <w:rsid w:val="00F474F9"/>
    <w:rsid w:val="00F47627"/>
    <w:rsid w:val="00F476F8"/>
    <w:rsid w:val="00F47712"/>
    <w:rsid w:val="00F47778"/>
    <w:rsid w:val="00F477D3"/>
    <w:rsid w:val="00F4781B"/>
    <w:rsid w:val="00F47855"/>
    <w:rsid w:val="00F478D4"/>
    <w:rsid w:val="00F478EE"/>
    <w:rsid w:val="00F4796B"/>
    <w:rsid w:val="00F479DA"/>
    <w:rsid w:val="00F47A99"/>
    <w:rsid w:val="00F47ADE"/>
    <w:rsid w:val="00F47C23"/>
    <w:rsid w:val="00F47C4E"/>
    <w:rsid w:val="00F47C8A"/>
    <w:rsid w:val="00F47CFD"/>
    <w:rsid w:val="00F47D15"/>
    <w:rsid w:val="00F47D4A"/>
    <w:rsid w:val="00F5008C"/>
    <w:rsid w:val="00F502B2"/>
    <w:rsid w:val="00F502B8"/>
    <w:rsid w:val="00F50329"/>
    <w:rsid w:val="00F5037A"/>
    <w:rsid w:val="00F504D7"/>
    <w:rsid w:val="00F5075A"/>
    <w:rsid w:val="00F507F5"/>
    <w:rsid w:val="00F50845"/>
    <w:rsid w:val="00F50B67"/>
    <w:rsid w:val="00F50B98"/>
    <w:rsid w:val="00F50CB2"/>
    <w:rsid w:val="00F50CF2"/>
    <w:rsid w:val="00F50D10"/>
    <w:rsid w:val="00F50D35"/>
    <w:rsid w:val="00F50E63"/>
    <w:rsid w:val="00F50F21"/>
    <w:rsid w:val="00F51002"/>
    <w:rsid w:val="00F5102E"/>
    <w:rsid w:val="00F511EC"/>
    <w:rsid w:val="00F5126A"/>
    <w:rsid w:val="00F512F2"/>
    <w:rsid w:val="00F51323"/>
    <w:rsid w:val="00F513BF"/>
    <w:rsid w:val="00F514C7"/>
    <w:rsid w:val="00F5164D"/>
    <w:rsid w:val="00F51826"/>
    <w:rsid w:val="00F518CA"/>
    <w:rsid w:val="00F51913"/>
    <w:rsid w:val="00F51994"/>
    <w:rsid w:val="00F51A30"/>
    <w:rsid w:val="00F51A67"/>
    <w:rsid w:val="00F51AE6"/>
    <w:rsid w:val="00F51BE0"/>
    <w:rsid w:val="00F51ECE"/>
    <w:rsid w:val="00F51EF5"/>
    <w:rsid w:val="00F51F97"/>
    <w:rsid w:val="00F521E9"/>
    <w:rsid w:val="00F52247"/>
    <w:rsid w:val="00F52361"/>
    <w:rsid w:val="00F5261F"/>
    <w:rsid w:val="00F5268D"/>
    <w:rsid w:val="00F526A7"/>
    <w:rsid w:val="00F526BB"/>
    <w:rsid w:val="00F526DB"/>
    <w:rsid w:val="00F52765"/>
    <w:rsid w:val="00F528CB"/>
    <w:rsid w:val="00F52ABB"/>
    <w:rsid w:val="00F52AE3"/>
    <w:rsid w:val="00F52B21"/>
    <w:rsid w:val="00F52B2B"/>
    <w:rsid w:val="00F52B94"/>
    <w:rsid w:val="00F52CA1"/>
    <w:rsid w:val="00F52CD3"/>
    <w:rsid w:val="00F52EFE"/>
    <w:rsid w:val="00F52FD0"/>
    <w:rsid w:val="00F53029"/>
    <w:rsid w:val="00F531EB"/>
    <w:rsid w:val="00F53201"/>
    <w:rsid w:val="00F53298"/>
    <w:rsid w:val="00F532F7"/>
    <w:rsid w:val="00F53335"/>
    <w:rsid w:val="00F5346D"/>
    <w:rsid w:val="00F53567"/>
    <w:rsid w:val="00F53570"/>
    <w:rsid w:val="00F535BA"/>
    <w:rsid w:val="00F538EE"/>
    <w:rsid w:val="00F53904"/>
    <w:rsid w:val="00F53AD5"/>
    <w:rsid w:val="00F53B43"/>
    <w:rsid w:val="00F53BD0"/>
    <w:rsid w:val="00F53DDD"/>
    <w:rsid w:val="00F53DF2"/>
    <w:rsid w:val="00F53F71"/>
    <w:rsid w:val="00F53F79"/>
    <w:rsid w:val="00F54002"/>
    <w:rsid w:val="00F54015"/>
    <w:rsid w:val="00F5418C"/>
    <w:rsid w:val="00F54219"/>
    <w:rsid w:val="00F5425B"/>
    <w:rsid w:val="00F543BF"/>
    <w:rsid w:val="00F54553"/>
    <w:rsid w:val="00F545FA"/>
    <w:rsid w:val="00F54667"/>
    <w:rsid w:val="00F54873"/>
    <w:rsid w:val="00F548F1"/>
    <w:rsid w:val="00F54967"/>
    <w:rsid w:val="00F54A63"/>
    <w:rsid w:val="00F54B1C"/>
    <w:rsid w:val="00F54C85"/>
    <w:rsid w:val="00F54D27"/>
    <w:rsid w:val="00F54DB3"/>
    <w:rsid w:val="00F54E0D"/>
    <w:rsid w:val="00F54F0C"/>
    <w:rsid w:val="00F54FB2"/>
    <w:rsid w:val="00F55047"/>
    <w:rsid w:val="00F5504D"/>
    <w:rsid w:val="00F5505E"/>
    <w:rsid w:val="00F5507A"/>
    <w:rsid w:val="00F5512D"/>
    <w:rsid w:val="00F551FA"/>
    <w:rsid w:val="00F553C8"/>
    <w:rsid w:val="00F55529"/>
    <w:rsid w:val="00F5556F"/>
    <w:rsid w:val="00F55606"/>
    <w:rsid w:val="00F55645"/>
    <w:rsid w:val="00F556FB"/>
    <w:rsid w:val="00F557DE"/>
    <w:rsid w:val="00F5585C"/>
    <w:rsid w:val="00F5586D"/>
    <w:rsid w:val="00F558D3"/>
    <w:rsid w:val="00F558DF"/>
    <w:rsid w:val="00F55993"/>
    <w:rsid w:val="00F55A8D"/>
    <w:rsid w:val="00F55CA5"/>
    <w:rsid w:val="00F55DB7"/>
    <w:rsid w:val="00F55E32"/>
    <w:rsid w:val="00F55EF1"/>
    <w:rsid w:val="00F56067"/>
    <w:rsid w:val="00F561B8"/>
    <w:rsid w:val="00F561B9"/>
    <w:rsid w:val="00F562DD"/>
    <w:rsid w:val="00F563C7"/>
    <w:rsid w:val="00F5647F"/>
    <w:rsid w:val="00F56518"/>
    <w:rsid w:val="00F56520"/>
    <w:rsid w:val="00F56655"/>
    <w:rsid w:val="00F56759"/>
    <w:rsid w:val="00F568D2"/>
    <w:rsid w:val="00F568D9"/>
    <w:rsid w:val="00F56915"/>
    <w:rsid w:val="00F56AA3"/>
    <w:rsid w:val="00F56ABB"/>
    <w:rsid w:val="00F56C78"/>
    <w:rsid w:val="00F56C7F"/>
    <w:rsid w:val="00F56DB4"/>
    <w:rsid w:val="00F56DC7"/>
    <w:rsid w:val="00F57034"/>
    <w:rsid w:val="00F57081"/>
    <w:rsid w:val="00F5710E"/>
    <w:rsid w:val="00F5720F"/>
    <w:rsid w:val="00F572E6"/>
    <w:rsid w:val="00F5735D"/>
    <w:rsid w:val="00F573AE"/>
    <w:rsid w:val="00F573C1"/>
    <w:rsid w:val="00F57438"/>
    <w:rsid w:val="00F57575"/>
    <w:rsid w:val="00F5759E"/>
    <w:rsid w:val="00F57612"/>
    <w:rsid w:val="00F5767C"/>
    <w:rsid w:val="00F576B8"/>
    <w:rsid w:val="00F576F9"/>
    <w:rsid w:val="00F576FB"/>
    <w:rsid w:val="00F577BA"/>
    <w:rsid w:val="00F578BD"/>
    <w:rsid w:val="00F579E1"/>
    <w:rsid w:val="00F57A56"/>
    <w:rsid w:val="00F57A74"/>
    <w:rsid w:val="00F57B90"/>
    <w:rsid w:val="00F57E71"/>
    <w:rsid w:val="00F57F0A"/>
    <w:rsid w:val="00F57F59"/>
    <w:rsid w:val="00F600E3"/>
    <w:rsid w:val="00F60217"/>
    <w:rsid w:val="00F60346"/>
    <w:rsid w:val="00F60375"/>
    <w:rsid w:val="00F603BB"/>
    <w:rsid w:val="00F6054D"/>
    <w:rsid w:val="00F605B9"/>
    <w:rsid w:val="00F6067B"/>
    <w:rsid w:val="00F60728"/>
    <w:rsid w:val="00F609AE"/>
    <w:rsid w:val="00F609C3"/>
    <w:rsid w:val="00F60AFC"/>
    <w:rsid w:val="00F60CCE"/>
    <w:rsid w:val="00F60DAF"/>
    <w:rsid w:val="00F60E0C"/>
    <w:rsid w:val="00F60F75"/>
    <w:rsid w:val="00F6122F"/>
    <w:rsid w:val="00F61272"/>
    <w:rsid w:val="00F61274"/>
    <w:rsid w:val="00F61727"/>
    <w:rsid w:val="00F617FD"/>
    <w:rsid w:val="00F61886"/>
    <w:rsid w:val="00F61A98"/>
    <w:rsid w:val="00F61B4F"/>
    <w:rsid w:val="00F61D71"/>
    <w:rsid w:val="00F61D75"/>
    <w:rsid w:val="00F61E45"/>
    <w:rsid w:val="00F61E61"/>
    <w:rsid w:val="00F61FEC"/>
    <w:rsid w:val="00F621C0"/>
    <w:rsid w:val="00F622D3"/>
    <w:rsid w:val="00F622F3"/>
    <w:rsid w:val="00F62308"/>
    <w:rsid w:val="00F62426"/>
    <w:rsid w:val="00F62432"/>
    <w:rsid w:val="00F6243D"/>
    <w:rsid w:val="00F6266F"/>
    <w:rsid w:val="00F62834"/>
    <w:rsid w:val="00F629F4"/>
    <w:rsid w:val="00F62D22"/>
    <w:rsid w:val="00F62DAA"/>
    <w:rsid w:val="00F62FAC"/>
    <w:rsid w:val="00F62FB1"/>
    <w:rsid w:val="00F6300F"/>
    <w:rsid w:val="00F63102"/>
    <w:rsid w:val="00F6322C"/>
    <w:rsid w:val="00F6327E"/>
    <w:rsid w:val="00F63348"/>
    <w:rsid w:val="00F633D1"/>
    <w:rsid w:val="00F6342C"/>
    <w:rsid w:val="00F6345B"/>
    <w:rsid w:val="00F634BC"/>
    <w:rsid w:val="00F63547"/>
    <w:rsid w:val="00F63594"/>
    <w:rsid w:val="00F6366E"/>
    <w:rsid w:val="00F63720"/>
    <w:rsid w:val="00F639BE"/>
    <w:rsid w:val="00F63B36"/>
    <w:rsid w:val="00F63B47"/>
    <w:rsid w:val="00F63C6D"/>
    <w:rsid w:val="00F63C7C"/>
    <w:rsid w:val="00F63D0D"/>
    <w:rsid w:val="00F63E53"/>
    <w:rsid w:val="00F63F17"/>
    <w:rsid w:val="00F63FB2"/>
    <w:rsid w:val="00F64182"/>
    <w:rsid w:val="00F64293"/>
    <w:rsid w:val="00F642CF"/>
    <w:rsid w:val="00F64351"/>
    <w:rsid w:val="00F6439E"/>
    <w:rsid w:val="00F64471"/>
    <w:rsid w:val="00F645FF"/>
    <w:rsid w:val="00F64720"/>
    <w:rsid w:val="00F64789"/>
    <w:rsid w:val="00F6485E"/>
    <w:rsid w:val="00F648A4"/>
    <w:rsid w:val="00F648BC"/>
    <w:rsid w:val="00F649B4"/>
    <w:rsid w:val="00F64ACE"/>
    <w:rsid w:val="00F64B8D"/>
    <w:rsid w:val="00F64B99"/>
    <w:rsid w:val="00F64C09"/>
    <w:rsid w:val="00F64C22"/>
    <w:rsid w:val="00F64C5D"/>
    <w:rsid w:val="00F64C9E"/>
    <w:rsid w:val="00F64CA2"/>
    <w:rsid w:val="00F64D57"/>
    <w:rsid w:val="00F64D86"/>
    <w:rsid w:val="00F64DC0"/>
    <w:rsid w:val="00F64FA8"/>
    <w:rsid w:val="00F64FEB"/>
    <w:rsid w:val="00F64FF8"/>
    <w:rsid w:val="00F652B2"/>
    <w:rsid w:val="00F652F4"/>
    <w:rsid w:val="00F6554C"/>
    <w:rsid w:val="00F6556E"/>
    <w:rsid w:val="00F65650"/>
    <w:rsid w:val="00F65831"/>
    <w:rsid w:val="00F6586C"/>
    <w:rsid w:val="00F65892"/>
    <w:rsid w:val="00F65977"/>
    <w:rsid w:val="00F6598D"/>
    <w:rsid w:val="00F65A1D"/>
    <w:rsid w:val="00F65AC9"/>
    <w:rsid w:val="00F65DDC"/>
    <w:rsid w:val="00F65DEE"/>
    <w:rsid w:val="00F65F30"/>
    <w:rsid w:val="00F660D1"/>
    <w:rsid w:val="00F660ED"/>
    <w:rsid w:val="00F661A7"/>
    <w:rsid w:val="00F663E3"/>
    <w:rsid w:val="00F664E2"/>
    <w:rsid w:val="00F665B4"/>
    <w:rsid w:val="00F6661D"/>
    <w:rsid w:val="00F667F2"/>
    <w:rsid w:val="00F66854"/>
    <w:rsid w:val="00F6688A"/>
    <w:rsid w:val="00F66A4A"/>
    <w:rsid w:val="00F66B50"/>
    <w:rsid w:val="00F66CAB"/>
    <w:rsid w:val="00F66D06"/>
    <w:rsid w:val="00F66DB6"/>
    <w:rsid w:val="00F67003"/>
    <w:rsid w:val="00F67012"/>
    <w:rsid w:val="00F67056"/>
    <w:rsid w:val="00F67093"/>
    <w:rsid w:val="00F67139"/>
    <w:rsid w:val="00F67304"/>
    <w:rsid w:val="00F67389"/>
    <w:rsid w:val="00F674CA"/>
    <w:rsid w:val="00F6751D"/>
    <w:rsid w:val="00F675B0"/>
    <w:rsid w:val="00F6767B"/>
    <w:rsid w:val="00F67775"/>
    <w:rsid w:val="00F677C8"/>
    <w:rsid w:val="00F67899"/>
    <w:rsid w:val="00F67B7D"/>
    <w:rsid w:val="00F67D80"/>
    <w:rsid w:val="00F67EC0"/>
    <w:rsid w:val="00F67FA1"/>
    <w:rsid w:val="00F70060"/>
    <w:rsid w:val="00F701B9"/>
    <w:rsid w:val="00F702BA"/>
    <w:rsid w:val="00F70419"/>
    <w:rsid w:val="00F7057A"/>
    <w:rsid w:val="00F705AD"/>
    <w:rsid w:val="00F705DB"/>
    <w:rsid w:val="00F7062D"/>
    <w:rsid w:val="00F70679"/>
    <w:rsid w:val="00F706A2"/>
    <w:rsid w:val="00F706A3"/>
    <w:rsid w:val="00F706B1"/>
    <w:rsid w:val="00F709C3"/>
    <w:rsid w:val="00F70A6C"/>
    <w:rsid w:val="00F70D4C"/>
    <w:rsid w:val="00F70DE1"/>
    <w:rsid w:val="00F70DF2"/>
    <w:rsid w:val="00F70E03"/>
    <w:rsid w:val="00F70F0B"/>
    <w:rsid w:val="00F70F6C"/>
    <w:rsid w:val="00F70F81"/>
    <w:rsid w:val="00F7104F"/>
    <w:rsid w:val="00F7122F"/>
    <w:rsid w:val="00F71279"/>
    <w:rsid w:val="00F712C7"/>
    <w:rsid w:val="00F7141C"/>
    <w:rsid w:val="00F714D9"/>
    <w:rsid w:val="00F714EC"/>
    <w:rsid w:val="00F7163C"/>
    <w:rsid w:val="00F71A8E"/>
    <w:rsid w:val="00F71C73"/>
    <w:rsid w:val="00F71D4A"/>
    <w:rsid w:val="00F71D50"/>
    <w:rsid w:val="00F71F57"/>
    <w:rsid w:val="00F71FD2"/>
    <w:rsid w:val="00F720BA"/>
    <w:rsid w:val="00F7230F"/>
    <w:rsid w:val="00F724C9"/>
    <w:rsid w:val="00F726A2"/>
    <w:rsid w:val="00F7292A"/>
    <w:rsid w:val="00F72BEE"/>
    <w:rsid w:val="00F72CBE"/>
    <w:rsid w:val="00F72D44"/>
    <w:rsid w:val="00F72DF3"/>
    <w:rsid w:val="00F72F35"/>
    <w:rsid w:val="00F72FE8"/>
    <w:rsid w:val="00F730B1"/>
    <w:rsid w:val="00F730D8"/>
    <w:rsid w:val="00F730F9"/>
    <w:rsid w:val="00F732FE"/>
    <w:rsid w:val="00F7338C"/>
    <w:rsid w:val="00F73412"/>
    <w:rsid w:val="00F734D2"/>
    <w:rsid w:val="00F73565"/>
    <w:rsid w:val="00F735AE"/>
    <w:rsid w:val="00F736AE"/>
    <w:rsid w:val="00F737AB"/>
    <w:rsid w:val="00F7389B"/>
    <w:rsid w:val="00F73929"/>
    <w:rsid w:val="00F73A1C"/>
    <w:rsid w:val="00F73A4C"/>
    <w:rsid w:val="00F73C26"/>
    <w:rsid w:val="00F73CDA"/>
    <w:rsid w:val="00F73D4C"/>
    <w:rsid w:val="00F73E24"/>
    <w:rsid w:val="00F73E59"/>
    <w:rsid w:val="00F73E7E"/>
    <w:rsid w:val="00F73F1D"/>
    <w:rsid w:val="00F73F80"/>
    <w:rsid w:val="00F73FC0"/>
    <w:rsid w:val="00F73FCD"/>
    <w:rsid w:val="00F73FD4"/>
    <w:rsid w:val="00F740B9"/>
    <w:rsid w:val="00F741D7"/>
    <w:rsid w:val="00F742AB"/>
    <w:rsid w:val="00F742C8"/>
    <w:rsid w:val="00F74415"/>
    <w:rsid w:val="00F74462"/>
    <w:rsid w:val="00F7451E"/>
    <w:rsid w:val="00F7463E"/>
    <w:rsid w:val="00F7465F"/>
    <w:rsid w:val="00F746C3"/>
    <w:rsid w:val="00F746D9"/>
    <w:rsid w:val="00F74746"/>
    <w:rsid w:val="00F74783"/>
    <w:rsid w:val="00F74845"/>
    <w:rsid w:val="00F748D5"/>
    <w:rsid w:val="00F749AC"/>
    <w:rsid w:val="00F749B1"/>
    <w:rsid w:val="00F74C0D"/>
    <w:rsid w:val="00F74CD0"/>
    <w:rsid w:val="00F74D31"/>
    <w:rsid w:val="00F74DEE"/>
    <w:rsid w:val="00F74E3C"/>
    <w:rsid w:val="00F74E5F"/>
    <w:rsid w:val="00F74E63"/>
    <w:rsid w:val="00F74EEC"/>
    <w:rsid w:val="00F74F1A"/>
    <w:rsid w:val="00F750F0"/>
    <w:rsid w:val="00F75198"/>
    <w:rsid w:val="00F751CF"/>
    <w:rsid w:val="00F752E5"/>
    <w:rsid w:val="00F75315"/>
    <w:rsid w:val="00F75377"/>
    <w:rsid w:val="00F75387"/>
    <w:rsid w:val="00F753BA"/>
    <w:rsid w:val="00F7542E"/>
    <w:rsid w:val="00F754A2"/>
    <w:rsid w:val="00F754AD"/>
    <w:rsid w:val="00F75536"/>
    <w:rsid w:val="00F75708"/>
    <w:rsid w:val="00F757A8"/>
    <w:rsid w:val="00F7583E"/>
    <w:rsid w:val="00F758CF"/>
    <w:rsid w:val="00F75AF3"/>
    <w:rsid w:val="00F75BD4"/>
    <w:rsid w:val="00F75C1D"/>
    <w:rsid w:val="00F75CC7"/>
    <w:rsid w:val="00F75DC6"/>
    <w:rsid w:val="00F75DF6"/>
    <w:rsid w:val="00F75E90"/>
    <w:rsid w:val="00F75E9F"/>
    <w:rsid w:val="00F75EB9"/>
    <w:rsid w:val="00F75ECA"/>
    <w:rsid w:val="00F76060"/>
    <w:rsid w:val="00F76122"/>
    <w:rsid w:val="00F762F2"/>
    <w:rsid w:val="00F765E3"/>
    <w:rsid w:val="00F766BF"/>
    <w:rsid w:val="00F766F9"/>
    <w:rsid w:val="00F7677E"/>
    <w:rsid w:val="00F768F0"/>
    <w:rsid w:val="00F7690E"/>
    <w:rsid w:val="00F76A36"/>
    <w:rsid w:val="00F76A64"/>
    <w:rsid w:val="00F76B22"/>
    <w:rsid w:val="00F76BDB"/>
    <w:rsid w:val="00F76C1D"/>
    <w:rsid w:val="00F76CAD"/>
    <w:rsid w:val="00F76CBA"/>
    <w:rsid w:val="00F76EA0"/>
    <w:rsid w:val="00F76EA5"/>
    <w:rsid w:val="00F76F0D"/>
    <w:rsid w:val="00F76FC4"/>
    <w:rsid w:val="00F7700A"/>
    <w:rsid w:val="00F77011"/>
    <w:rsid w:val="00F7704E"/>
    <w:rsid w:val="00F7717E"/>
    <w:rsid w:val="00F77189"/>
    <w:rsid w:val="00F77228"/>
    <w:rsid w:val="00F772E8"/>
    <w:rsid w:val="00F77329"/>
    <w:rsid w:val="00F7735A"/>
    <w:rsid w:val="00F77419"/>
    <w:rsid w:val="00F77424"/>
    <w:rsid w:val="00F77519"/>
    <w:rsid w:val="00F77571"/>
    <w:rsid w:val="00F775B6"/>
    <w:rsid w:val="00F7770E"/>
    <w:rsid w:val="00F77780"/>
    <w:rsid w:val="00F777FF"/>
    <w:rsid w:val="00F77822"/>
    <w:rsid w:val="00F77D9C"/>
    <w:rsid w:val="00F77DBB"/>
    <w:rsid w:val="00F77ED0"/>
    <w:rsid w:val="00F77F42"/>
    <w:rsid w:val="00F77F67"/>
    <w:rsid w:val="00F80032"/>
    <w:rsid w:val="00F800B9"/>
    <w:rsid w:val="00F80183"/>
    <w:rsid w:val="00F8028C"/>
    <w:rsid w:val="00F80353"/>
    <w:rsid w:val="00F803CC"/>
    <w:rsid w:val="00F80536"/>
    <w:rsid w:val="00F805D9"/>
    <w:rsid w:val="00F80656"/>
    <w:rsid w:val="00F8065C"/>
    <w:rsid w:val="00F80801"/>
    <w:rsid w:val="00F80945"/>
    <w:rsid w:val="00F80986"/>
    <w:rsid w:val="00F80B22"/>
    <w:rsid w:val="00F80BD8"/>
    <w:rsid w:val="00F80D3F"/>
    <w:rsid w:val="00F80DD6"/>
    <w:rsid w:val="00F810B7"/>
    <w:rsid w:val="00F811ED"/>
    <w:rsid w:val="00F81265"/>
    <w:rsid w:val="00F812EA"/>
    <w:rsid w:val="00F81367"/>
    <w:rsid w:val="00F81374"/>
    <w:rsid w:val="00F813E9"/>
    <w:rsid w:val="00F81496"/>
    <w:rsid w:val="00F816A3"/>
    <w:rsid w:val="00F816B7"/>
    <w:rsid w:val="00F81715"/>
    <w:rsid w:val="00F81736"/>
    <w:rsid w:val="00F81744"/>
    <w:rsid w:val="00F81781"/>
    <w:rsid w:val="00F81794"/>
    <w:rsid w:val="00F81933"/>
    <w:rsid w:val="00F8199D"/>
    <w:rsid w:val="00F81B89"/>
    <w:rsid w:val="00F81D38"/>
    <w:rsid w:val="00F81D3A"/>
    <w:rsid w:val="00F81D84"/>
    <w:rsid w:val="00F81E63"/>
    <w:rsid w:val="00F82098"/>
    <w:rsid w:val="00F820A7"/>
    <w:rsid w:val="00F821FC"/>
    <w:rsid w:val="00F822A8"/>
    <w:rsid w:val="00F82353"/>
    <w:rsid w:val="00F823D8"/>
    <w:rsid w:val="00F824E0"/>
    <w:rsid w:val="00F8251A"/>
    <w:rsid w:val="00F825C8"/>
    <w:rsid w:val="00F825E5"/>
    <w:rsid w:val="00F82645"/>
    <w:rsid w:val="00F82682"/>
    <w:rsid w:val="00F8287D"/>
    <w:rsid w:val="00F82ADD"/>
    <w:rsid w:val="00F82B68"/>
    <w:rsid w:val="00F82BCA"/>
    <w:rsid w:val="00F82C07"/>
    <w:rsid w:val="00F82C35"/>
    <w:rsid w:val="00F82D89"/>
    <w:rsid w:val="00F82DDF"/>
    <w:rsid w:val="00F82E6F"/>
    <w:rsid w:val="00F82EF6"/>
    <w:rsid w:val="00F82FAF"/>
    <w:rsid w:val="00F83093"/>
    <w:rsid w:val="00F830A3"/>
    <w:rsid w:val="00F830F7"/>
    <w:rsid w:val="00F8313B"/>
    <w:rsid w:val="00F831CC"/>
    <w:rsid w:val="00F831DD"/>
    <w:rsid w:val="00F8326B"/>
    <w:rsid w:val="00F83381"/>
    <w:rsid w:val="00F834D5"/>
    <w:rsid w:val="00F83617"/>
    <w:rsid w:val="00F836A4"/>
    <w:rsid w:val="00F837C3"/>
    <w:rsid w:val="00F83817"/>
    <w:rsid w:val="00F83A15"/>
    <w:rsid w:val="00F83C68"/>
    <w:rsid w:val="00F83C6C"/>
    <w:rsid w:val="00F83DDE"/>
    <w:rsid w:val="00F83EB3"/>
    <w:rsid w:val="00F83F41"/>
    <w:rsid w:val="00F83F74"/>
    <w:rsid w:val="00F840A3"/>
    <w:rsid w:val="00F840F4"/>
    <w:rsid w:val="00F841B6"/>
    <w:rsid w:val="00F841D0"/>
    <w:rsid w:val="00F8421A"/>
    <w:rsid w:val="00F844C7"/>
    <w:rsid w:val="00F84646"/>
    <w:rsid w:val="00F846D4"/>
    <w:rsid w:val="00F84982"/>
    <w:rsid w:val="00F84985"/>
    <w:rsid w:val="00F84A0A"/>
    <w:rsid w:val="00F84A1B"/>
    <w:rsid w:val="00F84AA9"/>
    <w:rsid w:val="00F84C55"/>
    <w:rsid w:val="00F84C64"/>
    <w:rsid w:val="00F84D0D"/>
    <w:rsid w:val="00F84D3B"/>
    <w:rsid w:val="00F84E4E"/>
    <w:rsid w:val="00F84ED8"/>
    <w:rsid w:val="00F85021"/>
    <w:rsid w:val="00F8502D"/>
    <w:rsid w:val="00F851C0"/>
    <w:rsid w:val="00F851CA"/>
    <w:rsid w:val="00F8522A"/>
    <w:rsid w:val="00F85257"/>
    <w:rsid w:val="00F8525A"/>
    <w:rsid w:val="00F85286"/>
    <w:rsid w:val="00F85294"/>
    <w:rsid w:val="00F8531C"/>
    <w:rsid w:val="00F85419"/>
    <w:rsid w:val="00F85519"/>
    <w:rsid w:val="00F8553C"/>
    <w:rsid w:val="00F85574"/>
    <w:rsid w:val="00F855C2"/>
    <w:rsid w:val="00F8562B"/>
    <w:rsid w:val="00F8567C"/>
    <w:rsid w:val="00F85695"/>
    <w:rsid w:val="00F856DC"/>
    <w:rsid w:val="00F85818"/>
    <w:rsid w:val="00F85837"/>
    <w:rsid w:val="00F8585F"/>
    <w:rsid w:val="00F858A7"/>
    <w:rsid w:val="00F8596D"/>
    <w:rsid w:val="00F8597D"/>
    <w:rsid w:val="00F859FE"/>
    <w:rsid w:val="00F85A72"/>
    <w:rsid w:val="00F85B10"/>
    <w:rsid w:val="00F85BD7"/>
    <w:rsid w:val="00F85DDF"/>
    <w:rsid w:val="00F85F01"/>
    <w:rsid w:val="00F85FC6"/>
    <w:rsid w:val="00F86050"/>
    <w:rsid w:val="00F86277"/>
    <w:rsid w:val="00F86288"/>
    <w:rsid w:val="00F862A9"/>
    <w:rsid w:val="00F863A5"/>
    <w:rsid w:val="00F863B5"/>
    <w:rsid w:val="00F866A2"/>
    <w:rsid w:val="00F866A3"/>
    <w:rsid w:val="00F867A8"/>
    <w:rsid w:val="00F869A3"/>
    <w:rsid w:val="00F869CC"/>
    <w:rsid w:val="00F869EB"/>
    <w:rsid w:val="00F86A2E"/>
    <w:rsid w:val="00F86A5D"/>
    <w:rsid w:val="00F86A70"/>
    <w:rsid w:val="00F86AAC"/>
    <w:rsid w:val="00F86B39"/>
    <w:rsid w:val="00F86B5E"/>
    <w:rsid w:val="00F86BD9"/>
    <w:rsid w:val="00F86CC6"/>
    <w:rsid w:val="00F86D21"/>
    <w:rsid w:val="00F86D22"/>
    <w:rsid w:val="00F86D26"/>
    <w:rsid w:val="00F86FF4"/>
    <w:rsid w:val="00F87262"/>
    <w:rsid w:val="00F8738D"/>
    <w:rsid w:val="00F8755B"/>
    <w:rsid w:val="00F87760"/>
    <w:rsid w:val="00F8776E"/>
    <w:rsid w:val="00F8786F"/>
    <w:rsid w:val="00F87AA9"/>
    <w:rsid w:val="00F87BC7"/>
    <w:rsid w:val="00F87BDB"/>
    <w:rsid w:val="00F87CB2"/>
    <w:rsid w:val="00F87D11"/>
    <w:rsid w:val="00F87E70"/>
    <w:rsid w:val="00F87EED"/>
    <w:rsid w:val="00F87F4E"/>
    <w:rsid w:val="00F87F81"/>
    <w:rsid w:val="00F87FE1"/>
    <w:rsid w:val="00F901B5"/>
    <w:rsid w:val="00F9037D"/>
    <w:rsid w:val="00F90459"/>
    <w:rsid w:val="00F9061D"/>
    <w:rsid w:val="00F90674"/>
    <w:rsid w:val="00F9069D"/>
    <w:rsid w:val="00F9072D"/>
    <w:rsid w:val="00F908CF"/>
    <w:rsid w:val="00F90B2D"/>
    <w:rsid w:val="00F90B74"/>
    <w:rsid w:val="00F90D66"/>
    <w:rsid w:val="00F90E98"/>
    <w:rsid w:val="00F90EA2"/>
    <w:rsid w:val="00F90F11"/>
    <w:rsid w:val="00F90FE7"/>
    <w:rsid w:val="00F9148E"/>
    <w:rsid w:val="00F91614"/>
    <w:rsid w:val="00F9168B"/>
    <w:rsid w:val="00F917DF"/>
    <w:rsid w:val="00F91935"/>
    <w:rsid w:val="00F91B23"/>
    <w:rsid w:val="00F91C47"/>
    <w:rsid w:val="00F91C99"/>
    <w:rsid w:val="00F91DD2"/>
    <w:rsid w:val="00F91F32"/>
    <w:rsid w:val="00F91F5C"/>
    <w:rsid w:val="00F91F5D"/>
    <w:rsid w:val="00F91F66"/>
    <w:rsid w:val="00F91FF4"/>
    <w:rsid w:val="00F92252"/>
    <w:rsid w:val="00F9243C"/>
    <w:rsid w:val="00F924D3"/>
    <w:rsid w:val="00F9254F"/>
    <w:rsid w:val="00F9265B"/>
    <w:rsid w:val="00F9265E"/>
    <w:rsid w:val="00F926AE"/>
    <w:rsid w:val="00F926E8"/>
    <w:rsid w:val="00F9270A"/>
    <w:rsid w:val="00F92720"/>
    <w:rsid w:val="00F927C5"/>
    <w:rsid w:val="00F928E6"/>
    <w:rsid w:val="00F92987"/>
    <w:rsid w:val="00F929C1"/>
    <w:rsid w:val="00F92A08"/>
    <w:rsid w:val="00F92A0B"/>
    <w:rsid w:val="00F92A52"/>
    <w:rsid w:val="00F92B70"/>
    <w:rsid w:val="00F92F7B"/>
    <w:rsid w:val="00F92FF6"/>
    <w:rsid w:val="00F931B6"/>
    <w:rsid w:val="00F9330C"/>
    <w:rsid w:val="00F9338D"/>
    <w:rsid w:val="00F9363B"/>
    <w:rsid w:val="00F93837"/>
    <w:rsid w:val="00F93A29"/>
    <w:rsid w:val="00F93BAC"/>
    <w:rsid w:val="00F93BD2"/>
    <w:rsid w:val="00F93D35"/>
    <w:rsid w:val="00F93E2C"/>
    <w:rsid w:val="00F94118"/>
    <w:rsid w:val="00F94397"/>
    <w:rsid w:val="00F94441"/>
    <w:rsid w:val="00F94691"/>
    <w:rsid w:val="00F9498C"/>
    <w:rsid w:val="00F94AD4"/>
    <w:rsid w:val="00F94B40"/>
    <w:rsid w:val="00F94D9D"/>
    <w:rsid w:val="00F94F24"/>
    <w:rsid w:val="00F94FA1"/>
    <w:rsid w:val="00F94FF4"/>
    <w:rsid w:val="00F95068"/>
    <w:rsid w:val="00F954BB"/>
    <w:rsid w:val="00F95591"/>
    <w:rsid w:val="00F956C9"/>
    <w:rsid w:val="00F95827"/>
    <w:rsid w:val="00F95834"/>
    <w:rsid w:val="00F95A24"/>
    <w:rsid w:val="00F95AD8"/>
    <w:rsid w:val="00F95BDE"/>
    <w:rsid w:val="00F961C9"/>
    <w:rsid w:val="00F9621B"/>
    <w:rsid w:val="00F962EE"/>
    <w:rsid w:val="00F9636E"/>
    <w:rsid w:val="00F964F3"/>
    <w:rsid w:val="00F96792"/>
    <w:rsid w:val="00F9682A"/>
    <w:rsid w:val="00F96A45"/>
    <w:rsid w:val="00F96B2F"/>
    <w:rsid w:val="00F96B49"/>
    <w:rsid w:val="00F96C3C"/>
    <w:rsid w:val="00F96C5C"/>
    <w:rsid w:val="00F96E1D"/>
    <w:rsid w:val="00F96E27"/>
    <w:rsid w:val="00F96EFE"/>
    <w:rsid w:val="00F96FED"/>
    <w:rsid w:val="00F97034"/>
    <w:rsid w:val="00F97102"/>
    <w:rsid w:val="00F9716B"/>
    <w:rsid w:val="00F971FB"/>
    <w:rsid w:val="00F9737E"/>
    <w:rsid w:val="00F973AA"/>
    <w:rsid w:val="00F97436"/>
    <w:rsid w:val="00F976F6"/>
    <w:rsid w:val="00F9779D"/>
    <w:rsid w:val="00F9785A"/>
    <w:rsid w:val="00F97869"/>
    <w:rsid w:val="00F97911"/>
    <w:rsid w:val="00F97A11"/>
    <w:rsid w:val="00F97A47"/>
    <w:rsid w:val="00F97AA1"/>
    <w:rsid w:val="00F97AF8"/>
    <w:rsid w:val="00F97BA3"/>
    <w:rsid w:val="00F97C01"/>
    <w:rsid w:val="00F97C66"/>
    <w:rsid w:val="00F97C95"/>
    <w:rsid w:val="00F97C97"/>
    <w:rsid w:val="00F97CF2"/>
    <w:rsid w:val="00F97D03"/>
    <w:rsid w:val="00F97D1D"/>
    <w:rsid w:val="00F97D36"/>
    <w:rsid w:val="00F97DB3"/>
    <w:rsid w:val="00F97F8C"/>
    <w:rsid w:val="00F97FA8"/>
    <w:rsid w:val="00FA000B"/>
    <w:rsid w:val="00FA0060"/>
    <w:rsid w:val="00FA0077"/>
    <w:rsid w:val="00FA00E1"/>
    <w:rsid w:val="00FA0140"/>
    <w:rsid w:val="00FA01F5"/>
    <w:rsid w:val="00FA03EF"/>
    <w:rsid w:val="00FA0408"/>
    <w:rsid w:val="00FA0431"/>
    <w:rsid w:val="00FA0542"/>
    <w:rsid w:val="00FA057C"/>
    <w:rsid w:val="00FA05CD"/>
    <w:rsid w:val="00FA0616"/>
    <w:rsid w:val="00FA0656"/>
    <w:rsid w:val="00FA0687"/>
    <w:rsid w:val="00FA0709"/>
    <w:rsid w:val="00FA0710"/>
    <w:rsid w:val="00FA07A3"/>
    <w:rsid w:val="00FA07CC"/>
    <w:rsid w:val="00FA0836"/>
    <w:rsid w:val="00FA0853"/>
    <w:rsid w:val="00FA08E3"/>
    <w:rsid w:val="00FA0C0C"/>
    <w:rsid w:val="00FA0CEC"/>
    <w:rsid w:val="00FA0CEF"/>
    <w:rsid w:val="00FA101A"/>
    <w:rsid w:val="00FA11AA"/>
    <w:rsid w:val="00FA121E"/>
    <w:rsid w:val="00FA122A"/>
    <w:rsid w:val="00FA126C"/>
    <w:rsid w:val="00FA1389"/>
    <w:rsid w:val="00FA13A6"/>
    <w:rsid w:val="00FA142C"/>
    <w:rsid w:val="00FA14F6"/>
    <w:rsid w:val="00FA158C"/>
    <w:rsid w:val="00FA15D2"/>
    <w:rsid w:val="00FA1660"/>
    <w:rsid w:val="00FA1668"/>
    <w:rsid w:val="00FA1842"/>
    <w:rsid w:val="00FA187F"/>
    <w:rsid w:val="00FA18ED"/>
    <w:rsid w:val="00FA1991"/>
    <w:rsid w:val="00FA1A66"/>
    <w:rsid w:val="00FA1BD5"/>
    <w:rsid w:val="00FA1D79"/>
    <w:rsid w:val="00FA1DE6"/>
    <w:rsid w:val="00FA1E0E"/>
    <w:rsid w:val="00FA1E81"/>
    <w:rsid w:val="00FA1E8A"/>
    <w:rsid w:val="00FA1F8C"/>
    <w:rsid w:val="00FA2262"/>
    <w:rsid w:val="00FA2340"/>
    <w:rsid w:val="00FA237C"/>
    <w:rsid w:val="00FA2465"/>
    <w:rsid w:val="00FA24F4"/>
    <w:rsid w:val="00FA253C"/>
    <w:rsid w:val="00FA2564"/>
    <w:rsid w:val="00FA2676"/>
    <w:rsid w:val="00FA26B6"/>
    <w:rsid w:val="00FA2811"/>
    <w:rsid w:val="00FA29C9"/>
    <w:rsid w:val="00FA29E8"/>
    <w:rsid w:val="00FA2A0E"/>
    <w:rsid w:val="00FA2B6A"/>
    <w:rsid w:val="00FA2C70"/>
    <w:rsid w:val="00FA2D02"/>
    <w:rsid w:val="00FA2E58"/>
    <w:rsid w:val="00FA2F6E"/>
    <w:rsid w:val="00FA301D"/>
    <w:rsid w:val="00FA3043"/>
    <w:rsid w:val="00FA316B"/>
    <w:rsid w:val="00FA3186"/>
    <w:rsid w:val="00FA3219"/>
    <w:rsid w:val="00FA3296"/>
    <w:rsid w:val="00FA3546"/>
    <w:rsid w:val="00FA3662"/>
    <w:rsid w:val="00FA36FA"/>
    <w:rsid w:val="00FA37F9"/>
    <w:rsid w:val="00FA3873"/>
    <w:rsid w:val="00FA39A2"/>
    <w:rsid w:val="00FA3CD9"/>
    <w:rsid w:val="00FA3E92"/>
    <w:rsid w:val="00FA3EC9"/>
    <w:rsid w:val="00FA3F56"/>
    <w:rsid w:val="00FA3FD9"/>
    <w:rsid w:val="00FA418A"/>
    <w:rsid w:val="00FA4254"/>
    <w:rsid w:val="00FA427F"/>
    <w:rsid w:val="00FA42A2"/>
    <w:rsid w:val="00FA4329"/>
    <w:rsid w:val="00FA43F7"/>
    <w:rsid w:val="00FA441C"/>
    <w:rsid w:val="00FA4434"/>
    <w:rsid w:val="00FA44DE"/>
    <w:rsid w:val="00FA44F7"/>
    <w:rsid w:val="00FA478A"/>
    <w:rsid w:val="00FA4790"/>
    <w:rsid w:val="00FA493C"/>
    <w:rsid w:val="00FA4A00"/>
    <w:rsid w:val="00FA4A7F"/>
    <w:rsid w:val="00FA4AD9"/>
    <w:rsid w:val="00FA4BBB"/>
    <w:rsid w:val="00FA4BBC"/>
    <w:rsid w:val="00FA4CBE"/>
    <w:rsid w:val="00FA4CEB"/>
    <w:rsid w:val="00FA4D4F"/>
    <w:rsid w:val="00FA4D86"/>
    <w:rsid w:val="00FA50A8"/>
    <w:rsid w:val="00FA5114"/>
    <w:rsid w:val="00FA51F5"/>
    <w:rsid w:val="00FA51F9"/>
    <w:rsid w:val="00FA5256"/>
    <w:rsid w:val="00FA531A"/>
    <w:rsid w:val="00FA539E"/>
    <w:rsid w:val="00FA548C"/>
    <w:rsid w:val="00FA557A"/>
    <w:rsid w:val="00FA5A29"/>
    <w:rsid w:val="00FA5AFD"/>
    <w:rsid w:val="00FA5C09"/>
    <w:rsid w:val="00FA5C67"/>
    <w:rsid w:val="00FA5E2D"/>
    <w:rsid w:val="00FA6048"/>
    <w:rsid w:val="00FA604C"/>
    <w:rsid w:val="00FA60B4"/>
    <w:rsid w:val="00FA6290"/>
    <w:rsid w:val="00FA62F0"/>
    <w:rsid w:val="00FA6395"/>
    <w:rsid w:val="00FA63C0"/>
    <w:rsid w:val="00FA63D3"/>
    <w:rsid w:val="00FA647C"/>
    <w:rsid w:val="00FA65A1"/>
    <w:rsid w:val="00FA65E5"/>
    <w:rsid w:val="00FA66AD"/>
    <w:rsid w:val="00FA6754"/>
    <w:rsid w:val="00FA6A8C"/>
    <w:rsid w:val="00FA6B68"/>
    <w:rsid w:val="00FA6B78"/>
    <w:rsid w:val="00FA6D41"/>
    <w:rsid w:val="00FA6DB7"/>
    <w:rsid w:val="00FA6EFB"/>
    <w:rsid w:val="00FA6F3C"/>
    <w:rsid w:val="00FA6FAA"/>
    <w:rsid w:val="00FA71B0"/>
    <w:rsid w:val="00FA72C1"/>
    <w:rsid w:val="00FA7352"/>
    <w:rsid w:val="00FA73C5"/>
    <w:rsid w:val="00FA73FC"/>
    <w:rsid w:val="00FA745F"/>
    <w:rsid w:val="00FA74A8"/>
    <w:rsid w:val="00FA74B5"/>
    <w:rsid w:val="00FA7636"/>
    <w:rsid w:val="00FA769F"/>
    <w:rsid w:val="00FA76AA"/>
    <w:rsid w:val="00FA7800"/>
    <w:rsid w:val="00FA7852"/>
    <w:rsid w:val="00FA789A"/>
    <w:rsid w:val="00FA79D1"/>
    <w:rsid w:val="00FA79E6"/>
    <w:rsid w:val="00FA7A71"/>
    <w:rsid w:val="00FA7B8A"/>
    <w:rsid w:val="00FA7CF1"/>
    <w:rsid w:val="00FA7E72"/>
    <w:rsid w:val="00FA7ED0"/>
    <w:rsid w:val="00FA7FE6"/>
    <w:rsid w:val="00FB00D4"/>
    <w:rsid w:val="00FB0149"/>
    <w:rsid w:val="00FB0173"/>
    <w:rsid w:val="00FB0196"/>
    <w:rsid w:val="00FB0255"/>
    <w:rsid w:val="00FB02CB"/>
    <w:rsid w:val="00FB02F3"/>
    <w:rsid w:val="00FB06D8"/>
    <w:rsid w:val="00FB0721"/>
    <w:rsid w:val="00FB0844"/>
    <w:rsid w:val="00FB0871"/>
    <w:rsid w:val="00FB0A4B"/>
    <w:rsid w:val="00FB0AB6"/>
    <w:rsid w:val="00FB0ADE"/>
    <w:rsid w:val="00FB0B16"/>
    <w:rsid w:val="00FB0B63"/>
    <w:rsid w:val="00FB0BDE"/>
    <w:rsid w:val="00FB0C48"/>
    <w:rsid w:val="00FB0CEB"/>
    <w:rsid w:val="00FB0D0E"/>
    <w:rsid w:val="00FB0E99"/>
    <w:rsid w:val="00FB111D"/>
    <w:rsid w:val="00FB111F"/>
    <w:rsid w:val="00FB115E"/>
    <w:rsid w:val="00FB11A6"/>
    <w:rsid w:val="00FB11EF"/>
    <w:rsid w:val="00FB1451"/>
    <w:rsid w:val="00FB150D"/>
    <w:rsid w:val="00FB1639"/>
    <w:rsid w:val="00FB16DF"/>
    <w:rsid w:val="00FB18E2"/>
    <w:rsid w:val="00FB1955"/>
    <w:rsid w:val="00FB1977"/>
    <w:rsid w:val="00FB19EA"/>
    <w:rsid w:val="00FB1A01"/>
    <w:rsid w:val="00FB1B74"/>
    <w:rsid w:val="00FB1C1D"/>
    <w:rsid w:val="00FB1C60"/>
    <w:rsid w:val="00FB1C6A"/>
    <w:rsid w:val="00FB1EE7"/>
    <w:rsid w:val="00FB2526"/>
    <w:rsid w:val="00FB2527"/>
    <w:rsid w:val="00FB29AB"/>
    <w:rsid w:val="00FB2B11"/>
    <w:rsid w:val="00FB2BFF"/>
    <w:rsid w:val="00FB2C5E"/>
    <w:rsid w:val="00FB2FA1"/>
    <w:rsid w:val="00FB3296"/>
    <w:rsid w:val="00FB33FA"/>
    <w:rsid w:val="00FB33FB"/>
    <w:rsid w:val="00FB3686"/>
    <w:rsid w:val="00FB3724"/>
    <w:rsid w:val="00FB37B5"/>
    <w:rsid w:val="00FB37F6"/>
    <w:rsid w:val="00FB38F7"/>
    <w:rsid w:val="00FB38FF"/>
    <w:rsid w:val="00FB3930"/>
    <w:rsid w:val="00FB39C8"/>
    <w:rsid w:val="00FB3C03"/>
    <w:rsid w:val="00FB3CF0"/>
    <w:rsid w:val="00FB3D15"/>
    <w:rsid w:val="00FB3D3C"/>
    <w:rsid w:val="00FB3D85"/>
    <w:rsid w:val="00FB3E46"/>
    <w:rsid w:val="00FB3F8D"/>
    <w:rsid w:val="00FB41C0"/>
    <w:rsid w:val="00FB41C2"/>
    <w:rsid w:val="00FB4251"/>
    <w:rsid w:val="00FB4289"/>
    <w:rsid w:val="00FB4391"/>
    <w:rsid w:val="00FB43E7"/>
    <w:rsid w:val="00FB4428"/>
    <w:rsid w:val="00FB4462"/>
    <w:rsid w:val="00FB45D0"/>
    <w:rsid w:val="00FB476E"/>
    <w:rsid w:val="00FB4862"/>
    <w:rsid w:val="00FB49AC"/>
    <w:rsid w:val="00FB4A5E"/>
    <w:rsid w:val="00FB4B88"/>
    <w:rsid w:val="00FB4EEC"/>
    <w:rsid w:val="00FB4F0D"/>
    <w:rsid w:val="00FB4F3F"/>
    <w:rsid w:val="00FB5255"/>
    <w:rsid w:val="00FB5257"/>
    <w:rsid w:val="00FB528A"/>
    <w:rsid w:val="00FB532C"/>
    <w:rsid w:val="00FB53FF"/>
    <w:rsid w:val="00FB5492"/>
    <w:rsid w:val="00FB54CE"/>
    <w:rsid w:val="00FB557B"/>
    <w:rsid w:val="00FB5629"/>
    <w:rsid w:val="00FB5657"/>
    <w:rsid w:val="00FB57CF"/>
    <w:rsid w:val="00FB57E2"/>
    <w:rsid w:val="00FB5878"/>
    <w:rsid w:val="00FB5886"/>
    <w:rsid w:val="00FB5C40"/>
    <w:rsid w:val="00FB5E1C"/>
    <w:rsid w:val="00FB5E3C"/>
    <w:rsid w:val="00FB5E69"/>
    <w:rsid w:val="00FB608E"/>
    <w:rsid w:val="00FB6147"/>
    <w:rsid w:val="00FB614B"/>
    <w:rsid w:val="00FB623A"/>
    <w:rsid w:val="00FB64B0"/>
    <w:rsid w:val="00FB6863"/>
    <w:rsid w:val="00FB6998"/>
    <w:rsid w:val="00FB6AB8"/>
    <w:rsid w:val="00FB6B81"/>
    <w:rsid w:val="00FB6C09"/>
    <w:rsid w:val="00FB6C61"/>
    <w:rsid w:val="00FB6DD1"/>
    <w:rsid w:val="00FB6E82"/>
    <w:rsid w:val="00FB6F42"/>
    <w:rsid w:val="00FB6FB2"/>
    <w:rsid w:val="00FB6FC2"/>
    <w:rsid w:val="00FB6FDB"/>
    <w:rsid w:val="00FB7081"/>
    <w:rsid w:val="00FB7139"/>
    <w:rsid w:val="00FB7149"/>
    <w:rsid w:val="00FB7175"/>
    <w:rsid w:val="00FB71CA"/>
    <w:rsid w:val="00FB724B"/>
    <w:rsid w:val="00FB72EF"/>
    <w:rsid w:val="00FB7531"/>
    <w:rsid w:val="00FB761E"/>
    <w:rsid w:val="00FB7679"/>
    <w:rsid w:val="00FB7896"/>
    <w:rsid w:val="00FB79A0"/>
    <w:rsid w:val="00FB7A6E"/>
    <w:rsid w:val="00FB7AE1"/>
    <w:rsid w:val="00FB7B1A"/>
    <w:rsid w:val="00FB7BA0"/>
    <w:rsid w:val="00FB7D86"/>
    <w:rsid w:val="00FB7E12"/>
    <w:rsid w:val="00FB7EA2"/>
    <w:rsid w:val="00FB7FAF"/>
    <w:rsid w:val="00FC00A5"/>
    <w:rsid w:val="00FC00CC"/>
    <w:rsid w:val="00FC0100"/>
    <w:rsid w:val="00FC0231"/>
    <w:rsid w:val="00FC0275"/>
    <w:rsid w:val="00FC036D"/>
    <w:rsid w:val="00FC0373"/>
    <w:rsid w:val="00FC038F"/>
    <w:rsid w:val="00FC0426"/>
    <w:rsid w:val="00FC046A"/>
    <w:rsid w:val="00FC046B"/>
    <w:rsid w:val="00FC0664"/>
    <w:rsid w:val="00FC06C2"/>
    <w:rsid w:val="00FC0745"/>
    <w:rsid w:val="00FC089C"/>
    <w:rsid w:val="00FC092B"/>
    <w:rsid w:val="00FC09D0"/>
    <w:rsid w:val="00FC09E2"/>
    <w:rsid w:val="00FC0A81"/>
    <w:rsid w:val="00FC0A85"/>
    <w:rsid w:val="00FC0B06"/>
    <w:rsid w:val="00FC0DC1"/>
    <w:rsid w:val="00FC0F66"/>
    <w:rsid w:val="00FC1025"/>
    <w:rsid w:val="00FC1038"/>
    <w:rsid w:val="00FC1072"/>
    <w:rsid w:val="00FC10B3"/>
    <w:rsid w:val="00FC115F"/>
    <w:rsid w:val="00FC11D0"/>
    <w:rsid w:val="00FC11F6"/>
    <w:rsid w:val="00FC135E"/>
    <w:rsid w:val="00FC1430"/>
    <w:rsid w:val="00FC164F"/>
    <w:rsid w:val="00FC167B"/>
    <w:rsid w:val="00FC16BB"/>
    <w:rsid w:val="00FC1775"/>
    <w:rsid w:val="00FC18AE"/>
    <w:rsid w:val="00FC1920"/>
    <w:rsid w:val="00FC196F"/>
    <w:rsid w:val="00FC1986"/>
    <w:rsid w:val="00FC19BB"/>
    <w:rsid w:val="00FC1B82"/>
    <w:rsid w:val="00FC1CA1"/>
    <w:rsid w:val="00FC1D96"/>
    <w:rsid w:val="00FC1E24"/>
    <w:rsid w:val="00FC1F4B"/>
    <w:rsid w:val="00FC1FF4"/>
    <w:rsid w:val="00FC2053"/>
    <w:rsid w:val="00FC2073"/>
    <w:rsid w:val="00FC20B3"/>
    <w:rsid w:val="00FC216F"/>
    <w:rsid w:val="00FC22F5"/>
    <w:rsid w:val="00FC23A7"/>
    <w:rsid w:val="00FC23EC"/>
    <w:rsid w:val="00FC2474"/>
    <w:rsid w:val="00FC2490"/>
    <w:rsid w:val="00FC2544"/>
    <w:rsid w:val="00FC2621"/>
    <w:rsid w:val="00FC2734"/>
    <w:rsid w:val="00FC277C"/>
    <w:rsid w:val="00FC2806"/>
    <w:rsid w:val="00FC283C"/>
    <w:rsid w:val="00FC2841"/>
    <w:rsid w:val="00FC28F2"/>
    <w:rsid w:val="00FC2904"/>
    <w:rsid w:val="00FC2A16"/>
    <w:rsid w:val="00FC2A89"/>
    <w:rsid w:val="00FC2AEC"/>
    <w:rsid w:val="00FC2C8B"/>
    <w:rsid w:val="00FC2C94"/>
    <w:rsid w:val="00FC2CB8"/>
    <w:rsid w:val="00FC2CC2"/>
    <w:rsid w:val="00FC2D0C"/>
    <w:rsid w:val="00FC2DA3"/>
    <w:rsid w:val="00FC2E94"/>
    <w:rsid w:val="00FC2F20"/>
    <w:rsid w:val="00FC30EB"/>
    <w:rsid w:val="00FC3165"/>
    <w:rsid w:val="00FC319D"/>
    <w:rsid w:val="00FC336F"/>
    <w:rsid w:val="00FC34EA"/>
    <w:rsid w:val="00FC35BC"/>
    <w:rsid w:val="00FC38C6"/>
    <w:rsid w:val="00FC397E"/>
    <w:rsid w:val="00FC3A49"/>
    <w:rsid w:val="00FC3D61"/>
    <w:rsid w:val="00FC3DB9"/>
    <w:rsid w:val="00FC3DBC"/>
    <w:rsid w:val="00FC3DFE"/>
    <w:rsid w:val="00FC3FC4"/>
    <w:rsid w:val="00FC4020"/>
    <w:rsid w:val="00FC4069"/>
    <w:rsid w:val="00FC40F0"/>
    <w:rsid w:val="00FC442D"/>
    <w:rsid w:val="00FC444C"/>
    <w:rsid w:val="00FC447F"/>
    <w:rsid w:val="00FC4510"/>
    <w:rsid w:val="00FC457C"/>
    <w:rsid w:val="00FC466E"/>
    <w:rsid w:val="00FC4672"/>
    <w:rsid w:val="00FC46B1"/>
    <w:rsid w:val="00FC46D2"/>
    <w:rsid w:val="00FC46FC"/>
    <w:rsid w:val="00FC4744"/>
    <w:rsid w:val="00FC4789"/>
    <w:rsid w:val="00FC478A"/>
    <w:rsid w:val="00FC47B5"/>
    <w:rsid w:val="00FC47D8"/>
    <w:rsid w:val="00FC481F"/>
    <w:rsid w:val="00FC4A6B"/>
    <w:rsid w:val="00FC4ABE"/>
    <w:rsid w:val="00FC4AC9"/>
    <w:rsid w:val="00FC4CAF"/>
    <w:rsid w:val="00FC4CFD"/>
    <w:rsid w:val="00FC4E68"/>
    <w:rsid w:val="00FC4F2C"/>
    <w:rsid w:val="00FC4FC2"/>
    <w:rsid w:val="00FC5027"/>
    <w:rsid w:val="00FC5048"/>
    <w:rsid w:val="00FC52A6"/>
    <w:rsid w:val="00FC53DE"/>
    <w:rsid w:val="00FC5408"/>
    <w:rsid w:val="00FC5506"/>
    <w:rsid w:val="00FC5512"/>
    <w:rsid w:val="00FC55AD"/>
    <w:rsid w:val="00FC5602"/>
    <w:rsid w:val="00FC564F"/>
    <w:rsid w:val="00FC5723"/>
    <w:rsid w:val="00FC58B9"/>
    <w:rsid w:val="00FC596E"/>
    <w:rsid w:val="00FC59D4"/>
    <w:rsid w:val="00FC5A0C"/>
    <w:rsid w:val="00FC5A43"/>
    <w:rsid w:val="00FC5B90"/>
    <w:rsid w:val="00FC5BE6"/>
    <w:rsid w:val="00FC5CF6"/>
    <w:rsid w:val="00FC5D89"/>
    <w:rsid w:val="00FC5F24"/>
    <w:rsid w:val="00FC5F5D"/>
    <w:rsid w:val="00FC60A3"/>
    <w:rsid w:val="00FC60AF"/>
    <w:rsid w:val="00FC60CF"/>
    <w:rsid w:val="00FC61C6"/>
    <w:rsid w:val="00FC61FB"/>
    <w:rsid w:val="00FC6223"/>
    <w:rsid w:val="00FC625A"/>
    <w:rsid w:val="00FC62E2"/>
    <w:rsid w:val="00FC6301"/>
    <w:rsid w:val="00FC631C"/>
    <w:rsid w:val="00FC6341"/>
    <w:rsid w:val="00FC63CA"/>
    <w:rsid w:val="00FC65C3"/>
    <w:rsid w:val="00FC664E"/>
    <w:rsid w:val="00FC67D1"/>
    <w:rsid w:val="00FC6815"/>
    <w:rsid w:val="00FC68A0"/>
    <w:rsid w:val="00FC6A0A"/>
    <w:rsid w:val="00FC6A26"/>
    <w:rsid w:val="00FC6A78"/>
    <w:rsid w:val="00FC6B1B"/>
    <w:rsid w:val="00FC6B9C"/>
    <w:rsid w:val="00FC6DEA"/>
    <w:rsid w:val="00FC6DFD"/>
    <w:rsid w:val="00FC6E9B"/>
    <w:rsid w:val="00FC6F14"/>
    <w:rsid w:val="00FC71DC"/>
    <w:rsid w:val="00FC71E3"/>
    <w:rsid w:val="00FC7231"/>
    <w:rsid w:val="00FC7262"/>
    <w:rsid w:val="00FC727B"/>
    <w:rsid w:val="00FC7335"/>
    <w:rsid w:val="00FC7495"/>
    <w:rsid w:val="00FC7503"/>
    <w:rsid w:val="00FC7864"/>
    <w:rsid w:val="00FC78CC"/>
    <w:rsid w:val="00FC79D2"/>
    <w:rsid w:val="00FC7A80"/>
    <w:rsid w:val="00FC7B76"/>
    <w:rsid w:val="00FC7C47"/>
    <w:rsid w:val="00FC7F20"/>
    <w:rsid w:val="00FC7F32"/>
    <w:rsid w:val="00FC7F64"/>
    <w:rsid w:val="00FC7FDD"/>
    <w:rsid w:val="00FD018C"/>
    <w:rsid w:val="00FD033D"/>
    <w:rsid w:val="00FD03F4"/>
    <w:rsid w:val="00FD040D"/>
    <w:rsid w:val="00FD04DE"/>
    <w:rsid w:val="00FD0513"/>
    <w:rsid w:val="00FD06C9"/>
    <w:rsid w:val="00FD0723"/>
    <w:rsid w:val="00FD0824"/>
    <w:rsid w:val="00FD0B0A"/>
    <w:rsid w:val="00FD0C0C"/>
    <w:rsid w:val="00FD0CBC"/>
    <w:rsid w:val="00FD0F0A"/>
    <w:rsid w:val="00FD0FC3"/>
    <w:rsid w:val="00FD1068"/>
    <w:rsid w:val="00FD109A"/>
    <w:rsid w:val="00FD10B3"/>
    <w:rsid w:val="00FD10BB"/>
    <w:rsid w:val="00FD1198"/>
    <w:rsid w:val="00FD11BC"/>
    <w:rsid w:val="00FD11DE"/>
    <w:rsid w:val="00FD1226"/>
    <w:rsid w:val="00FD12DA"/>
    <w:rsid w:val="00FD12ED"/>
    <w:rsid w:val="00FD12FE"/>
    <w:rsid w:val="00FD1329"/>
    <w:rsid w:val="00FD13A3"/>
    <w:rsid w:val="00FD14B1"/>
    <w:rsid w:val="00FD1571"/>
    <w:rsid w:val="00FD15AD"/>
    <w:rsid w:val="00FD16D5"/>
    <w:rsid w:val="00FD173F"/>
    <w:rsid w:val="00FD1812"/>
    <w:rsid w:val="00FD18FB"/>
    <w:rsid w:val="00FD1A39"/>
    <w:rsid w:val="00FD1A88"/>
    <w:rsid w:val="00FD1B4D"/>
    <w:rsid w:val="00FD1BDC"/>
    <w:rsid w:val="00FD1C28"/>
    <w:rsid w:val="00FD1C7F"/>
    <w:rsid w:val="00FD1CB9"/>
    <w:rsid w:val="00FD1CF1"/>
    <w:rsid w:val="00FD1DE6"/>
    <w:rsid w:val="00FD1E95"/>
    <w:rsid w:val="00FD1EBA"/>
    <w:rsid w:val="00FD1EF0"/>
    <w:rsid w:val="00FD1FC4"/>
    <w:rsid w:val="00FD20A9"/>
    <w:rsid w:val="00FD20CF"/>
    <w:rsid w:val="00FD211A"/>
    <w:rsid w:val="00FD21B3"/>
    <w:rsid w:val="00FD22A5"/>
    <w:rsid w:val="00FD23FA"/>
    <w:rsid w:val="00FD241E"/>
    <w:rsid w:val="00FD24AD"/>
    <w:rsid w:val="00FD2545"/>
    <w:rsid w:val="00FD2594"/>
    <w:rsid w:val="00FD2611"/>
    <w:rsid w:val="00FD2628"/>
    <w:rsid w:val="00FD2640"/>
    <w:rsid w:val="00FD2737"/>
    <w:rsid w:val="00FD27CE"/>
    <w:rsid w:val="00FD284A"/>
    <w:rsid w:val="00FD2888"/>
    <w:rsid w:val="00FD28CB"/>
    <w:rsid w:val="00FD29C0"/>
    <w:rsid w:val="00FD2B06"/>
    <w:rsid w:val="00FD2B2A"/>
    <w:rsid w:val="00FD2DF4"/>
    <w:rsid w:val="00FD2DF5"/>
    <w:rsid w:val="00FD2FC0"/>
    <w:rsid w:val="00FD2FDC"/>
    <w:rsid w:val="00FD3000"/>
    <w:rsid w:val="00FD30A6"/>
    <w:rsid w:val="00FD3120"/>
    <w:rsid w:val="00FD319F"/>
    <w:rsid w:val="00FD3267"/>
    <w:rsid w:val="00FD3514"/>
    <w:rsid w:val="00FD35EF"/>
    <w:rsid w:val="00FD36A4"/>
    <w:rsid w:val="00FD3756"/>
    <w:rsid w:val="00FD37D2"/>
    <w:rsid w:val="00FD39A7"/>
    <w:rsid w:val="00FD39B9"/>
    <w:rsid w:val="00FD39BB"/>
    <w:rsid w:val="00FD3AE2"/>
    <w:rsid w:val="00FD3B0F"/>
    <w:rsid w:val="00FD3B19"/>
    <w:rsid w:val="00FD3C46"/>
    <w:rsid w:val="00FD3E50"/>
    <w:rsid w:val="00FD3E5F"/>
    <w:rsid w:val="00FD3F72"/>
    <w:rsid w:val="00FD40AD"/>
    <w:rsid w:val="00FD40D3"/>
    <w:rsid w:val="00FD4191"/>
    <w:rsid w:val="00FD4197"/>
    <w:rsid w:val="00FD41FE"/>
    <w:rsid w:val="00FD4272"/>
    <w:rsid w:val="00FD427D"/>
    <w:rsid w:val="00FD4383"/>
    <w:rsid w:val="00FD4568"/>
    <w:rsid w:val="00FD45FB"/>
    <w:rsid w:val="00FD4608"/>
    <w:rsid w:val="00FD463C"/>
    <w:rsid w:val="00FD46C7"/>
    <w:rsid w:val="00FD4764"/>
    <w:rsid w:val="00FD47D3"/>
    <w:rsid w:val="00FD47D7"/>
    <w:rsid w:val="00FD49FB"/>
    <w:rsid w:val="00FD4AB1"/>
    <w:rsid w:val="00FD4B8C"/>
    <w:rsid w:val="00FD4DE1"/>
    <w:rsid w:val="00FD4E20"/>
    <w:rsid w:val="00FD4F31"/>
    <w:rsid w:val="00FD4FE5"/>
    <w:rsid w:val="00FD51E2"/>
    <w:rsid w:val="00FD51F9"/>
    <w:rsid w:val="00FD528F"/>
    <w:rsid w:val="00FD52A1"/>
    <w:rsid w:val="00FD5559"/>
    <w:rsid w:val="00FD555B"/>
    <w:rsid w:val="00FD5624"/>
    <w:rsid w:val="00FD56D0"/>
    <w:rsid w:val="00FD5807"/>
    <w:rsid w:val="00FD58B0"/>
    <w:rsid w:val="00FD5908"/>
    <w:rsid w:val="00FD5953"/>
    <w:rsid w:val="00FD59F2"/>
    <w:rsid w:val="00FD5C30"/>
    <w:rsid w:val="00FD5D3D"/>
    <w:rsid w:val="00FD5DA7"/>
    <w:rsid w:val="00FD5DAA"/>
    <w:rsid w:val="00FD5E0A"/>
    <w:rsid w:val="00FD5E91"/>
    <w:rsid w:val="00FD5F57"/>
    <w:rsid w:val="00FD60AB"/>
    <w:rsid w:val="00FD60E5"/>
    <w:rsid w:val="00FD62B5"/>
    <w:rsid w:val="00FD62CF"/>
    <w:rsid w:val="00FD6320"/>
    <w:rsid w:val="00FD659C"/>
    <w:rsid w:val="00FD6648"/>
    <w:rsid w:val="00FD66CC"/>
    <w:rsid w:val="00FD6773"/>
    <w:rsid w:val="00FD6809"/>
    <w:rsid w:val="00FD6858"/>
    <w:rsid w:val="00FD6A3F"/>
    <w:rsid w:val="00FD6AED"/>
    <w:rsid w:val="00FD6B1F"/>
    <w:rsid w:val="00FD6B46"/>
    <w:rsid w:val="00FD6B58"/>
    <w:rsid w:val="00FD6BB7"/>
    <w:rsid w:val="00FD6DC5"/>
    <w:rsid w:val="00FD6F3E"/>
    <w:rsid w:val="00FD7038"/>
    <w:rsid w:val="00FD703C"/>
    <w:rsid w:val="00FD70A5"/>
    <w:rsid w:val="00FD71EF"/>
    <w:rsid w:val="00FD724E"/>
    <w:rsid w:val="00FD7321"/>
    <w:rsid w:val="00FD7436"/>
    <w:rsid w:val="00FD773F"/>
    <w:rsid w:val="00FD778C"/>
    <w:rsid w:val="00FD780A"/>
    <w:rsid w:val="00FD781E"/>
    <w:rsid w:val="00FD78CF"/>
    <w:rsid w:val="00FD794D"/>
    <w:rsid w:val="00FD79E5"/>
    <w:rsid w:val="00FD7A07"/>
    <w:rsid w:val="00FD7A11"/>
    <w:rsid w:val="00FD7AF7"/>
    <w:rsid w:val="00FD7D1A"/>
    <w:rsid w:val="00FD7D5E"/>
    <w:rsid w:val="00FD7D93"/>
    <w:rsid w:val="00FD7E83"/>
    <w:rsid w:val="00FE0061"/>
    <w:rsid w:val="00FE0278"/>
    <w:rsid w:val="00FE03F6"/>
    <w:rsid w:val="00FE0741"/>
    <w:rsid w:val="00FE07A4"/>
    <w:rsid w:val="00FE0815"/>
    <w:rsid w:val="00FE083E"/>
    <w:rsid w:val="00FE0947"/>
    <w:rsid w:val="00FE094D"/>
    <w:rsid w:val="00FE0A1A"/>
    <w:rsid w:val="00FE0AF3"/>
    <w:rsid w:val="00FE0BAA"/>
    <w:rsid w:val="00FE0BD8"/>
    <w:rsid w:val="00FE0C94"/>
    <w:rsid w:val="00FE0EFC"/>
    <w:rsid w:val="00FE0F57"/>
    <w:rsid w:val="00FE107B"/>
    <w:rsid w:val="00FE1110"/>
    <w:rsid w:val="00FE1220"/>
    <w:rsid w:val="00FE1246"/>
    <w:rsid w:val="00FE127B"/>
    <w:rsid w:val="00FE137F"/>
    <w:rsid w:val="00FE155E"/>
    <w:rsid w:val="00FE1945"/>
    <w:rsid w:val="00FE1A73"/>
    <w:rsid w:val="00FE1AB1"/>
    <w:rsid w:val="00FE1AF5"/>
    <w:rsid w:val="00FE1DA7"/>
    <w:rsid w:val="00FE1ED5"/>
    <w:rsid w:val="00FE1F01"/>
    <w:rsid w:val="00FE200A"/>
    <w:rsid w:val="00FE2118"/>
    <w:rsid w:val="00FE2151"/>
    <w:rsid w:val="00FE22C4"/>
    <w:rsid w:val="00FE2393"/>
    <w:rsid w:val="00FE246C"/>
    <w:rsid w:val="00FE25AB"/>
    <w:rsid w:val="00FE2600"/>
    <w:rsid w:val="00FE2728"/>
    <w:rsid w:val="00FE293C"/>
    <w:rsid w:val="00FE29E4"/>
    <w:rsid w:val="00FE2AF2"/>
    <w:rsid w:val="00FE2B40"/>
    <w:rsid w:val="00FE2B5A"/>
    <w:rsid w:val="00FE2C36"/>
    <w:rsid w:val="00FE2CF3"/>
    <w:rsid w:val="00FE2D24"/>
    <w:rsid w:val="00FE2D88"/>
    <w:rsid w:val="00FE2DBB"/>
    <w:rsid w:val="00FE2E92"/>
    <w:rsid w:val="00FE2F5D"/>
    <w:rsid w:val="00FE2F5E"/>
    <w:rsid w:val="00FE2F7E"/>
    <w:rsid w:val="00FE3076"/>
    <w:rsid w:val="00FE308D"/>
    <w:rsid w:val="00FE30BC"/>
    <w:rsid w:val="00FE3105"/>
    <w:rsid w:val="00FE31B9"/>
    <w:rsid w:val="00FE329D"/>
    <w:rsid w:val="00FE333C"/>
    <w:rsid w:val="00FE3398"/>
    <w:rsid w:val="00FE33AB"/>
    <w:rsid w:val="00FE33C3"/>
    <w:rsid w:val="00FE34A5"/>
    <w:rsid w:val="00FE382C"/>
    <w:rsid w:val="00FE3839"/>
    <w:rsid w:val="00FE390B"/>
    <w:rsid w:val="00FE392F"/>
    <w:rsid w:val="00FE39A4"/>
    <w:rsid w:val="00FE39BA"/>
    <w:rsid w:val="00FE3AEB"/>
    <w:rsid w:val="00FE3BD5"/>
    <w:rsid w:val="00FE3CAD"/>
    <w:rsid w:val="00FE3CFE"/>
    <w:rsid w:val="00FE3D01"/>
    <w:rsid w:val="00FE3D8B"/>
    <w:rsid w:val="00FE3E5F"/>
    <w:rsid w:val="00FE401C"/>
    <w:rsid w:val="00FE41AE"/>
    <w:rsid w:val="00FE41DF"/>
    <w:rsid w:val="00FE42A8"/>
    <w:rsid w:val="00FE444F"/>
    <w:rsid w:val="00FE44BA"/>
    <w:rsid w:val="00FE452B"/>
    <w:rsid w:val="00FE4560"/>
    <w:rsid w:val="00FE45DE"/>
    <w:rsid w:val="00FE4728"/>
    <w:rsid w:val="00FE476A"/>
    <w:rsid w:val="00FE4808"/>
    <w:rsid w:val="00FE4924"/>
    <w:rsid w:val="00FE4ADF"/>
    <w:rsid w:val="00FE4C68"/>
    <w:rsid w:val="00FE4CE0"/>
    <w:rsid w:val="00FE4CE1"/>
    <w:rsid w:val="00FE4D63"/>
    <w:rsid w:val="00FE4DD9"/>
    <w:rsid w:val="00FE4F00"/>
    <w:rsid w:val="00FE50F1"/>
    <w:rsid w:val="00FE5492"/>
    <w:rsid w:val="00FE54A2"/>
    <w:rsid w:val="00FE5863"/>
    <w:rsid w:val="00FE5913"/>
    <w:rsid w:val="00FE5A19"/>
    <w:rsid w:val="00FE5AED"/>
    <w:rsid w:val="00FE5BB2"/>
    <w:rsid w:val="00FE5D94"/>
    <w:rsid w:val="00FE5E0A"/>
    <w:rsid w:val="00FE605D"/>
    <w:rsid w:val="00FE60FA"/>
    <w:rsid w:val="00FE66A4"/>
    <w:rsid w:val="00FE676C"/>
    <w:rsid w:val="00FE68E0"/>
    <w:rsid w:val="00FE68FB"/>
    <w:rsid w:val="00FE6A8D"/>
    <w:rsid w:val="00FE6E01"/>
    <w:rsid w:val="00FE6E0F"/>
    <w:rsid w:val="00FE6ED4"/>
    <w:rsid w:val="00FE71EB"/>
    <w:rsid w:val="00FE7210"/>
    <w:rsid w:val="00FE725E"/>
    <w:rsid w:val="00FE7269"/>
    <w:rsid w:val="00FE7360"/>
    <w:rsid w:val="00FE7476"/>
    <w:rsid w:val="00FE76FC"/>
    <w:rsid w:val="00FE7711"/>
    <w:rsid w:val="00FE7795"/>
    <w:rsid w:val="00FE7891"/>
    <w:rsid w:val="00FE790B"/>
    <w:rsid w:val="00FE7A83"/>
    <w:rsid w:val="00FE7B1E"/>
    <w:rsid w:val="00FE7B80"/>
    <w:rsid w:val="00FE7CA3"/>
    <w:rsid w:val="00FE7E2A"/>
    <w:rsid w:val="00FE7F97"/>
    <w:rsid w:val="00FF000B"/>
    <w:rsid w:val="00FF0103"/>
    <w:rsid w:val="00FF017A"/>
    <w:rsid w:val="00FF018E"/>
    <w:rsid w:val="00FF01BA"/>
    <w:rsid w:val="00FF036E"/>
    <w:rsid w:val="00FF041E"/>
    <w:rsid w:val="00FF0431"/>
    <w:rsid w:val="00FF05A6"/>
    <w:rsid w:val="00FF0646"/>
    <w:rsid w:val="00FF0692"/>
    <w:rsid w:val="00FF06A1"/>
    <w:rsid w:val="00FF0704"/>
    <w:rsid w:val="00FF0747"/>
    <w:rsid w:val="00FF07F5"/>
    <w:rsid w:val="00FF0814"/>
    <w:rsid w:val="00FF082A"/>
    <w:rsid w:val="00FF0971"/>
    <w:rsid w:val="00FF0A76"/>
    <w:rsid w:val="00FF0AA2"/>
    <w:rsid w:val="00FF0AE9"/>
    <w:rsid w:val="00FF0B50"/>
    <w:rsid w:val="00FF0F4E"/>
    <w:rsid w:val="00FF100E"/>
    <w:rsid w:val="00FF10D3"/>
    <w:rsid w:val="00FF1176"/>
    <w:rsid w:val="00FF11BB"/>
    <w:rsid w:val="00FF11CF"/>
    <w:rsid w:val="00FF1294"/>
    <w:rsid w:val="00FF13AD"/>
    <w:rsid w:val="00FF14DE"/>
    <w:rsid w:val="00FF1677"/>
    <w:rsid w:val="00FF16C6"/>
    <w:rsid w:val="00FF178D"/>
    <w:rsid w:val="00FF1889"/>
    <w:rsid w:val="00FF1968"/>
    <w:rsid w:val="00FF1B31"/>
    <w:rsid w:val="00FF1B8A"/>
    <w:rsid w:val="00FF1D54"/>
    <w:rsid w:val="00FF1EA5"/>
    <w:rsid w:val="00FF1F49"/>
    <w:rsid w:val="00FF1F7D"/>
    <w:rsid w:val="00FF1FDE"/>
    <w:rsid w:val="00FF2099"/>
    <w:rsid w:val="00FF20E9"/>
    <w:rsid w:val="00FF2164"/>
    <w:rsid w:val="00FF217F"/>
    <w:rsid w:val="00FF2235"/>
    <w:rsid w:val="00FF227B"/>
    <w:rsid w:val="00FF22CC"/>
    <w:rsid w:val="00FF236D"/>
    <w:rsid w:val="00FF2396"/>
    <w:rsid w:val="00FF241C"/>
    <w:rsid w:val="00FF25AC"/>
    <w:rsid w:val="00FF260B"/>
    <w:rsid w:val="00FF26AB"/>
    <w:rsid w:val="00FF2914"/>
    <w:rsid w:val="00FF2942"/>
    <w:rsid w:val="00FF2A86"/>
    <w:rsid w:val="00FF2BD9"/>
    <w:rsid w:val="00FF2BE4"/>
    <w:rsid w:val="00FF2BE6"/>
    <w:rsid w:val="00FF2C29"/>
    <w:rsid w:val="00FF2C4D"/>
    <w:rsid w:val="00FF2CFF"/>
    <w:rsid w:val="00FF2D13"/>
    <w:rsid w:val="00FF2DBC"/>
    <w:rsid w:val="00FF2E54"/>
    <w:rsid w:val="00FF2E93"/>
    <w:rsid w:val="00FF2F54"/>
    <w:rsid w:val="00FF2FCB"/>
    <w:rsid w:val="00FF3049"/>
    <w:rsid w:val="00FF312C"/>
    <w:rsid w:val="00FF31E0"/>
    <w:rsid w:val="00FF3260"/>
    <w:rsid w:val="00FF3271"/>
    <w:rsid w:val="00FF336E"/>
    <w:rsid w:val="00FF3379"/>
    <w:rsid w:val="00FF34F9"/>
    <w:rsid w:val="00FF3558"/>
    <w:rsid w:val="00FF3741"/>
    <w:rsid w:val="00FF3822"/>
    <w:rsid w:val="00FF3A8F"/>
    <w:rsid w:val="00FF3C8D"/>
    <w:rsid w:val="00FF3D47"/>
    <w:rsid w:val="00FF3EA3"/>
    <w:rsid w:val="00FF3F91"/>
    <w:rsid w:val="00FF40E6"/>
    <w:rsid w:val="00FF40F2"/>
    <w:rsid w:val="00FF41F6"/>
    <w:rsid w:val="00FF4297"/>
    <w:rsid w:val="00FF43D2"/>
    <w:rsid w:val="00FF444B"/>
    <w:rsid w:val="00FF451F"/>
    <w:rsid w:val="00FF4678"/>
    <w:rsid w:val="00FF4727"/>
    <w:rsid w:val="00FF480D"/>
    <w:rsid w:val="00FF4A53"/>
    <w:rsid w:val="00FF4B2E"/>
    <w:rsid w:val="00FF4B4E"/>
    <w:rsid w:val="00FF4C5D"/>
    <w:rsid w:val="00FF4D19"/>
    <w:rsid w:val="00FF4E39"/>
    <w:rsid w:val="00FF4E44"/>
    <w:rsid w:val="00FF4E88"/>
    <w:rsid w:val="00FF4EC0"/>
    <w:rsid w:val="00FF4F25"/>
    <w:rsid w:val="00FF5059"/>
    <w:rsid w:val="00FF512C"/>
    <w:rsid w:val="00FF51A7"/>
    <w:rsid w:val="00FF5264"/>
    <w:rsid w:val="00FF535C"/>
    <w:rsid w:val="00FF5444"/>
    <w:rsid w:val="00FF55F5"/>
    <w:rsid w:val="00FF561D"/>
    <w:rsid w:val="00FF5681"/>
    <w:rsid w:val="00FF5739"/>
    <w:rsid w:val="00FF5797"/>
    <w:rsid w:val="00FF5798"/>
    <w:rsid w:val="00FF5808"/>
    <w:rsid w:val="00FF58C9"/>
    <w:rsid w:val="00FF58E0"/>
    <w:rsid w:val="00FF590F"/>
    <w:rsid w:val="00FF5951"/>
    <w:rsid w:val="00FF59DD"/>
    <w:rsid w:val="00FF59F1"/>
    <w:rsid w:val="00FF5A0F"/>
    <w:rsid w:val="00FF5A60"/>
    <w:rsid w:val="00FF5AAB"/>
    <w:rsid w:val="00FF5C55"/>
    <w:rsid w:val="00FF5C99"/>
    <w:rsid w:val="00FF5CA5"/>
    <w:rsid w:val="00FF5D34"/>
    <w:rsid w:val="00FF5F09"/>
    <w:rsid w:val="00FF5F59"/>
    <w:rsid w:val="00FF5F69"/>
    <w:rsid w:val="00FF5FA4"/>
    <w:rsid w:val="00FF5FAF"/>
    <w:rsid w:val="00FF617B"/>
    <w:rsid w:val="00FF61F3"/>
    <w:rsid w:val="00FF61FE"/>
    <w:rsid w:val="00FF6468"/>
    <w:rsid w:val="00FF6538"/>
    <w:rsid w:val="00FF6574"/>
    <w:rsid w:val="00FF65F3"/>
    <w:rsid w:val="00FF666E"/>
    <w:rsid w:val="00FF674B"/>
    <w:rsid w:val="00FF67AC"/>
    <w:rsid w:val="00FF67B2"/>
    <w:rsid w:val="00FF67FF"/>
    <w:rsid w:val="00FF6839"/>
    <w:rsid w:val="00FF68B9"/>
    <w:rsid w:val="00FF68D5"/>
    <w:rsid w:val="00FF694A"/>
    <w:rsid w:val="00FF69F0"/>
    <w:rsid w:val="00FF6B73"/>
    <w:rsid w:val="00FF6CE5"/>
    <w:rsid w:val="00FF6FE6"/>
    <w:rsid w:val="00FF70B1"/>
    <w:rsid w:val="00FF70C5"/>
    <w:rsid w:val="00FF7148"/>
    <w:rsid w:val="00FF7152"/>
    <w:rsid w:val="00FF72AB"/>
    <w:rsid w:val="00FF77C6"/>
    <w:rsid w:val="00FF7886"/>
    <w:rsid w:val="00FF78DF"/>
    <w:rsid w:val="00FF7AD2"/>
    <w:rsid w:val="00FF7BFD"/>
    <w:rsid w:val="00FF7CDF"/>
    <w:rsid w:val="00FF7DF2"/>
    <w:rsid w:val="00FF7E3F"/>
    <w:rsid w:val="00FF7E70"/>
    <w:rsid w:val="00FF7F28"/>
    <w:rsid w:val="00FF7FCB"/>
    <w:rsid w:val="01445EEF"/>
    <w:rsid w:val="01B4A37F"/>
    <w:rsid w:val="01BF040D"/>
    <w:rsid w:val="01D23AA6"/>
    <w:rsid w:val="01D7E28A"/>
    <w:rsid w:val="022D7AEA"/>
    <w:rsid w:val="022E2C52"/>
    <w:rsid w:val="024F506D"/>
    <w:rsid w:val="02CCDBD8"/>
    <w:rsid w:val="02E25C17"/>
    <w:rsid w:val="02E8F654"/>
    <w:rsid w:val="030FE061"/>
    <w:rsid w:val="0351AF0E"/>
    <w:rsid w:val="03798967"/>
    <w:rsid w:val="0432C3CD"/>
    <w:rsid w:val="044755CE"/>
    <w:rsid w:val="04DAD5AE"/>
    <w:rsid w:val="04F25E83"/>
    <w:rsid w:val="0583180C"/>
    <w:rsid w:val="05B755C2"/>
    <w:rsid w:val="05D4D5B1"/>
    <w:rsid w:val="05E5660D"/>
    <w:rsid w:val="06258EA0"/>
    <w:rsid w:val="064B9ED7"/>
    <w:rsid w:val="069B4B5A"/>
    <w:rsid w:val="06B3BDED"/>
    <w:rsid w:val="076B94D5"/>
    <w:rsid w:val="0776F933"/>
    <w:rsid w:val="07998853"/>
    <w:rsid w:val="07CBD7EA"/>
    <w:rsid w:val="0804DD08"/>
    <w:rsid w:val="0823E8CF"/>
    <w:rsid w:val="0825ECA5"/>
    <w:rsid w:val="085FCE38"/>
    <w:rsid w:val="090FB15C"/>
    <w:rsid w:val="0966FD62"/>
    <w:rsid w:val="096F8CDE"/>
    <w:rsid w:val="09C5CE1B"/>
    <w:rsid w:val="09CAE48F"/>
    <w:rsid w:val="0A067616"/>
    <w:rsid w:val="0A3B3972"/>
    <w:rsid w:val="0A78CF26"/>
    <w:rsid w:val="0ABDBF05"/>
    <w:rsid w:val="0CCA770F"/>
    <w:rsid w:val="0CFBCFE4"/>
    <w:rsid w:val="0D6386A6"/>
    <w:rsid w:val="0DA4EC49"/>
    <w:rsid w:val="0DB2C091"/>
    <w:rsid w:val="0E0B276E"/>
    <w:rsid w:val="0E2CD458"/>
    <w:rsid w:val="0E735BA5"/>
    <w:rsid w:val="0E7447A3"/>
    <w:rsid w:val="0E9222BD"/>
    <w:rsid w:val="0E976118"/>
    <w:rsid w:val="0ED1B3EC"/>
    <w:rsid w:val="0F833DBB"/>
    <w:rsid w:val="0FDDD6B0"/>
    <w:rsid w:val="0FF40CBA"/>
    <w:rsid w:val="101C82D9"/>
    <w:rsid w:val="10359B4B"/>
    <w:rsid w:val="11327358"/>
    <w:rsid w:val="115BFC9C"/>
    <w:rsid w:val="11666FC4"/>
    <w:rsid w:val="11FD88F5"/>
    <w:rsid w:val="1244F849"/>
    <w:rsid w:val="129B81A4"/>
    <w:rsid w:val="12ACF165"/>
    <w:rsid w:val="12C5E979"/>
    <w:rsid w:val="12DD1932"/>
    <w:rsid w:val="133458AA"/>
    <w:rsid w:val="134716B1"/>
    <w:rsid w:val="1374FBDD"/>
    <w:rsid w:val="138549FD"/>
    <w:rsid w:val="143923B2"/>
    <w:rsid w:val="144E8334"/>
    <w:rsid w:val="14EDB9F6"/>
    <w:rsid w:val="1511F62B"/>
    <w:rsid w:val="1526DFE5"/>
    <w:rsid w:val="1551E755"/>
    <w:rsid w:val="15596C6A"/>
    <w:rsid w:val="1592CC22"/>
    <w:rsid w:val="16337940"/>
    <w:rsid w:val="1637392F"/>
    <w:rsid w:val="164417CB"/>
    <w:rsid w:val="16931C9D"/>
    <w:rsid w:val="16B8DD3D"/>
    <w:rsid w:val="16D286E6"/>
    <w:rsid w:val="16FBA1EC"/>
    <w:rsid w:val="17008898"/>
    <w:rsid w:val="172FECB3"/>
    <w:rsid w:val="17689BF6"/>
    <w:rsid w:val="1795E6D0"/>
    <w:rsid w:val="17B00D5B"/>
    <w:rsid w:val="18528D60"/>
    <w:rsid w:val="185DB3EB"/>
    <w:rsid w:val="18C9F07D"/>
    <w:rsid w:val="18FB0CE5"/>
    <w:rsid w:val="191A98DB"/>
    <w:rsid w:val="19628859"/>
    <w:rsid w:val="19D96243"/>
    <w:rsid w:val="1A78DB95"/>
    <w:rsid w:val="1A86BEE5"/>
    <w:rsid w:val="1A91A829"/>
    <w:rsid w:val="1A9C6382"/>
    <w:rsid w:val="1B1A15FC"/>
    <w:rsid w:val="1B65C672"/>
    <w:rsid w:val="1BBB0573"/>
    <w:rsid w:val="1C010E1C"/>
    <w:rsid w:val="1C6A2F03"/>
    <w:rsid w:val="1C7A02F1"/>
    <w:rsid w:val="1CAF0860"/>
    <w:rsid w:val="1CE0C2EF"/>
    <w:rsid w:val="1D5979D8"/>
    <w:rsid w:val="1D83E341"/>
    <w:rsid w:val="1DA0B891"/>
    <w:rsid w:val="1DE61C7F"/>
    <w:rsid w:val="1E8BAF11"/>
    <w:rsid w:val="1ECC65EE"/>
    <w:rsid w:val="1ED10BA5"/>
    <w:rsid w:val="1ED73018"/>
    <w:rsid w:val="1F4E0C37"/>
    <w:rsid w:val="200A6AE3"/>
    <w:rsid w:val="205E90AF"/>
    <w:rsid w:val="20928DE5"/>
    <w:rsid w:val="209C22BD"/>
    <w:rsid w:val="20D6C505"/>
    <w:rsid w:val="20DD3DE7"/>
    <w:rsid w:val="20F4341D"/>
    <w:rsid w:val="214E6F3A"/>
    <w:rsid w:val="220D4CCC"/>
    <w:rsid w:val="2224BF0B"/>
    <w:rsid w:val="223CC7B7"/>
    <w:rsid w:val="22489E5E"/>
    <w:rsid w:val="226FC44C"/>
    <w:rsid w:val="227D5857"/>
    <w:rsid w:val="228861C1"/>
    <w:rsid w:val="228F9103"/>
    <w:rsid w:val="229C35FA"/>
    <w:rsid w:val="23040891"/>
    <w:rsid w:val="23460081"/>
    <w:rsid w:val="2367F24A"/>
    <w:rsid w:val="236C047D"/>
    <w:rsid w:val="23738818"/>
    <w:rsid w:val="238017EB"/>
    <w:rsid w:val="23DDF359"/>
    <w:rsid w:val="23E180A1"/>
    <w:rsid w:val="23FD3EC6"/>
    <w:rsid w:val="24124125"/>
    <w:rsid w:val="24142D86"/>
    <w:rsid w:val="242CAC86"/>
    <w:rsid w:val="244EE115"/>
    <w:rsid w:val="24666564"/>
    <w:rsid w:val="24985F44"/>
    <w:rsid w:val="25108658"/>
    <w:rsid w:val="2560DFA3"/>
    <w:rsid w:val="2569DD2D"/>
    <w:rsid w:val="257FFCEB"/>
    <w:rsid w:val="25A864A9"/>
    <w:rsid w:val="25ACD9AE"/>
    <w:rsid w:val="260A5BA5"/>
    <w:rsid w:val="2642DFC5"/>
    <w:rsid w:val="267E79D5"/>
    <w:rsid w:val="26E59A04"/>
    <w:rsid w:val="273FCCDF"/>
    <w:rsid w:val="275F924B"/>
    <w:rsid w:val="277C1B69"/>
    <w:rsid w:val="2784069A"/>
    <w:rsid w:val="2790A0FE"/>
    <w:rsid w:val="27A9166F"/>
    <w:rsid w:val="27C73412"/>
    <w:rsid w:val="27D64D22"/>
    <w:rsid w:val="281471F3"/>
    <w:rsid w:val="28307160"/>
    <w:rsid w:val="289018B3"/>
    <w:rsid w:val="28BBA450"/>
    <w:rsid w:val="28E8AE1F"/>
    <w:rsid w:val="28FCA92E"/>
    <w:rsid w:val="298806C0"/>
    <w:rsid w:val="29CFF8AC"/>
    <w:rsid w:val="29F6C234"/>
    <w:rsid w:val="2A3EACD0"/>
    <w:rsid w:val="2A4459A3"/>
    <w:rsid w:val="2A526873"/>
    <w:rsid w:val="2A63456E"/>
    <w:rsid w:val="2A6517CE"/>
    <w:rsid w:val="2AAF9427"/>
    <w:rsid w:val="2B19AB45"/>
    <w:rsid w:val="2B53D686"/>
    <w:rsid w:val="2BCEB767"/>
    <w:rsid w:val="2BD9E9F1"/>
    <w:rsid w:val="2C03326C"/>
    <w:rsid w:val="2C2C55AA"/>
    <w:rsid w:val="2C6A0265"/>
    <w:rsid w:val="2C7D4B3F"/>
    <w:rsid w:val="2C87CA5A"/>
    <w:rsid w:val="2CCE9717"/>
    <w:rsid w:val="2CEB5863"/>
    <w:rsid w:val="2D117AA4"/>
    <w:rsid w:val="2D998D87"/>
    <w:rsid w:val="2DCA25A3"/>
    <w:rsid w:val="2E4CEEBA"/>
    <w:rsid w:val="2E5BB64E"/>
    <w:rsid w:val="2E79B6FE"/>
    <w:rsid w:val="2EA561DC"/>
    <w:rsid w:val="2EC6E7EA"/>
    <w:rsid w:val="2F28A381"/>
    <w:rsid w:val="2F974928"/>
    <w:rsid w:val="2FC59E41"/>
    <w:rsid w:val="3042D40D"/>
    <w:rsid w:val="3064708C"/>
    <w:rsid w:val="30B80E18"/>
    <w:rsid w:val="312FFD4F"/>
    <w:rsid w:val="3150DA06"/>
    <w:rsid w:val="3176E34E"/>
    <w:rsid w:val="325E558D"/>
    <w:rsid w:val="3261432F"/>
    <w:rsid w:val="32746E24"/>
    <w:rsid w:val="32BD739C"/>
    <w:rsid w:val="32CED365"/>
    <w:rsid w:val="32CF1A12"/>
    <w:rsid w:val="32E69C0A"/>
    <w:rsid w:val="3326617B"/>
    <w:rsid w:val="33283B4E"/>
    <w:rsid w:val="3329AB89"/>
    <w:rsid w:val="3345E2F5"/>
    <w:rsid w:val="3346CFC1"/>
    <w:rsid w:val="33838F9A"/>
    <w:rsid w:val="33DBB58D"/>
    <w:rsid w:val="341AC888"/>
    <w:rsid w:val="344A3F12"/>
    <w:rsid w:val="349D8E52"/>
    <w:rsid w:val="34B45DDC"/>
    <w:rsid w:val="351F5A0A"/>
    <w:rsid w:val="354E6A32"/>
    <w:rsid w:val="357E2E54"/>
    <w:rsid w:val="35C5891D"/>
    <w:rsid w:val="36A3A0EA"/>
    <w:rsid w:val="379DAC43"/>
    <w:rsid w:val="37A112DD"/>
    <w:rsid w:val="37A1A929"/>
    <w:rsid w:val="37A21766"/>
    <w:rsid w:val="381EEEDE"/>
    <w:rsid w:val="38880C13"/>
    <w:rsid w:val="38ABC532"/>
    <w:rsid w:val="38B54C39"/>
    <w:rsid w:val="38D01287"/>
    <w:rsid w:val="38F6216F"/>
    <w:rsid w:val="393374DF"/>
    <w:rsid w:val="3965CBF1"/>
    <w:rsid w:val="3981ADE5"/>
    <w:rsid w:val="399C0D0C"/>
    <w:rsid w:val="39E40584"/>
    <w:rsid w:val="3A0DC87B"/>
    <w:rsid w:val="3A3C4270"/>
    <w:rsid w:val="3A8BE68F"/>
    <w:rsid w:val="3B1480FE"/>
    <w:rsid w:val="3B5D86FF"/>
    <w:rsid w:val="3B8034C7"/>
    <w:rsid w:val="3BB19AA8"/>
    <w:rsid w:val="3BC662B8"/>
    <w:rsid w:val="3BE87906"/>
    <w:rsid w:val="3BFBAF3E"/>
    <w:rsid w:val="3C05886C"/>
    <w:rsid w:val="3C5C2ABC"/>
    <w:rsid w:val="3CB50F49"/>
    <w:rsid w:val="3CD44335"/>
    <w:rsid w:val="3D3C03D3"/>
    <w:rsid w:val="3D89BDD1"/>
    <w:rsid w:val="3E003AB8"/>
    <w:rsid w:val="3E0B457B"/>
    <w:rsid w:val="3E6DC9DE"/>
    <w:rsid w:val="3E7D1EB9"/>
    <w:rsid w:val="3EA31C3C"/>
    <w:rsid w:val="3F49C496"/>
    <w:rsid w:val="3F66935A"/>
    <w:rsid w:val="3F9F1E66"/>
    <w:rsid w:val="3FB01A52"/>
    <w:rsid w:val="40353DB3"/>
    <w:rsid w:val="40596641"/>
    <w:rsid w:val="4082F0A2"/>
    <w:rsid w:val="40B25BFB"/>
    <w:rsid w:val="40E8005E"/>
    <w:rsid w:val="4129B40A"/>
    <w:rsid w:val="41C3FBB4"/>
    <w:rsid w:val="41D69EB8"/>
    <w:rsid w:val="42250B30"/>
    <w:rsid w:val="42AB87AC"/>
    <w:rsid w:val="42B29D67"/>
    <w:rsid w:val="4375795B"/>
    <w:rsid w:val="43AD4850"/>
    <w:rsid w:val="43D6123F"/>
    <w:rsid w:val="442E8829"/>
    <w:rsid w:val="450BC7A2"/>
    <w:rsid w:val="454370F7"/>
    <w:rsid w:val="454A189F"/>
    <w:rsid w:val="45BD6FAD"/>
    <w:rsid w:val="45C9E190"/>
    <w:rsid w:val="45F4C1CD"/>
    <w:rsid w:val="46092064"/>
    <w:rsid w:val="46190C35"/>
    <w:rsid w:val="4625264C"/>
    <w:rsid w:val="4657EC43"/>
    <w:rsid w:val="46BA3C57"/>
    <w:rsid w:val="471067D3"/>
    <w:rsid w:val="4735BE0B"/>
    <w:rsid w:val="47B6A634"/>
    <w:rsid w:val="47E46E5A"/>
    <w:rsid w:val="47E4711D"/>
    <w:rsid w:val="4836BCA7"/>
    <w:rsid w:val="484D9909"/>
    <w:rsid w:val="48500E84"/>
    <w:rsid w:val="4851C49C"/>
    <w:rsid w:val="486126A7"/>
    <w:rsid w:val="486ABD7A"/>
    <w:rsid w:val="487DD9DC"/>
    <w:rsid w:val="48B45849"/>
    <w:rsid w:val="48B8F9D3"/>
    <w:rsid w:val="48BDE655"/>
    <w:rsid w:val="48DA6CB1"/>
    <w:rsid w:val="490091A2"/>
    <w:rsid w:val="4922F418"/>
    <w:rsid w:val="49AB4BDD"/>
    <w:rsid w:val="49CDF4FF"/>
    <w:rsid w:val="4A0A46CC"/>
    <w:rsid w:val="4A27D304"/>
    <w:rsid w:val="4A34A526"/>
    <w:rsid w:val="4A354E9E"/>
    <w:rsid w:val="4A3EDACF"/>
    <w:rsid w:val="4A5C0692"/>
    <w:rsid w:val="4A7355F8"/>
    <w:rsid w:val="4A770008"/>
    <w:rsid w:val="4AA431F3"/>
    <w:rsid w:val="4B15A2DE"/>
    <w:rsid w:val="4B179D58"/>
    <w:rsid w:val="4B5A2A6D"/>
    <w:rsid w:val="4B6505DA"/>
    <w:rsid w:val="4B694F31"/>
    <w:rsid w:val="4B6F2553"/>
    <w:rsid w:val="4B84921F"/>
    <w:rsid w:val="4BBF1FC3"/>
    <w:rsid w:val="4BC5601A"/>
    <w:rsid w:val="4C04077C"/>
    <w:rsid w:val="4C2E7D19"/>
    <w:rsid w:val="4C5F864A"/>
    <w:rsid w:val="4C68D713"/>
    <w:rsid w:val="4C73A2C5"/>
    <w:rsid w:val="4CBCB15C"/>
    <w:rsid w:val="4CE3DD70"/>
    <w:rsid w:val="4D1F9E78"/>
    <w:rsid w:val="4DDD4895"/>
    <w:rsid w:val="4DF6CB85"/>
    <w:rsid w:val="4E2A3833"/>
    <w:rsid w:val="4E4412B0"/>
    <w:rsid w:val="4E526401"/>
    <w:rsid w:val="4E6D6E7F"/>
    <w:rsid w:val="4E99C72B"/>
    <w:rsid w:val="4EC1028D"/>
    <w:rsid w:val="4EFCDFAF"/>
    <w:rsid w:val="4F12ACAA"/>
    <w:rsid w:val="4F5CCC1D"/>
    <w:rsid w:val="4FAC1A1F"/>
    <w:rsid w:val="4FF27533"/>
    <w:rsid w:val="503FCE02"/>
    <w:rsid w:val="50642680"/>
    <w:rsid w:val="50C78E91"/>
    <w:rsid w:val="50D4A310"/>
    <w:rsid w:val="50D50D77"/>
    <w:rsid w:val="50D7BA6A"/>
    <w:rsid w:val="50E32D49"/>
    <w:rsid w:val="50E6E79D"/>
    <w:rsid w:val="511936B6"/>
    <w:rsid w:val="5177C9DD"/>
    <w:rsid w:val="520B7A79"/>
    <w:rsid w:val="520BD504"/>
    <w:rsid w:val="526B5DB4"/>
    <w:rsid w:val="5373C782"/>
    <w:rsid w:val="538C9E49"/>
    <w:rsid w:val="53F3254A"/>
    <w:rsid w:val="547E6296"/>
    <w:rsid w:val="54D6566A"/>
    <w:rsid w:val="55655048"/>
    <w:rsid w:val="55680974"/>
    <w:rsid w:val="5581D3E9"/>
    <w:rsid w:val="55A34871"/>
    <w:rsid w:val="55F6B0A7"/>
    <w:rsid w:val="56230E83"/>
    <w:rsid w:val="56703EB3"/>
    <w:rsid w:val="568D9454"/>
    <w:rsid w:val="56B4C8F9"/>
    <w:rsid w:val="56D15784"/>
    <w:rsid w:val="56DD464A"/>
    <w:rsid w:val="570A5579"/>
    <w:rsid w:val="571E16E0"/>
    <w:rsid w:val="576F1109"/>
    <w:rsid w:val="58A86C21"/>
    <w:rsid w:val="5958CF4E"/>
    <w:rsid w:val="598C29C4"/>
    <w:rsid w:val="59AAB718"/>
    <w:rsid w:val="59C9E764"/>
    <w:rsid w:val="5A0794DD"/>
    <w:rsid w:val="5A42762D"/>
    <w:rsid w:val="5A45E136"/>
    <w:rsid w:val="5A50B827"/>
    <w:rsid w:val="5A5A724B"/>
    <w:rsid w:val="5A66435B"/>
    <w:rsid w:val="5A6B62C6"/>
    <w:rsid w:val="5B446380"/>
    <w:rsid w:val="5B52CB2F"/>
    <w:rsid w:val="5B8DE4B7"/>
    <w:rsid w:val="5C16E544"/>
    <w:rsid w:val="5C20B4C8"/>
    <w:rsid w:val="5C237ABF"/>
    <w:rsid w:val="5C390FE8"/>
    <w:rsid w:val="5C41736F"/>
    <w:rsid w:val="5C5B97A0"/>
    <w:rsid w:val="5CFCD9FA"/>
    <w:rsid w:val="5D49B043"/>
    <w:rsid w:val="5D5AA078"/>
    <w:rsid w:val="5DB03538"/>
    <w:rsid w:val="5E8B404B"/>
    <w:rsid w:val="5E974390"/>
    <w:rsid w:val="5EA61CC5"/>
    <w:rsid w:val="5EDA3966"/>
    <w:rsid w:val="5F1F7BD0"/>
    <w:rsid w:val="5F68F523"/>
    <w:rsid w:val="5F8048E2"/>
    <w:rsid w:val="6001A8F9"/>
    <w:rsid w:val="60697C2C"/>
    <w:rsid w:val="606FC0C1"/>
    <w:rsid w:val="607731A8"/>
    <w:rsid w:val="608DECFC"/>
    <w:rsid w:val="6094A8F9"/>
    <w:rsid w:val="61001375"/>
    <w:rsid w:val="615202AA"/>
    <w:rsid w:val="617521BD"/>
    <w:rsid w:val="61AA59DC"/>
    <w:rsid w:val="620A8401"/>
    <w:rsid w:val="622CFEF8"/>
    <w:rsid w:val="6264918E"/>
    <w:rsid w:val="629BCB21"/>
    <w:rsid w:val="62C19BD1"/>
    <w:rsid w:val="62D255F6"/>
    <w:rsid w:val="63BCA77B"/>
    <w:rsid w:val="641AD959"/>
    <w:rsid w:val="6488CECF"/>
    <w:rsid w:val="648B21C1"/>
    <w:rsid w:val="648CE6B9"/>
    <w:rsid w:val="653F19BC"/>
    <w:rsid w:val="6540D51E"/>
    <w:rsid w:val="6597B439"/>
    <w:rsid w:val="661C039B"/>
    <w:rsid w:val="666E7155"/>
    <w:rsid w:val="66924B6E"/>
    <w:rsid w:val="6814F240"/>
    <w:rsid w:val="685BB4E9"/>
    <w:rsid w:val="68A3A038"/>
    <w:rsid w:val="68AFDBE9"/>
    <w:rsid w:val="692D7CC0"/>
    <w:rsid w:val="69A7C2E0"/>
    <w:rsid w:val="69E51E58"/>
    <w:rsid w:val="69FD96AE"/>
    <w:rsid w:val="6A44670C"/>
    <w:rsid w:val="6B38B325"/>
    <w:rsid w:val="6B80CE0C"/>
    <w:rsid w:val="6BB5F4E6"/>
    <w:rsid w:val="6BD1E0BD"/>
    <w:rsid w:val="6C59B7EE"/>
    <w:rsid w:val="6C824A5B"/>
    <w:rsid w:val="6C9299FB"/>
    <w:rsid w:val="6CBCC9E4"/>
    <w:rsid w:val="6CD11247"/>
    <w:rsid w:val="6D24A764"/>
    <w:rsid w:val="6D3B0417"/>
    <w:rsid w:val="6D53D789"/>
    <w:rsid w:val="6DE2F431"/>
    <w:rsid w:val="6DF0B4C0"/>
    <w:rsid w:val="6DF2BD3F"/>
    <w:rsid w:val="6E18BF9A"/>
    <w:rsid w:val="6E1B51A9"/>
    <w:rsid w:val="6ECF94DC"/>
    <w:rsid w:val="6F042688"/>
    <w:rsid w:val="6F40CFEF"/>
    <w:rsid w:val="6F658C71"/>
    <w:rsid w:val="6FA27188"/>
    <w:rsid w:val="7004625B"/>
    <w:rsid w:val="7013F34B"/>
    <w:rsid w:val="7057628A"/>
    <w:rsid w:val="70620D6D"/>
    <w:rsid w:val="7154FDDB"/>
    <w:rsid w:val="716003DE"/>
    <w:rsid w:val="719E0807"/>
    <w:rsid w:val="71D2BD69"/>
    <w:rsid w:val="72056B30"/>
    <w:rsid w:val="728E7DD7"/>
    <w:rsid w:val="729BCA2F"/>
    <w:rsid w:val="72C951C6"/>
    <w:rsid w:val="72D78535"/>
    <w:rsid w:val="72F66332"/>
    <w:rsid w:val="730E235D"/>
    <w:rsid w:val="7315AC7F"/>
    <w:rsid w:val="73290386"/>
    <w:rsid w:val="73519562"/>
    <w:rsid w:val="736BF5C3"/>
    <w:rsid w:val="736F32C7"/>
    <w:rsid w:val="740CA0BB"/>
    <w:rsid w:val="740E1EAC"/>
    <w:rsid w:val="74257DBC"/>
    <w:rsid w:val="744CAF1D"/>
    <w:rsid w:val="746F635A"/>
    <w:rsid w:val="746F7972"/>
    <w:rsid w:val="74C481F6"/>
    <w:rsid w:val="753D8F1E"/>
    <w:rsid w:val="75517953"/>
    <w:rsid w:val="75633E66"/>
    <w:rsid w:val="75DD0FD8"/>
    <w:rsid w:val="77486D47"/>
    <w:rsid w:val="7763558E"/>
    <w:rsid w:val="77EC4428"/>
    <w:rsid w:val="77F14C82"/>
    <w:rsid w:val="78082CA1"/>
    <w:rsid w:val="7808994E"/>
    <w:rsid w:val="783B7E1F"/>
    <w:rsid w:val="783C28FB"/>
    <w:rsid w:val="784CCA81"/>
    <w:rsid w:val="7869A778"/>
    <w:rsid w:val="78A90F31"/>
    <w:rsid w:val="78D42467"/>
    <w:rsid w:val="7900AEC4"/>
    <w:rsid w:val="79405861"/>
    <w:rsid w:val="79887A42"/>
    <w:rsid w:val="799DDD0C"/>
    <w:rsid w:val="7A064597"/>
    <w:rsid w:val="7AC2D2CD"/>
    <w:rsid w:val="7B15936D"/>
    <w:rsid w:val="7B80BF03"/>
    <w:rsid w:val="7B9966D8"/>
    <w:rsid w:val="7BCA62A2"/>
    <w:rsid w:val="7BEB5AB6"/>
    <w:rsid w:val="7BF6397C"/>
    <w:rsid w:val="7C0CBE3D"/>
    <w:rsid w:val="7C823233"/>
    <w:rsid w:val="7C9A65F5"/>
    <w:rsid w:val="7CCA01CE"/>
    <w:rsid w:val="7D426D42"/>
    <w:rsid w:val="7DDB3760"/>
    <w:rsid w:val="7E4A5660"/>
    <w:rsid w:val="7EFD4792"/>
    <w:rsid w:val="7F1D8AEB"/>
    <w:rsid w:val="7F3B2926"/>
    <w:rsid w:val="7F5AC4BB"/>
    <w:rsid w:val="7FC1BF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DCF485"/>
  <w15:docId w15:val="{6B4E40D4-CF8B-4C4F-BB39-1DD73B9EC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9" w:qFormat="1"/>
    <w:lsdException w:name="heading 2" w:semiHidden="1" w:uiPriority="19" w:unhideWhenUsed="1" w:qFormat="1"/>
    <w:lsdException w:name="heading 3" w:semiHidden="1" w:uiPriority="19" w:unhideWhenUsed="1" w:qFormat="1"/>
    <w:lsdException w:name="heading 4" w:semiHidden="1" w:uiPriority="19" w:unhideWhenUsed="1" w:qFormat="1"/>
    <w:lsdException w:name="heading 5" w:semiHidden="1" w:uiPriority="19" w:unhideWhenUsed="1" w:qFormat="1"/>
    <w:lsdException w:name="heading 6" w:semiHidden="1" w:uiPriority="19" w:unhideWhenUsed="1" w:qFormat="1"/>
    <w:lsdException w:name="heading 7" w:semiHidden="1" w:uiPriority="19" w:unhideWhenUsed="1"/>
    <w:lsdException w:name="heading 8" w:semiHidden="1" w:uiPriority="19" w:unhideWhenUsed="1"/>
    <w:lsdException w:name="heading 9" w:semiHidden="1" w:uiPriority="1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8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6C34"/>
    <w:pPr>
      <w:spacing w:after="120" w:line="276" w:lineRule="auto"/>
    </w:pPr>
    <w:rPr>
      <w:rFonts w:ascii="Segoe UI" w:hAnsi="Segoe UI"/>
      <w:sz w:val="21"/>
      <w:lang w:val="en-AU"/>
    </w:rPr>
  </w:style>
  <w:style w:type="paragraph" w:styleId="Heading1">
    <w:name w:val="heading 1"/>
    <w:basedOn w:val="Normal"/>
    <w:next w:val="Normal"/>
    <w:link w:val="Heading1Char"/>
    <w:uiPriority w:val="19"/>
    <w:qFormat/>
    <w:rsid w:val="00E468D8"/>
    <w:pPr>
      <w:keepNext/>
      <w:pageBreakBefore/>
      <w:numPr>
        <w:numId w:val="4"/>
      </w:numPr>
      <w:spacing w:after="360"/>
      <w:outlineLvl w:val="0"/>
    </w:pPr>
    <w:rPr>
      <w:rFonts w:eastAsia="Times New Roman" w:cs="Times New Roman"/>
      <w:b/>
      <w:color w:val="00264D"/>
      <w:sz w:val="36"/>
      <w:szCs w:val="19"/>
      <w:lang w:eastAsia="en-AU"/>
    </w:rPr>
  </w:style>
  <w:style w:type="paragraph" w:styleId="Heading2">
    <w:name w:val="heading 2"/>
    <w:basedOn w:val="Normal"/>
    <w:next w:val="Normal"/>
    <w:link w:val="Heading2Char"/>
    <w:uiPriority w:val="19"/>
    <w:qFormat/>
    <w:rsid w:val="009B0888"/>
    <w:pPr>
      <w:keepNext/>
      <w:numPr>
        <w:ilvl w:val="1"/>
        <w:numId w:val="4"/>
      </w:numPr>
      <w:spacing w:before="300" w:after="180"/>
      <w:outlineLvl w:val="1"/>
    </w:pPr>
    <w:rPr>
      <w:rFonts w:ascii="Segoe UI Semibold" w:eastAsia="Times New Roman" w:hAnsi="Segoe UI Semibold" w:cs="Times New Roman"/>
      <w:color w:val="00264D"/>
      <w:sz w:val="30"/>
      <w:szCs w:val="19"/>
      <w:lang w:eastAsia="en-AU"/>
    </w:rPr>
  </w:style>
  <w:style w:type="paragraph" w:styleId="Heading3">
    <w:name w:val="heading 3"/>
    <w:basedOn w:val="Normal"/>
    <w:next w:val="Normal"/>
    <w:link w:val="Heading3Char"/>
    <w:uiPriority w:val="19"/>
    <w:qFormat/>
    <w:rsid w:val="0015146B"/>
    <w:pPr>
      <w:keepNext/>
      <w:spacing w:before="360"/>
      <w:outlineLvl w:val="2"/>
    </w:pPr>
    <w:rPr>
      <w:rFonts w:ascii="Segoe UI Semibold" w:eastAsia="Times New Roman" w:hAnsi="Segoe UI Semibold" w:cs="Times New Roman"/>
      <w:color w:val="00264D"/>
      <w:sz w:val="26"/>
      <w:szCs w:val="19"/>
      <w:lang w:eastAsia="en-AU"/>
    </w:rPr>
  </w:style>
  <w:style w:type="paragraph" w:styleId="Heading4">
    <w:name w:val="heading 4"/>
    <w:basedOn w:val="Normal"/>
    <w:next w:val="Normal"/>
    <w:link w:val="Heading4Char"/>
    <w:uiPriority w:val="1"/>
    <w:qFormat/>
    <w:rsid w:val="00ED1544"/>
    <w:pPr>
      <w:keepNext/>
      <w:spacing w:before="240"/>
      <w:outlineLvl w:val="3"/>
    </w:pPr>
    <w:rPr>
      <w:rFonts w:ascii="Segoe UI Semibold" w:eastAsia="Times New Roman" w:hAnsi="Segoe UI Semibold" w:cs="Times New Roman"/>
      <w:color w:val="00264D" w:themeColor="background2"/>
      <w:sz w:val="22"/>
      <w:szCs w:val="19"/>
      <w:lang w:eastAsia="en-AU"/>
    </w:rPr>
  </w:style>
  <w:style w:type="paragraph" w:styleId="Heading5">
    <w:name w:val="heading 5"/>
    <w:basedOn w:val="Normal"/>
    <w:next w:val="Normal"/>
    <w:link w:val="Heading5Char"/>
    <w:uiPriority w:val="19"/>
    <w:qFormat/>
    <w:rsid w:val="00857803"/>
    <w:pPr>
      <w:keepNext/>
      <w:numPr>
        <w:ilvl w:val="4"/>
        <w:numId w:val="4"/>
      </w:numPr>
      <w:spacing w:before="240" w:after="60"/>
      <w:outlineLvl w:val="4"/>
    </w:pPr>
    <w:rPr>
      <w:rFonts w:eastAsia="Times New Roman" w:cs="Times New Roman"/>
      <w:b/>
      <w:color w:val="808080" w:themeColor="background1" w:themeShade="80"/>
      <w:sz w:val="20"/>
      <w:szCs w:val="24"/>
      <w:lang w:eastAsia="en-AU"/>
    </w:rPr>
  </w:style>
  <w:style w:type="paragraph" w:styleId="Heading6">
    <w:name w:val="heading 6"/>
    <w:basedOn w:val="Normal"/>
    <w:next w:val="Normal"/>
    <w:link w:val="Heading6Char"/>
    <w:uiPriority w:val="19"/>
    <w:qFormat/>
    <w:rsid w:val="00BA3DB6"/>
    <w:pPr>
      <w:keepNext/>
      <w:keepLines/>
      <w:numPr>
        <w:ilvl w:val="5"/>
        <w:numId w:val="4"/>
      </w:numPr>
      <w:spacing w:before="200" w:after="60"/>
      <w:outlineLvl w:val="5"/>
    </w:pPr>
    <w:rPr>
      <w:rFonts w:eastAsiaTheme="majorEastAsia" w:cstheme="majorBidi"/>
      <w:b/>
      <w:i/>
      <w:iCs/>
      <w:color w:val="00264D"/>
      <w:szCs w:val="19"/>
      <w:lang w:eastAsia="en-AU"/>
    </w:rPr>
  </w:style>
  <w:style w:type="paragraph" w:styleId="Heading7">
    <w:name w:val="heading 7"/>
    <w:basedOn w:val="Normal"/>
    <w:next w:val="Normal"/>
    <w:link w:val="Heading7Char"/>
    <w:uiPriority w:val="19"/>
    <w:semiHidden/>
    <w:rsid w:val="000137FA"/>
    <w:pPr>
      <w:keepNext/>
      <w:keepLines/>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19"/>
    <w:semiHidden/>
    <w:rsid w:val="000137FA"/>
    <w:pPr>
      <w:keepNext/>
      <w:keepLines/>
      <w:spacing w:before="200" w:after="0"/>
      <w:outlineLvl w:val="7"/>
    </w:pPr>
    <w:rPr>
      <w:rFonts w:eastAsiaTheme="majorEastAsia" w:cstheme="majorBidi"/>
      <w:color w:val="404040" w:themeColor="text1" w:themeTint="BF"/>
      <w:sz w:val="20"/>
      <w:szCs w:val="20"/>
    </w:rPr>
  </w:style>
  <w:style w:type="paragraph" w:styleId="Heading9">
    <w:name w:val="heading 9"/>
    <w:basedOn w:val="Normal"/>
    <w:next w:val="Normal"/>
    <w:link w:val="Heading9Char"/>
    <w:uiPriority w:val="19"/>
    <w:semiHidden/>
    <w:qFormat/>
    <w:rsid w:val="00363BC2"/>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NousTable">
    <w:name w:val="Nous Table"/>
    <w:basedOn w:val="TableNormal"/>
    <w:uiPriority w:val="99"/>
    <w:rsid w:val="00653916"/>
    <w:pPr>
      <w:spacing w:after="0" w:line="240" w:lineRule="auto"/>
    </w:pPr>
    <w:rPr>
      <w:rFonts w:eastAsia="Times New Roman"/>
      <w:lang w:val="en-AU" w:eastAsia="en-AU"/>
    </w:rPr>
    <w:tblPr>
      <w:tblStyleRowBandSize w:val="1"/>
      <w:jc w:val="center"/>
      <w:tblBorders>
        <w:insideH w:val="single" w:sz="4" w:space="0" w:color="FF888B" w:themeColor="accent1" w:themeTint="99"/>
        <w:insideV w:val="single" w:sz="4" w:space="0" w:color="FF888B" w:themeColor="accent1" w:themeTint="99"/>
      </w:tblBorders>
    </w:tblPr>
    <w:trPr>
      <w:cantSplit/>
      <w:jc w:val="center"/>
    </w:trPr>
    <w:tcPr>
      <w:tcMar>
        <w:top w:w="57" w:type="dxa"/>
        <w:left w:w="57" w:type="dxa"/>
        <w:bottom w:w="57" w:type="dxa"/>
        <w:right w:w="57" w:type="dxa"/>
      </w:tcMar>
      <w:vAlign w:val="center"/>
    </w:tcPr>
    <w:tblStylePr w:type="firstRow">
      <w:pPr>
        <w:keepNext/>
        <w:wordWrap/>
      </w:pPr>
      <w:rPr>
        <w:b w:val="0"/>
        <w:color w:val="FFFFFF" w:themeColor="background1"/>
      </w:rPr>
      <w:tblPr/>
      <w:trPr>
        <w:tblHeader/>
      </w:trPr>
      <w:tcPr>
        <w:shd w:val="clear" w:color="auto" w:fill="FF3A40" w:themeFill="accent1"/>
      </w:tcPr>
    </w:tblStylePr>
    <w:tblStylePr w:type="lastRow">
      <w:tblPr/>
      <w:tcPr>
        <w:tcBorders>
          <w:top w:val="double" w:sz="4" w:space="0" w:color="FF3A40" w:themeColor="accent1"/>
        </w:tcBorders>
      </w:tcPr>
    </w:tblStylePr>
    <w:tblStylePr w:type="firstCol">
      <w:rPr>
        <w:b w:val="0"/>
        <w:color w:val="FFFFFF" w:themeColor="background1"/>
      </w:rPr>
      <w:tblPr/>
      <w:tcPr>
        <w:shd w:val="clear" w:color="auto" w:fill="FF3A40" w:themeFill="accent1"/>
      </w:tcPr>
    </w:tblStylePr>
    <w:tblStylePr w:type="lastCol">
      <w:tblPr/>
      <w:tcPr>
        <w:tcBorders>
          <w:left w:val="double" w:sz="4" w:space="0" w:color="FF3A40" w:themeColor="accent1"/>
        </w:tcBorders>
      </w:tcPr>
    </w:tblStylePr>
  </w:style>
  <w:style w:type="character" w:customStyle="1" w:styleId="Heading1Char">
    <w:name w:val="Heading 1 Char"/>
    <w:basedOn w:val="DefaultParagraphFont"/>
    <w:link w:val="Heading1"/>
    <w:uiPriority w:val="19"/>
    <w:rsid w:val="00E468D8"/>
    <w:rPr>
      <w:rFonts w:ascii="Segoe UI" w:eastAsia="Times New Roman" w:hAnsi="Segoe UI" w:cs="Times New Roman"/>
      <w:b/>
      <w:color w:val="00264D"/>
      <w:sz w:val="36"/>
      <w:szCs w:val="19"/>
      <w:lang w:val="en-AU" w:eastAsia="en-AU"/>
    </w:rPr>
  </w:style>
  <w:style w:type="character" w:customStyle="1" w:styleId="Heading2Char">
    <w:name w:val="Heading 2 Char"/>
    <w:basedOn w:val="DefaultParagraphFont"/>
    <w:link w:val="Heading2"/>
    <w:uiPriority w:val="19"/>
    <w:rsid w:val="00301B7E"/>
    <w:rPr>
      <w:rFonts w:ascii="Segoe UI Semibold" w:eastAsia="Times New Roman" w:hAnsi="Segoe UI Semibold" w:cs="Times New Roman"/>
      <w:color w:val="00264D"/>
      <w:sz w:val="30"/>
      <w:szCs w:val="19"/>
      <w:lang w:val="en-AU" w:eastAsia="en-AU"/>
    </w:rPr>
  </w:style>
  <w:style w:type="character" w:customStyle="1" w:styleId="Heading3Char">
    <w:name w:val="Heading 3 Char"/>
    <w:basedOn w:val="DefaultParagraphFont"/>
    <w:link w:val="Heading3"/>
    <w:uiPriority w:val="19"/>
    <w:rsid w:val="00301B7E"/>
    <w:rPr>
      <w:rFonts w:ascii="Segoe UI Semibold" w:eastAsia="Times New Roman" w:hAnsi="Segoe UI Semibold" w:cs="Times New Roman"/>
      <w:color w:val="00264D"/>
      <w:sz w:val="26"/>
      <w:szCs w:val="19"/>
      <w:lang w:val="en-AU" w:eastAsia="en-AU"/>
    </w:rPr>
  </w:style>
  <w:style w:type="character" w:customStyle="1" w:styleId="Heading4Char">
    <w:name w:val="Heading 4 Char"/>
    <w:basedOn w:val="DefaultParagraphFont"/>
    <w:link w:val="Heading4"/>
    <w:uiPriority w:val="1"/>
    <w:rsid w:val="00ED1544"/>
    <w:rPr>
      <w:rFonts w:ascii="Segoe UI Semibold" w:eastAsia="Times New Roman" w:hAnsi="Segoe UI Semibold" w:cs="Times New Roman"/>
      <w:color w:val="00264D" w:themeColor="background2"/>
      <w:szCs w:val="19"/>
      <w:lang w:val="en-AU" w:eastAsia="en-AU"/>
    </w:rPr>
  </w:style>
  <w:style w:type="character" w:customStyle="1" w:styleId="Heading5Char">
    <w:name w:val="Heading 5 Char"/>
    <w:basedOn w:val="DefaultParagraphFont"/>
    <w:link w:val="Heading5"/>
    <w:uiPriority w:val="19"/>
    <w:rsid w:val="008C19F4"/>
    <w:rPr>
      <w:rFonts w:ascii="Segoe UI" w:eastAsia="Times New Roman" w:hAnsi="Segoe UI" w:cs="Times New Roman"/>
      <w:b/>
      <w:color w:val="808080" w:themeColor="background1" w:themeShade="80"/>
      <w:sz w:val="20"/>
      <w:szCs w:val="24"/>
      <w:lang w:val="en-AU" w:eastAsia="en-AU"/>
    </w:rPr>
  </w:style>
  <w:style w:type="character" w:customStyle="1" w:styleId="Heading6Char">
    <w:name w:val="Heading 6 Char"/>
    <w:basedOn w:val="DefaultParagraphFont"/>
    <w:link w:val="Heading6"/>
    <w:uiPriority w:val="19"/>
    <w:rsid w:val="008C19F4"/>
    <w:rPr>
      <w:rFonts w:ascii="Segoe UI" w:eastAsiaTheme="majorEastAsia" w:hAnsi="Segoe UI" w:cstheme="majorBidi"/>
      <w:b/>
      <w:i/>
      <w:iCs/>
      <w:color w:val="00264D"/>
      <w:sz w:val="19"/>
      <w:szCs w:val="19"/>
      <w:lang w:val="en-AU" w:eastAsia="en-AU"/>
    </w:rPr>
  </w:style>
  <w:style w:type="paragraph" w:customStyle="1" w:styleId="Bullet">
    <w:name w:val="Bullet"/>
    <w:basedOn w:val="Normal"/>
    <w:link w:val="BulletChar"/>
    <w:uiPriority w:val="2"/>
    <w:qFormat/>
    <w:rsid w:val="00E20B2B"/>
    <w:pPr>
      <w:numPr>
        <w:numId w:val="2"/>
      </w:numPr>
      <w:suppressAutoHyphens/>
    </w:pPr>
    <w:rPr>
      <w:rFonts w:eastAsia="Times New Roman" w:cs="Times New Roman"/>
      <w:szCs w:val="19"/>
      <w:lang w:eastAsia="en-AU"/>
    </w:rPr>
  </w:style>
  <w:style w:type="paragraph" w:customStyle="1" w:styleId="TableNheader">
    <w:name w:val="Table N header"/>
    <w:basedOn w:val="Heading5"/>
    <w:uiPriority w:val="2"/>
    <w:qFormat/>
    <w:rsid w:val="00786482"/>
    <w:pPr>
      <w:numPr>
        <w:ilvl w:val="0"/>
        <w:numId w:val="0"/>
      </w:numPr>
      <w:spacing w:before="40" w:after="40"/>
    </w:pPr>
    <w:rPr>
      <w:rFonts w:ascii="Segoe UI Semibold" w:hAnsi="Segoe UI Semibold"/>
      <w:b w:val="0"/>
      <w:color w:val="FFFFFF" w:themeColor="background1"/>
      <w:sz w:val="23"/>
      <w:szCs w:val="23"/>
    </w:rPr>
  </w:style>
  <w:style w:type="paragraph" w:customStyle="1" w:styleId="TableNText">
    <w:name w:val="Table N Text"/>
    <w:basedOn w:val="Normal"/>
    <w:link w:val="TableNTextChar"/>
    <w:uiPriority w:val="2"/>
    <w:qFormat/>
    <w:rsid w:val="00606C34"/>
    <w:pPr>
      <w:spacing w:before="60" w:after="60" w:line="259" w:lineRule="auto"/>
    </w:pPr>
    <w:rPr>
      <w:sz w:val="20"/>
    </w:rPr>
  </w:style>
  <w:style w:type="table" w:customStyle="1" w:styleId="NousTableStyletopandsideheading">
    <w:name w:val="Nous Table Style top and side heading"/>
    <w:basedOn w:val="TableNormal"/>
    <w:uiPriority w:val="99"/>
    <w:rsid w:val="00E234F6"/>
    <w:pPr>
      <w:spacing w:after="0" w:line="240" w:lineRule="auto"/>
    </w:pPr>
    <w:tblPr>
      <w:tblBorders>
        <w:insideH w:val="single" w:sz="8" w:space="0" w:color="F9F9F9"/>
      </w:tblBorders>
      <w:tblCellMar>
        <w:top w:w="57" w:type="dxa"/>
        <w:left w:w="85" w:type="dxa"/>
        <w:bottom w:w="57" w:type="dxa"/>
        <w:right w:w="85" w:type="dxa"/>
      </w:tblCellMar>
    </w:tblPr>
    <w:tblStylePr w:type="firstRow">
      <w:pPr>
        <w:jc w:val="left"/>
      </w:pPr>
      <w:rPr>
        <w:rFonts w:ascii="Walbaum Heading" w:hAnsi="Walbaum Heading"/>
        <w:b/>
        <w:color w:val="00264D" w:themeColor="background2"/>
        <w:sz w:val="18"/>
      </w:rPr>
      <w:tblPr/>
      <w:tcPr>
        <w:tcBorders>
          <w:top w:val="single" w:sz="24" w:space="0" w:color="F8981D" w:themeColor="accent3"/>
          <w:insideV w:val="single" w:sz="8" w:space="0" w:color="FFFFFF" w:themeColor="background1"/>
        </w:tcBorders>
        <w:shd w:val="clear" w:color="auto" w:fill="E6E6E1" w:themeFill="accent5"/>
      </w:tcPr>
    </w:tblStylePr>
    <w:tblStylePr w:type="firstCol">
      <w:pPr>
        <w:jc w:val="center"/>
      </w:pPr>
      <w:rPr>
        <w:rFonts w:ascii="Walbaum Heading" w:hAnsi="Walbaum Heading"/>
        <w:b/>
        <w:color w:val="00264D" w:themeColor="background2"/>
        <w:sz w:val="18"/>
      </w:rPr>
      <w:tblPr/>
      <w:tcPr>
        <w:tcBorders>
          <w:left w:val="nil"/>
        </w:tcBorders>
        <w:shd w:val="clear" w:color="auto" w:fill="E6E6E1" w:themeFill="accent5"/>
      </w:tcPr>
    </w:tblStylePr>
  </w:style>
  <w:style w:type="paragraph" w:styleId="Footer">
    <w:name w:val="footer"/>
    <w:aliases w:val="Foot note"/>
    <w:basedOn w:val="Normal"/>
    <w:link w:val="FooterChar"/>
    <w:uiPriority w:val="89"/>
    <w:unhideWhenUsed/>
    <w:rsid w:val="00865A27"/>
    <w:pPr>
      <w:tabs>
        <w:tab w:val="center" w:pos="4513"/>
        <w:tab w:val="right" w:pos="9026"/>
      </w:tabs>
      <w:spacing w:after="0"/>
    </w:pPr>
    <w:rPr>
      <w:sz w:val="15"/>
    </w:rPr>
  </w:style>
  <w:style w:type="character" w:customStyle="1" w:styleId="FooterChar">
    <w:name w:val="Footer Char"/>
    <w:aliases w:val="Foot note Char"/>
    <w:basedOn w:val="DefaultParagraphFont"/>
    <w:link w:val="Footer"/>
    <w:uiPriority w:val="89"/>
    <w:rsid w:val="00865A27"/>
    <w:rPr>
      <w:rFonts w:ascii="Segoe UI" w:hAnsi="Segoe UI"/>
      <w:sz w:val="15"/>
    </w:rPr>
  </w:style>
  <w:style w:type="paragraph" w:styleId="Caption">
    <w:name w:val="caption"/>
    <w:basedOn w:val="Normal"/>
    <w:next w:val="Normal"/>
    <w:uiPriority w:val="35"/>
    <w:qFormat/>
    <w:rsid w:val="000562BA"/>
    <w:pPr>
      <w:keepNext/>
      <w:spacing w:before="240" w:line="259" w:lineRule="auto"/>
    </w:pPr>
    <w:rPr>
      <w:rFonts w:ascii="Segoe UI Semibold" w:hAnsi="Segoe UI Semibold"/>
      <w:bCs/>
      <w:color w:val="00264D" w:themeColor="background2"/>
      <w:szCs w:val="18"/>
    </w:rPr>
  </w:style>
  <w:style w:type="paragraph" w:customStyle="1" w:styleId="TableNBullet">
    <w:name w:val="Table N Bullet"/>
    <w:basedOn w:val="Bullet"/>
    <w:link w:val="TableNBulletChar"/>
    <w:uiPriority w:val="2"/>
    <w:qFormat/>
    <w:rsid w:val="00AB7572"/>
    <w:pPr>
      <w:numPr>
        <w:numId w:val="48"/>
      </w:numPr>
      <w:spacing w:before="60" w:after="60" w:line="259" w:lineRule="auto"/>
    </w:pPr>
    <w:rPr>
      <w:sz w:val="17"/>
    </w:rPr>
  </w:style>
  <w:style w:type="paragraph" w:customStyle="1" w:styleId="TableNListnumbered">
    <w:name w:val="Table N List (numbered)"/>
    <w:basedOn w:val="TableNBullet"/>
    <w:uiPriority w:val="2"/>
    <w:qFormat/>
    <w:rsid w:val="00865A27"/>
    <w:pPr>
      <w:numPr>
        <w:numId w:val="5"/>
      </w:numPr>
    </w:pPr>
  </w:style>
  <w:style w:type="paragraph" w:customStyle="1" w:styleId="xAppendixLevel1">
    <w:name w:val="xAppendix Level 1"/>
    <w:basedOn w:val="Heading1"/>
    <w:next w:val="Normal"/>
    <w:uiPriority w:val="98"/>
    <w:qFormat/>
    <w:rsid w:val="00365464"/>
    <w:pPr>
      <w:numPr>
        <w:numId w:val="1"/>
      </w:numPr>
      <w:ind w:left="3261"/>
      <w:jc w:val="both"/>
    </w:pPr>
    <w:rPr>
      <w:rFonts w:cs="Segoe UI"/>
      <w:bCs/>
      <w:color w:val="00264D" w:themeColor="background2"/>
      <w:szCs w:val="36"/>
    </w:rPr>
  </w:style>
  <w:style w:type="paragraph" w:customStyle="1" w:styleId="xAppendixLevel2">
    <w:name w:val="xAppendix Level 2"/>
    <w:basedOn w:val="Heading2"/>
    <w:next w:val="Normal"/>
    <w:uiPriority w:val="98"/>
    <w:qFormat/>
    <w:rsid w:val="002B5822"/>
    <w:pPr>
      <w:numPr>
        <w:numId w:val="1"/>
      </w:numPr>
    </w:pPr>
    <w:rPr>
      <w:bCs/>
      <w:sz w:val="34"/>
    </w:rPr>
  </w:style>
  <w:style w:type="paragraph" w:customStyle="1" w:styleId="xAppendixLevel3">
    <w:name w:val="xAppendix Level 3"/>
    <w:basedOn w:val="Heading3"/>
    <w:next w:val="Normal"/>
    <w:uiPriority w:val="98"/>
    <w:qFormat/>
    <w:rsid w:val="002B5822"/>
    <w:pPr>
      <w:ind w:left="2268" w:hanging="2268"/>
    </w:pPr>
    <w:rPr>
      <w:bCs/>
    </w:rPr>
  </w:style>
  <w:style w:type="paragraph" w:customStyle="1" w:styleId="Listnumbered">
    <w:name w:val="List (numbered)"/>
    <w:basedOn w:val="Normal"/>
    <w:uiPriority w:val="1"/>
    <w:qFormat/>
    <w:rsid w:val="00294C7F"/>
    <w:pPr>
      <w:numPr>
        <w:numId w:val="3"/>
      </w:numPr>
    </w:pPr>
  </w:style>
  <w:style w:type="paragraph" w:customStyle="1" w:styleId="Source">
    <w:name w:val="Source"/>
    <w:basedOn w:val="Normal"/>
    <w:next w:val="Normal"/>
    <w:link w:val="SourceChar"/>
    <w:uiPriority w:val="39"/>
    <w:rsid w:val="0020000D"/>
    <w:pPr>
      <w:spacing w:before="120" w:after="240"/>
      <w:jc w:val="center"/>
    </w:pPr>
    <w:rPr>
      <w:rFonts w:eastAsia="Times New Roman" w:cs="Times New Roman"/>
      <w:i/>
      <w:sz w:val="17"/>
      <w:szCs w:val="19"/>
      <w:lang w:eastAsia="en-AU"/>
    </w:rPr>
  </w:style>
  <w:style w:type="character" w:customStyle="1" w:styleId="SourceChar">
    <w:name w:val="Source Char"/>
    <w:basedOn w:val="DefaultParagraphFont"/>
    <w:link w:val="Source"/>
    <w:uiPriority w:val="39"/>
    <w:rsid w:val="0020000D"/>
    <w:rPr>
      <w:rFonts w:ascii="Segoe UI" w:eastAsia="Times New Roman" w:hAnsi="Segoe UI" w:cs="Times New Roman"/>
      <w:i/>
      <w:sz w:val="17"/>
      <w:szCs w:val="19"/>
      <w:lang w:val="en-AU" w:eastAsia="en-AU"/>
    </w:rPr>
  </w:style>
  <w:style w:type="paragraph" w:customStyle="1" w:styleId="TableExpBullet0">
    <w:name w:val="Table Exp Bullet"/>
    <w:basedOn w:val="TableNBullet"/>
    <w:uiPriority w:val="3"/>
    <w:qFormat/>
    <w:rsid w:val="00865A27"/>
  </w:style>
  <w:style w:type="paragraph" w:customStyle="1" w:styleId="Tableexpheader">
    <w:name w:val="Table exp header"/>
    <w:basedOn w:val="TableNheader"/>
    <w:uiPriority w:val="3"/>
    <w:qFormat/>
    <w:rsid w:val="0029320C"/>
    <w:rPr>
      <w:sz w:val="17"/>
    </w:rPr>
  </w:style>
  <w:style w:type="paragraph" w:customStyle="1" w:styleId="TableexpListnumbered">
    <w:name w:val="Table exp List (numbered)"/>
    <w:basedOn w:val="TableNListnumbered"/>
    <w:uiPriority w:val="3"/>
    <w:qFormat/>
    <w:rsid w:val="00A92413"/>
    <w:pPr>
      <w:numPr>
        <w:numId w:val="41"/>
      </w:numPr>
    </w:pPr>
    <w:rPr>
      <w:sz w:val="19"/>
    </w:rPr>
  </w:style>
  <w:style w:type="paragraph" w:customStyle="1" w:styleId="TableExpText">
    <w:name w:val="Table Exp Text"/>
    <w:basedOn w:val="TableNText"/>
    <w:uiPriority w:val="3"/>
    <w:qFormat/>
    <w:rsid w:val="0029320C"/>
    <w:rPr>
      <w:sz w:val="16"/>
    </w:rPr>
  </w:style>
  <w:style w:type="character" w:customStyle="1" w:styleId="Heading7Char">
    <w:name w:val="Heading 7 Char"/>
    <w:basedOn w:val="DefaultParagraphFont"/>
    <w:link w:val="Heading7"/>
    <w:uiPriority w:val="19"/>
    <w:semiHidden/>
    <w:rsid w:val="000137FA"/>
    <w:rPr>
      <w:rFonts w:ascii="Segoe UI" w:eastAsiaTheme="majorEastAsia" w:hAnsi="Segoe UI" w:cstheme="majorBidi"/>
      <w:i/>
      <w:iCs/>
      <w:color w:val="404040" w:themeColor="text1" w:themeTint="BF"/>
      <w:sz w:val="19"/>
    </w:rPr>
  </w:style>
  <w:style w:type="paragraph" w:customStyle="1" w:styleId="TableText">
    <w:name w:val="Table Text"/>
    <w:link w:val="TableTextChar"/>
    <w:uiPriority w:val="2"/>
    <w:rsid w:val="00653916"/>
    <w:pPr>
      <w:spacing w:before="40" w:after="40" w:line="240" w:lineRule="auto"/>
    </w:pPr>
    <w:rPr>
      <w:rFonts w:ascii="Segoe UI" w:eastAsia="Times New Roman" w:hAnsi="Segoe UI" w:cs="Times New Roman"/>
      <w:sz w:val="17"/>
      <w:szCs w:val="19"/>
      <w:lang w:val="en-AU" w:eastAsia="en-AU"/>
    </w:rPr>
  </w:style>
  <w:style w:type="paragraph" w:customStyle="1" w:styleId="Tablecolumnheading">
    <w:name w:val="Table column heading"/>
    <w:basedOn w:val="Normal"/>
    <w:link w:val="TablecolumnheadingChar"/>
    <w:uiPriority w:val="2"/>
    <w:rsid w:val="00653916"/>
    <w:pPr>
      <w:keepNext/>
      <w:spacing w:before="40" w:after="40"/>
    </w:pPr>
    <w:rPr>
      <w:rFonts w:ascii="Segoe UI Semibold" w:eastAsia="Times New Roman" w:hAnsi="Segoe UI Semibold" w:cs="Times New Roman"/>
      <w:color w:val="00264D"/>
      <w:sz w:val="18"/>
      <w:szCs w:val="17"/>
      <w:lang w:eastAsia="en-AU"/>
    </w:rPr>
  </w:style>
  <w:style w:type="character" w:customStyle="1" w:styleId="TableTextChar">
    <w:name w:val="Table Text Char"/>
    <w:basedOn w:val="DefaultParagraphFont"/>
    <w:link w:val="TableText"/>
    <w:uiPriority w:val="2"/>
    <w:rsid w:val="00865A27"/>
    <w:rPr>
      <w:rFonts w:ascii="Segoe UI" w:eastAsia="Times New Roman" w:hAnsi="Segoe UI" w:cs="Times New Roman"/>
      <w:sz w:val="17"/>
      <w:szCs w:val="19"/>
      <w:lang w:val="en-AU" w:eastAsia="en-AU"/>
    </w:rPr>
  </w:style>
  <w:style w:type="character" w:customStyle="1" w:styleId="TablecolumnheadingChar">
    <w:name w:val="Table column heading Char"/>
    <w:basedOn w:val="DefaultParagraphFont"/>
    <w:link w:val="Tablecolumnheading"/>
    <w:uiPriority w:val="2"/>
    <w:rsid w:val="00865A27"/>
    <w:rPr>
      <w:rFonts w:ascii="Segoe UI Semibold" w:eastAsia="Times New Roman" w:hAnsi="Segoe UI Semibold" w:cs="Times New Roman"/>
      <w:color w:val="00264D"/>
      <w:sz w:val="18"/>
      <w:szCs w:val="17"/>
      <w:lang w:val="en-AU" w:eastAsia="en-AU"/>
    </w:rPr>
  </w:style>
  <w:style w:type="table" w:customStyle="1" w:styleId="Style1">
    <w:name w:val="Style1"/>
    <w:basedOn w:val="TableNormal"/>
    <w:uiPriority w:val="99"/>
    <w:rsid w:val="00653916"/>
    <w:pPr>
      <w:spacing w:after="0" w:line="240" w:lineRule="auto"/>
    </w:pPr>
    <w:tblPr/>
    <w:tcPr>
      <w:shd w:val="clear" w:color="auto" w:fill="E6E6E1" w:themeFill="accent5"/>
    </w:tcPr>
  </w:style>
  <w:style w:type="paragraph" w:styleId="BalloonText">
    <w:name w:val="Balloon Text"/>
    <w:basedOn w:val="Normal"/>
    <w:link w:val="BalloonTextChar"/>
    <w:uiPriority w:val="99"/>
    <w:semiHidden/>
    <w:unhideWhenUsed/>
    <w:rsid w:val="00037C03"/>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7C03"/>
    <w:rPr>
      <w:rFonts w:ascii="Tahoma" w:hAnsi="Tahoma" w:cs="Tahoma"/>
      <w:sz w:val="16"/>
      <w:szCs w:val="16"/>
    </w:rPr>
  </w:style>
  <w:style w:type="paragraph" w:customStyle="1" w:styleId="URL-groupcomau">
    <w:name w:val="URL - group.com.au"/>
    <w:basedOn w:val="Normal"/>
    <w:link w:val="URL-groupcomauChar"/>
    <w:uiPriority w:val="89"/>
    <w:semiHidden/>
    <w:qFormat/>
    <w:rsid w:val="00FD4AB1"/>
    <w:pPr>
      <w:spacing w:after="0"/>
    </w:pPr>
    <w:rPr>
      <w:rFonts w:eastAsia="Times New Roman" w:cs="Times New Roman"/>
      <w:color w:val="2E368F" w:themeColor="text2"/>
      <w:spacing w:val="20"/>
      <w:sz w:val="14"/>
      <w:szCs w:val="19"/>
      <w:lang w:eastAsia="en-AU"/>
    </w:rPr>
  </w:style>
  <w:style w:type="character" w:customStyle="1" w:styleId="URL-groupcomauChar">
    <w:name w:val="URL - group.com.au Char"/>
    <w:basedOn w:val="DefaultParagraphFont"/>
    <w:link w:val="URL-groupcomau"/>
    <w:uiPriority w:val="89"/>
    <w:semiHidden/>
    <w:rsid w:val="00FD4AB1"/>
    <w:rPr>
      <w:rFonts w:ascii="Segoe UI" w:eastAsia="Times New Roman" w:hAnsi="Segoe UI" w:cs="Times New Roman"/>
      <w:color w:val="2E368F" w:themeColor="text2"/>
      <w:spacing w:val="20"/>
      <w:sz w:val="14"/>
      <w:szCs w:val="19"/>
      <w:lang w:val="en-AU" w:eastAsia="en-AU"/>
    </w:rPr>
  </w:style>
  <w:style w:type="paragraph" w:customStyle="1" w:styleId="URL-nous">
    <w:name w:val="URL - nous"/>
    <w:basedOn w:val="Normal"/>
    <w:link w:val="URL-nousChar"/>
    <w:uiPriority w:val="89"/>
    <w:semiHidden/>
    <w:qFormat/>
    <w:rsid w:val="00FD4AB1"/>
    <w:pPr>
      <w:spacing w:after="0"/>
    </w:pPr>
    <w:rPr>
      <w:rFonts w:eastAsia="Times New Roman" w:cs="Times New Roman"/>
      <w:color w:val="FF3A40" w:themeColor="accent1"/>
      <w:spacing w:val="20"/>
      <w:sz w:val="14"/>
      <w:szCs w:val="19"/>
      <w:lang w:eastAsia="en-AU"/>
    </w:rPr>
  </w:style>
  <w:style w:type="character" w:customStyle="1" w:styleId="URL-nousChar">
    <w:name w:val="URL - nous Char"/>
    <w:basedOn w:val="DefaultParagraphFont"/>
    <w:link w:val="URL-nous"/>
    <w:uiPriority w:val="89"/>
    <w:semiHidden/>
    <w:rsid w:val="00FD4AB1"/>
    <w:rPr>
      <w:rFonts w:ascii="Segoe UI" w:eastAsia="Times New Roman" w:hAnsi="Segoe UI" w:cs="Times New Roman"/>
      <w:color w:val="FF3A40" w:themeColor="accent1"/>
      <w:spacing w:val="20"/>
      <w:sz w:val="14"/>
      <w:szCs w:val="19"/>
      <w:lang w:val="en-AU" w:eastAsia="en-AU"/>
    </w:rPr>
  </w:style>
  <w:style w:type="paragraph" w:customStyle="1" w:styleId="ContentsHeading">
    <w:name w:val="Contents Heading"/>
    <w:basedOn w:val="Normal"/>
    <w:rsid w:val="00CF7BA0"/>
    <w:pPr>
      <w:spacing w:before="360" w:after="600"/>
    </w:pPr>
    <w:rPr>
      <w:rFonts w:eastAsia="Times New Roman" w:cs="Segoe UI"/>
      <w:b/>
      <w:color w:val="00264D"/>
      <w:sz w:val="36"/>
      <w:szCs w:val="36"/>
      <w:lang w:eastAsia="en-AU"/>
    </w:rPr>
  </w:style>
  <w:style w:type="character" w:customStyle="1" w:styleId="BulletChar">
    <w:name w:val="Bullet Char"/>
    <w:basedOn w:val="DefaultParagraphFont"/>
    <w:link w:val="Bullet"/>
    <w:uiPriority w:val="2"/>
    <w:rsid w:val="00E20B2B"/>
    <w:rPr>
      <w:rFonts w:ascii="Segoe UI" w:eastAsia="Times New Roman" w:hAnsi="Segoe UI" w:cs="Times New Roman"/>
      <w:sz w:val="19"/>
      <w:szCs w:val="19"/>
      <w:lang w:val="en-AU" w:eastAsia="en-AU"/>
    </w:rPr>
  </w:style>
  <w:style w:type="paragraph" w:customStyle="1" w:styleId="Sectiondividerheading">
    <w:name w:val="Section divider heading"/>
    <w:basedOn w:val="Normal"/>
    <w:link w:val="SectiondividerheadingChar"/>
    <w:uiPriority w:val="99"/>
    <w:rsid w:val="00A10340"/>
    <w:pPr>
      <w:spacing w:after="0"/>
    </w:pPr>
    <w:rPr>
      <w:rFonts w:eastAsia="Source Sans Pro" w:cs="Segoe UI"/>
      <w:b/>
      <w:bCs/>
      <w:color w:val="F8981D"/>
      <w:sz w:val="56"/>
      <w:szCs w:val="56"/>
      <w:lang w:eastAsia="en-AU"/>
    </w:rPr>
  </w:style>
  <w:style w:type="character" w:customStyle="1" w:styleId="SectiondividerheadingChar">
    <w:name w:val="Section divider heading Char"/>
    <w:basedOn w:val="DefaultParagraphFont"/>
    <w:link w:val="Sectiondividerheading"/>
    <w:uiPriority w:val="99"/>
    <w:rsid w:val="00865A27"/>
    <w:rPr>
      <w:rFonts w:ascii="Segoe UI" w:eastAsia="Source Sans Pro" w:hAnsi="Segoe UI" w:cs="Segoe UI"/>
      <w:b/>
      <w:bCs/>
      <w:color w:val="F8981D"/>
      <w:sz w:val="56"/>
      <w:szCs w:val="56"/>
      <w:lang w:val="en-AU" w:eastAsia="en-AU"/>
    </w:rPr>
  </w:style>
  <w:style w:type="paragraph" w:styleId="TOC2">
    <w:name w:val="toc 2"/>
    <w:basedOn w:val="Normal"/>
    <w:next w:val="Normal"/>
    <w:autoRedefine/>
    <w:uiPriority w:val="39"/>
    <w:unhideWhenUsed/>
    <w:qFormat/>
    <w:rsid w:val="00E4742A"/>
    <w:pPr>
      <w:tabs>
        <w:tab w:val="left" w:pos="851"/>
        <w:tab w:val="right" w:pos="8920"/>
      </w:tabs>
      <w:spacing w:after="100"/>
      <w:ind w:left="284"/>
    </w:pPr>
    <w:rPr>
      <w:rFonts w:asciiTheme="minorHAnsi" w:eastAsia="Times New Roman" w:hAnsiTheme="minorHAnsi" w:cstheme="minorHAnsi"/>
      <w:noProof/>
      <w:lang w:eastAsia="en-AU"/>
    </w:rPr>
  </w:style>
  <w:style w:type="paragraph" w:styleId="TOC1">
    <w:name w:val="toc 1"/>
    <w:basedOn w:val="Normal"/>
    <w:next w:val="Normal"/>
    <w:autoRedefine/>
    <w:uiPriority w:val="39"/>
    <w:unhideWhenUsed/>
    <w:qFormat/>
    <w:rsid w:val="00467A25"/>
    <w:pPr>
      <w:tabs>
        <w:tab w:val="left" w:pos="380"/>
        <w:tab w:val="right" w:pos="8920"/>
      </w:tabs>
      <w:spacing w:after="100"/>
    </w:pPr>
  </w:style>
  <w:style w:type="character" w:styleId="Hyperlink">
    <w:name w:val="Hyperlink"/>
    <w:basedOn w:val="DefaultParagraphFont"/>
    <w:uiPriority w:val="99"/>
    <w:unhideWhenUsed/>
    <w:rsid w:val="008A4363"/>
    <w:rPr>
      <w:color w:val="0048C7" w:themeColor="hyperlink"/>
      <w:u w:val="single"/>
    </w:rPr>
  </w:style>
  <w:style w:type="table" w:styleId="TableGrid">
    <w:name w:val="Table Grid"/>
    <w:aliases w:val="Table"/>
    <w:basedOn w:val="TableNormal"/>
    <w:uiPriority w:val="39"/>
    <w:rsid w:val="005471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5">
    <w:name w:val="Light Grid Accent 5"/>
    <w:basedOn w:val="TableNormal"/>
    <w:uiPriority w:val="62"/>
    <w:rsid w:val="00071DFF"/>
    <w:pPr>
      <w:spacing w:after="0" w:line="240" w:lineRule="auto"/>
    </w:pPr>
    <w:tblPr>
      <w:tblStyleRowBandSize w:val="1"/>
      <w:tblStyleColBandSize w:val="1"/>
      <w:tblBorders>
        <w:top w:val="single" w:sz="8" w:space="0" w:color="E6E6E1" w:themeColor="accent5"/>
        <w:left w:val="single" w:sz="8" w:space="0" w:color="E6E6E1" w:themeColor="accent5"/>
        <w:bottom w:val="single" w:sz="8" w:space="0" w:color="E6E6E1" w:themeColor="accent5"/>
        <w:right w:val="single" w:sz="8" w:space="0" w:color="E6E6E1" w:themeColor="accent5"/>
        <w:insideH w:val="single" w:sz="8" w:space="0" w:color="E6E6E1" w:themeColor="accent5"/>
        <w:insideV w:val="single" w:sz="8" w:space="0" w:color="E6E6E1"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6E6E1" w:themeColor="accent5"/>
          <w:left w:val="single" w:sz="8" w:space="0" w:color="E6E6E1" w:themeColor="accent5"/>
          <w:bottom w:val="single" w:sz="18" w:space="0" w:color="E6E6E1" w:themeColor="accent5"/>
          <w:right w:val="single" w:sz="8" w:space="0" w:color="E6E6E1" w:themeColor="accent5"/>
          <w:insideH w:val="nil"/>
          <w:insideV w:val="single" w:sz="8" w:space="0" w:color="E6E6E1"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6E6E1" w:themeColor="accent5"/>
          <w:left w:val="single" w:sz="8" w:space="0" w:color="E6E6E1" w:themeColor="accent5"/>
          <w:bottom w:val="single" w:sz="8" w:space="0" w:color="E6E6E1" w:themeColor="accent5"/>
          <w:right w:val="single" w:sz="8" w:space="0" w:color="E6E6E1" w:themeColor="accent5"/>
          <w:insideH w:val="nil"/>
          <w:insideV w:val="single" w:sz="8" w:space="0" w:color="E6E6E1"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tcPr>
    </w:tblStylePr>
    <w:tblStylePr w:type="band1Vert">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shd w:val="clear" w:color="auto" w:fill="F8F8F7" w:themeFill="accent5" w:themeFillTint="3F"/>
      </w:tcPr>
    </w:tblStylePr>
    <w:tblStylePr w:type="band1Horz">
      <w:tblPr/>
      <w:tcPr>
        <w:tcBorders>
          <w:top w:val="single" w:sz="8" w:space="0" w:color="E6E6E1" w:themeColor="accent5"/>
          <w:left w:val="single" w:sz="8" w:space="0" w:color="E6E6E1" w:themeColor="accent5"/>
          <w:bottom w:val="single" w:sz="8" w:space="0" w:color="E6E6E1" w:themeColor="accent5"/>
          <w:right w:val="single" w:sz="8" w:space="0" w:color="E6E6E1" w:themeColor="accent5"/>
          <w:insideV w:val="single" w:sz="8" w:space="0" w:color="E6E6E1" w:themeColor="accent5"/>
        </w:tcBorders>
        <w:shd w:val="clear" w:color="auto" w:fill="F8F8F7" w:themeFill="accent5" w:themeFillTint="3F"/>
      </w:tcPr>
    </w:tblStylePr>
    <w:tblStylePr w:type="band2Horz">
      <w:tblPr/>
      <w:tcPr>
        <w:tcBorders>
          <w:top w:val="single" w:sz="8" w:space="0" w:color="E6E6E1" w:themeColor="accent5"/>
          <w:left w:val="single" w:sz="8" w:space="0" w:color="E6E6E1" w:themeColor="accent5"/>
          <w:bottom w:val="single" w:sz="8" w:space="0" w:color="E6E6E1" w:themeColor="accent5"/>
          <w:right w:val="single" w:sz="8" w:space="0" w:color="E6E6E1" w:themeColor="accent5"/>
          <w:insideV w:val="single" w:sz="8" w:space="0" w:color="E6E6E1" w:themeColor="accent5"/>
        </w:tcBorders>
      </w:tcPr>
    </w:tblStylePr>
  </w:style>
  <w:style w:type="table" w:styleId="LightList-Accent5">
    <w:name w:val="Light List Accent 5"/>
    <w:basedOn w:val="TableNormal"/>
    <w:uiPriority w:val="61"/>
    <w:rsid w:val="00071DFF"/>
    <w:pPr>
      <w:spacing w:after="0" w:line="240" w:lineRule="auto"/>
    </w:pPr>
    <w:tblPr>
      <w:tblStyleRowBandSize w:val="1"/>
      <w:tblStyleColBandSize w:val="1"/>
      <w:tblBorders>
        <w:top w:val="single" w:sz="8" w:space="0" w:color="E6E6E1" w:themeColor="accent5"/>
        <w:left w:val="single" w:sz="8" w:space="0" w:color="E6E6E1" w:themeColor="accent5"/>
        <w:bottom w:val="single" w:sz="8" w:space="0" w:color="E6E6E1" w:themeColor="accent5"/>
        <w:right w:val="single" w:sz="8" w:space="0" w:color="E6E6E1" w:themeColor="accent5"/>
      </w:tblBorders>
    </w:tblPr>
    <w:tblStylePr w:type="firstRow">
      <w:pPr>
        <w:spacing w:before="0" w:after="0" w:line="240" w:lineRule="auto"/>
      </w:pPr>
      <w:rPr>
        <w:b/>
        <w:bCs/>
        <w:color w:val="FFFFFF" w:themeColor="background1"/>
      </w:rPr>
      <w:tblPr/>
      <w:tcPr>
        <w:shd w:val="clear" w:color="auto" w:fill="E6E6E1" w:themeFill="accent5"/>
      </w:tcPr>
    </w:tblStylePr>
    <w:tblStylePr w:type="lastRow">
      <w:pPr>
        <w:spacing w:before="0" w:after="0" w:line="240" w:lineRule="auto"/>
      </w:pPr>
      <w:rPr>
        <w:b/>
        <w:bCs/>
      </w:rPr>
      <w:tblPr/>
      <w:tcPr>
        <w:tcBorders>
          <w:top w:val="double" w:sz="6" w:space="0" w:color="E6E6E1" w:themeColor="accent5"/>
          <w:left w:val="single" w:sz="8" w:space="0" w:color="E6E6E1" w:themeColor="accent5"/>
          <w:bottom w:val="single" w:sz="8" w:space="0" w:color="E6E6E1" w:themeColor="accent5"/>
          <w:right w:val="single" w:sz="8" w:space="0" w:color="E6E6E1" w:themeColor="accent5"/>
        </w:tcBorders>
      </w:tcPr>
    </w:tblStylePr>
    <w:tblStylePr w:type="firstCol">
      <w:rPr>
        <w:b/>
        <w:bCs/>
      </w:rPr>
    </w:tblStylePr>
    <w:tblStylePr w:type="lastCol">
      <w:rPr>
        <w:b/>
        <w:bCs/>
      </w:rPr>
    </w:tblStylePr>
    <w:tblStylePr w:type="band1Vert">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tcPr>
    </w:tblStylePr>
    <w:tblStylePr w:type="band1Horz">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tcPr>
    </w:tblStylePr>
  </w:style>
  <w:style w:type="table" w:styleId="MediumShading1-Accent5">
    <w:name w:val="Medium Shading 1 Accent 5"/>
    <w:basedOn w:val="TableNormal"/>
    <w:uiPriority w:val="63"/>
    <w:rsid w:val="00071DFF"/>
    <w:pPr>
      <w:spacing w:after="0" w:line="240" w:lineRule="auto"/>
    </w:pPr>
    <w:tblPr>
      <w:tblStyleRowBandSize w:val="1"/>
      <w:tblStyleColBandSize w:val="1"/>
      <w:tblBorders>
        <w:top w:val="single" w:sz="8"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single" w:sz="8" w:space="0" w:color="ECECE8" w:themeColor="accent5" w:themeTint="BF"/>
      </w:tblBorders>
    </w:tblPr>
    <w:tblStylePr w:type="firstRow">
      <w:pPr>
        <w:spacing w:before="0" w:after="0" w:line="240" w:lineRule="auto"/>
      </w:pPr>
      <w:rPr>
        <w:b/>
        <w:bCs/>
        <w:color w:val="FFFFFF" w:themeColor="background1"/>
      </w:rPr>
      <w:tblPr/>
      <w:tcPr>
        <w:tcBorders>
          <w:top w:val="single" w:sz="8"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nil"/>
          <w:insideV w:val="nil"/>
        </w:tcBorders>
        <w:shd w:val="clear" w:color="auto" w:fill="E6E6E1" w:themeFill="accent5"/>
      </w:tcPr>
    </w:tblStylePr>
    <w:tblStylePr w:type="lastRow">
      <w:pPr>
        <w:spacing w:before="0" w:after="0" w:line="240" w:lineRule="auto"/>
      </w:pPr>
      <w:rPr>
        <w:b/>
        <w:bCs/>
      </w:rPr>
      <w:tblPr/>
      <w:tcPr>
        <w:tcBorders>
          <w:top w:val="double" w:sz="6"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nil"/>
          <w:insideV w:val="nil"/>
        </w:tcBorders>
      </w:tcPr>
    </w:tblStylePr>
    <w:tblStylePr w:type="firstCol">
      <w:rPr>
        <w:b/>
        <w:bCs/>
      </w:rPr>
    </w:tblStylePr>
    <w:tblStylePr w:type="lastCol">
      <w:rPr>
        <w:b/>
        <w:bCs/>
      </w:rPr>
    </w:tblStylePr>
    <w:tblStylePr w:type="band1Vert">
      <w:tblPr/>
      <w:tcPr>
        <w:shd w:val="clear" w:color="auto" w:fill="F8F8F7" w:themeFill="accent5" w:themeFillTint="3F"/>
      </w:tcPr>
    </w:tblStylePr>
    <w:tblStylePr w:type="band1Horz">
      <w:tblPr/>
      <w:tcPr>
        <w:tcBorders>
          <w:insideH w:val="nil"/>
          <w:insideV w:val="nil"/>
        </w:tcBorders>
        <w:shd w:val="clear" w:color="auto" w:fill="F8F8F7" w:themeFill="accent5" w:themeFillTint="3F"/>
      </w:tcPr>
    </w:tblStylePr>
    <w:tblStylePr w:type="band2Horz">
      <w:tblPr/>
      <w:tcPr>
        <w:tcBorders>
          <w:insideH w:val="nil"/>
          <w:insideV w:val="nil"/>
        </w:tcBorders>
      </w:tcPr>
    </w:tblStylePr>
  </w:style>
  <w:style w:type="character" w:customStyle="1" w:styleId="TableNBulletChar">
    <w:name w:val="Table N Bullet Char"/>
    <w:basedOn w:val="DefaultParagraphFont"/>
    <w:link w:val="TableNBullet"/>
    <w:uiPriority w:val="2"/>
    <w:rsid w:val="0073030E"/>
    <w:rPr>
      <w:rFonts w:ascii="Segoe UI" w:eastAsia="Times New Roman" w:hAnsi="Segoe UI" w:cs="Times New Roman"/>
      <w:sz w:val="17"/>
      <w:szCs w:val="19"/>
      <w:lang w:val="en-AU" w:eastAsia="en-AU"/>
    </w:rPr>
  </w:style>
  <w:style w:type="table" w:customStyle="1" w:styleId="NOUSSideHeader">
    <w:name w:val="NOUS Side Header"/>
    <w:basedOn w:val="TableNormal"/>
    <w:uiPriority w:val="99"/>
    <w:rsid w:val="008C272E"/>
    <w:pPr>
      <w:spacing w:after="0" w:line="240" w:lineRule="auto"/>
      <w:ind w:left="57"/>
    </w:pPr>
    <w:rPr>
      <w:rFonts w:ascii="Segoe UI" w:hAnsi="Segoe UI"/>
      <w:sz w:val="17"/>
    </w:rPr>
    <w:tblPr>
      <w:tblBorders>
        <w:insideH w:val="single" w:sz="8" w:space="0" w:color="E6E6E1" w:themeColor="accent5"/>
      </w:tblBorders>
      <w:tblCellMar>
        <w:top w:w="57" w:type="dxa"/>
        <w:left w:w="85" w:type="dxa"/>
        <w:bottom w:w="57" w:type="dxa"/>
        <w:right w:w="85" w:type="dxa"/>
      </w:tblCellMar>
    </w:tblPr>
    <w:tblStylePr w:type="firstCol">
      <w:pPr>
        <w:wordWrap/>
        <w:jc w:val="center"/>
      </w:pPr>
      <w:rPr>
        <w:rFonts w:ascii="Walbaum Heading" w:hAnsi="Walbaum Heading"/>
        <w:b/>
        <w:color w:val="00264D" w:themeColor="background2"/>
        <w:sz w:val="18"/>
      </w:rPr>
      <w:tblPr/>
      <w:tcPr>
        <w:tcBorders>
          <w:top w:val="nil"/>
          <w:left w:val="single" w:sz="24" w:space="0" w:color="F8981D" w:themeColor="accent3"/>
          <w:bottom w:val="nil"/>
          <w:right w:val="nil"/>
          <w:insideH w:val="nil"/>
          <w:insideV w:val="nil"/>
          <w:tl2br w:val="nil"/>
          <w:tr2bl w:val="nil"/>
        </w:tcBorders>
        <w:shd w:val="clear" w:color="auto" w:fill="E6E6E1" w:themeFill="accent5"/>
      </w:tcPr>
    </w:tblStylePr>
  </w:style>
  <w:style w:type="table" w:customStyle="1" w:styleId="NOUS">
    <w:name w:val="NOUS"/>
    <w:basedOn w:val="TableNormal"/>
    <w:uiPriority w:val="99"/>
    <w:rsid w:val="00A83B7C"/>
    <w:pPr>
      <w:spacing w:after="0" w:line="240" w:lineRule="auto"/>
    </w:pPr>
    <w:rPr>
      <w:rFonts w:ascii="Segoe UI" w:hAnsi="Segoe UI"/>
      <w:sz w:val="17"/>
    </w:rPr>
    <w:tblPr>
      <w:tblBorders>
        <w:bottom w:val="single" w:sz="8" w:space="0" w:color="E6E6E1" w:themeColor="accent5"/>
        <w:insideH w:val="single" w:sz="8" w:space="0" w:color="E6E6E1" w:themeColor="accent5"/>
      </w:tblBorders>
      <w:tblCellMar>
        <w:top w:w="57" w:type="dxa"/>
        <w:left w:w="85" w:type="dxa"/>
        <w:bottom w:w="57" w:type="dxa"/>
        <w:right w:w="85" w:type="dxa"/>
      </w:tblCellMar>
    </w:tblPr>
    <w:tblStylePr w:type="firstRow">
      <w:rPr>
        <w:rFonts w:ascii="Walbaum Heading" w:hAnsi="Walbaum Heading"/>
        <w:b/>
        <w:color w:val="00264D" w:themeColor="background2"/>
        <w:sz w:val="18"/>
      </w:rPr>
      <w:tblPr/>
      <w:trPr>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style>
  <w:style w:type="character" w:customStyle="1" w:styleId="Heading8Char">
    <w:name w:val="Heading 8 Char"/>
    <w:basedOn w:val="DefaultParagraphFont"/>
    <w:link w:val="Heading8"/>
    <w:uiPriority w:val="19"/>
    <w:semiHidden/>
    <w:rsid w:val="000137FA"/>
    <w:rPr>
      <w:rFonts w:ascii="Segoe UI" w:eastAsiaTheme="majorEastAsia" w:hAnsi="Segoe UI" w:cstheme="majorBidi"/>
      <w:color w:val="404040" w:themeColor="text1" w:themeTint="BF"/>
      <w:sz w:val="20"/>
      <w:szCs w:val="20"/>
    </w:rPr>
  </w:style>
  <w:style w:type="paragraph" w:customStyle="1" w:styleId="Covertitle">
    <w:name w:val="Cover title"/>
    <w:basedOn w:val="Normal"/>
    <w:link w:val="CovertitleChar"/>
    <w:uiPriority w:val="99"/>
    <w:semiHidden/>
    <w:rsid w:val="00865A27"/>
    <w:pPr>
      <w:suppressAutoHyphens/>
      <w:spacing w:after="0" w:line="720" w:lineRule="exact"/>
    </w:pPr>
    <w:rPr>
      <w:rFonts w:eastAsia="Times New Roman" w:cs="Times New Roman"/>
      <w:color w:val="2E368F" w:themeColor="text2"/>
      <w:sz w:val="84"/>
      <w:szCs w:val="19"/>
      <w:lang w:eastAsia="en-AU"/>
    </w:rPr>
  </w:style>
  <w:style w:type="character" w:customStyle="1" w:styleId="CovertitleChar">
    <w:name w:val="Cover title Char"/>
    <w:basedOn w:val="DefaultParagraphFont"/>
    <w:link w:val="Covertitle"/>
    <w:uiPriority w:val="99"/>
    <w:semiHidden/>
    <w:rsid w:val="00865A27"/>
    <w:rPr>
      <w:rFonts w:ascii="Segoe UI" w:eastAsia="Times New Roman" w:hAnsi="Segoe UI" w:cs="Times New Roman"/>
      <w:color w:val="2E368F" w:themeColor="text2"/>
      <w:sz w:val="84"/>
      <w:szCs w:val="19"/>
      <w:lang w:val="en-AU" w:eastAsia="en-AU"/>
    </w:rPr>
  </w:style>
  <w:style w:type="paragraph" w:customStyle="1" w:styleId="CoverPage-Client">
    <w:name w:val="Cover Page - Client"/>
    <w:basedOn w:val="Normal"/>
    <w:link w:val="CoverPage-ClientChar"/>
    <w:uiPriority w:val="99"/>
    <w:semiHidden/>
    <w:rsid w:val="00865A27"/>
    <w:pPr>
      <w:suppressAutoHyphens/>
      <w:spacing w:before="480" w:after="0" w:line="380" w:lineRule="exact"/>
    </w:pPr>
    <w:rPr>
      <w:rFonts w:eastAsia="Times New Roman" w:cs="Times New Roman"/>
      <w:color w:val="2E368F" w:themeColor="text2"/>
      <w:sz w:val="36"/>
      <w:szCs w:val="19"/>
      <w:lang w:eastAsia="en-AU"/>
    </w:rPr>
  </w:style>
  <w:style w:type="character" w:customStyle="1" w:styleId="CoverPage-ClientChar">
    <w:name w:val="Cover Page - Client Char"/>
    <w:basedOn w:val="DefaultParagraphFont"/>
    <w:link w:val="CoverPage-Client"/>
    <w:uiPriority w:val="99"/>
    <w:semiHidden/>
    <w:rsid w:val="00865A27"/>
    <w:rPr>
      <w:rFonts w:ascii="Segoe UI" w:eastAsia="Times New Roman" w:hAnsi="Segoe UI" w:cs="Times New Roman"/>
      <w:color w:val="2E368F" w:themeColor="text2"/>
      <w:sz w:val="36"/>
      <w:szCs w:val="19"/>
      <w:lang w:val="en-AU" w:eastAsia="en-AU"/>
    </w:rPr>
  </w:style>
  <w:style w:type="paragraph" w:customStyle="1" w:styleId="CoverPage-Date">
    <w:name w:val="Cover Page - Date"/>
    <w:basedOn w:val="Normal"/>
    <w:link w:val="CoverPage-DateChar"/>
    <w:uiPriority w:val="99"/>
    <w:semiHidden/>
    <w:rsid w:val="00865A27"/>
    <w:pPr>
      <w:suppressAutoHyphens/>
      <w:spacing w:before="320" w:after="0" w:line="280" w:lineRule="exact"/>
    </w:pPr>
    <w:rPr>
      <w:rFonts w:eastAsia="Times New Roman" w:cs="Times New Roman"/>
      <w:color w:val="00264D" w:themeColor="background2"/>
      <w:sz w:val="24"/>
      <w:szCs w:val="19"/>
      <w:lang w:eastAsia="en-AU"/>
    </w:rPr>
  </w:style>
  <w:style w:type="character" w:customStyle="1" w:styleId="CoverPage-DateChar">
    <w:name w:val="Cover Page - Date Char"/>
    <w:basedOn w:val="DefaultParagraphFont"/>
    <w:link w:val="CoverPage-Date"/>
    <w:uiPriority w:val="99"/>
    <w:semiHidden/>
    <w:rsid w:val="00865A27"/>
    <w:rPr>
      <w:rFonts w:ascii="Segoe UI" w:eastAsia="Times New Roman" w:hAnsi="Segoe UI" w:cs="Times New Roman"/>
      <w:color w:val="00264D" w:themeColor="background2"/>
      <w:sz w:val="24"/>
      <w:szCs w:val="19"/>
      <w:lang w:val="en-AU" w:eastAsia="en-AU"/>
    </w:rPr>
  </w:style>
  <w:style w:type="character" w:styleId="PlaceholderText">
    <w:name w:val="Placeholder Text"/>
    <w:basedOn w:val="DefaultParagraphFont"/>
    <w:uiPriority w:val="99"/>
    <w:semiHidden/>
    <w:rsid w:val="00865A27"/>
    <w:rPr>
      <w:color w:val="808080"/>
    </w:rPr>
  </w:style>
  <w:style w:type="paragraph" w:customStyle="1" w:styleId="BioHeading">
    <w:name w:val="Bio Heading"/>
    <w:basedOn w:val="Normal"/>
    <w:uiPriority w:val="97"/>
    <w:qFormat/>
    <w:rsid w:val="00865A27"/>
    <w:pPr>
      <w:spacing w:after="165" w:line="259" w:lineRule="auto"/>
    </w:pPr>
    <w:rPr>
      <w:rFonts w:ascii="Segoe UI Semibold" w:hAnsi="Segoe UI Semibold"/>
      <w:color w:val="00264D" w:themeColor="background2"/>
      <w:sz w:val="26"/>
    </w:rPr>
  </w:style>
  <w:style w:type="paragraph" w:styleId="Header">
    <w:name w:val="header"/>
    <w:basedOn w:val="Normal"/>
    <w:link w:val="HeaderChar"/>
    <w:uiPriority w:val="99"/>
    <w:unhideWhenUsed/>
    <w:rsid w:val="001051E0"/>
    <w:pPr>
      <w:tabs>
        <w:tab w:val="center" w:pos="4513"/>
        <w:tab w:val="right" w:pos="9026"/>
      </w:tabs>
      <w:spacing w:after="0"/>
    </w:pPr>
  </w:style>
  <w:style w:type="character" w:customStyle="1" w:styleId="HeaderChar">
    <w:name w:val="Header Char"/>
    <w:basedOn w:val="DefaultParagraphFont"/>
    <w:link w:val="Header"/>
    <w:uiPriority w:val="99"/>
    <w:rsid w:val="001051E0"/>
    <w:rPr>
      <w:rFonts w:ascii="Segoe UI" w:hAnsi="Segoe UI"/>
      <w:sz w:val="19"/>
    </w:rPr>
  </w:style>
  <w:style w:type="paragraph" w:styleId="Revision">
    <w:name w:val="Revision"/>
    <w:hidden/>
    <w:uiPriority w:val="99"/>
    <w:semiHidden/>
    <w:rsid w:val="00A618B7"/>
    <w:pPr>
      <w:spacing w:after="0" w:line="240" w:lineRule="auto"/>
    </w:pPr>
    <w:rPr>
      <w:rFonts w:ascii="Segoe UI" w:hAnsi="Segoe UI"/>
      <w:sz w:val="19"/>
    </w:rPr>
  </w:style>
  <w:style w:type="paragraph" w:styleId="ListParagraph">
    <w:name w:val="List Paragraph"/>
    <w:basedOn w:val="Normal"/>
    <w:uiPriority w:val="34"/>
    <w:qFormat/>
    <w:rsid w:val="00A618B7"/>
    <w:pPr>
      <w:ind w:left="720"/>
      <w:contextualSpacing/>
    </w:pPr>
  </w:style>
  <w:style w:type="character" w:styleId="CommentReference">
    <w:name w:val="annotation reference"/>
    <w:basedOn w:val="DefaultParagraphFont"/>
    <w:uiPriority w:val="99"/>
    <w:semiHidden/>
    <w:unhideWhenUsed/>
    <w:rsid w:val="00A618B7"/>
    <w:rPr>
      <w:sz w:val="16"/>
      <w:szCs w:val="16"/>
    </w:rPr>
  </w:style>
  <w:style w:type="paragraph" w:styleId="CommentText">
    <w:name w:val="annotation text"/>
    <w:basedOn w:val="Normal"/>
    <w:link w:val="CommentTextChar"/>
    <w:uiPriority w:val="99"/>
    <w:unhideWhenUsed/>
    <w:rsid w:val="00A618B7"/>
    <w:rPr>
      <w:sz w:val="20"/>
      <w:szCs w:val="20"/>
    </w:rPr>
  </w:style>
  <w:style w:type="character" w:customStyle="1" w:styleId="CommentTextChar">
    <w:name w:val="Comment Text Char"/>
    <w:basedOn w:val="DefaultParagraphFont"/>
    <w:link w:val="CommentText"/>
    <w:uiPriority w:val="99"/>
    <w:rsid w:val="00A618B7"/>
    <w:rPr>
      <w:rFonts w:ascii="Segoe UI" w:hAnsi="Segoe UI"/>
      <w:sz w:val="20"/>
      <w:szCs w:val="20"/>
    </w:rPr>
  </w:style>
  <w:style w:type="paragraph" w:styleId="CommentSubject">
    <w:name w:val="annotation subject"/>
    <w:basedOn w:val="CommentText"/>
    <w:next w:val="CommentText"/>
    <w:link w:val="CommentSubjectChar"/>
    <w:uiPriority w:val="99"/>
    <w:semiHidden/>
    <w:unhideWhenUsed/>
    <w:rsid w:val="00A618B7"/>
    <w:rPr>
      <w:b/>
      <w:bCs/>
    </w:rPr>
  </w:style>
  <w:style w:type="character" w:customStyle="1" w:styleId="CommentSubjectChar">
    <w:name w:val="Comment Subject Char"/>
    <w:basedOn w:val="CommentTextChar"/>
    <w:link w:val="CommentSubject"/>
    <w:uiPriority w:val="99"/>
    <w:semiHidden/>
    <w:rsid w:val="00A618B7"/>
    <w:rPr>
      <w:rFonts w:ascii="Segoe UI" w:hAnsi="Segoe UI"/>
      <w:b/>
      <w:bCs/>
      <w:sz w:val="20"/>
      <w:szCs w:val="20"/>
    </w:rPr>
  </w:style>
  <w:style w:type="character" w:customStyle="1" w:styleId="TableNTextChar">
    <w:name w:val="Table N Text Char"/>
    <w:basedOn w:val="DefaultParagraphFont"/>
    <w:link w:val="TableNText"/>
    <w:uiPriority w:val="2"/>
    <w:rsid w:val="00606C34"/>
    <w:rPr>
      <w:rFonts w:ascii="Segoe UI" w:hAnsi="Segoe UI"/>
      <w:sz w:val="20"/>
      <w:lang w:val="en-AU"/>
    </w:rPr>
  </w:style>
  <w:style w:type="table" w:customStyle="1" w:styleId="NousTableSide">
    <w:name w:val="Nous Table_Side"/>
    <w:basedOn w:val="TableNormal"/>
    <w:uiPriority w:val="99"/>
    <w:rsid w:val="00992CB1"/>
    <w:pPr>
      <w:spacing w:after="0" w:line="240" w:lineRule="auto"/>
    </w:pPr>
    <w:rPr>
      <w:rFonts w:ascii="Segoe UI" w:hAnsi="Segoe UI"/>
      <w:sz w:val="18"/>
    </w:rPr>
    <w:tblPr>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blStylePr w:type="firstCol">
      <w:pPr>
        <w:jc w:val="left"/>
      </w:pPr>
      <w:rPr>
        <w:rFonts w:ascii="Walbaum Heading" w:hAnsi="Walbaum Heading"/>
        <w:b w:val="0"/>
        <w:color w:val="00264D" w:themeColor="background2"/>
        <w:sz w:val="17"/>
      </w:rPr>
      <w:tblPr/>
      <w:tcPr>
        <w:tcBorders>
          <w:top w:val="single" w:sz="12" w:space="0" w:color="FFFFFF" w:themeColor="background1"/>
          <w:left w:val="single" w:sz="18" w:space="0" w:color="F8981D" w:themeColor="accent3"/>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l2br w:val="nil"/>
          <w:tr2bl w:val="nil"/>
        </w:tcBorders>
        <w:shd w:val="clear" w:color="auto" w:fill="E6E6E1" w:themeFill="accent5"/>
      </w:tcPr>
    </w:tblStylePr>
  </w:style>
  <w:style w:type="table" w:customStyle="1" w:styleId="NOUSSideHeader1">
    <w:name w:val="NOUS Side Header1"/>
    <w:basedOn w:val="TableNormal"/>
    <w:next w:val="TableGrid"/>
    <w:uiPriority w:val="39"/>
    <w:rsid w:val="0008475F"/>
    <w:pPr>
      <w:spacing w:after="0" w:line="240" w:lineRule="auto"/>
    </w:pPr>
    <w:rPr>
      <w:rFonts w:ascii="Segoe UI" w:hAnsi="Segoe UI"/>
      <w:sz w:val="18"/>
    </w:rPr>
    <w:tblPr>
      <w:tblStyleRowBandSize w:val="1"/>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cPr>
      <w:vAlign w:val="center"/>
    </w:tcPr>
    <w:tblStylePr w:type="firstRow">
      <w:pPr>
        <w:jc w:val="left"/>
      </w:pPr>
      <w:rPr>
        <w:rFonts w:ascii="Walbaum Heading" w:hAnsi="Walbaum Heading"/>
        <w:b w:val="0"/>
        <w:color w:val="00264D" w:themeColor="background2"/>
        <w:sz w:val="18"/>
      </w:rPr>
      <w:tblPr/>
      <w:trPr>
        <w:cantSplit/>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tblStylePr w:type="band1Horz">
      <w:rPr>
        <w:rFonts w:ascii="Walbaum Heading" w:hAnsi="Walbaum Heading"/>
        <w:sz w:val="17"/>
      </w:rPr>
    </w:tblStylePr>
    <w:tblStylePr w:type="band2Horz">
      <w:rPr>
        <w:rFonts w:ascii="Walbaum Heading" w:hAnsi="Walbaum Heading"/>
        <w:sz w:val="17"/>
      </w:rPr>
    </w:tblStylePr>
  </w:style>
  <w:style w:type="paragraph" w:styleId="TOC3">
    <w:name w:val="toc 3"/>
    <w:basedOn w:val="Normal"/>
    <w:next w:val="Normal"/>
    <w:autoRedefine/>
    <w:uiPriority w:val="39"/>
    <w:unhideWhenUsed/>
    <w:rsid w:val="00874D9D"/>
    <w:pPr>
      <w:spacing w:after="100"/>
      <w:ind w:left="380"/>
    </w:pPr>
  </w:style>
  <w:style w:type="character" w:styleId="Mention">
    <w:name w:val="Mention"/>
    <w:basedOn w:val="DefaultParagraphFont"/>
    <w:uiPriority w:val="99"/>
    <w:unhideWhenUsed/>
    <w:rsid w:val="00C918C7"/>
    <w:rPr>
      <w:color w:val="2B579A"/>
      <w:shd w:val="clear" w:color="auto" w:fill="E1DFDD"/>
    </w:rPr>
  </w:style>
  <w:style w:type="paragraph" w:customStyle="1" w:styleId="EndNoteBibliographyTitle">
    <w:name w:val="EndNote Bibliography Title"/>
    <w:basedOn w:val="Normal"/>
    <w:link w:val="EndNoteBibliographyTitleChar"/>
    <w:rsid w:val="00A02ED8"/>
    <w:pPr>
      <w:spacing w:after="0"/>
      <w:jc w:val="center"/>
    </w:pPr>
    <w:rPr>
      <w:rFonts w:eastAsia="Times New Roman" w:cs="Segoe UI"/>
      <w:noProof/>
      <w:sz w:val="18"/>
      <w:szCs w:val="19"/>
      <w:lang w:eastAsia="en-AU"/>
    </w:rPr>
  </w:style>
  <w:style w:type="character" w:customStyle="1" w:styleId="EndNoteBibliographyTitleChar">
    <w:name w:val="EndNote Bibliography Title Char"/>
    <w:basedOn w:val="BulletChar"/>
    <w:link w:val="EndNoteBibliographyTitle"/>
    <w:rsid w:val="00BD242D"/>
    <w:rPr>
      <w:rFonts w:ascii="Segoe UI" w:eastAsia="Times New Roman" w:hAnsi="Segoe UI" w:cs="Segoe UI"/>
      <w:noProof/>
      <w:sz w:val="18"/>
      <w:szCs w:val="19"/>
      <w:lang w:val="en-AU" w:eastAsia="en-AU"/>
    </w:rPr>
  </w:style>
  <w:style w:type="paragraph" w:customStyle="1" w:styleId="EndNoteBibliography">
    <w:name w:val="EndNote Bibliography"/>
    <w:basedOn w:val="Normal"/>
    <w:link w:val="EndNoteBibliographyChar"/>
    <w:rsid w:val="00A02ED8"/>
    <w:rPr>
      <w:rFonts w:eastAsia="Times New Roman" w:cs="Segoe UI"/>
      <w:noProof/>
      <w:sz w:val="18"/>
      <w:szCs w:val="19"/>
      <w:lang w:eastAsia="en-AU"/>
    </w:rPr>
  </w:style>
  <w:style w:type="character" w:customStyle="1" w:styleId="EndNoteBibliographyChar">
    <w:name w:val="EndNote Bibliography Char"/>
    <w:basedOn w:val="BulletChar"/>
    <w:link w:val="EndNoteBibliography"/>
    <w:rsid w:val="00BD242D"/>
    <w:rPr>
      <w:rFonts w:ascii="Segoe UI" w:eastAsia="Times New Roman" w:hAnsi="Segoe UI" w:cs="Segoe UI"/>
      <w:noProof/>
      <w:sz w:val="18"/>
      <w:szCs w:val="19"/>
      <w:lang w:val="en-AU" w:eastAsia="en-AU"/>
    </w:rPr>
  </w:style>
  <w:style w:type="character" w:styleId="UnresolvedMention">
    <w:name w:val="Unresolved Mention"/>
    <w:basedOn w:val="DefaultParagraphFont"/>
    <w:uiPriority w:val="99"/>
    <w:semiHidden/>
    <w:unhideWhenUsed/>
    <w:rsid w:val="00BD242D"/>
    <w:rPr>
      <w:color w:val="605E5C"/>
      <w:shd w:val="clear" w:color="auto" w:fill="E1DFDD"/>
    </w:rPr>
  </w:style>
  <w:style w:type="paragraph" w:styleId="FootnoteText">
    <w:name w:val="footnote text"/>
    <w:basedOn w:val="Normal"/>
    <w:link w:val="FootnoteTextChar"/>
    <w:uiPriority w:val="99"/>
    <w:unhideWhenUsed/>
    <w:rsid w:val="00E65E0F"/>
    <w:pPr>
      <w:spacing w:after="0"/>
    </w:pPr>
    <w:rPr>
      <w:sz w:val="20"/>
      <w:szCs w:val="20"/>
    </w:rPr>
  </w:style>
  <w:style w:type="character" w:customStyle="1" w:styleId="FootnoteTextChar">
    <w:name w:val="Footnote Text Char"/>
    <w:basedOn w:val="DefaultParagraphFont"/>
    <w:link w:val="FootnoteText"/>
    <w:uiPriority w:val="99"/>
    <w:rsid w:val="00E65E0F"/>
    <w:rPr>
      <w:rFonts w:ascii="Segoe UI" w:hAnsi="Segoe UI"/>
      <w:sz w:val="20"/>
      <w:szCs w:val="20"/>
    </w:rPr>
  </w:style>
  <w:style w:type="character" w:styleId="FootnoteReference">
    <w:name w:val="footnote reference"/>
    <w:basedOn w:val="DefaultParagraphFont"/>
    <w:uiPriority w:val="99"/>
    <w:semiHidden/>
    <w:unhideWhenUsed/>
    <w:rsid w:val="00E65E0F"/>
    <w:rPr>
      <w:vertAlign w:val="superscript"/>
    </w:rPr>
  </w:style>
  <w:style w:type="paragraph" w:styleId="EndnoteText">
    <w:name w:val="endnote text"/>
    <w:basedOn w:val="Normal"/>
    <w:link w:val="EndnoteTextChar"/>
    <w:uiPriority w:val="99"/>
    <w:semiHidden/>
    <w:unhideWhenUsed/>
    <w:rsid w:val="008329B5"/>
    <w:pPr>
      <w:spacing w:after="0"/>
    </w:pPr>
    <w:rPr>
      <w:sz w:val="20"/>
      <w:szCs w:val="20"/>
    </w:rPr>
  </w:style>
  <w:style w:type="character" w:customStyle="1" w:styleId="EndnoteTextChar">
    <w:name w:val="Endnote Text Char"/>
    <w:basedOn w:val="DefaultParagraphFont"/>
    <w:link w:val="EndnoteText"/>
    <w:uiPriority w:val="99"/>
    <w:semiHidden/>
    <w:rsid w:val="008329B5"/>
    <w:rPr>
      <w:rFonts w:ascii="Segoe UI" w:hAnsi="Segoe UI"/>
      <w:sz w:val="20"/>
      <w:szCs w:val="20"/>
    </w:rPr>
  </w:style>
  <w:style w:type="character" w:styleId="EndnoteReference">
    <w:name w:val="endnote reference"/>
    <w:basedOn w:val="DefaultParagraphFont"/>
    <w:uiPriority w:val="99"/>
    <w:semiHidden/>
    <w:unhideWhenUsed/>
    <w:rsid w:val="008329B5"/>
    <w:rPr>
      <w:vertAlign w:val="superscript"/>
    </w:rPr>
  </w:style>
  <w:style w:type="table" w:customStyle="1" w:styleId="NOUSSideHeader2">
    <w:name w:val="NOUS Side Header2"/>
    <w:basedOn w:val="TableNormal"/>
    <w:next w:val="TableGrid"/>
    <w:uiPriority w:val="99"/>
    <w:rsid w:val="00F35769"/>
    <w:pPr>
      <w:spacing w:after="0" w:line="240" w:lineRule="auto"/>
    </w:pPr>
    <w:rPr>
      <w:rFonts w:ascii="Segoe UI" w:hAnsi="Segoe UI"/>
      <w:sz w:val="17"/>
    </w:rPr>
    <w:tblPr>
      <w:tblStyleRowBandSize w:val="1"/>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cPr>
      <w:vAlign w:val="center"/>
    </w:tcPr>
    <w:tblStylePr w:type="firstRow">
      <w:pPr>
        <w:jc w:val="left"/>
      </w:pPr>
      <w:rPr>
        <w:rFonts w:ascii="Yu Mincho Light" w:hAnsi="Yu Mincho Light"/>
        <w:b w:val="0"/>
        <w:color w:val="00264D" w:themeColor="background2"/>
        <w:sz w:val="18"/>
      </w:rPr>
      <w:tblPr/>
      <w:trPr>
        <w:cantSplit/>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tblStylePr w:type="band1Horz">
      <w:rPr>
        <w:rFonts w:ascii="Walbaum Heading" w:hAnsi="Walbaum Heading"/>
        <w:sz w:val="17"/>
      </w:rPr>
    </w:tblStylePr>
    <w:tblStylePr w:type="band2Horz">
      <w:rPr>
        <w:rFonts w:ascii="Walbaum Heading" w:hAnsi="Walbaum Heading"/>
        <w:sz w:val="17"/>
      </w:rPr>
    </w:tblStylePr>
  </w:style>
  <w:style w:type="table" w:customStyle="1" w:styleId="NOUSSideHeader3">
    <w:name w:val="NOUS Side Header3"/>
    <w:basedOn w:val="TableNormal"/>
    <w:next w:val="TableGrid"/>
    <w:uiPriority w:val="39"/>
    <w:rsid w:val="000125DE"/>
    <w:pPr>
      <w:spacing w:after="0" w:line="240" w:lineRule="auto"/>
    </w:pPr>
    <w:rPr>
      <w:rFonts w:ascii="Segoe UI" w:hAnsi="Segoe UI"/>
      <w:sz w:val="17"/>
    </w:rPr>
    <w:tblPr>
      <w:tblStyleRowBandSize w:val="1"/>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cPr>
      <w:vAlign w:val="center"/>
    </w:tcPr>
    <w:tblStylePr w:type="firstRow">
      <w:pPr>
        <w:jc w:val="left"/>
      </w:pPr>
      <w:rPr>
        <w:rFonts w:ascii="Walbaum Heading" w:hAnsi="Walbaum Heading"/>
        <w:b w:val="0"/>
        <w:color w:val="00264D" w:themeColor="background2"/>
        <w:sz w:val="18"/>
      </w:rPr>
      <w:tblPr/>
      <w:trPr>
        <w:cantSplit/>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tblStylePr w:type="band1Horz">
      <w:rPr>
        <w:rFonts w:ascii="Walbaum Heading" w:hAnsi="Walbaum Heading"/>
        <w:sz w:val="17"/>
      </w:rPr>
    </w:tblStylePr>
    <w:tblStylePr w:type="band2Horz">
      <w:rPr>
        <w:rFonts w:ascii="Walbaum Heading" w:hAnsi="Walbaum Heading"/>
        <w:sz w:val="17"/>
      </w:rPr>
    </w:tblStylePr>
  </w:style>
  <w:style w:type="paragraph" w:customStyle="1" w:styleId="Callout">
    <w:name w:val="Call out"/>
    <w:basedOn w:val="Normal"/>
    <w:uiPriority w:val="98"/>
    <w:qFormat/>
    <w:rsid w:val="000A6077"/>
    <w:pPr>
      <w:pBdr>
        <w:top w:val="single" w:sz="18" w:space="4" w:color="E6E6E1" w:themeColor="accent5"/>
      </w:pBdr>
      <w:spacing w:line="259" w:lineRule="auto"/>
    </w:pPr>
    <w:rPr>
      <w:rFonts w:ascii="Segoe UI Semilight" w:hAnsi="Segoe UI Semilight"/>
      <w:color w:val="F8981D" w:themeColor="accent3"/>
      <w:kern w:val="24"/>
      <w:sz w:val="22"/>
    </w:rPr>
  </w:style>
  <w:style w:type="table" w:styleId="PlainTable3">
    <w:name w:val="Plain Table 3"/>
    <w:basedOn w:val="TableNormal"/>
    <w:uiPriority w:val="43"/>
    <w:rsid w:val="000D5CA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numbering" w:customStyle="1" w:styleId="Listnumberedmultilevel">
    <w:name w:val="List (numbered)_multilevel"/>
    <w:uiPriority w:val="99"/>
    <w:rsid w:val="002B03ED"/>
    <w:pPr>
      <w:numPr>
        <w:numId w:val="8"/>
      </w:numPr>
    </w:pPr>
  </w:style>
  <w:style w:type="table" w:customStyle="1" w:styleId="NousLongformcallout">
    <w:name w:val="Nous_Long form call out"/>
    <w:basedOn w:val="TableNormal"/>
    <w:uiPriority w:val="99"/>
    <w:rsid w:val="005E569B"/>
    <w:pPr>
      <w:spacing w:after="0" w:line="240" w:lineRule="auto"/>
    </w:pPr>
    <w:rPr>
      <w:color w:val="00264D" w:themeColor="background2"/>
    </w:rPr>
    <w:tblPr>
      <w:tblBorders>
        <w:left w:val="single" w:sz="18" w:space="0" w:color="F8981D" w:themeColor="accent3"/>
      </w:tblBorders>
      <w:tblCellMar>
        <w:top w:w="113" w:type="dxa"/>
        <w:bottom w:w="113" w:type="dxa"/>
      </w:tblCellMar>
    </w:tblPr>
    <w:tcPr>
      <w:shd w:val="clear" w:color="auto" w:fill="E6E6E1" w:themeFill="accent5"/>
    </w:tcPr>
  </w:style>
  <w:style w:type="table" w:customStyle="1" w:styleId="NOUSSideHeader11">
    <w:name w:val="NOUS Side Header11"/>
    <w:basedOn w:val="TableNormal"/>
    <w:next w:val="TableGrid"/>
    <w:uiPriority w:val="39"/>
    <w:rsid w:val="00012710"/>
    <w:pPr>
      <w:spacing w:after="0" w:line="240" w:lineRule="auto"/>
    </w:pPr>
    <w:rPr>
      <w:rFonts w:ascii="Segoe UI" w:hAnsi="Segoe UI"/>
      <w:sz w:val="17"/>
    </w:rPr>
    <w:tblPr>
      <w:tblStyleRowBandSize w:val="1"/>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cPr>
      <w:vAlign w:val="center"/>
    </w:tcPr>
    <w:tblStylePr w:type="firstRow">
      <w:pPr>
        <w:jc w:val="left"/>
      </w:pPr>
      <w:rPr>
        <w:rFonts w:ascii="Walbaum Heading" w:hAnsi="Walbaum Heading"/>
        <w:b w:val="0"/>
        <w:color w:val="00264D" w:themeColor="background2"/>
        <w:sz w:val="18"/>
      </w:rPr>
      <w:tblPr/>
      <w:trPr>
        <w:cantSplit/>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tblStylePr w:type="band1Horz">
      <w:rPr>
        <w:rFonts w:ascii="Walbaum Heading" w:hAnsi="Walbaum Heading"/>
        <w:sz w:val="17"/>
      </w:rPr>
    </w:tblStylePr>
    <w:tblStylePr w:type="band2Horz">
      <w:rPr>
        <w:rFonts w:ascii="Walbaum Heading" w:hAnsi="Walbaum Heading"/>
        <w:sz w:val="17"/>
      </w:rPr>
    </w:tblStylePr>
  </w:style>
  <w:style w:type="character" w:styleId="FollowedHyperlink">
    <w:name w:val="FollowedHyperlink"/>
    <w:basedOn w:val="DefaultParagraphFont"/>
    <w:uiPriority w:val="99"/>
    <w:semiHidden/>
    <w:unhideWhenUsed/>
    <w:rsid w:val="00B23B1A"/>
    <w:rPr>
      <w:color w:val="0048C7" w:themeColor="followedHyperlink"/>
      <w:u w:val="single"/>
    </w:rPr>
  </w:style>
  <w:style w:type="table" w:customStyle="1" w:styleId="Sectionintroductiontable">
    <w:name w:val="Section introduction table"/>
    <w:basedOn w:val="TableNormal"/>
    <w:uiPriority w:val="99"/>
    <w:rsid w:val="009F7F19"/>
    <w:pPr>
      <w:spacing w:after="0" w:line="240" w:lineRule="auto"/>
    </w:pPr>
    <w:tblPr>
      <w:tblCellMar>
        <w:top w:w="113" w:type="dxa"/>
        <w:left w:w="0" w:type="dxa"/>
        <w:bottom w:w="113" w:type="dxa"/>
        <w:right w:w="0" w:type="dxa"/>
      </w:tblCellMar>
    </w:tblPr>
    <w:tblStylePr w:type="firstRow">
      <w:pPr>
        <w:wordWrap/>
        <w:spacing w:beforeLines="0" w:before="0" w:beforeAutospacing="0" w:afterLines="0" w:after="0" w:afterAutospacing="0"/>
      </w:pPr>
      <w:rPr>
        <w:rFonts w:ascii="Yu Mincho Light" w:hAnsi="Yu Mincho Light"/>
        <w:color w:val="00264D" w:themeColor="background2"/>
        <w:sz w:val="21"/>
      </w:rPr>
      <w:tblPr/>
      <w:tcPr>
        <w:tcBorders>
          <w:top w:val="single" w:sz="8" w:space="0" w:color="00264D" w:themeColor="background2"/>
          <w:left w:val="nil"/>
          <w:bottom w:val="single" w:sz="8" w:space="0" w:color="00264D" w:themeColor="background2"/>
          <w:right w:val="nil"/>
        </w:tcBorders>
      </w:tcPr>
    </w:tblStylePr>
  </w:style>
  <w:style w:type="numbering" w:customStyle="1" w:styleId="TableexpListnumberedmultilevel">
    <w:name w:val="Table exp List (numbered) multilevel"/>
    <w:uiPriority w:val="99"/>
    <w:rsid w:val="009F7F19"/>
    <w:pPr>
      <w:numPr>
        <w:numId w:val="32"/>
      </w:numPr>
    </w:pPr>
  </w:style>
  <w:style w:type="character" w:customStyle="1" w:styleId="Heading9Char">
    <w:name w:val="Heading 9 Char"/>
    <w:basedOn w:val="DefaultParagraphFont"/>
    <w:link w:val="Heading9"/>
    <w:uiPriority w:val="19"/>
    <w:semiHidden/>
    <w:rsid w:val="00363BC2"/>
    <w:rPr>
      <w:rFonts w:eastAsiaTheme="majorEastAsia" w:cstheme="majorBidi"/>
      <w:color w:val="272727" w:themeColor="text1" w:themeTint="D8"/>
      <w:sz w:val="19"/>
    </w:rPr>
  </w:style>
  <w:style w:type="paragraph" w:customStyle="1" w:styleId="TableExpbullet">
    <w:name w:val="Table Exp bullet"/>
    <w:basedOn w:val="Normal"/>
    <w:uiPriority w:val="3"/>
    <w:qFormat/>
    <w:rsid w:val="00363BC2"/>
    <w:pPr>
      <w:numPr>
        <w:numId w:val="37"/>
      </w:numPr>
      <w:spacing w:before="60" w:after="60"/>
    </w:pPr>
    <w:rPr>
      <w:sz w:val="16"/>
    </w:rPr>
  </w:style>
  <w:style w:type="table" w:customStyle="1" w:styleId="NousTableTopandside">
    <w:name w:val="Nous Table_Top and side"/>
    <w:basedOn w:val="TableNormal"/>
    <w:uiPriority w:val="99"/>
    <w:rsid w:val="00C17381"/>
    <w:pPr>
      <w:spacing w:after="0" w:line="240" w:lineRule="auto"/>
    </w:pPr>
    <w:tblPr>
      <w:tblBorders>
        <w:insideH w:val="single" w:sz="8" w:space="0" w:color="F9F9F9"/>
      </w:tblBorders>
      <w:tblCellMar>
        <w:top w:w="57" w:type="dxa"/>
        <w:left w:w="85" w:type="dxa"/>
        <w:bottom w:w="57" w:type="dxa"/>
        <w:right w:w="85" w:type="dxa"/>
      </w:tblCellMar>
    </w:tblPr>
    <w:tblStylePr w:type="firstRow">
      <w:pPr>
        <w:jc w:val="left"/>
      </w:pPr>
      <w:rPr>
        <w:rFonts w:ascii="Walbaum Heading" w:hAnsi="Walbaum Heading"/>
        <w:b w:val="0"/>
        <w:color w:val="00264D" w:themeColor="background2"/>
        <w:sz w:val="18"/>
      </w:rPr>
      <w:tblPr/>
      <w:tcPr>
        <w:tcBorders>
          <w:top w:val="single" w:sz="24" w:space="0" w:color="F8981D" w:themeColor="accent3"/>
          <w:insideV w:val="single" w:sz="8" w:space="0" w:color="FFFFFF" w:themeColor="background1"/>
        </w:tcBorders>
        <w:shd w:val="clear" w:color="auto" w:fill="E6E6E1" w:themeFill="accent5"/>
        <w:vAlign w:val="center"/>
      </w:tcPr>
    </w:tblStylePr>
    <w:tblStylePr w:type="firstCol">
      <w:pPr>
        <w:jc w:val="left"/>
      </w:pPr>
      <w:rPr>
        <w:rFonts w:ascii="Walbaum Heading" w:hAnsi="Walbaum Heading"/>
        <w:b w:val="0"/>
        <w:color w:val="00264D" w:themeColor="background2"/>
        <w:sz w:val="18"/>
      </w:rPr>
      <w:tblPr/>
      <w:tcPr>
        <w:tcBorders>
          <w:left w:val="nil"/>
        </w:tcBorders>
        <w:shd w:val="clear" w:color="auto" w:fill="E6E6E1" w:themeFill="accent5"/>
      </w:tcPr>
    </w:tblStylePr>
  </w:style>
  <w:style w:type="paragraph" w:customStyle="1" w:styleId="Sectionintroduction">
    <w:name w:val="Section introduction"/>
    <w:uiPriority w:val="21"/>
    <w:qFormat/>
    <w:rsid w:val="00363BC2"/>
    <w:pPr>
      <w:spacing w:before="120" w:after="120"/>
    </w:pPr>
    <w:rPr>
      <w:rFonts w:ascii="Segoe UI Semilight" w:hAnsi="Segoe UI Semilight"/>
      <w:color w:val="00264D" w:themeColor="background2"/>
      <w:sz w:val="21"/>
      <w:szCs w:val="21"/>
      <w:lang w:val="en-AU"/>
    </w:rPr>
  </w:style>
  <w:style w:type="paragraph" w:customStyle="1" w:styleId="Longformcallout">
    <w:name w:val="Long form callout"/>
    <w:basedOn w:val="Normal"/>
    <w:uiPriority w:val="20"/>
    <w:qFormat/>
    <w:rsid w:val="00363BC2"/>
    <w:pPr>
      <w:spacing w:before="60" w:after="60"/>
    </w:pPr>
    <w:rPr>
      <w:color w:val="00264D" w:themeColor="background2"/>
      <w:szCs w:val="19"/>
      <w:lang w:eastAsia="en-AU"/>
    </w:rPr>
  </w:style>
  <w:style w:type="paragraph" w:customStyle="1" w:styleId="longformcalloutbullet">
    <w:name w:val="long form call out bullet"/>
    <w:basedOn w:val="Longformcallout"/>
    <w:uiPriority w:val="20"/>
    <w:qFormat/>
    <w:rsid w:val="00363BC2"/>
    <w:pPr>
      <w:numPr>
        <w:numId w:val="33"/>
      </w:numPr>
    </w:pPr>
  </w:style>
  <w:style w:type="paragraph" w:customStyle="1" w:styleId="longformcalloutnumber">
    <w:name w:val="long form callout number"/>
    <w:basedOn w:val="longformcalloutbullet"/>
    <w:uiPriority w:val="20"/>
    <w:qFormat/>
    <w:rsid w:val="00363BC2"/>
    <w:pPr>
      <w:numPr>
        <w:numId w:val="34"/>
      </w:numPr>
    </w:pPr>
  </w:style>
  <w:style w:type="paragraph" w:customStyle="1" w:styleId="NousFooter">
    <w:name w:val="Nous Footer"/>
    <w:basedOn w:val="Normal"/>
    <w:uiPriority w:val="96"/>
    <w:qFormat/>
    <w:rsid w:val="00363BC2"/>
    <w:pPr>
      <w:spacing w:after="0"/>
    </w:pPr>
    <w:rPr>
      <w:color w:val="808080" w:themeColor="background1" w:themeShade="80"/>
      <w:sz w:val="15"/>
      <w:szCs w:val="15"/>
      <w:lang w:eastAsia="en-AU"/>
    </w:rPr>
  </w:style>
  <w:style w:type="paragraph" w:customStyle="1" w:styleId="introductionlist">
    <w:name w:val="introduction list"/>
    <w:basedOn w:val="Sectionintroduction"/>
    <w:uiPriority w:val="21"/>
    <w:qFormat/>
    <w:rsid w:val="00363BC2"/>
    <w:pPr>
      <w:numPr>
        <w:numId w:val="35"/>
      </w:numPr>
      <w:spacing w:before="60"/>
    </w:pPr>
  </w:style>
  <w:style w:type="paragraph" w:customStyle="1" w:styleId="intoductionbullet">
    <w:name w:val="intoduction bullet"/>
    <w:basedOn w:val="Sectionintroduction"/>
    <w:uiPriority w:val="21"/>
    <w:qFormat/>
    <w:rsid w:val="00363BC2"/>
    <w:pPr>
      <w:numPr>
        <w:numId w:val="36"/>
      </w:numPr>
    </w:pPr>
  </w:style>
  <w:style w:type="numbering" w:customStyle="1" w:styleId="TableNListnumberedmultilevel">
    <w:name w:val="Table N List (numbered) multilevel"/>
    <w:uiPriority w:val="99"/>
    <w:rsid w:val="00363BC2"/>
    <w:pPr>
      <w:numPr>
        <w:numId w:val="38"/>
      </w:numPr>
    </w:pPr>
  </w:style>
  <w:style w:type="character" w:styleId="Strong">
    <w:name w:val="Strong"/>
    <w:basedOn w:val="DefaultParagraphFont"/>
    <w:uiPriority w:val="22"/>
    <w:rsid w:val="00ED1544"/>
    <w:rPr>
      <w:b/>
      <w:bCs/>
    </w:rPr>
  </w:style>
  <w:style w:type="paragraph" w:customStyle="1" w:styleId="TableNbiophoto">
    <w:name w:val="Table N bio photo"/>
    <w:basedOn w:val="TableNText"/>
    <w:qFormat/>
    <w:rsid w:val="00363BC2"/>
    <w:pPr>
      <w:spacing w:after="0" w:line="257" w:lineRule="auto"/>
    </w:pPr>
    <w:rPr>
      <w:lang w:val="en-US"/>
    </w:rPr>
  </w:style>
  <w:style w:type="paragraph" w:styleId="Title">
    <w:name w:val="Title"/>
    <w:basedOn w:val="Normal"/>
    <w:next w:val="Normal"/>
    <w:link w:val="TitleChar"/>
    <w:uiPriority w:val="10"/>
    <w:rsid w:val="00363BC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3B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rsid w:val="00363BC2"/>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3B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rsid w:val="00363BC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63BC2"/>
    <w:rPr>
      <w:rFonts w:ascii="Segoe UI" w:hAnsi="Segoe UI"/>
      <w:i/>
      <w:iCs/>
      <w:color w:val="404040" w:themeColor="text1" w:themeTint="BF"/>
      <w:sz w:val="19"/>
    </w:rPr>
  </w:style>
  <w:style w:type="character" w:styleId="IntenseEmphasis">
    <w:name w:val="Intense Emphasis"/>
    <w:basedOn w:val="DefaultParagraphFont"/>
    <w:uiPriority w:val="21"/>
    <w:rsid w:val="00363BC2"/>
    <w:rPr>
      <w:i/>
      <w:iCs/>
      <w:color w:val="EA0006" w:themeColor="accent1" w:themeShade="BF"/>
    </w:rPr>
  </w:style>
  <w:style w:type="paragraph" w:styleId="IntenseQuote">
    <w:name w:val="Intense Quote"/>
    <w:basedOn w:val="Normal"/>
    <w:next w:val="Normal"/>
    <w:link w:val="IntenseQuoteChar"/>
    <w:uiPriority w:val="30"/>
    <w:rsid w:val="00363BC2"/>
    <w:pPr>
      <w:pBdr>
        <w:top w:val="single" w:sz="4" w:space="10" w:color="EA0006" w:themeColor="accent1" w:themeShade="BF"/>
        <w:bottom w:val="single" w:sz="4" w:space="10" w:color="EA0006" w:themeColor="accent1" w:themeShade="BF"/>
      </w:pBdr>
      <w:spacing w:before="360" w:after="360"/>
      <w:ind w:left="864" w:right="864"/>
      <w:jc w:val="center"/>
    </w:pPr>
    <w:rPr>
      <w:i/>
      <w:iCs/>
      <w:color w:val="EA0006" w:themeColor="accent1" w:themeShade="BF"/>
    </w:rPr>
  </w:style>
  <w:style w:type="character" w:customStyle="1" w:styleId="IntenseQuoteChar">
    <w:name w:val="Intense Quote Char"/>
    <w:basedOn w:val="DefaultParagraphFont"/>
    <w:link w:val="IntenseQuote"/>
    <w:uiPriority w:val="30"/>
    <w:rsid w:val="00363BC2"/>
    <w:rPr>
      <w:rFonts w:ascii="Segoe UI" w:hAnsi="Segoe UI"/>
      <w:i/>
      <w:iCs/>
      <w:color w:val="EA0006" w:themeColor="accent1" w:themeShade="BF"/>
      <w:sz w:val="19"/>
    </w:rPr>
  </w:style>
  <w:style w:type="character" w:styleId="IntenseReference">
    <w:name w:val="Intense Reference"/>
    <w:basedOn w:val="DefaultParagraphFont"/>
    <w:uiPriority w:val="32"/>
    <w:rsid w:val="00363BC2"/>
    <w:rPr>
      <w:b/>
      <w:bCs/>
      <w:smallCaps/>
      <w:color w:val="EA0006" w:themeColor="accent1" w:themeShade="BF"/>
      <w:spacing w:val="5"/>
    </w:rPr>
  </w:style>
  <w:style w:type="paragraph" w:styleId="NormalWeb">
    <w:name w:val="Normal (Web)"/>
    <w:basedOn w:val="Normal"/>
    <w:uiPriority w:val="99"/>
    <w:semiHidden/>
    <w:unhideWhenUsed/>
    <w:rsid w:val="00363BC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6049">
      <w:bodyDiv w:val="1"/>
      <w:marLeft w:val="0"/>
      <w:marRight w:val="0"/>
      <w:marTop w:val="0"/>
      <w:marBottom w:val="0"/>
      <w:divBdr>
        <w:top w:val="none" w:sz="0" w:space="0" w:color="auto"/>
        <w:left w:val="none" w:sz="0" w:space="0" w:color="auto"/>
        <w:bottom w:val="none" w:sz="0" w:space="0" w:color="auto"/>
        <w:right w:val="none" w:sz="0" w:space="0" w:color="auto"/>
      </w:divBdr>
    </w:div>
    <w:div w:id="28771090">
      <w:bodyDiv w:val="1"/>
      <w:marLeft w:val="0"/>
      <w:marRight w:val="0"/>
      <w:marTop w:val="0"/>
      <w:marBottom w:val="0"/>
      <w:divBdr>
        <w:top w:val="none" w:sz="0" w:space="0" w:color="auto"/>
        <w:left w:val="none" w:sz="0" w:space="0" w:color="auto"/>
        <w:bottom w:val="none" w:sz="0" w:space="0" w:color="auto"/>
        <w:right w:val="none" w:sz="0" w:space="0" w:color="auto"/>
      </w:divBdr>
    </w:div>
    <w:div w:id="100539498">
      <w:bodyDiv w:val="1"/>
      <w:marLeft w:val="0"/>
      <w:marRight w:val="0"/>
      <w:marTop w:val="0"/>
      <w:marBottom w:val="0"/>
      <w:divBdr>
        <w:top w:val="none" w:sz="0" w:space="0" w:color="auto"/>
        <w:left w:val="none" w:sz="0" w:space="0" w:color="auto"/>
        <w:bottom w:val="none" w:sz="0" w:space="0" w:color="auto"/>
        <w:right w:val="none" w:sz="0" w:space="0" w:color="auto"/>
      </w:divBdr>
    </w:div>
    <w:div w:id="149643334">
      <w:bodyDiv w:val="1"/>
      <w:marLeft w:val="0"/>
      <w:marRight w:val="0"/>
      <w:marTop w:val="0"/>
      <w:marBottom w:val="0"/>
      <w:divBdr>
        <w:top w:val="none" w:sz="0" w:space="0" w:color="auto"/>
        <w:left w:val="none" w:sz="0" w:space="0" w:color="auto"/>
        <w:bottom w:val="none" w:sz="0" w:space="0" w:color="auto"/>
        <w:right w:val="none" w:sz="0" w:space="0" w:color="auto"/>
      </w:divBdr>
    </w:div>
    <w:div w:id="151525339">
      <w:bodyDiv w:val="1"/>
      <w:marLeft w:val="0"/>
      <w:marRight w:val="0"/>
      <w:marTop w:val="0"/>
      <w:marBottom w:val="0"/>
      <w:divBdr>
        <w:top w:val="none" w:sz="0" w:space="0" w:color="auto"/>
        <w:left w:val="none" w:sz="0" w:space="0" w:color="auto"/>
        <w:bottom w:val="none" w:sz="0" w:space="0" w:color="auto"/>
        <w:right w:val="none" w:sz="0" w:space="0" w:color="auto"/>
      </w:divBdr>
      <w:divsChild>
        <w:div w:id="1925602260">
          <w:marLeft w:val="446"/>
          <w:marRight w:val="0"/>
          <w:marTop w:val="91"/>
          <w:marBottom w:val="0"/>
          <w:divBdr>
            <w:top w:val="none" w:sz="0" w:space="0" w:color="auto"/>
            <w:left w:val="none" w:sz="0" w:space="0" w:color="auto"/>
            <w:bottom w:val="none" w:sz="0" w:space="0" w:color="auto"/>
            <w:right w:val="none" w:sz="0" w:space="0" w:color="auto"/>
          </w:divBdr>
        </w:div>
      </w:divsChild>
    </w:div>
    <w:div w:id="219753547">
      <w:bodyDiv w:val="1"/>
      <w:marLeft w:val="0"/>
      <w:marRight w:val="0"/>
      <w:marTop w:val="0"/>
      <w:marBottom w:val="0"/>
      <w:divBdr>
        <w:top w:val="none" w:sz="0" w:space="0" w:color="auto"/>
        <w:left w:val="none" w:sz="0" w:space="0" w:color="auto"/>
        <w:bottom w:val="none" w:sz="0" w:space="0" w:color="auto"/>
        <w:right w:val="none" w:sz="0" w:space="0" w:color="auto"/>
      </w:divBdr>
    </w:div>
    <w:div w:id="277681908">
      <w:bodyDiv w:val="1"/>
      <w:marLeft w:val="0"/>
      <w:marRight w:val="0"/>
      <w:marTop w:val="0"/>
      <w:marBottom w:val="0"/>
      <w:divBdr>
        <w:top w:val="none" w:sz="0" w:space="0" w:color="auto"/>
        <w:left w:val="none" w:sz="0" w:space="0" w:color="auto"/>
        <w:bottom w:val="none" w:sz="0" w:space="0" w:color="auto"/>
        <w:right w:val="none" w:sz="0" w:space="0" w:color="auto"/>
      </w:divBdr>
    </w:div>
    <w:div w:id="314726949">
      <w:bodyDiv w:val="1"/>
      <w:marLeft w:val="0"/>
      <w:marRight w:val="0"/>
      <w:marTop w:val="0"/>
      <w:marBottom w:val="0"/>
      <w:divBdr>
        <w:top w:val="none" w:sz="0" w:space="0" w:color="auto"/>
        <w:left w:val="none" w:sz="0" w:space="0" w:color="auto"/>
        <w:bottom w:val="none" w:sz="0" w:space="0" w:color="auto"/>
        <w:right w:val="none" w:sz="0" w:space="0" w:color="auto"/>
      </w:divBdr>
    </w:div>
    <w:div w:id="349381352">
      <w:bodyDiv w:val="1"/>
      <w:marLeft w:val="0"/>
      <w:marRight w:val="0"/>
      <w:marTop w:val="0"/>
      <w:marBottom w:val="0"/>
      <w:divBdr>
        <w:top w:val="none" w:sz="0" w:space="0" w:color="auto"/>
        <w:left w:val="none" w:sz="0" w:space="0" w:color="auto"/>
        <w:bottom w:val="none" w:sz="0" w:space="0" w:color="auto"/>
        <w:right w:val="none" w:sz="0" w:space="0" w:color="auto"/>
      </w:divBdr>
    </w:div>
    <w:div w:id="377243153">
      <w:bodyDiv w:val="1"/>
      <w:marLeft w:val="0"/>
      <w:marRight w:val="0"/>
      <w:marTop w:val="0"/>
      <w:marBottom w:val="0"/>
      <w:divBdr>
        <w:top w:val="none" w:sz="0" w:space="0" w:color="auto"/>
        <w:left w:val="none" w:sz="0" w:space="0" w:color="auto"/>
        <w:bottom w:val="none" w:sz="0" w:space="0" w:color="auto"/>
        <w:right w:val="none" w:sz="0" w:space="0" w:color="auto"/>
      </w:divBdr>
    </w:div>
    <w:div w:id="381095985">
      <w:bodyDiv w:val="1"/>
      <w:marLeft w:val="0"/>
      <w:marRight w:val="0"/>
      <w:marTop w:val="0"/>
      <w:marBottom w:val="0"/>
      <w:divBdr>
        <w:top w:val="none" w:sz="0" w:space="0" w:color="auto"/>
        <w:left w:val="none" w:sz="0" w:space="0" w:color="auto"/>
        <w:bottom w:val="none" w:sz="0" w:space="0" w:color="auto"/>
        <w:right w:val="none" w:sz="0" w:space="0" w:color="auto"/>
      </w:divBdr>
    </w:div>
    <w:div w:id="398211715">
      <w:bodyDiv w:val="1"/>
      <w:marLeft w:val="0"/>
      <w:marRight w:val="0"/>
      <w:marTop w:val="0"/>
      <w:marBottom w:val="0"/>
      <w:divBdr>
        <w:top w:val="none" w:sz="0" w:space="0" w:color="auto"/>
        <w:left w:val="none" w:sz="0" w:space="0" w:color="auto"/>
        <w:bottom w:val="none" w:sz="0" w:space="0" w:color="auto"/>
        <w:right w:val="none" w:sz="0" w:space="0" w:color="auto"/>
      </w:divBdr>
    </w:div>
    <w:div w:id="459610357">
      <w:bodyDiv w:val="1"/>
      <w:marLeft w:val="0"/>
      <w:marRight w:val="0"/>
      <w:marTop w:val="0"/>
      <w:marBottom w:val="0"/>
      <w:divBdr>
        <w:top w:val="none" w:sz="0" w:space="0" w:color="auto"/>
        <w:left w:val="none" w:sz="0" w:space="0" w:color="auto"/>
        <w:bottom w:val="none" w:sz="0" w:space="0" w:color="auto"/>
        <w:right w:val="none" w:sz="0" w:space="0" w:color="auto"/>
      </w:divBdr>
    </w:div>
    <w:div w:id="460609383">
      <w:bodyDiv w:val="1"/>
      <w:marLeft w:val="0"/>
      <w:marRight w:val="0"/>
      <w:marTop w:val="0"/>
      <w:marBottom w:val="0"/>
      <w:divBdr>
        <w:top w:val="none" w:sz="0" w:space="0" w:color="auto"/>
        <w:left w:val="none" w:sz="0" w:space="0" w:color="auto"/>
        <w:bottom w:val="none" w:sz="0" w:space="0" w:color="auto"/>
        <w:right w:val="none" w:sz="0" w:space="0" w:color="auto"/>
      </w:divBdr>
    </w:div>
    <w:div w:id="489905609">
      <w:bodyDiv w:val="1"/>
      <w:marLeft w:val="0"/>
      <w:marRight w:val="0"/>
      <w:marTop w:val="0"/>
      <w:marBottom w:val="0"/>
      <w:divBdr>
        <w:top w:val="none" w:sz="0" w:space="0" w:color="auto"/>
        <w:left w:val="none" w:sz="0" w:space="0" w:color="auto"/>
        <w:bottom w:val="none" w:sz="0" w:space="0" w:color="auto"/>
        <w:right w:val="none" w:sz="0" w:space="0" w:color="auto"/>
      </w:divBdr>
    </w:div>
    <w:div w:id="497426739">
      <w:bodyDiv w:val="1"/>
      <w:marLeft w:val="0"/>
      <w:marRight w:val="0"/>
      <w:marTop w:val="0"/>
      <w:marBottom w:val="0"/>
      <w:divBdr>
        <w:top w:val="none" w:sz="0" w:space="0" w:color="auto"/>
        <w:left w:val="none" w:sz="0" w:space="0" w:color="auto"/>
        <w:bottom w:val="none" w:sz="0" w:space="0" w:color="auto"/>
        <w:right w:val="none" w:sz="0" w:space="0" w:color="auto"/>
      </w:divBdr>
    </w:div>
    <w:div w:id="522478405">
      <w:bodyDiv w:val="1"/>
      <w:marLeft w:val="0"/>
      <w:marRight w:val="0"/>
      <w:marTop w:val="0"/>
      <w:marBottom w:val="0"/>
      <w:divBdr>
        <w:top w:val="none" w:sz="0" w:space="0" w:color="auto"/>
        <w:left w:val="none" w:sz="0" w:space="0" w:color="auto"/>
        <w:bottom w:val="none" w:sz="0" w:space="0" w:color="auto"/>
        <w:right w:val="none" w:sz="0" w:space="0" w:color="auto"/>
      </w:divBdr>
    </w:div>
    <w:div w:id="584070488">
      <w:bodyDiv w:val="1"/>
      <w:marLeft w:val="0"/>
      <w:marRight w:val="0"/>
      <w:marTop w:val="0"/>
      <w:marBottom w:val="0"/>
      <w:divBdr>
        <w:top w:val="none" w:sz="0" w:space="0" w:color="auto"/>
        <w:left w:val="none" w:sz="0" w:space="0" w:color="auto"/>
        <w:bottom w:val="none" w:sz="0" w:space="0" w:color="auto"/>
        <w:right w:val="none" w:sz="0" w:space="0" w:color="auto"/>
      </w:divBdr>
    </w:div>
    <w:div w:id="617101024">
      <w:bodyDiv w:val="1"/>
      <w:marLeft w:val="0"/>
      <w:marRight w:val="0"/>
      <w:marTop w:val="0"/>
      <w:marBottom w:val="0"/>
      <w:divBdr>
        <w:top w:val="none" w:sz="0" w:space="0" w:color="auto"/>
        <w:left w:val="none" w:sz="0" w:space="0" w:color="auto"/>
        <w:bottom w:val="none" w:sz="0" w:space="0" w:color="auto"/>
        <w:right w:val="none" w:sz="0" w:space="0" w:color="auto"/>
      </w:divBdr>
    </w:div>
    <w:div w:id="627050628">
      <w:bodyDiv w:val="1"/>
      <w:marLeft w:val="0"/>
      <w:marRight w:val="0"/>
      <w:marTop w:val="0"/>
      <w:marBottom w:val="0"/>
      <w:divBdr>
        <w:top w:val="none" w:sz="0" w:space="0" w:color="auto"/>
        <w:left w:val="none" w:sz="0" w:space="0" w:color="auto"/>
        <w:bottom w:val="none" w:sz="0" w:space="0" w:color="auto"/>
        <w:right w:val="none" w:sz="0" w:space="0" w:color="auto"/>
      </w:divBdr>
    </w:div>
    <w:div w:id="660695981">
      <w:bodyDiv w:val="1"/>
      <w:marLeft w:val="0"/>
      <w:marRight w:val="0"/>
      <w:marTop w:val="0"/>
      <w:marBottom w:val="0"/>
      <w:divBdr>
        <w:top w:val="none" w:sz="0" w:space="0" w:color="auto"/>
        <w:left w:val="none" w:sz="0" w:space="0" w:color="auto"/>
        <w:bottom w:val="none" w:sz="0" w:space="0" w:color="auto"/>
        <w:right w:val="none" w:sz="0" w:space="0" w:color="auto"/>
      </w:divBdr>
    </w:div>
    <w:div w:id="685714510">
      <w:bodyDiv w:val="1"/>
      <w:marLeft w:val="0"/>
      <w:marRight w:val="0"/>
      <w:marTop w:val="0"/>
      <w:marBottom w:val="0"/>
      <w:divBdr>
        <w:top w:val="none" w:sz="0" w:space="0" w:color="auto"/>
        <w:left w:val="none" w:sz="0" w:space="0" w:color="auto"/>
        <w:bottom w:val="none" w:sz="0" w:space="0" w:color="auto"/>
        <w:right w:val="none" w:sz="0" w:space="0" w:color="auto"/>
      </w:divBdr>
    </w:div>
    <w:div w:id="728067790">
      <w:bodyDiv w:val="1"/>
      <w:marLeft w:val="0"/>
      <w:marRight w:val="0"/>
      <w:marTop w:val="0"/>
      <w:marBottom w:val="0"/>
      <w:divBdr>
        <w:top w:val="none" w:sz="0" w:space="0" w:color="auto"/>
        <w:left w:val="none" w:sz="0" w:space="0" w:color="auto"/>
        <w:bottom w:val="none" w:sz="0" w:space="0" w:color="auto"/>
        <w:right w:val="none" w:sz="0" w:space="0" w:color="auto"/>
      </w:divBdr>
    </w:div>
    <w:div w:id="741677175">
      <w:bodyDiv w:val="1"/>
      <w:marLeft w:val="0"/>
      <w:marRight w:val="0"/>
      <w:marTop w:val="0"/>
      <w:marBottom w:val="0"/>
      <w:divBdr>
        <w:top w:val="none" w:sz="0" w:space="0" w:color="auto"/>
        <w:left w:val="none" w:sz="0" w:space="0" w:color="auto"/>
        <w:bottom w:val="none" w:sz="0" w:space="0" w:color="auto"/>
        <w:right w:val="none" w:sz="0" w:space="0" w:color="auto"/>
      </w:divBdr>
    </w:div>
    <w:div w:id="794130979">
      <w:bodyDiv w:val="1"/>
      <w:marLeft w:val="0"/>
      <w:marRight w:val="0"/>
      <w:marTop w:val="0"/>
      <w:marBottom w:val="0"/>
      <w:divBdr>
        <w:top w:val="none" w:sz="0" w:space="0" w:color="auto"/>
        <w:left w:val="none" w:sz="0" w:space="0" w:color="auto"/>
        <w:bottom w:val="none" w:sz="0" w:space="0" w:color="auto"/>
        <w:right w:val="none" w:sz="0" w:space="0" w:color="auto"/>
      </w:divBdr>
    </w:div>
    <w:div w:id="798568912">
      <w:bodyDiv w:val="1"/>
      <w:marLeft w:val="0"/>
      <w:marRight w:val="0"/>
      <w:marTop w:val="0"/>
      <w:marBottom w:val="0"/>
      <w:divBdr>
        <w:top w:val="none" w:sz="0" w:space="0" w:color="auto"/>
        <w:left w:val="none" w:sz="0" w:space="0" w:color="auto"/>
        <w:bottom w:val="none" w:sz="0" w:space="0" w:color="auto"/>
        <w:right w:val="none" w:sz="0" w:space="0" w:color="auto"/>
      </w:divBdr>
    </w:div>
    <w:div w:id="799961105">
      <w:bodyDiv w:val="1"/>
      <w:marLeft w:val="0"/>
      <w:marRight w:val="0"/>
      <w:marTop w:val="0"/>
      <w:marBottom w:val="0"/>
      <w:divBdr>
        <w:top w:val="none" w:sz="0" w:space="0" w:color="auto"/>
        <w:left w:val="none" w:sz="0" w:space="0" w:color="auto"/>
        <w:bottom w:val="none" w:sz="0" w:space="0" w:color="auto"/>
        <w:right w:val="none" w:sz="0" w:space="0" w:color="auto"/>
      </w:divBdr>
    </w:div>
    <w:div w:id="823350270">
      <w:bodyDiv w:val="1"/>
      <w:marLeft w:val="0"/>
      <w:marRight w:val="0"/>
      <w:marTop w:val="0"/>
      <w:marBottom w:val="0"/>
      <w:divBdr>
        <w:top w:val="none" w:sz="0" w:space="0" w:color="auto"/>
        <w:left w:val="none" w:sz="0" w:space="0" w:color="auto"/>
        <w:bottom w:val="none" w:sz="0" w:space="0" w:color="auto"/>
        <w:right w:val="none" w:sz="0" w:space="0" w:color="auto"/>
      </w:divBdr>
    </w:div>
    <w:div w:id="835074601">
      <w:bodyDiv w:val="1"/>
      <w:marLeft w:val="0"/>
      <w:marRight w:val="0"/>
      <w:marTop w:val="0"/>
      <w:marBottom w:val="0"/>
      <w:divBdr>
        <w:top w:val="none" w:sz="0" w:space="0" w:color="auto"/>
        <w:left w:val="none" w:sz="0" w:space="0" w:color="auto"/>
        <w:bottom w:val="none" w:sz="0" w:space="0" w:color="auto"/>
        <w:right w:val="none" w:sz="0" w:space="0" w:color="auto"/>
      </w:divBdr>
    </w:div>
    <w:div w:id="850071332">
      <w:bodyDiv w:val="1"/>
      <w:marLeft w:val="0"/>
      <w:marRight w:val="0"/>
      <w:marTop w:val="0"/>
      <w:marBottom w:val="0"/>
      <w:divBdr>
        <w:top w:val="none" w:sz="0" w:space="0" w:color="auto"/>
        <w:left w:val="none" w:sz="0" w:space="0" w:color="auto"/>
        <w:bottom w:val="none" w:sz="0" w:space="0" w:color="auto"/>
        <w:right w:val="none" w:sz="0" w:space="0" w:color="auto"/>
      </w:divBdr>
    </w:div>
    <w:div w:id="863710943">
      <w:bodyDiv w:val="1"/>
      <w:marLeft w:val="0"/>
      <w:marRight w:val="0"/>
      <w:marTop w:val="0"/>
      <w:marBottom w:val="0"/>
      <w:divBdr>
        <w:top w:val="none" w:sz="0" w:space="0" w:color="auto"/>
        <w:left w:val="none" w:sz="0" w:space="0" w:color="auto"/>
        <w:bottom w:val="none" w:sz="0" w:space="0" w:color="auto"/>
        <w:right w:val="none" w:sz="0" w:space="0" w:color="auto"/>
      </w:divBdr>
    </w:div>
    <w:div w:id="868301677">
      <w:bodyDiv w:val="1"/>
      <w:marLeft w:val="0"/>
      <w:marRight w:val="0"/>
      <w:marTop w:val="0"/>
      <w:marBottom w:val="0"/>
      <w:divBdr>
        <w:top w:val="none" w:sz="0" w:space="0" w:color="auto"/>
        <w:left w:val="none" w:sz="0" w:space="0" w:color="auto"/>
        <w:bottom w:val="none" w:sz="0" w:space="0" w:color="auto"/>
        <w:right w:val="none" w:sz="0" w:space="0" w:color="auto"/>
      </w:divBdr>
    </w:div>
    <w:div w:id="930117141">
      <w:bodyDiv w:val="1"/>
      <w:marLeft w:val="0"/>
      <w:marRight w:val="0"/>
      <w:marTop w:val="0"/>
      <w:marBottom w:val="0"/>
      <w:divBdr>
        <w:top w:val="none" w:sz="0" w:space="0" w:color="auto"/>
        <w:left w:val="none" w:sz="0" w:space="0" w:color="auto"/>
        <w:bottom w:val="none" w:sz="0" w:space="0" w:color="auto"/>
        <w:right w:val="none" w:sz="0" w:space="0" w:color="auto"/>
      </w:divBdr>
    </w:div>
    <w:div w:id="935671454">
      <w:bodyDiv w:val="1"/>
      <w:marLeft w:val="0"/>
      <w:marRight w:val="0"/>
      <w:marTop w:val="0"/>
      <w:marBottom w:val="0"/>
      <w:divBdr>
        <w:top w:val="none" w:sz="0" w:space="0" w:color="auto"/>
        <w:left w:val="none" w:sz="0" w:space="0" w:color="auto"/>
        <w:bottom w:val="none" w:sz="0" w:space="0" w:color="auto"/>
        <w:right w:val="none" w:sz="0" w:space="0" w:color="auto"/>
      </w:divBdr>
    </w:div>
    <w:div w:id="936055777">
      <w:bodyDiv w:val="1"/>
      <w:marLeft w:val="0"/>
      <w:marRight w:val="0"/>
      <w:marTop w:val="0"/>
      <w:marBottom w:val="0"/>
      <w:divBdr>
        <w:top w:val="none" w:sz="0" w:space="0" w:color="auto"/>
        <w:left w:val="none" w:sz="0" w:space="0" w:color="auto"/>
        <w:bottom w:val="none" w:sz="0" w:space="0" w:color="auto"/>
        <w:right w:val="none" w:sz="0" w:space="0" w:color="auto"/>
      </w:divBdr>
      <w:divsChild>
        <w:div w:id="37051306">
          <w:marLeft w:val="274"/>
          <w:marRight w:val="0"/>
          <w:marTop w:val="0"/>
          <w:marBottom w:val="40"/>
          <w:divBdr>
            <w:top w:val="none" w:sz="0" w:space="0" w:color="auto"/>
            <w:left w:val="none" w:sz="0" w:space="0" w:color="auto"/>
            <w:bottom w:val="none" w:sz="0" w:space="0" w:color="auto"/>
            <w:right w:val="none" w:sz="0" w:space="0" w:color="auto"/>
          </w:divBdr>
        </w:div>
        <w:div w:id="121387553">
          <w:marLeft w:val="274"/>
          <w:marRight w:val="0"/>
          <w:marTop w:val="0"/>
          <w:marBottom w:val="40"/>
          <w:divBdr>
            <w:top w:val="none" w:sz="0" w:space="0" w:color="auto"/>
            <w:left w:val="none" w:sz="0" w:space="0" w:color="auto"/>
            <w:bottom w:val="none" w:sz="0" w:space="0" w:color="auto"/>
            <w:right w:val="none" w:sz="0" w:space="0" w:color="auto"/>
          </w:divBdr>
        </w:div>
        <w:div w:id="123238647">
          <w:marLeft w:val="274"/>
          <w:marRight w:val="0"/>
          <w:marTop w:val="0"/>
          <w:marBottom w:val="40"/>
          <w:divBdr>
            <w:top w:val="none" w:sz="0" w:space="0" w:color="auto"/>
            <w:left w:val="none" w:sz="0" w:space="0" w:color="auto"/>
            <w:bottom w:val="none" w:sz="0" w:space="0" w:color="auto"/>
            <w:right w:val="none" w:sz="0" w:space="0" w:color="auto"/>
          </w:divBdr>
        </w:div>
        <w:div w:id="501553550">
          <w:marLeft w:val="274"/>
          <w:marRight w:val="0"/>
          <w:marTop w:val="0"/>
          <w:marBottom w:val="40"/>
          <w:divBdr>
            <w:top w:val="none" w:sz="0" w:space="0" w:color="auto"/>
            <w:left w:val="none" w:sz="0" w:space="0" w:color="auto"/>
            <w:bottom w:val="none" w:sz="0" w:space="0" w:color="auto"/>
            <w:right w:val="none" w:sz="0" w:space="0" w:color="auto"/>
          </w:divBdr>
        </w:div>
        <w:div w:id="969431924">
          <w:marLeft w:val="274"/>
          <w:marRight w:val="0"/>
          <w:marTop w:val="0"/>
          <w:marBottom w:val="40"/>
          <w:divBdr>
            <w:top w:val="none" w:sz="0" w:space="0" w:color="auto"/>
            <w:left w:val="none" w:sz="0" w:space="0" w:color="auto"/>
            <w:bottom w:val="none" w:sz="0" w:space="0" w:color="auto"/>
            <w:right w:val="none" w:sz="0" w:space="0" w:color="auto"/>
          </w:divBdr>
        </w:div>
        <w:div w:id="1847671164">
          <w:marLeft w:val="274"/>
          <w:marRight w:val="0"/>
          <w:marTop w:val="0"/>
          <w:marBottom w:val="40"/>
          <w:divBdr>
            <w:top w:val="none" w:sz="0" w:space="0" w:color="auto"/>
            <w:left w:val="none" w:sz="0" w:space="0" w:color="auto"/>
            <w:bottom w:val="none" w:sz="0" w:space="0" w:color="auto"/>
            <w:right w:val="none" w:sz="0" w:space="0" w:color="auto"/>
          </w:divBdr>
        </w:div>
        <w:div w:id="2023584382">
          <w:marLeft w:val="274"/>
          <w:marRight w:val="0"/>
          <w:marTop w:val="0"/>
          <w:marBottom w:val="40"/>
          <w:divBdr>
            <w:top w:val="none" w:sz="0" w:space="0" w:color="auto"/>
            <w:left w:val="none" w:sz="0" w:space="0" w:color="auto"/>
            <w:bottom w:val="none" w:sz="0" w:space="0" w:color="auto"/>
            <w:right w:val="none" w:sz="0" w:space="0" w:color="auto"/>
          </w:divBdr>
        </w:div>
      </w:divsChild>
    </w:div>
    <w:div w:id="952444501">
      <w:bodyDiv w:val="1"/>
      <w:marLeft w:val="0"/>
      <w:marRight w:val="0"/>
      <w:marTop w:val="0"/>
      <w:marBottom w:val="0"/>
      <w:divBdr>
        <w:top w:val="none" w:sz="0" w:space="0" w:color="auto"/>
        <w:left w:val="none" w:sz="0" w:space="0" w:color="auto"/>
        <w:bottom w:val="none" w:sz="0" w:space="0" w:color="auto"/>
        <w:right w:val="none" w:sz="0" w:space="0" w:color="auto"/>
      </w:divBdr>
    </w:div>
    <w:div w:id="962421205">
      <w:bodyDiv w:val="1"/>
      <w:marLeft w:val="0"/>
      <w:marRight w:val="0"/>
      <w:marTop w:val="0"/>
      <w:marBottom w:val="0"/>
      <w:divBdr>
        <w:top w:val="none" w:sz="0" w:space="0" w:color="auto"/>
        <w:left w:val="none" w:sz="0" w:space="0" w:color="auto"/>
        <w:bottom w:val="none" w:sz="0" w:space="0" w:color="auto"/>
        <w:right w:val="none" w:sz="0" w:space="0" w:color="auto"/>
      </w:divBdr>
    </w:div>
    <w:div w:id="970670619">
      <w:bodyDiv w:val="1"/>
      <w:marLeft w:val="0"/>
      <w:marRight w:val="0"/>
      <w:marTop w:val="0"/>
      <w:marBottom w:val="0"/>
      <w:divBdr>
        <w:top w:val="none" w:sz="0" w:space="0" w:color="auto"/>
        <w:left w:val="none" w:sz="0" w:space="0" w:color="auto"/>
        <w:bottom w:val="none" w:sz="0" w:space="0" w:color="auto"/>
        <w:right w:val="none" w:sz="0" w:space="0" w:color="auto"/>
      </w:divBdr>
      <w:divsChild>
        <w:div w:id="314259487">
          <w:marLeft w:val="446"/>
          <w:marRight w:val="0"/>
          <w:marTop w:val="0"/>
          <w:marBottom w:val="80"/>
          <w:divBdr>
            <w:top w:val="none" w:sz="0" w:space="0" w:color="auto"/>
            <w:left w:val="none" w:sz="0" w:space="0" w:color="auto"/>
            <w:bottom w:val="none" w:sz="0" w:space="0" w:color="auto"/>
            <w:right w:val="none" w:sz="0" w:space="0" w:color="auto"/>
          </w:divBdr>
        </w:div>
        <w:div w:id="432172621">
          <w:marLeft w:val="446"/>
          <w:marRight w:val="0"/>
          <w:marTop w:val="0"/>
          <w:marBottom w:val="80"/>
          <w:divBdr>
            <w:top w:val="none" w:sz="0" w:space="0" w:color="auto"/>
            <w:left w:val="none" w:sz="0" w:space="0" w:color="auto"/>
            <w:bottom w:val="none" w:sz="0" w:space="0" w:color="auto"/>
            <w:right w:val="none" w:sz="0" w:space="0" w:color="auto"/>
          </w:divBdr>
        </w:div>
        <w:div w:id="497158142">
          <w:marLeft w:val="446"/>
          <w:marRight w:val="0"/>
          <w:marTop w:val="0"/>
          <w:marBottom w:val="80"/>
          <w:divBdr>
            <w:top w:val="none" w:sz="0" w:space="0" w:color="auto"/>
            <w:left w:val="none" w:sz="0" w:space="0" w:color="auto"/>
            <w:bottom w:val="none" w:sz="0" w:space="0" w:color="auto"/>
            <w:right w:val="none" w:sz="0" w:space="0" w:color="auto"/>
          </w:divBdr>
        </w:div>
        <w:div w:id="564144612">
          <w:marLeft w:val="446"/>
          <w:marRight w:val="0"/>
          <w:marTop w:val="0"/>
          <w:marBottom w:val="80"/>
          <w:divBdr>
            <w:top w:val="none" w:sz="0" w:space="0" w:color="auto"/>
            <w:left w:val="none" w:sz="0" w:space="0" w:color="auto"/>
            <w:bottom w:val="none" w:sz="0" w:space="0" w:color="auto"/>
            <w:right w:val="none" w:sz="0" w:space="0" w:color="auto"/>
          </w:divBdr>
        </w:div>
        <w:div w:id="985620215">
          <w:marLeft w:val="446"/>
          <w:marRight w:val="0"/>
          <w:marTop w:val="0"/>
          <w:marBottom w:val="80"/>
          <w:divBdr>
            <w:top w:val="none" w:sz="0" w:space="0" w:color="auto"/>
            <w:left w:val="none" w:sz="0" w:space="0" w:color="auto"/>
            <w:bottom w:val="none" w:sz="0" w:space="0" w:color="auto"/>
            <w:right w:val="none" w:sz="0" w:space="0" w:color="auto"/>
          </w:divBdr>
        </w:div>
        <w:div w:id="1140730959">
          <w:marLeft w:val="446"/>
          <w:marRight w:val="0"/>
          <w:marTop w:val="0"/>
          <w:marBottom w:val="80"/>
          <w:divBdr>
            <w:top w:val="none" w:sz="0" w:space="0" w:color="auto"/>
            <w:left w:val="none" w:sz="0" w:space="0" w:color="auto"/>
            <w:bottom w:val="none" w:sz="0" w:space="0" w:color="auto"/>
            <w:right w:val="none" w:sz="0" w:space="0" w:color="auto"/>
          </w:divBdr>
        </w:div>
        <w:div w:id="1179545545">
          <w:marLeft w:val="446"/>
          <w:marRight w:val="0"/>
          <w:marTop w:val="0"/>
          <w:marBottom w:val="80"/>
          <w:divBdr>
            <w:top w:val="none" w:sz="0" w:space="0" w:color="auto"/>
            <w:left w:val="none" w:sz="0" w:space="0" w:color="auto"/>
            <w:bottom w:val="none" w:sz="0" w:space="0" w:color="auto"/>
            <w:right w:val="none" w:sz="0" w:space="0" w:color="auto"/>
          </w:divBdr>
        </w:div>
        <w:div w:id="1251427855">
          <w:marLeft w:val="446"/>
          <w:marRight w:val="0"/>
          <w:marTop w:val="0"/>
          <w:marBottom w:val="80"/>
          <w:divBdr>
            <w:top w:val="none" w:sz="0" w:space="0" w:color="auto"/>
            <w:left w:val="none" w:sz="0" w:space="0" w:color="auto"/>
            <w:bottom w:val="none" w:sz="0" w:space="0" w:color="auto"/>
            <w:right w:val="none" w:sz="0" w:space="0" w:color="auto"/>
          </w:divBdr>
        </w:div>
        <w:div w:id="1749645600">
          <w:marLeft w:val="446"/>
          <w:marRight w:val="0"/>
          <w:marTop w:val="0"/>
          <w:marBottom w:val="80"/>
          <w:divBdr>
            <w:top w:val="none" w:sz="0" w:space="0" w:color="auto"/>
            <w:left w:val="none" w:sz="0" w:space="0" w:color="auto"/>
            <w:bottom w:val="none" w:sz="0" w:space="0" w:color="auto"/>
            <w:right w:val="none" w:sz="0" w:space="0" w:color="auto"/>
          </w:divBdr>
        </w:div>
      </w:divsChild>
    </w:div>
    <w:div w:id="983123249">
      <w:bodyDiv w:val="1"/>
      <w:marLeft w:val="0"/>
      <w:marRight w:val="0"/>
      <w:marTop w:val="0"/>
      <w:marBottom w:val="0"/>
      <w:divBdr>
        <w:top w:val="none" w:sz="0" w:space="0" w:color="auto"/>
        <w:left w:val="none" w:sz="0" w:space="0" w:color="auto"/>
        <w:bottom w:val="none" w:sz="0" w:space="0" w:color="auto"/>
        <w:right w:val="none" w:sz="0" w:space="0" w:color="auto"/>
      </w:divBdr>
    </w:div>
    <w:div w:id="996344961">
      <w:bodyDiv w:val="1"/>
      <w:marLeft w:val="0"/>
      <w:marRight w:val="0"/>
      <w:marTop w:val="0"/>
      <w:marBottom w:val="0"/>
      <w:divBdr>
        <w:top w:val="none" w:sz="0" w:space="0" w:color="auto"/>
        <w:left w:val="none" w:sz="0" w:space="0" w:color="auto"/>
        <w:bottom w:val="none" w:sz="0" w:space="0" w:color="auto"/>
        <w:right w:val="none" w:sz="0" w:space="0" w:color="auto"/>
      </w:divBdr>
    </w:div>
    <w:div w:id="1024752621">
      <w:bodyDiv w:val="1"/>
      <w:marLeft w:val="0"/>
      <w:marRight w:val="0"/>
      <w:marTop w:val="0"/>
      <w:marBottom w:val="0"/>
      <w:divBdr>
        <w:top w:val="none" w:sz="0" w:space="0" w:color="auto"/>
        <w:left w:val="none" w:sz="0" w:space="0" w:color="auto"/>
        <w:bottom w:val="none" w:sz="0" w:space="0" w:color="auto"/>
        <w:right w:val="none" w:sz="0" w:space="0" w:color="auto"/>
      </w:divBdr>
    </w:div>
    <w:div w:id="1050691104">
      <w:bodyDiv w:val="1"/>
      <w:marLeft w:val="0"/>
      <w:marRight w:val="0"/>
      <w:marTop w:val="0"/>
      <w:marBottom w:val="0"/>
      <w:divBdr>
        <w:top w:val="none" w:sz="0" w:space="0" w:color="auto"/>
        <w:left w:val="none" w:sz="0" w:space="0" w:color="auto"/>
        <w:bottom w:val="none" w:sz="0" w:space="0" w:color="auto"/>
        <w:right w:val="none" w:sz="0" w:space="0" w:color="auto"/>
      </w:divBdr>
    </w:div>
    <w:div w:id="1060447014">
      <w:bodyDiv w:val="1"/>
      <w:marLeft w:val="0"/>
      <w:marRight w:val="0"/>
      <w:marTop w:val="0"/>
      <w:marBottom w:val="0"/>
      <w:divBdr>
        <w:top w:val="none" w:sz="0" w:space="0" w:color="auto"/>
        <w:left w:val="none" w:sz="0" w:space="0" w:color="auto"/>
        <w:bottom w:val="none" w:sz="0" w:space="0" w:color="auto"/>
        <w:right w:val="none" w:sz="0" w:space="0" w:color="auto"/>
      </w:divBdr>
    </w:div>
    <w:div w:id="1080714157">
      <w:bodyDiv w:val="1"/>
      <w:marLeft w:val="0"/>
      <w:marRight w:val="0"/>
      <w:marTop w:val="0"/>
      <w:marBottom w:val="0"/>
      <w:divBdr>
        <w:top w:val="none" w:sz="0" w:space="0" w:color="auto"/>
        <w:left w:val="none" w:sz="0" w:space="0" w:color="auto"/>
        <w:bottom w:val="none" w:sz="0" w:space="0" w:color="auto"/>
        <w:right w:val="none" w:sz="0" w:space="0" w:color="auto"/>
      </w:divBdr>
    </w:div>
    <w:div w:id="1131249646">
      <w:bodyDiv w:val="1"/>
      <w:marLeft w:val="0"/>
      <w:marRight w:val="0"/>
      <w:marTop w:val="0"/>
      <w:marBottom w:val="0"/>
      <w:divBdr>
        <w:top w:val="none" w:sz="0" w:space="0" w:color="auto"/>
        <w:left w:val="none" w:sz="0" w:space="0" w:color="auto"/>
        <w:bottom w:val="none" w:sz="0" w:space="0" w:color="auto"/>
        <w:right w:val="none" w:sz="0" w:space="0" w:color="auto"/>
      </w:divBdr>
    </w:div>
    <w:div w:id="1156919376">
      <w:bodyDiv w:val="1"/>
      <w:marLeft w:val="0"/>
      <w:marRight w:val="0"/>
      <w:marTop w:val="0"/>
      <w:marBottom w:val="0"/>
      <w:divBdr>
        <w:top w:val="none" w:sz="0" w:space="0" w:color="auto"/>
        <w:left w:val="none" w:sz="0" w:space="0" w:color="auto"/>
        <w:bottom w:val="none" w:sz="0" w:space="0" w:color="auto"/>
        <w:right w:val="none" w:sz="0" w:space="0" w:color="auto"/>
      </w:divBdr>
    </w:div>
    <w:div w:id="1165631395">
      <w:bodyDiv w:val="1"/>
      <w:marLeft w:val="0"/>
      <w:marRight w:val="0"/>
      <w:marTop w:val="0"/>
      <w:marBottom w:val="0"/>
      <w:divBdr>
        <w:top w:val="none" w:sz="0" w:space="0" w:color="auto"/>
        <w:left w:val="none" w:sz="0" w:space="0" w:color="auto"/>
        <w:bottom w:val="none" w:sz="0" w:space="0" w:color="auto"/>
        <w:right w:val="none" w:sz="0" w:space="0" w:color="auto"/>
      </w:divBdr>
    </w:div>
    <w:div w:id="1230650984">
      <w:bodyDiv w:val="1"/>
      <w:marLeft w:val="0"/>
      <w:marRight w:val="0"/>
      <w:marTop w:val="0"/>
      <w:marBottom w:val="0"/>
      <w:divBdr>
        <w:top w:val="none" w:sz="0" w:space="0" w:color="auto"/>
        <w:left w:val="none" w:sz="0" w:space="0" w:color="auto"/>
        <w:bottom w:val="none" w:sz="0" w:space="0" w:color="auto"/>
        <w:right w:val="none" w:sz="0" w:space="0" w:color="auto"/>
      </w:divBdr>
      <w:divsChild>
        <w:div w:id="866142448">
          <w:marLeft w:val="274"/>
          <w:marRight w:val="0"/>
          <w:marTop w:val="0"/>
          <w:marBottom w:val="40"/>
          <w:divBdr>
            <w:top w:val="none" w:sz="0" w:space="0" w:color="auto"/>
            <w:left w:val="none" w:sz="0" w:space="0" w:color="auto"/>
            <w:bottom w:val="none" w:sz="0" w:space="0" w:color="auto"/>
            <w:right w:val="none" w:sz="0" w:space="0" w:color="auto"/>
          </w:divBdr>
        </w:div>
        <w:div w:id="1331060563">
          <w:marLeft w:val="274"/>
          <w:marRight w:val="0"/>
          <w:marTop w:val="0"/>
          <w:marBottom w:val="40"/>
          <w:divBdr>
            <w:top w:val="none" w:sz="0" w:space="0" w:color="auto"/>
            <w:left w:val="none" w:sz="0" w:space="0" w:color="auto"/>
            <w:bottom w:val="none" w:sz="0" w:space="0" w:color="auto"/>
            <w:right w:val="none" w:sz="0" w:space="0" w:color="auto"/>
          </w:divBdr>
        </w:div>
      </w:divsChild>
    </w:div>
    <w:div w:id="1232737771">
      <w:bodyDiv w:val="1"/>
      <w:marLeft w:val="0"/>
      <w:marRight w:val="0"/>
      <w:marTop w:val="0"/>
      <w:marBottom w:val="0"/>
      <w:divBdr>
        <w:top w:val="none" w:sz="0" w:space="0" w:color="auto"/>
        <w:left w:val="none" w:sz="0" w:space="0" w:color="auto"/>
        <w:bottom w:val="none" w:sz="0" w:space="0" w:color="auto"/>
        <w:right w:val="none" w:sz="0" w:space="0" w:color="auto"/>
      </w:divBdr>
    </w:div>
    <w:div w:id="1242832735">
      <w:bodyDiv w:val="1"/>
      <w:marLeft w:val="0"/>
      <w:marRight w:val="0"/>
      <w:marTop w:val="0"/>
      <w:marBottom w:val="0"/>
      <w:divBdr>
        <w:top w:val="none" w:sz="0" w:space="0" w:color="auto"/>
        <w:left w:val="none" w:sz="0" w:space="0" w:color="auto"/>
        <w:bottom w:val="none" w:sz="0" w:space="0" w:color="auto"/>
        <w:right w:val="none" w:sz="0" w:space="0" w:color="auto"/>
      </w:divBdr>
    </w:div>
    <w:div w:id="1243030455">
      <w:bodyDiv w:val="1"/>
      <w:marLeft w:val="0"/>
      <w:marRight w:val="0"/>
      <w:marTop w:val="0"/>
      <w:marBottom w:val="0"/>
      <w:divBdr>
        <w:top w:val="none" w:sz="0" w:space="0" w:color="auto"/>
        <w:left w:val="none" w:sz="0" w:space="0" w:color="auto"/>
        <w:bottom w:val="none" w:sz="0" w:space="0" w:color="auto"/>
        <w:right w:val="none" w:sz="0" w:space="0" w:color="auto"/>
      </w:divBdr>
    </w:div>
    <w:div w:id="1332872228">
      <w:bodyDiv w:val="1"/>
      <w:marLeft w:val="0"/>
      <w:marRight w:val="0"/>
      <w:marTop w:val="0"/>
      <w:marBottom w:val="0"/>
      <w:divBdr>
        <w:top w:val="none" w:sz="0" w:space="0" w:color="auto"/>
        <w:left w:val="none" w:sz="0" w:space="0" w:color="auto"/>
        <w:bottom w:val="none" w:sz="0" w:space="0" w:color="auto"/>
        <w:right w:val="none" w:sz="0" w:space="0" w:color="auto"/>
      </w:divBdr>
      <w:divsChild>
        <w:div w:id="12417672">
          <w:marLeft w:val="274"/>
          <w:marRight w:val="0"/>
          <w:marTop w:val="0"/>
          <w:marBottom w:val="40"/>
          <w:divBdr>
            <w:top w:val="none" w:sz="0" w:space="0" w:color="auto"/>
            <w:left w:val="none" w:sz="0" w:space="0" w:color="auto"/>
            <w:bottom w:val="none" w:sz="0" w:space="0" w:color="auto"/>
            <w:right w:val="none" w:sz="0" w:space="0" w:color="auto"/>
          </w:divBdr>
        </w:div>
        <w:div w:id="117769707">
          <w:marLeft w:val="274"/>
          <w:marRight w:val="0"/>
          <w:marTop w:val="0"/>
          <w:marBottom w:val="40"/>
          <w:divBdr>
            <w:top w:val="none" w:sz="0" w:space="0" w:color="auto"/>
            <w:left w:val="none" w:sz="0" w:space="0" w:color="auto"/>
            <w:bottom w:val="none" w:sz="0" w:space="0" w:color="auto"/>
            <w:right w:val="none" w:sz="0" w:space="0" w:color="auto"/>
          </w:divBdr>
        </w:div>
        <w:div w:id="181406426">
          <w:marLeft w:val="274"/>
          <w:marRight w:val="0"/>
          <w:marTop w:val="0"/>
          <w:marBottom w:val="40"/>
          <w:divBdr>
            <w:top w:val="none" w:sz="0" w:space="0" w:color="auto"/>
            <w:left w:val="none" w:sz="0" w:space="0" w:color="auto"/>
            <w:bottom w:val="none" w:sz="0" w:space="0" w:color="auto"/>
            <w:right w:val="none" w:sz="0" w:space="0" w:color="auto"/>
          </w:divBdr>
        </w:div>
        <w:div w:id="630330474">
          <w:marLeft w:val="274"/>
          <w:marRight w:val="0"/>
          <w:marTop w:val="0"/>
          <w:marBottom w:val="40"/>
          <w:divBdr>
            <w:top w:val="none" w:sz="0" w:space="0" w:color="auto"/>
            <w:left w:val="none" w:sz="0" w:space="0" w:color="auto"/>
            <w:bottom w:val="none" w:sz="0" w:space="0" w:color="auto"/>
            <w:right w:val="none" w:sz="0" w:space="0" w:color="auto"/>
          </w:divBdr>
        </w:div>
        <w:div w:id="670572265">
          <w:marLeft w:val="274"/>
          <w:marRight w:val="0"/>
          <w:marTop w:val="0"/>
          <w:marBottom w:val="40"/>
          <w:divBdr>
            <w:top w:val="none" w:sz="0" w:space="0" w:color="auto"/>
            <w:left w:val="none" w:sz="0" w:space="0" w:color="auto"/>
            <w:bottom w:val="none" w:sz="0" w:space="0" w:color="auto"/>
            <w:right w:val="none" w:sz="0" w:space="0" w:color="auto"/>
          </w:divBdr>
        </w:div>
        <w:div w:id="1790970063">
          <w:marLeft w:val="274"/>
          <w:marRight w:val="0"/>
          <w:marTop w:val="0"/>
          <w:marBottom w:val="40"/>
          <w:divBdr>
            <w:top w:val="none" w:sz="0" w:space="0" w:color="auto"/>
            <w:left w:val="none" w:sz="0" w:space="0" w:color="auto"/>
            <w:bottom w:val="none" w:sz="0" w:space="0" w:color="auto"/>
            <w:right w:val="none" w:sz="0" w:space="0" w:color="auto"/>
          </w:divBdr>
        </w:div>
        <w:div w:id="1844585108">
          <w:marLeft w:val="274"/>
          <w:marRight w:val="0"/>
          <w:marTop w:val="0"/>
          <w:marBottom w:val="40"/>
          <w:divBdr>
            <w:top w:val="none" w:sz="0" w:space="0" w:color="auto"/>
            <w:left w:val="none" w:sz="0" w:space="0" w:color="auto"/>
            <w:bottom w:val="none" w:sz="0" w:space="0" w:color="auto"/>
            <w:right w:val="none" w:sz="0" w:space="0" w:color="auto"/>
          </w:divBdr>
        </w:div>
        <w:div w:id="2133595035">
          <w:marLeft w:val="274"/>
          <w:marRight w:val="0"/>
          <w:marTop w:val="0"/>
          <w:marBottom w:val="40"/>
          <w:divBdr>
            <w:top w:val="none" w:sz="0" w:space="0" w:color="auto"/>
            <w:left w:val="none" w:sz="0" w:space="0" w:color="auto"/>
            <w:bottom w:val="none" w:sz="0" w:space="0" w:color="auto"/>
            <w:right w:val="none" w:sz="0" w:space="0" w:color="auto"/>
          </w:divBdr>
        </w:div>
      </w:divsChild>
    </w:div>
    <w:div w:id="1339692211">
      <w:bodyDiv w:val="1"/>
      <w:marLeft w:val="0"/>
      <w:marRight w:val="0"/>
      <w:marTop w:val="0"/>
      <w:marBottom w:val="0"/>
      <w:divBdr>
        <w:top w:val="none" w:sz="0" w:space="0" w:color="auto"/>
        <w:left w:val="none" w:sz="0" w:space="0" w:color="auto"/>
        <w:bottom w:val="none" w:sz="0" w:space="0" w:color="auto"/>
        <w:right w:val="none" w:sz="0" w:space="0" w:color="auto"/>
      </w:divBdr>
    </w:div>
    <w:div w:id="1343387608">
      <w:bodyDiv w:val="1"/>
      <w:marLeft w:val="0"/>
      <w:marRight w:val="0"/>
      <w:marTop w:val="0"/>
      <w:marBottom w:val="0"/>
      <w:divBdr>
        <w:top w:val="none" w:sz="0" w:space="0" w:color="auto"/>
        <w:left w:val="none" w:sz="0" w:space="0" w:color="auto"/>
        <w:bottom w:val="none" w:sz="0" w:space="0" w:color="auto"/>
        <w:right w:val="none" w:sz="0" w:space="0" w:color="auto"/>
      </w:divBdr>
      <w:divsChild>
        <w:div w:id="149519008">
          <w:marLeft w:val="274"/>
          <w:marRight w:val="0"/>
          <w:marTop w:val="0"/>
          <w:marBottom w:val="60"/>
          <w:divBdr>
            <w:top w:val="none" w:sz="0" w:space="0" w:color="auto"/>
            <w:left w:val="none" w:sz="0" w:space="0" w:color="auto"/>
            <w:bottom w:val="none" w:sz="0" w:space="0" w:color="auto"/>
            <w:right w:val="none" w:sz="0" w:space="0" w:color="auto"/>
          </w:divBdr>
        </w:div>
        <w:div w:id="186868125">
          <w:marLeft w:val="274"/>
          <w:marRight w:val="0"/>
          <w:marTop w:val="0"/>
          <w:marBottom w:val="60"/>
          <w:divBdr>
            <w:top w:val="none" w:sz="0" w:space="0" w:color="auto"/>
            <w:left w:val="none" w:sz="0" w:space="0" w:color="auto"/>
            <w:bottom w:val="none" w:sz="0" w:space="0" w:color="auto"/>
            <w:right w:val="none" w:sz="0" w:space="0" w:color="auto"/>
          </w:divBdr>
        </w:div>
        <w:div w:id="206256720">
          <w:marLeft w:val="274"/>
          <w:marRight w:val="0"/>
          <w:marTop w:val="0"/>
          <w:marBottom w:val="60"/>
          <w:divBdr>
            <w:top w:val="none" w:sz="0" w:space="0" w:color="auto"/>
            <w:left w:val="none" w:sz="0" w:space="0" w:color="auto"/>
            <w:bottom w:val="none" w:sz="0" w:space="0" w:color="auto"/>
            <w:right w:val="none" w:sz="0" w:space="0" w:color="auto"/>
          </w:divBdr>
        </w:div>
        <w:div w:id="1123235710">
          <w:marLeft w:val="274"/>
          <w:marRight w:val="0"/>
          <w:marTop w:val="0"/>
          <w:marBottom w:val="60"/>
          <w:divBdr>
            <w:top w:val="none" w:sz="0" w:space="0" w:color="auto"/>
            <w:left w:val="none" w:sz="0" w:space="0" w:color="auto"/>
            <w:bottom w:val="none" w:sz="0" w:space="0" w:color="auto"/>
            <w:right w:val="none" w:sz="0" w:space="0" w:color="auto"/>
          </w:divBdr>
        </w:div>
        <w:div w:id="1199931181">
          <w:marLeft w:val="274"/>
          <w:marRight w:val="0"/>
          <w:marTop w:val="0"/>
          <w:marBottom w:val="60"/>
          <w:divBdr>
            <w:top w:val="none" w:sz="0" w:space="0" w:color="auto"/>
            <w:left w:val="none" w:sz="0" w:space="0" w:color="auto"/>
            <w:bottom w:val="none" w:sz="0" w:space="0" w:color="auto"/>
            <w:right w:val="none" w:sz="0" w:space="0" w:color="auto"/>
          </w:divBdr>
        </w:div>
        <w:div w:id="2069958078">
          <w:marLeft w:val="274"/>
          <w:marRight w:val="0"/>
          <w:marTop w:val="0"/>
          <w:marBottom w:val="60"/>
          <w:divBdr>
            <w:top w:val="none" w:sz="0" w:space="0" w:color="auto"/>
            <w:left w:val="none" w:sz="0" w:space="0" w:color="auto"/>
            <w:bottom w:val="none" w:sz="0" w:space="0" w:color="auto"/>
            <w:right w:val="none" w:sz="0" w:space="0" w:color="auto"/>
          </w:divBdr>
        </w:div>
      </w:divsChild>
    </w:div>
    <w:div w:id="1351418786">
      <w:bodyDiv w:val="1"/>
      <w:marLeft w:val="0"/>
      <w:marRight w:val="0"/>
      <w:marTop w:val="0"/>
      <w:marBottom w:val="0"/>
      <w:divBdr>
        <w:top w:val="none" w:sz="0" w:space="0" w:color="auto"/>
        <w:left w:val="none" w:sz="0" w:space="0" w:color="auto"/>
        <w:bottom w:val="none" w:sz="0" w:space="0" w:color="auto"/>
        <w:right w:val="none" w:sz="0" w:space="0" w:color="auto"/>
      </w:divBdr>
      <w:divsChild>
        <w:div w:id="509372960">
          <w:marLeft w:val="274"/>
          <w:marRight w:val="0"/>
          <w:marTop w:val="40"/>
          <w:marBottom w:val="40"/>
          <w:divBdr>
            <w:top w:val="none" w:sz="0" w:space="0" w:color="auto"/>
            <w:left w:val="none" w:sz="0" w:space="0" w:color="auto"/>
            <w:bottom w:val="none" w:sz="0" w:space="0" w:color="auto"/>
            <w:right w:val="none" w:sz="0" w:space="0" w:color="auto"/>
          </w:divBdr>
        </w:div>
        <w:div w:id="603001573">
          <w:marLeft w:val="274"/>
          <w:marRight w:val="0"/>
          <w:marTop w:val="0"/>
          <w:marBottom w:val="40"/>
          <w:divBdr>
            <w:top w:val="none" w:sz="0" w:space="0" w:color="auto"/>
            <w:left w:val="none" w:sz="0" w:space="0" w:color="auto"/>
            <w:bottom w:val="none" w:sz="0" w:space="0" w:color="auto"/>
            <w:right w:val="none" w:sz="0" w:space="0" w:color="auto"/>
          </w:divBdr>
        </w:div>
        <w:div w:id="942149309">
          <w:marLeft w:val="274"/>
          <w:marRight w:val="0"/>
          <w:marTop w:val="0"/>
          <w:marBottom w:val="40"/>
          <w:divBdr>
            <w:top w:val="none" w:sz="0" w:space="0" w:color="auto"/>
            <w:left w:val="none" w:sz="0" w:space="0" w:color="auto"/>
            <w:bottom w:val="none" w:sz="0" w:space="0" w:color="auto"/>
            <w:right w:val="none" w:sz="0" w:space="0" w:color="auto"/>
          </w:divBdr>
        </w:div>
        <w:div w:id="1010568302">
          <w:marLeft w:val="274"/>
          <w:marRight w:val="0"/>
          <w:marTop w:val="40"/>
          <w:marBottom w:val="40"/>
          <w:divBdr>
            <w:top w:val="none" w:sz="0" w:space="0" w:color="auto"/>
            <w:left w:val="none" w:sz="0" w:space="0" w:color="auto"/>
            <w:bottom w:val="none" w:sz="0" w:space="0" w:color="auto"/>
            <w:right w:val="none" w:sz="0" w:space="0" w:color="auto"/>
          </w:divBdr>
        </w:div>
        <w:div w:id="1251887689">
          <w:marLeft w:val="274"/>
          <w:marRight w:val="0"/>
          <w:marTop w:val="0"/>
          <w:marBottom w:val="40"/>
          <w:divBdr>
            <w:top w:val="none" w:sz="0" w:space="0" w:color="auto"/>
            <w:left w:val="none" w:sz="0" w:space="0" w:color="auto"/>
            <w:bottom w:val="none" w:sz="0" w:space="0" w:color="auto"/>
            <w:right w:val="none" w:sz="0" w:space="0" w:color="auto"/>
          </w:divBdr>
        </w:div>
        <w:div w:id="1338312418">
          <w:marLeft w:val="274"/>
          <w:marRight w:val="0"/>
          <w:marTop w:val="40"/>
          <w:marBottom w:val="40"/>
          <w:divBdr>
            <w:top w:val="none" w:sz="0" w:space="0" w:color="auto"/>
            <w:left w:val="none" w:sz="0" w:space="0" w:color="auto"/>
            <w:bottom w:val="none" w:sz="0" w:space="0" w:color="auto"/>
            <w:right w:val="none" w:sz="0" w:space="0" w:color="auto"/>
          </w:divBdr>
        </w:div>
        <w:div w:id="1365209735">
          <w:marLeft w:val="274"/>
          <w:marRight w:val="0"/>
          <w:marTop w:val="0"/>
          <w:marBottom w:val="40"/>
          <w:divBdr>
            <w:top w:val="none" w:sz="0" w:space="0" w:color="auto"/>
            <w:left w:val="none" w:sz="0" w:space="0" w:color="auto"/>
            <w:bottom w:val="none" w:sz="0" w:space="0" w:color="auto"/>
            <w:right w:val="none" w:sz="0" w:space="0" w:color="auto"/>
          </w:divBdr>
        </w:div>
        <w:div w:id="1502235723">
          <w:marLeft w:val="274"/>
          <w:marRight w:val="0"/>
          <w:marTop w:val="0"/>
          <w:marBottom w:val="40"/>
          <w:divBdr>
            <w:top w:val="none" w:sz="0" w:space="0" w:color="auto"/>
            <w:left w:val="none" w:sz="0" w:space="0" w:color="auto"/>
            <w:bottom w:val="none" w:sz="0" w:space="0" w:color="auto"/>
            <w:right w:val="none" w:sz="0" w:space="0" w:color="auto"/>
          </w:divBdr>
        </w:div>
        <w:div w:id="1805733732">
          <w:marLeft w:val="274"/>
          <w:marRight w:val="0"/>
          <w:marTop w:val="0"/>
          <w:marBottom w:val="40"/>
          <w:divBdr>
            <w:top w:val="none" w:sz="0" w:space="0" w:color="auto"/>
            <w:left w:val="none" w:sz="0" w:space="0" w:color="auto"/>
            <w:bottom w:val="none" w:sz="0" w:space="0" w:color="auto"/>
            <w:right w:val="none" w:sz="0" w:space="0" w:color="auto"/>
          </w:divBdr>
        </w:div>
        <w:div w:id="1851141514">
          <w:marLeft w:val="274"/>
          <w:marRight w:val="0"/>
          <w:marTop w:val="40"/>
          <w:marBottom w:val="40"/>
          <w:divBdr>
            <w:top w:val="none" w:sz="0" w:space="0" w:color="auto"/>
            <w:left w:val="none" w:sz="0" w:space="0" w:color="auto"/>
            <w:bottom w:val="none" w:sz="0" w:space="0" w:color="auto"/>
            <w:right w:val="none" w:sz="0" w:space="0" w:color="auto"/>
          </w:divBdr>
        </w:div>
        <w:div w:id="1878929480">
          <w:marLeft w:val="274"/>
          <w:marRight w:val="0"/>
          <w:marTop w:val="40"/>
          <w:marBottom w:val="40"/>
          <w:divBdr>
            <w:top w:val="none" w:sz="0" w:space="0" w:color="auto"/>
            <w:left w:val="none" w:sz="0" w:space="0" w:color="auto"/>
            <w:bottom w:val="none" w:sz="0" w:space="0" w:color="auto"/>
            <w:right w:val="none" w:sz="0" w:space="0" w:color="auto"/>
          </w:divBdr>
        </w:div>
        <w:div w:id="1949728263">
          <w:marLeft w:val="274"/>
          <w:marRight w:val="0"/>
          <w:marTop w:val="56"/>
          <w:marBottom w:val="40"/>
          <w:divBdr>
            <w:top w:val="none" w:sz="0" w:space="0" w:color="auto"/>
            <w:left w:val="none" w:sz="0" w:space="0" w:color="auto"/>
            <w:bottom w:val="none" w:sz="0" w:space="0" w:color="auto"/>
            <w:right w:val="none" w:sz="0" w:space="0" w:color="auto"/>
          </w:divBdr>
        </w:div>
        <w:div w:id="2103335415">
          <w:marLeft w:val="274"/>
          <w:marRight w:val="0"/>
          <w:marTop w:val="0"/>
          <w:marBottom w:val="40"/>
          <w:divBdr>
            <w:top w:val="none" w:sz="0" w:space="0" w:color="auto"/>
            <w:left w:val="none" w:sz="0" w:space="0" w:color="auto"/>
            <w:bottom w:val="none" w:sz="0" w:space="0" w:color="auto"/>
            <w:right w:val="none" w:sz="0" w:space="0" w:color="auto"/>
          </w:divBdr>
        </w:div>
      </w:divsChild>
    </w:div>
    <w:div w:id="1367440120">
      <w:bodyDiv w:val="1"/>
      <w:marLeft w:val="0"/>
      <w:marRight w:val="0"/>
      <w:marTop w:val="0"/>
      <w:marBottom w:val="0"/>
      <w:divBdr>
        <w:top w:val="none" w:sz="0" w:space="0" w:color="auto"/>
        <w:left w:val="none" w:sz="0" w:space="0" w:color="auto"/>
        <w:bottom w:val="none" w:sz="0" w:space="0" w:color="auto"/>
        <w:right w:val="none" w:sz="0" w:space="0" w:color="auto"/>
      </w:divBdr>
      <w:divsChild>
        <w:div w:id="280116227">
          <w:marLeft w:val="274"/>
          <w:marRight w:val="0"/>
          <w:marTop w:val="0"/>
          <w:marBottom w:val="40"/>
          <w:divBdr>
            <w:top w:val="none" w:sz="0" w:space="0" w:color="auto"/>
            <w:left w:val="none" w:sz="0" w:space="0" w:color="auto"/>
            <w:bottom w:val="none" w:sz="0" w:space="0" w:color="auto"/>
            <w:right w:val="none" w:sz="0" w:space="0" w:color="auto"/>
          </w:divBdr>
        </w:div>
        <w:div w:id="770318197">
          <w:marLeft w:val="274"/>
          <w:marRight w:val="0"/>
          <w:marTop w:val="0"/>
          <w:marBottom w:val="40"/>
          <w:divBdr>
            <w:top w:val="none" w:sz="0" w:space="0" w:color="auto"/>
            <w:left w:val="none" w:sz="0" w:space="0" w:color="auto"/>
            <w:bottom w:val="none" w:sz="0" w:space="0" w:color="auto"/>
            <w:right w:val="none" w:sz="0" w:space="0" w:color="auto"/>
          </w:divBdr>
        </w:div>
        <w:div w:id="1213880187">
          <w:marLeft w:val="274"/>
          <w:marRight w:val="0"/>
          <w:marTop w:val="0"/>
          <w:marBottom w:val="40"/>
          <w:divBdr>
            <w:top w:val="none" w:sz="0" w:space="0" w:color="auto"/>
            <w:left w:val="none" w:sz="0" w:space="0" w:color="auto"/>
            <w:bottom w:val="none" w:sz="0" w:space="0" w:color="auto"/>
            <w:right w:val="none" w:sz="0" w:space="0" w:color="auto"/>
          </w:divBdr>
        </w:div>
        <w:div w:id="1566791422">
          <w:marLeft w:val="274"/>
          <w:marRight w:val="0"/>
          <w:marTop w:val="0"/>
          <w:marBottom w:val="40"/>
          <w:divBdr>
            <w:top w:val="none" w:sz="0" w:space="0" w:color="auto"/>
            <w:left w:val="none" w:sz="0" w:space="0" w:color="auto"/>
            <w:bottom w:val="none" w:sz="0" w:space="0" w:color="auto"/>
            <w:right w:val="none" w:sz="0" w:space="0" w:color="auto"/>
          </w:divBdr>
        </w:div>
      </w:divsChild>
    </w:div>
    <w:div w:id="1383139655">
      <w:bodyDiv w:val="1"/>
      <w:marLeft w:val="0"/>
      <w:marRight w:val="0"/>
      <w:marTop w:val="0"/>
      <w:marBottom w:val="0"/>
      <w:divBdr>
        <w:top w:val="none" w:sz="0" w:space="0" w:color="auto"/>
        <w:left w:val="none" w:sz="0" w:space="0" w:color="auto"/>
        <w:bottom w:val="none" w:sz="0" w:space="0" w:color="auto"/>
        <w:right w:val="none" w:sz="0" w:space="0" w:color="auto"/>
      </w:divBdr>
    </w:div>
    <w:div w:id="1432974414">
      <w:bodyDiv w:val="1"/>
      <w:marLeft w:val="0"/>
      <w:marRight w:val="0"/>
      <w:marTop w:val="0"/>
      <w:marBottom w:val="0"/>
      <w:divBdr>
        <w:top w:val="none" w:sz="0" w:space="0" w:color="auto"/>
        <w:left w:val="none" w:sz="0" w:space="0" w:color="auto"/>
        <w:bottom w:val="none" w:sz="0" w:space="0" w:color="auto"/>
        <w:right w:val="none" w:sz="0" w:space="0" w:color="auto"/>
      </w:divBdr>
    </w:div>
    <w:div w:id="1438258997">
      <w:bodyDiv w:val="1"/>
      <w:marLeft w:val="0"/>
      <w:marRight w:val="0"/>
      <w:marTop w:val="0"/>
      <w:marBottom w:val="0"/>
      <w:divBdr>
        <w:top w:val="none" w:sz="0" w:space="0" w:color="auto"/>
        <w:left w:val="none" w:sz="0" w:space="0" w:color="auto"/>
        <w:bottom w:val="none" w:sz="0" w:space="0" w:color="auto"/>
        <w:right w:val="none" w:sz="0" w:space="0" w:color="auto"/>
      </w:divBdr>
    </w:div>
    <w:div w:id="1438988138">
      <w:bodyDiv w:val="1"/>
      <w:marLeft w:val="0"/>
      <w:marRight w:val="0"/>
      <w:marTop w:val="0"/>
      <w:marBottom w:val="0"/>
      <w:divBdr>
        <w:top w:val="none" w:sz="0" w:space="0" w:color="auto"/>
        <w:left w:val="none" w:sz="0" w:space="0" w:color="auto"/>
        <w:bottom w:val="none" w:sz="0" w:space="0" w:color="auto"/>
        <w:right w:val="none" w:sz="0" w:space="0" w:color="auto"/>
      </w:divBdr>
    </w:div>
    <w:div w:id="1440250323">
      <w:bodyDiv w:val="1"/>
      <w:marLeft w:val="0"/>
      <w:marRight w:val="0"/>
      <w:marTop w:val="0"/>
      <w:marBottom w:val="0"/>
      <w:divBdr>
        <w:top w:val="none" w:sz="0" w:space="0" w:color="auto"/>
        <w:left w:val="none" w:sz="0" w:space="0" w:color="auto"/>
        <w:bottom w:val="none" w:sz="0" w:space="0" w:color="auto"/>
        <w:right w:val="none" w:sz="0" w:space="0" w:color="auto"/>
      </w:divBdr>
    </w:div>
    <w:div w:id="1471240397">
      <w:bodyDiv w:val="1"/>
      <w:marLeft w:val="0"/>
      <w:marRight w:val="0"/>
      <w:marTop w:val="0"/>
      <w:marBottom w:val="0"/>
      <w:divBdr>
        <w:top w:val="none" w:sz="0" w:space="0" w:color="auto"/>
        <w:left w:val="none" w:sz="0" w:space="0" w:color="auto"/>
        <w:bottom w:val="none" w:sz="0" w:space="0" w:color="auto"/>
        <w:right w:val="none" w:sz="0" w:space="0" w:color="auto"/>
      </w:divBdr>
    </w:div>
    <w:div w:id="1518960308">
      <w:bodyDiv w:val="1"/>
      <w:marLeft w:val="0"/>
      <w:marRight w:val="0"/>
      <w:marTop w:val="0"/>
      <w:marBottom w:val="0"/>
      <w:divBdr>
        <w:top w:val="none" w:sz="0" w:space="0" w:color="auto"/>
        <w:left w:val="none" w:sz="0" w:space="0" w:color="auto"/>
        <w:bottom w:val="none" w:sz="0" w:space="0" w:color="auto"/>
        <w:right w:val="none" w:sz="0" w:space="0" w:color="auto"/>
      </w:divBdr>
    </w:div>
    <w:div w:id="1572078833">
      <w:bodyDiv w:val="1"/>
      <w:marLeft w:val="0"/>
      <w:marRight w:val="0"/>
      <w:marTop w:val="0"/>
      <w:marBottom w:val="0"/>
      <w:divBdr>
        <w:top w:val="none" w:sz="0" w:space="0" w:color="auto"/>
        <w:left w:val="none" w:sz="0" w:space="0" w:color="auto"/>
        <w:bottom w:val="none" w:sz="0" w:space="0" w:color="auto"/>
        <w:right w:val="none" w:sz="0" w:space="0" w:color="auto"/>
      </w:divBdr>
    </w:div>
    <w:div w:id="1586648620">
      <w:bodyDiv w:val="1"/>
      <w:marLeft w:val="0"/>
      <w:marRight w:val="0"/>
      <w:marTop w:val="0"/>
      <w:marBottom w:val="0"/>
      <w:divBdr>
        <w:top w:val="none" w:sz="0" w:space="0" w:color="auto"/>
        <w:left w:val="none" w:sz="0" w:space="0" w:color="auto"/>
        <w:bottom w:val="none" w:sz="0" w:space="0" w:color="auto"/>
        <w:right w:val="none" w:sz="0" w:space="0" w:color="auto"/>
      </w:divBdr>
      <w:divsChild>
        <w:div w:id="537666071">
          <w:marLeft w:val="274"/>
          <w:marRight w:val="0"/>
          <w:marTop w:val="0"/>
          <w:marBottom w:val="40"/>
          <w:divBdr>
            <w:top w:val="none" w:sz="0" w:space="0" w:color="auto"/>
            <w:left w:val="none" w:sz="0" w:space="0" w:color="auto"/>
            <w:bottom w:val="none" w:sz="0" w:space="0" w:color="auto"/>
            <w:right w:val="none" w:sz="0" w:space="0" w:color="auto"/>
          </w:divBdr>
        </w:div>
        <w:div w:id="947925819">
          <w:marLeft w:val="274"/>
          <w:marRight w:val="0"/>
          <w:marTop w:val="0"/>
          <w:marBottom w:val="40"/>
          <w:divBdr>
            <w:top w:val="none" w:sz="0" w:space="0" w:color="auto"/>
            <w:left w:val="none" w:sz="0" w:space="0" w:color="auto"/>
            <w:bottom w:val="none" w:sz="0" w:space="0" w:color="auto"/>
            <w:right w:val="none" w:sz="0" w:space="0" w:color="auto"/>
          </w:divBdr>
        </w:div>
        <w:div w:id="1068576821">
          <w:marLeft w:val="274"/>
          <w:marRight w:val="0"/>
          <w:marTop w:val="0"/>
          <w:marBottom w:val="40"/>
          <w:divBdr>
            <w:top w:val="none" w:sz="0" w:space="0" w:color="auto"/>
            <w:left w:val="none" w:sz="0" w:space="0" w:color="auto"/>
            <w:bottom w:val="none" w:sz="0" w:space="0" w:color="auto"/>
            <w:right w:val="none" w:sz="0" w:space="0" w:color="auto"/>
          </w:divBdr>
        </w:div>
        <w:div w:id="1791774934">
          <w:marLeft w:val="706"/>
          <w:marRight w:val="0"/>
          <w:marTop w:val="0"/>
          <w:marBottom w:val="40"/>
          <w:divBdr>
            <w:top w:val="none" w:sz="0" w:space="0" w:color="auto"/>
            <w:left w:val="none" w:sz="0" w:space="0" w:color="auto"/>
            <w:bottom w:val="none" w:sz="0" w:space="0" w:color="auto"/>
            <w:right w:val="none" w:sz="0" w:space="0" w:color="auto"/>
          </w:divBdr>
        </w:div>
        <w:div w:id="1860582658">
          <w:marLeft w:val="706"/>
          <w:marRight w:val="0"/>
          <w:marTop w:val="0"/>
          <w:marBottom w:val="40"/>
          <w:divBdr>
            <w:top w:val="none" w:sz="0" w:space="0" w:color="auto"/>
            <w:left w:val="none" w:sz="0" w:space="0" w:color="auto"/>
            <w:bottom w:val="none" w:sz="0" w:space="0" w:color="auto"/>
            <w:right w:val="none" w:sz="0" w:space="0" w:color="auto"/>
          </w:divBdr>
        </w:div>
        <w:div w:id="1934195610">
          <w:marLeft w:val="706"/>
          <w:marRight w:val="0"/>
          <w:marTop w:val="0"/>
          <w:marBottom w:val="40"/>
          <w:divBdr>
            <w:top w:val="none" w:sz="0" w:space="0" w:color="auto"/>
            <w:left w:val="none" w:sz="0" w:space="0" w:color="auto"/>
            <w:bottom w:val="none" w:sz="0" w:space="0" w:color="auto"/>
            <w:right w:val="none" w:sz="0" w:space="0" w:color="auto"/>
          </w:divBdr>
        </w:div>
      </w:divsChild>
    </w:div>
    <w:div w:id="1586920658">
      <w:bodyDiv w:val="1"/>
      <w:marLeft w:val="0"/>
      <w:marRight w:val="0"/>
      <w:marTop w:val="0"/>
      <w:marBottom w:val="0"/>
      <w:divBdr>
        <w:top w:val="none" w:sz="0" w:space="0" w:color="auto"/>
        <w:left w:val="none" w:sz="0" w:space="0" w:color="auto"/>
        <w:bottom w:val="none" w:sz="0" w:space="0" w:color="auto"/>
        <w:right w:val="none" w:sz="0" w:space="0" w:color="auto"/>
      </w:divBdr>
    </w:div>
    <w:div w:id="1605074843">
      <w:bodyDiv w:val="1"/>
      <w:marLeft w:val="0"/>
      <w:marRight w:val="0"/>
      <w:marTop w:val="0"/>
      <w:marBottom w:val="0"/>
      <w:divBdr>
        <w:top w:val="none" w:sz="0" w:space="0" w:color="auto"/>
        <w:left w:val="none" w:sz="0" w:space="0" w:color="auto"/>
        <w:bottom w:val="none" w:sz="0" w:space="0" w:color="auto"/>
        <w:right w:val="none" w:sz="0" w:space="0" w:color="auto"/>
      </w:divBdr>
    </w:div>
    <w:div w:id="1619988250">
      <w:bodyDiv w:val="1"/>
      <w:marLeft w:val="0"/>
      <w:marRight w:val="0"/>
      <w:marTop w:val="0"/>
      <w:marBottom w:val="0"/>
      <w:divBdr>
        <w:top w:val="none" w:sz="0" w:space="0" w:color="auto"/>
        <w:left w:val="none" w:sz="0" w:space="0" w:color="auto"/>
        <w:bottom w:val="none" w:sz="0" w:space="0" w:color="auto"/>
        <w:right w:val="none" w:sz="0" w:space="0" w:color="auto"/>
      </w:divBdr>
    </w:div>
    <w:div w:id="1657221701">
      <w:bodyDiv w:val="1"/>
      <w:marLeft w:val="0"/>
      <w:marRight w:val="0"/>
      <w:marTop w:val="0"/>
      <w:marBottom w:val="0"/>
      <w:divBdr>
        <w:top w:val="none" w:sz="0" w:space="0" w:color="auto"/>
        <w:left w:val="none" w:sz="0" w:space="0" w:color="auto"/>
        <w:bottom w:val="none" w:sz="0" w:space="0" w:color="auto"/>
        <w:right w:val="none" w:sz="0" w:space="0" w:color="auto"/>
      </w:divBdr>
      <w:divsChild>
        <w:div w:id="91514184">
          <w:marLeft w:val="274"/>
          <w:marRight w:val="0"/>
          <w:marTop w:val="0"/>
          <w:marBottom w:val="40"/>
          <w:divBdr>
            <w:top w:val="none" w:sz="0" w:space="0" w:color="auto"/>
            <w:left w:val="none" w:sz="0" w:space="0" w:color="auto"/>
            <w:bottom w:val="none" w:sz="0" w:space="0" w:color="auto"/>
            <w:right w:val="none" w:sz="0" w:space="0" w:color="auto"/>
          </w:divBdr>
        </w:div>
        <w:div w:id="335113426">
          <w:marLeft w:val="274"/>
          <w:marRight w:val="0"/>
          <w:marTop w:val="0"/>
          <w:marBottom w:val="40"/>
          <w:divBdr>
            <w:top w:val="none" w:sz="0" w:space="0" w:color="auto"/>
            <w:left w:val="none" w:sz="0" w:space="0" w:color="auto"/>
            <w:bottom w:val="none" w:sz="0" w:space="0" w:color="auto"/>
            <w:right w:val="none" w:sz="0" w:space="0" w:color="auto"/>
          </w:divBdr>
        </w:div>
        <w:div w:id="653686169">
          <w:marLeft w:val="274"/>
          <w:marRight w:val="0"/>
          <w:marTop w:val="0"/>
          <w:marBottom w:val="40"/>
          <w:divBdr>
            <w:top w:val="none" w:sz="0" w:space="0" w:color="auto"/>
            <w:left w:val="none" w:sz="0" w:space="0" w:color="auto"/>
            <w:bottom w:val="none" w:sz="0" w:space="0" w:color="auto"/>
            <w:right w:val="none" w:sz="0" w:space="0" w:color="auto"/>
          </w:divBdr>
        </w:div>
        <w:div w:id="703408318">
          <w:marLeft w:val="274"/>
          <w:marRight w:val="0"/>
          <w:marTop w:val="0"/>
          <w:marBottom w:val="40"/>
          <w:divBdr>
            <w:top w:val="none" w:sz="0" w:space="0" w:color="auto"/>
            <w:left w:val="none" w:sz="0" w:space="0" w:color="auto"/>
            <w:bottom w:val="none" w:sz="0" w:space="0" w:color="auto"/>
            <w:right w:val="none" w:sz="0" w:space="0" w:color="auto"/>
          </w:divBdr>
        </w:div>
        <w:div w:id="733745591">
          <w:marLeft w:val="274"/>
          <w:marRight w:val="0"/>
          <w:marTop w:val="0"/>
          <w:marBottom w:val="40"/>
          <w:divBdr>
            <w:top w:val="none" w:sz="0" w:space="0" w:color="auto"/>
            <w:left w:val="none" w:sz="0" w:space="0" w:color="auto"/>
            <w:bottom w:val="none" w:sz="0" w:space="0" w:color="auto"/>
            <w:right w:val="none" w:sz="0" w:space="0" w:color="auto"/>
          </w:divBdr>
        </w:div>
        <w:div w:id="959342803">
          <w:marLeft w:val="274"/>
          <w:marRight w:val="0"/>
          <w:marTop w:val="0"/>
          <w:marBottom w:val="40"/>
          <w:divBdr>
            <w:top w:val="none" w:sz="0" w:space="0" w:color="auto"/>
            <w:left w:val="none" w:sz="0" w:space="0" w:color="auto"/>
            <w:bottom w:val="none" w:sz="0" w:space="0" w:color="auto"/>
            <w:right w:val="none" w:sz="0" w:space="0" w:color="auto"/>
          </w:divBdr>
        </w:div>
        <w:div w:id="982465815">
          <w:marLeft w:val="274"/>
          <w:marRight w:val="0"/>
          <w:marTop w:val="0"/>
          <w:marBottom w:val="40"/>
          <w:divBdr>
            <w:top w:val="none" w:sz="0" w:space="0" w:color="auto"/>
            <w:left w:val="none" w:sz="0" w:space="0" w:color="auto"/>
            <w:bottom w:val="none" w:sz="0" w:space="0" w:color="auto"/>
            <w:right w:val="none" w:sz="0" w:space="0" w:color="auto"/>
          </w:divBdr>
        </w:div>
        <w:div w:id="1163282063">
          <w:marLeft w:val="274"/>
          <w:marRight w:val="0"/>
          <w:marTop w:val="0"/>
          <w:marBottom w:val="40"/>
          <w:divBdr>
            <w:top w:val="none" w:sz="0" w:space="0" w:color="auto"/>
            <w:left w:val="none" w:sz="0" w:space="0" w:color="auto"/>
            <w:bottom w:val="none" w:sz="0" w:space="0" w:color="auto"/>
            <w:right w:val="none" w:sz="0" w:space="0" w:color="auto"/>
          </w:divBdr>
        </w:div>
        <w:div w:id="1307661534">
          <w:marLeft w:val="274"/>
          <w:marRight w:val="0"/>
          <w:marTop w:val="0"/>
          <w:marBottom w:val="40"/>
          <w:divBdr>
            <w:top w:val="none" w:sz="0" w:space="0" w:color="auto"/>
            <w:left w:val="none" w:sz="0" w:space="0" w:color="auto"/>
            <w:bottom w:val="none" w:sz="0" w:space="0" w:color="auto"/>
            <w:right w:val="none" w:sz="0" w:space="0" w:color="auto"/>
          </w:divBdr>
        </w:div>
        <w:div w:id="1325934370">
          <w:marLeft w:val="274"/>
          <w:marRight w:val="0"/>
          <w:marTop w:val="0"/>
          <w:marBottom w:val="40"/>
          <w:divBdr>
            <w:top w:val="none" w:sz="0" w:space="0" w:color="auto"/>
            <w:left w:val="none" w:sz="0" w:space="0" w:color="auto"/>
            <w:bottom w:val="none" w:sz="0" w:space="0" w:color="auto"/>
            <w:right w:val="none" w:sz="0" w:space="0" w:color="auto"/>
          </w:divBdr>
        </w:div>
        <w:div w:id="1422097676">
          <w:marLeft w:val="274"/>
          <w:marRight w:val="0"/>
          <w:marTop w:val="0"/>
          <w:marBottom w:val="40"/>
          <w:divBdr>
            <w:top w:val="none" w:sz="0" w:space="0" w:color="auto"/>
            <w:left w:val="none" w:sz="0" w:space="0" w:color="auto"/>
            <w:bottom w:val="none" w:sz="0" w:space="0" w:color="auto"/>
            <w:right w:val="none" w:sz="0" w:space="0" w:color="auto"/>
          </w:divBdr>
        </w:div>
        <w:div w:id="1440682978">
          <w:marLeft w:val="274"/>
          <w:marRight w:val="0"/>
          <w:marTop w:val="0"/>
          <w:marBottom w:val="40"/>
          <w:divBdr>
            <w:top w:val="none" w:sz="0" w:space="0" w:color="auto"/>
            <w:left w:val="none" w:sz="0" w:space="0" w:color="auto"/>
            <w:bottom w:val="none" w:sz="0" w:space="0" w:color="auto"/>
            <w:right w:val="none" w:sz="0" w:space="0" w:color="auto"/>
          </w:divBdr>
        </w:div>
        <w:div w:id="1584144621">
          <w:marLeft w:val="274"/>
          <w:marRight w:val="0"/>
          <w:marTop w:val="0"/>
          <w:marBottom w:val="40"/>
          <w:divBdr>
            <w:top w:val="none" w:sz="0" w:space="0" w:color="auto"/>
            <w:left w:val="none" w:sz="0" w:space="0" w:color="auto"/>
            <w:bottom w:val="none" w:sz="0" w:space="0" w:color="auto"/>
            <w:right w:val="none" w:sz="0" w:space="0" w:color="auto"/>
          </w:divBdr>
        </w:div>
        <w:div w:id="1667854760">
          <w:marLeft w:val="274"/>
          <w:marRight w:val="0"/>
          <w:marTop w:val="0"/>
          <w:marBottom w:val="40"/>
          <w:divBdr>
            <w:top w:val="none" w:sz="0" w:space="0" w:color="auto"/>
            <w:left w:val="none" w:sz="0" w:space="0" w:color="auto"/>
            <w:bottom w:val="none" w:sz="0" w:space="0" w:color="auto"/>
            <w:right w:val="none" w:sz="0" w:space="0" w:color="auto"/>
          </w:divBdr>
        </w:div>
        <w:div w:id="2102483693">
          <w:marLeft w:val="274"/>
          <w:marRight w:val="0"/>
          <w:marTop w:val="0"/>
          <w:marBottom w:val="40"/>
          <w:divBdr>
            <w:top w:val="none" w:sz="0" w:space="0" w:color="auto"/>
            <w:left w:val="none" w:sz="0" w:space="0" w:color="auto"/>
            <w:bottom w:val="none" w:sz="0" w:space="0" w:color="auto"/>
            <w:right w:val="none" w:sz="0" w:space="0" w:color="auto"/>
          </w:divBdr>
        </w:div>
        <w:div w:id="2116172660">
          <w:marLeft w:val="274"/>
          <w:marRight w:val="0"/>
          <w:marTop w:val="0"/>
          <w:marBottom w:val="40"/>
          <w:divBdr>
            <w:top w:val="none" w:sz="0" w:space="0" w:color="auto"/>
            <w:left w:val="none" w:sz="0" w:space="0" w:color="auto"/>
            <w:bottom w:val="none" w:sz="0" w:space="0" w:color="auto"/>
            <w:right w:val="none" w:sz="0" w:space="0" w:color="auto"/>
          </w:divBdr>
        </w:div>
        <w:div w:id="2140800134">
          <w:marLeft w:val="274"/>
          <w:marRight w:val="0"/>
          <w:marTop w:val="0"/>
          <w:marBottom w:val="40"/>
          <w:divBdr>
            <w:top w:val="none" w:sz="0" w:space="0" w:color="auto"/>
            <w:left w:val="none" w:sz="0" w:space="0" w:color="auto"/>
            <w:bottom w:val="none" w:sz="0" w:space="0" w:color="auto"/>
            <w:right w:val="none" w:sz="0" w:space="0" w:color="auto"/>
          </w:divBdr>
        </w:div>
      </w:divsChild>
    </w:div>
    <w:div w:id="1681199199">
      <w:bodyDiv w:val="1"/>
      <w:marLeft w:val="0"/>
      <w:marRight w:val="0"/>
      <w:marTop w:val="0"/>
      <w:marBottom w:val="0"/>
      <w:divBdr>
        <w:top w:val="none" w:sz="0" w:space="0" w:color="auto"/>
        <w:left w:val="none" w:sz="0" w:space="0" w:color="auto"/>
        <w:bottom w:val="none" w:sz="0" w:space="0" w:color="auto"/>
        <w:right w:val="none" w:sz="0" w:space="0" w:color="auto"/>
      </w:divBdr>
    </w:div>
    <w:div w:id="1749843845">
      <w:bodyDiv w:val="1"/>
      <w:marLeft w:val="0"/>
      <w:marRight w:val="0"/>
      <w:marTop w:val="0"/>
      <w:marBottom w:val="0"/>
      <w:divBdr>
        <w:top w:val="none" w:sz="0" w:space="0" w:color="auto"/>
        <w:left w:val="none" w:sz="0" w:space="0" w:color="auto"/>
        <w:bottom w:val="none" w:sz="0" w:space="0" w:color="auto"/>
        <w:right w:val="none" w:sz="0" w:space="0" w:color="auto"/>
      </w:divBdr>
      <w:divsChild>
        <w:div w:id="391541104">
          <w:marLeft w:val="274"/>
          <w:marRight w:val="0"/>
          <w:marTop w:val="0"/>
          <w:marBottom w:val="40"/>
          <w:divBdr>
            <w:top w:val="none" w:sz="0" w:space="0" w:color="auto"/>
            <w:left w:val="none" w:sz="0" w:space="0" w:color="auto"/>
            <w:bottom w:val="none" w:sz="0" w:space="0" w:color="auto"/>
            <w:right w:val="none" w:sz="0" w:space="0" w:color="auto"/>
          </w:divBdr>
        </w:div>
        <w:div w:id="635530130">
          <w:marLeft w:val="274"/>
          <w:marRight w:val="0"/>
          <w:marTop w:val="0"/>
          <w:marBottom w:val="40"/>
          <w:divBdr>
            <w:top w:val="none" w:sz="0" w:space="0" w:color="auto"/>
            <w:left w:val="none" w:sz="0" w:space="0" w:color="auto"/>
            <w:bottom w:val="none" w:sz="0" w:space="0" w:color="auto"/>
            <w:right w:val="none" w:sz="0" w:space="0" w:color="auto"/>
          </w:divBdr>
        </w:div>
        <w:div w:id="1950549459">
          <w:marLeft w:val="274"/>
          <w:marRight w:val="0"/>
          <w:marTop w:val="0"/>
          <w:marBottom w:val="40"/>
          <w:divBdr>
            <w:top w:val="none" w:sz="0" w:space="0" w:color="auto"/>
            <w:left w:val="none" w:sz="0" w:space="0" w:color="auto"/>
            <w:bottom w:val="none" w:sz="0" w:space="0" w:color="auto"/>
            <w:right w:val="none" w:sz="0" w:space="0" w:color="auto"/>
          </w:divBdr>
        </w:div>
      </w:divsChild>
    </w:div>
    <w:div w:id="1752005465">
      <w:bodyDiv w:val="1"/>
      <w:marLeft w:val="0"/>
      <w:marRight w:val="0"/>
      <w:marTop w:val="0"/>
      <w:marBottom w:val="0"/>
      <w:divBdr>
        <w:top w:val="none" w:sz="0" w:space="0" w:color="auto"/>
        <w:left w:val="none" w:sz="0" w:space="0" w:color="auto"/>
        <w:bottom w:val="none" w:sz="0" w:space="0" w:color="auto"/>
        <w:right w:val="none" w:sz="0" w:space="0" w:color="auto"/>
      </w:divBdr>
    </w:div>
    <w:div w:id="1784114287">
      <w:bodyDiv w:val="1"/>
      <w:marLeft w:val="0"/>
      <w:marRight w:val="0"/>
      <w:marTop w:val="0"/>
      <w:marBottom w:val="0"/>
      <w:divBdr>
        <w:top w:val="none" w:sz="0" w:space="0" w:color="auto"/>
        <w:left w:val="none" w:sz="0" w:space="0" w:color="auto"/>
        <w:bottom w:val="none" w:sz="0" w:space="0" w:color="auto"/>
        <w:right w:val="none" w:sz="0" w:space="0" w:color="auto"/>
      </w:divBdr>
    </w:div>
    <w:div w:id="1787190440">
      <w:bodyDiv w:val="1"/>
      <w:marLeft w:val="0"/>
      <w:marRight w:val="0"/>
      <w:marTop w:val="0"/>
      <w:marBottom w:val="0"/>
      <w:divBdr>
        <w:top w:val="none" w:sz="0" w:space="0" w:color="auto"/>
        <w:left w:val="none" w:sz="0" w:space="0" w:color="auto"/>
        <w:bottom w:val="none" w:sz="0" w:space="0" w:color="auto"/>
        <w:right w:val="none" w:sz="0" w:space="0" w:color="auto"/>
      </w:divBdr>
    </w:div>
    <w:div w:id="1846633600">
      <w:bodyDiv w:val="1"/>
      <w:marLeft w:val="0"/>
      <w:marRight w:val="0"/>
      <w:marTop w:val="0"/>
      <w:marBottom w:val="0"/>
      <w:divBdr>
        <w:top w:val="none" w:sz="0" w:space="0" w:color="auto"/>
        <w:left w:val="none" w:sz="0" w:space="0" w:color="auto"/>
        <w:bottom w:val="none" w:sz="0" w:space="0" w:color="auto"/>
        <w:right w:val="none" w:sz="0" w:space="0" w:color="auto"/>
      </w:divBdr>
    </w:div>
    <w:div w:id="1880391407">
      <w:bodyDiv w:val="1"/>
      <w:marLeft w:val="0"/>
      <w:marRight w:val="0"/>
      <w:marTop w:val="0"/>
      <w:marBottom w:val="0"/>
      <w:divBdr>
        <w:top w:val="none" w:sz="0" w:space="0" w:color="auto"/>
        <w:left w:val="none" w:sz="0" w:space="0" w:color="auto"/>
        <w:bottom w:val="none" w:sz="0" w:space="0" w:color="auto"/>
        <w:right w:val="none" w:sz="0" w:space="0" w:color="auto"/>
      </w:divBdr>
    </w:div>
    <w:div w:id="1882089294">
      <w:bodyDiv w:val="1"/>
      <w:marLeft w:val="0"/>
      <w:marRight w:val="0"/>
      <w:marTop w:val="0"/>
      <w:marBottom w:val="0"/>
      <w:divBdr>
        <w:top w:val="none" w:sz="0" w:space="0" w:color="auto"/>
        <w:left w:val="none" w:sz="0" w:space="0" w:color="auto"/>
        <w:bottom w:val="none" w:sz="0" w:space="0" w:color="auto"/>
        <w:right w:val="none" w:sz="0" w:space="0" w:color="auto"/>
      </w:divBdr>
    </w:div>
    <w:div w:id="1888954891">
      <w:bodyDiv w:val="1"/>
      <w:marLeft w:val="0"/>
      <w:marRight w:val="0"/>
      <w:marTop w:val="0"/>
      <w:marBottom w:val="0"/>
      <w:divBdr>
        <w:top w:val="none" w:sz="0" w:space="0" w:color="auto"/>
        <w:left w:val="none" w:sz="0" w:space="0" w:color="auto"/>
        <w:bottom w:val="none" w:sz="0" w:space="0" w:color="auto"/>
        <w:right w:val="none" w:sz="0" w:space="0" w:color="auto"/>
      </w:divBdr>
      <w:divsChild>
        <w:div w:id="307364710">
          <w:marLeft w:val="274"/>
          <w:marRight w:val="0"/>
          <w:marTop w:val="0"/>
          <w:marBottom w:val="60"/>
          <w:divBdr>
            <w:top w:val="none" w:sz="0" w:space="0" w:color="auto"/>
            <w:left w:val="none" w:sz="0" w:space="0" w:color="auto"/>
            <w:bottom w:val="none" w:sz="0" w:space="0" w:color="auto"/>
            <w:right w:val="none" w:sz="0" w:space="0" w:color="auto"/>
          </w:divBdr>
        </w:div>
        <w:div w:id="335573264">
          <w:marLeft w:val="274"/>
          <w:marRight w:val="0"/>
          <w:marTop w:val="0"/>
          <w:marBottom w:val="60"/>
          <w:divBdr>
            <w:top w:val="none" w:sz="0" w:space="0" w:color="auto"/>
            <w:left w:val="none" w:sz="0" w:space="0" w:color="auto"/>
            <w:bottom w:val="none" w:sz="0" w:space="0" w:color="auto"/>
            <w:right w:val="none" w:sz="0" w:space="0" w:color="auto"/>
          </w:divBdr>
        </w:div>
        <w:div w:id="444077807">
          <w:marLeft w:val="274"/>
          <w:marRight w:val="0"/>
          <w:marTop w:val="0"/>
          <w:marBottom w:val="60"/>
          <w:divBdr>
            <w:top w:val="none" w:sz="0" w:space="0" w:color="auto"/>
            <w:left w:val="none" w:sz="0" w:space="0" w:color="auto"/>
            <w:bottom w:val="none" w:sz="0" w:space="0" w:color="auto"/>
            <w:right w:val="none" w:sz="0" w:space="0" w:color="auto"/>
          </w:divBdr>
        </w:div>
        <w:div w:id="568618500">
          <w:marLeft w:val="274"/>
          <w:marRight w:val="0"/>
          <w:marTop w:val="0"/>
          <w:marBottom w:val="60"/>
          <w:divBdr>
            <w:top w:val="none" w:sz="0" w:space="0" w:color="auto"/>
            <w:left w:val="none" w:sz="0" w:space="0" w:color="auto"/>
            <w:bottom w:val="none" w:sz="0" w:space="0" w:color="auto"/>
            <w:right w:val="none" w:sz="0" w:space="0" w:color="auto"/>
          </w:divBdr>
        </w:div>
        <w:div w:id="711080227">
          <w:marLeft w:val="274"/>
          <w:marRight w:val="0"/>
          <w:marTop w:val="0"/>
          <w:marBottom w:val="60"/>
          <w:divBdr>
            <w:top w:val="none" w:sz="0" w:space="0" w:color="auto"/>
            <w:left w:val="none" w:sz="0" w:space="0" w:color="auto"/>
            <w:bottom w:val="none" w:sz="0" w:space="0" w:color="auto"/>
            <w:right w:val="none" w:sz="0" w:space="0" w:color="auto"/>
          </w:divBdr>
        </w:div>
        <w:div w:id="832984921">
          <w:marLeft w:val="274"/>
          <w:marRight w:val="0"/>
          <w:marTop w:val="0"/>
          <w:marBottom w:val="60"/>
          <w:divBdr>
            <w:top w:val="none" w:sz="0" w:space="0" w:color="auto"/>
            <w:left w:val="none" w:sz="0" w:space="0" w:color="auto"/>
            <w:bottom w:val="none" w:sz="0" w:space="0" w:color="auto"/>
            <w:right w:val="none" w:sz="0" w:space="0" w:color="auto"/>
          </w:divBdr>
        </w:div>
      </w:divsChild>
    </w:div>
    <w:div w:id="1903905378">
      <w:bodyDiv w:val="1"/>
      <w:marLeft w:val="0"/>
      <w:marRight w:val="0"/>
      <w:marTop w:val="0"/>
      <w:marBottom w:val="0"/>
      <w:divBdr>
        <w:top w:val="none" w:sz="0" w:space="0" w:color="auto"/>
        <w:left w:val="none" w:sz="0" w:space="0" w:color="auto"/>
        <w:bottom w:val="none" w:sz="0" w:space="0" w:color="auto"/>
        <w:right w:val="none" w:sz="0" w:space="0" w:color="auto"/>
      </w:divBdr>
    </w:div>
    <w:div w:id="1920794642">
      <w:bodyDiv w:val="1"/>
      <w:marLeft w:val="0"/>
      <w:marRight w:val="0"/>
      <w:marTop w:val="0"/>
      <w:marBottom w:val="0"/>
      <w:divBdr>
        <w:top w:val="none" w:sz="0" w:space="0" w:color="auto"/>
        <w:left w:val="none" w:sz="0" w:space="0" w:color="auto"/>
        <w:bottom w:val="none" w:sz="0" w:space="0" w:color="auto"/>
        <w:right w:val="none" w:sz="0" w:space="0" w:color="auto"/>
      </w:divBdr>
    </w:div>
    <w:div w:id="1979257294">
      <w:bodyDiv w:val="1"/>
      <w:marLeft w:val="0"/>
      <w:marRight w:val="0"/>
      <w:marTop w:val="0"/>
      <w:marBottom w:val="0"/>
      <w:divBdr>
        <w:top w:val="none" w:sz="0" w:space="0" w:color="auto"/>
        <w:left w:val="none" w:sz="0" w:space="0" w:color="auto"/>
        <w:bottom w:val="none" w:sz="0" w:space="0" w:color="auto"/>
        <w:right w:val="none" w:sz="0" w:space="0" w:color="auto"/>
      </w:divBdr>
    </w:div>
    <w:div w:id="1997684417">
      <w:bodyDiv w:val="1"/>
      <w:marLeft w:val="0"/>
      <w:marRight w:val="0"/>
      <w:marTop w:val="0"/>
      <w:marBottom w:val="0"/>
      <w:divBdr>
        <w:top w:val="none" w:sz="0" w:space="0" w:color="auto"/>
        <w:left w:val="none" w:sz="0" w:space="0" w:color="auto"/>
        <w:bottom w:val="none" w:sz="0" w:space="0" w:color="auto"/>
        <w:right w:val="none" w:sz="0" w:space="0" w:color="auto"/>
      </w:divBdr>
    </w:div>
    <w:div w:id="2018655081">
      <w:bodyDiv w:val="1"/>
      <w:marLeft w:val="0"/>
      <w:marRight w:val="0"/>
      <w:marTop w:val="0"/>
      <w:marBottom w:val="0"/>
      <w:divBdr>
        <w:top w:val="none" w:sz="0" w:space="0" w:color="auto"/>
        <w:left w:val="none" w:sz="0" w:space="0" w:color="auto"/>
        <w:bottom w:val="none" w:sz="0" w:space="0" w:color="auto"/>
        <w:right w:val="none" w:sz="0" w:space="0" w:color="auto"/>
      </w:divBdr>
      <w:divsChild>
        <w:div w:id="162014407">
          <w:marLeft w:val="274"/>
          <w:marRight w:val="0"/>
          <w:marTop w:val="40"/>
          <w:marBottom w:val="40"/>
          <w:divBdr>
            <w:top w:val="none" w:sz="0" w:space="0" w:color="auto"/>
            <w:left w:val="none" w:sz="0" w:space="0" w:color="auto"/>
            <w:bottom w:val="none" w:sz="0" w:space="0" w:color="auto"/>
            <w:right w:val="none" w:sz="0" w:space="0" w:color="auto"/>
          </w:divBdr>
        </w:div>
        <w:div w:id="1301692896">
          <w:marLeft w:val="274"/>
          <w:marRight w:val="0"/>
          <w:marTop w:val="40"/>
          <w:marBottom w:val="40"/>
          <w:divBdr>
            <w:top w:val="none" w:sz="0" w:space="0" w:color="auto"/>
            <w:left w:val="none" w:sz="0" w:space="0" w:color="auto"/>
            <w:bottom w:val="none" w:sz="0" w:space="0" w:color="auto"/>
            <w:right w:val="none" w:sz="0" w:space="0" w:color="auto"/>
          </w:divBdr>
        </w:div>
        <w:div w:id="1549292315">
          <w:marLeft w:val="274"/>
          <w:marRight w:val="0"/>
          <w:marTop w:val="40"/>
          <w:marBottom w:val="40"/>
          <w:divBdr>
            <w:top w:val="none" w:sz="0" w:space="0" w:color="auto"/>
            <w:left w:val="none" w:sz="0" w:space="0" w:color="auto"/>
            <w:bottom w:val="none" w:sz="0" w:space="0" w:color="auto"/>
            <w:right w:val="none" w:sz="0" w:space="0" w:color="auto"/>
          </w:divBdr>
        </w:div>
        <w:div w:id="1577278422">
          <w:marLeft w:val="274"/>
          <w:marRight w:val="0"/>
          <w:marTop w:val="40"/>
          <w:marBottom w:val="40"/>
          <w:divBdr>
            <w:top w:val="none" w:sz="0" w:space="0" w:color="auto"/>
            <w:left w:val="none" w:sz="0" w:space="0" w:color="auto"/>
            <w:bottom w:val="none" w:sz="0" w:space="0" w:color="auto"/>
            <w:right w:val="none" w:sz="0" w:space="0" w:color="auto"/>
          </w:divBdr>
        </w:div>
        <w:div w:id="1664580936">
          <w:marLeft w:val="274"/>
          <w:marRight w:val="0"/>
          <w:marTop w:val="40"/>
          <w:marBottom w:val="40"/>
          <w:divBdr>
            <w:top w:val="none" w:sz="0" w:space="0" w:color="auto"/>
            <w:left w:val="none" w:sz="0" w:space="0" w:color="auto"/>
            <w:bottom w:val="none" w:sz="0" w:space="0" w:color="auto"/>
            <w:right w:val="none" w:sz="0" w:space="0" w:color="auto"/>
          </w:divBdr>
        </w:div>
        <w:div w:id="1911230270">
          <w:marLeft w:val="274"/>
          <w:marRight w:val="0"/>
          <w:marTop w:val="40"/>
          <w:marBottom w:val="40"/>
          <w:divBdr>
            <w:top w:val="none" w:sz="0" w:space="0" w:color="auto"/>
            <w:left w:val="none" w:sz="0" w:space="0" w:color="auto"/>
            <w:bottom w:val="none" w:sz="0" w:space="0" w:color="auto"/>
            <w:right w:val="none" w:sz="0" w:space="0" w:color="auto"/>
          </w:divBdr>
        </w:div>
        <w:div w:id="2076661254">
          <w:marLeft w:val="274"/>
          <w:marRight w:val="0"/>
          <w:marTop w:val="40"/>
          <w:marBottom w:val="40"/>
          <w:divBdr>
            <w:top w:val="none" w:sz="0" w:space="0" w:color="auto"/>
            <w:left w:val="none" w:sz="0" w:space="0" w:color="auto"/>
            <w:bottom w:val="none" w:sz="0" w:space="0" w:color="auto"/>
            <w:right w:val="none" w:sz="0" w:space="0" w:color="auto"/>
          </w:divBdr>
        </w:div>
      </w:divsChild>
    </w:div>
    <w:div w:id="2023966250">
      <w:bodyDiv w:val="1"/>
      <w:marLeft w:val="0"/>
      <w:marRight w:val="0"/>
      <w:marTop w:val="0"/>
      <w:marBottom w:val="0"/>
      <w:divBdr>
        <w:top w:val="none" w:sz="0" w:space="0" w:color="auto"/>
        <w:left w:val="none" w:sz="0" w:space="0" w:color="auto"/>
        <w:bottom w:val="none" w:sz="0" w:space="0" w:color="auto"/>
        <w:right w:val="none" w:sz="0" w:space="0" w:color="auto"/>
      </w:divBdr>
      <w:divsChild>
        <w:div w:id="165096718">
          <w:marLeft w:val="274"/>
          <w:marRight w:val="0"/>
          <w:marTop w:val="0"/>
          <w:marBottom w:val="60"/>
          <w:divBdr>
            <w:top w:val="none" w:sz="0" w:space="0" w:color="auto"/>
            <w:left w:val="none" w:sz="0" w:space="0" w:color="auto"/>
            <w:bottom w:val="none" w:sz="0" w:space="0" w:color="auto"/>
            <w:right w:val="none" w:sz="0" w:space="0" w:color="auto"/>
          </w:divBdr>
        </w:div>
        <w:div w:id="755782224">
          <w:marLeft w:val="274"/>
          <w:marRight w:val="0"/>
          <w:marTop w:val="0"/>
          <w:marBottom w:val="60"/>
          <w:divBdr>
            <w:top w:val="none" w:sz="0" w:space="0" w:color="auto"/>
            <w:left w:val="none" w:sz="0" w:space="0" w:color="auto"/>
            <w:bottom w:val="none" w:sz="0" w:space="0" w:color="auto"/>
            <w:right w:val="none" w:sz="0" w:space="0" w:color="auto"/>
          </w:divBdr>
        </w:div>
        <w:div w:id="877090225">
          <w:marLeft w:val="274"/>
          <w:marRight w:val="0"/>
          <w:marTop w:val="0"/>
          <w:marBottom w:val="60"/>
          <w:divBdr>
            <w:top w:val="none" w:sz="0" w:space="0" w:color="auto"/>
            <w:left w:val="none" w:sz="0" w:space="0" w:color="auto"/>
            <w:bottom w:val="none" w:sz="0" w:space="0" w:color="auto"/>
            <w:right w:val="none" w:sz="0" w:space="0" w:color="auto"/>
          </w:divBdr>
        </w:div>
        <w:div w:id="1138305938">
          <w:marLeft w:val="274"/>
          <w:marRight w:val="0"/>
          <w:marTop w:val="0"/>
          <w:marBottom w:val="60"/>
          <w:divBdr>
            <w:top w:val="none" w:sz="0" w:space="0" w:color="auto"/>
            <w:left w:val="none" w:sz="0" w:space="0" w:color="auto"/>
            <w:bottom w:val="none" w:sz="0" w:space="0" w:color="auto"/>
            <w:right w:val="none" w:sz="0" w:space="0" w:color="auto"/>
          </w:divBdr>
        </w:div>
      </w:divsChild>
    </w:div>
    <w:div w:id="2066030607">
      <w:bodyDiv w:val="1"/>
      <w:marLeft w:val="0"/>
      <w:marRight w:val="0"/>
      <w:marTop w:val="0"/>
      <w:marBottom w:val="0"/>
      <w:divBdr>
        <w:top w:val="none" w:sz="0" w:space="0" w:color="auto"/>
        <w:left w:val="none" w:sz="0" w:space="0" w:color="auto"/>
        <w:bottom w:val="none" w:sz="0" w:space="0" w:color="auto"/>
        <w:right w:val="none" w:sz="0" w:space="0" w:color="auto"/>
      </w:divBdr>
    </w:div>
    <w:div w:id="2074624611">
      <w:bodyDiv w:val="1"/>
      <w:marLeft w:val="0"/>
      <w:marRight w:val="0"/>
      <w:marTop w:val="0"/>
      <w:marBottom w:val="0"/>
      <w:divBdr>
        <w:top w:val="none" w:sz="0" w:space="0" w:color="auto"/>
        <w:left w:val="none" w:sz="0" w:space="0" w:color="auto"/>
        <w:bottom w:val="none" w:sz="0" w:space="0" w:color="auto"/>
        <w:right w:val="none" w:sz="0" w:space="0" w:color="auto"/>
      </w:divBdr>
    </w:div>
    <w:div w:id="2078085051">
      <w:bodyDiv w:val="1"/>
      <w:marLeft w:val="0"/>
      <w:marRight w:val="0"/>
      <w:marTop w:val="0"/>
      <w:marBottom w:val="0"/>
      <w:divBdr>
        <w:top w:val="none" w:sz="0" w:space="0" w:color="auto"/>
        <w:left w:val="none" w:sz="0" w:space="0" w:color="auto"/>
        <w:bottom w:val="none" w:sz="0" w:space="0" w:color="auto"/>
        <w:right w:val="none" w:sz="0" w:space="0" w:color="auto"/>
      </w:divBdr>
    </w:div>
    <w:div w:id="2113745341">
      <w:bodyDiv w:val="1"/>
      <w:marLeft w:val="0"/>
      <w:marRight w:val="0"/>
      <w:marTop w:val="0"/>
      <w:marBottom w:val="0"/>
      <w:divBdr>
        <w:top w:val="none" w:sz="0" w:space="0" w:color="auto"/>
        <w:left w:val="none" w:sz="0" w:space="0" w:color="auto"/>
        <w:bottom w:val="none" w:sz="0" w:space="0" w:color="auto"/>
        <w:right w:val="none" w:sz="0" w:space="0" w:color="auto"/>
      </w:divBdr>
      <w:divsChild>
        <w:div w:id="57747932">
          <w:marLeft w:val="274"/>
          <w:marRight w:val="0"/>
          <w:marTop w:val="40"/>
          <w:marBottom w:val="40"/>
          <w:divBdr>
            <w:top w:val="none" w:sz="0" w:space="0" w:color="auto"/>
            <w:left w:val="none" w:sz="0" w:space="0" w:color="auto"/>
            <w:bottom w:val="none" w:sz="0" w:space="0" w:color="auto"/>
            <w:right w:val="none" w:sz="0" w:space="0" w:color="auto"/>
          </w:divBdr>
        </w:div>
        <w:div w:id="108791221">
          <w:marLeft w:val="274"/>
          <w:marRight w:val="0"/>
          <w:marTop w:val="40"/>
          <w:marBottom w:val="40"/>
          <w:divBdr>
            <w:top w:val="none" w:sz="0" w:space="0" w:color="auto"/>
            <w:left w:val="none" w:sz="0" w:space="0" w:color="auto"/>
            <w:bottom w:val="none" w:sz="0" w:space="0" w:color="auto"/>
            <w:right w:val="none" w:sz="0" w:space="0" w:color="auto"/>
          </w:divBdr>
        </w:div>
        <w:div w:id="633408881">
          <w:marLeft w:val="274"/>
          <w:marRight w:val="0"/>
          <w:marTop w:val="40"/>
          <w:marBottom w:val="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eader" Target="header3.xml"/><Relationship Id="rId26" Type="http://schemas.openxmlformats.org/officeDocument/2006/relationships/image" Target="media/image7.png"/><Relationship Id="rId39" Type="http://schemas.openxmlformats.org/officeDocument/2006/relationships/footer" Target="footer5.xml"/><Relationship Id="rId21" Type="http://schemas.openxmlformats.org/officeDocument/2006/relationships/header" Target="header5.xml"/><Relationship Id="rId34" Type="http://schemas.openxmlformats.org/officeDocument/2006/relationships/hyperlink" Target="https://www.aihw.gov.au/reports-data/myhospitals/sectors/emergency-department-care" TargetMode="External"/><Relationship Id="rId42" Type="http://schemas.openxmlformats.org/officeDocument/2006/relationships/image" Target="media/image18.png"/><Relationship Id="rId47" Type="http://schemas.openxmlformats.org/officeDocument/2006/relationships/hyperlink" Target="https://www.aihw.gov.au/reports-data/myhospitals/sectors/emergency-department-care%23more-data" TargetMode="External"/><Relationship Id="rId50" Type="http://schemas.openxmlformats.org/officeDocument/2006/relationships/image" Target="media/image24.png"/><Relationship Id="rId55" Type="http://schemas.openxmlformats.org/officeDocument/2006/relationships/hyperlink" Target="https://www.abs.gov.au/statistics/classifications/australian-standard-classification-cultural-and-ethnic-groups-ascceg/latest-release" TargetMode="External"/><Relationship Id="rId63" Type="http://schemas.openxmlformats.org/officeDocument/2006/relationships/hyperlink" Target="https://meteor.aihw.gov.au/content/740847" TargetMode="External"/><Relationship Id="rId68" Type="http://schemas.openxmlformats.org/officeDocument/2006/relationships/hyperlink" Target="https://doi.org/10.1177/08404704221143300" TargetMode="External"/><Relationship Id="rId76" Type="http://schemas.openxmlformats.org/officeDocument/2006/relationships/hyperlink" Target="https://aci.health.nsw.gov.au/projects/consumer-enablement/how-to-support-enablement/care-coordination" TargetMode="External"/><Relationship Id="rId84" Type="http://schemas.openxmlformats.org/officeDocument/2006/relationships/hyperlink" Target="https://www.health.tas.gov.au/health-system-dashboard/monthly/emergency-department" TargetMode="External"/><Relationship Id="rId89" Type="http://schemas.openxmlformats.org/officeDocument/2006/relationships/theme" Target="theme/theme1.xml"/><Relationship Id="rId7" Type="http://schemas.openxmlformats.org/officeDocument/2006/relationships/styles" Target="styles.xml"/><Relationship Id="rId71" Type="http://schemas.openxmlformats.org/officeDocument/2006/relationships/hyperlink" Target="https://doi.org/10.1136/bmjopen-2012-001570" TargetMode="Externa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image" Target="media/image10.png"/><Relationship Id="rId11" Type="http://schemas.openxmlformats.org/officeDocument/2006/relationships/endnotes" Target="endnotes.xml"/><Relationship Id="rId24" Type="http://schemas.openxmlformats.org/officeDocument/2006/relationships/header" Target="header7.xml"/><Relationship Id="rId32" Type="http://schemas.openxmlformats.org/officeDocument/2006/relationships/image" Target="media/image13.png"/><Relationship Id="rId37" Type="http://schemas.openxmlformats.org/officeDocument/2006/relationships/image" Target="media/image16.png"/><Relationship Id="rId40" Type="http://schemas.openxmlformats.org/officeDocument/2006/relationships/header" Target="header9.xml"/><Relationship Id="rId45" Type="http://schemas.openxmlformats.org/officeDocument/2006/relationships/hyperlink" Target="https://www.aihw.gov.au/reports-data/myhospitals/sectors/emergency-department-care%23more-data" TargetMode="External"/><Relationship Id="rId53" Type="http://schemas.openxmlformats.org/officeDocument/2006/relationships/hyperlink" Target="https://acem.org.au/Content-Sources/Advancing-Emergency-Medicine/Better-Outcomes-for-Patients/Triage" TargetMode="External"/><Relationship Id="rId58" Type="http://schemas.openxmlformats.org/officeDocument/2006/relationships/hyperlink" Target="https://www.legislation.gov.au/F2024N01065/asmade/text" TargetMode="External"/><Relationship Id="rId66" Type="http://schemas.openxmlformats.org/officeDocument/2006/relationships/hyperlink" Target="https://www.aihw.gov.au/reports-data/population-groups/cald-australians/overview" TargetMode="External"/><Relationship Id="rId74" Type="http://schemas.openxmlformats.org/officeDocument/2006/relationships/hyperlink" Target="https://www.facebook.com/business/help/675615482516035?locale=en_GB" TargetMode="External"/><Relationship Id="rId79" Type="http://schemas.openxmlformats.org/officeDocument/2006/relationships/hyperlink" Target="https://doi.org/10.1071/AH19210" TargetMode="External"/><Relationship Id="rId87" Type="http://schemas.openxmlformats.org/officeDocument/2006/relationships/image" Target="media/image25.png"/><Relationship Id="rId5" Type="http://schemas.openxmlformats.org/officeDocument/2006/relationships/customXml" Target="../customXml/item5.xml"/><Relationship Id="rId61" Type="http://schemas.openxmlformats.org/officeDocument/2006/relationships/hyperlink" Target="https://www.aihw.gov.au/reports-data/health-welfare-overview/health-care-quality-performance/coordination-of-health-care" TargetMode="External"/><Relationship Id="rId82" Type="http://schemas.openxmlformats.org/officeDocument/2006/relationships/hyperlink" Target="https://grattan.edu.au/wp-content/uploads/2018/07/906-Mapping-primary-care.pdf" TargetMode="Externa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5.png"/><Relationship Id="rId43" Type="http://schemas.openxmlformats.org/officeDocument/2006/relationships/image" Target="media/image19.png"/><Relationship Id="rId48" Type="http://schemas.openxmlformats.org/officeDocument/2006/relationships/image" Target="media/image22.png"/><Relationship Id="rId56" Type="http://schemas.openxmlformats.org/officeDocument/2006/relationships/hyperlink" Target="https://www.health.gov.au/sites/default/files/2024-10/australian-respiratory-surveillance-report-15-7-october-2024-to-20-october-2024_0.pdf" TargetMode="External"/><Relationship Id="rId64" Type="http://schemas.openxmlformats.org/officeDocument/2006/relationships/hyperlink" Target="https://www.aihw.gov.au/reports-data/myhospitals/sectors/emergency-department-care%23more-data" TargetMode="External"/><Relationship Id="rId69" Type="http://schemas.openxmlformats.org/officeDocument/2006/relationships/hyperlink" Target="https://emj.bmj.com/content/33/3/200.long" TargetMode="External"/><Relationship Id="rId77" Type="http://schemas.openxmlformats.org/officeDocument/2006/relationships/hyperlink" Target="https://www.bhi.nsw.gov.au/data-portal" TargetMode="External"/><Relationship Id="rId8" Type="http://schemas.openxmlformats.org/officeDocument/2006/relationships/settings" Target="settings.xml"/><Relationship Id="rId51" Type="http://schemas.openxmlformats.org/officeDocument/2006/relationships/hyperlink" Target="https://doi.org/10.1136/emermed-2016-206539" TargetMode="External"/><Relationship Id="rId72" Type="http://schemas.openxmlformats.org/officeDocument/2006/relationships/hyperlink" Target="https://www.healthed.com.au/clinical_articles/most-gps-support-urgent-care-clinics-poll/" TargetMode="External"/><Relationship Id="rId80" Type="http://schemas.openxmlformats.org/officeDocument/2006/relationships/hyperlink" Target="https://www.data.qld.gov.au/dataset/emergency-departments-quarterly-data" TargetMode="External"/><Relationship Id="rId85" Type="http://schemas.openxmlformats.org/officeDocument/2006/relationships/hyperlink" Target="https://vahi.vic.gov.au/reports"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4.png"/><Relationship Id="rId25" Type="http://schemas.openxmlformats.org/officeDocument/2006/relationships/image" Target="media/image6.png"/><Relationship Id="rId33" Type="http://schemas.openxmlformats.org/officeDocument/2006/relationships/image" Target="media/image14.png"/><Relationship Id="rId38" Type="http://schemas.openxmlformats.org/officeDocument/2006/relationships/header" Target="header8.xml"/><Relationship Id="rId46" Type="http://schemas.openxmlformats.org/officeDocument/2006/relationships/image" Target="media/image21.png"/><Relationship Id="rId59" Type="http://schemas.openxmlformats.org/officeDocument/2006/relationships/hyperlink" Target="https://www9.health.gov.au/mbs/fullDisplay.cfm?type=item&amp;q=599&amp;qt=item" TargetMode="External"/><Relationship Id="rId67" Type="http://schemas.openxmlformats.org/officeDocument/2006/relationships/hyperlink" Target="https://doi.org/10.1111/j.1525-1497.2005.0299.x" TargetMode="External"/><Relationship Id="rId20" Type="http://schemas.openxmlformats.org/officeDocument/2006/relationships/footer" Target="footer3.xml"/><Relationship Id="rId41" Type="http://schemas.openxmlformats.org/officeDocument/2006/relationships/image" Target="media/image17.png"/><Relationship Id="rId54" Type="http://schemas.openxmlformats.org/officeDocument/2006/relationships/hyperlink" Target="https://www.abs.gov.au/statistics/standards/country-birth-standard/latest-release" TargetMode="External"/><Relationship Id="rId62" Type="http://schemas.openxmlformats.org/officeDocument/2006/relationships/hyperlink" Target="https://www.aihw.gov.au/reports-data/myhospitals/sectors/emergency-department-care" TargetMode="External"/><Relationship Id="rId70" Type="http://schemas.openxmlformats.org/officeDocument/2006/relationships/hyperlink" Target="https://www.tisnational.gov.au/Our-services/Pricing/Cost-calculator" TargetMode="External"/><Relationship Id="rId75" Type="http://schemas.openxmlformats.org/officeDocument/2006/relationships/hyperlink" Target="https://www.nice.org.uk/guidance/ng94/evidence/18minor-injury-unit-urgent-care-centre-or-walkin-centre-pdf-172397464605" TargetMode="External"/><Relationship Id="rId83" Type="http://schemas.openxmlformats.org/officeDocument/2006/relationships/hyperlink" Target="https://doi.org/10.1186/s12913-017-2483-x"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oter" Target="footer4.xml"/><Relationship Id="rId28" Type="http://schemas.openxmlformats.org/officeDocument/2006/relationships/image" Target="media/image9.png"/><Relationship Id="rId36" Type="http://schemas.openxmlformats.org/officeDocument/2006/relationships/hyperlink" Target="https://www.aihw.gov.au/reports-data/myhospitals/sectors/emergency-department-care" TargetMode="External"/><Relationship Id="rId49" Type="http://schemas.openxmlformats.org/officeDocument/2006/relationships/image" Target="media/image23.png"/><Relationship Id="rId57" Type="http://schemas.openxmlformats.org/officeDocument/2006/relationships/hyperlink" Target="https://www.safetyandquality.gov.au/sites/default/files/migrated/PCC_Paper_August.pdf" TargetMode="External"/><Relationship Id="rId10" Type="http://schemas.openxmlformats.org/officeDocument/2006/relationships/footnotes" Target="footnotes.xml"/><Relationship Id="rId31" Type="http://schemas.openxmlformats.org/officeDocument/2006/relationships/image" Target="media/image12.png"/><Relationship Id="rId44" Type="http://schemas.openxmlformats.org/officeDocument/2006/relationships/image" Target="media/image20.png"/><Relationship Id="rId52" Type="http://schemas.openxmlformats.org/officeDocument/2006/relationships/hyperlink" Target="https://www.ahrq.gov/ncepcr/care/coordination.html" TargetMode="External"/><Relationship Id="rId60" Type="http://schemas.openxmlformats.org/officeDocument/2006/relationships/hyperlink" Target="https://www.health.gov.au/find-a-medicare-ucc/when-to-visit" TargetMode="External"/><Relationship Id="rId65" Type="http://schemas.openxmlformats.org/officeDocument/2006/relationships/hyperlink" Target="https://www.aihw.gov.au/reports-data/myhospitals/sectors/admitted-patients" TargetMode="External"/><Relationship Id="rId73" Type="http://schemas.openxmlformats.org/officeDocument/2006/relationships/hyperlink" Target="https://doi.org/10.1016/j.physio.2021.12.005" TargetMode="External"/><Relationship Id="rId78" Type="http://schemas.openxmlformats.org/officeDocument/2006/relationships/hyperlink" Target="https://nt.gov.au/industry/licences/radiation-licences-for-medical-and-dental-practitioners/registered-nurses-and-general-practitioners" TargetMode="External"/><Relationship Id="rId81" Type="http://schemas.openxmlformats.org/officeDocument/2006/relationships/hyperlink" Target="https://rnzcuc.org.nz/clinics-and-training-facilities/accredited-urgent-care-clinics/ucs/" TargetMode="External"/><Relationship Id="rId86" Type="http://schemas.openxmlformats.org/officeDocument/2006/relationships/hyperlink" Target="https://www.safetyandquality.gov.au/sites/default/files/2023-07/literature_review_on_patient_experience_in_primary_health_care_-_april_-_2023.pdf"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2" Type="http://schemas.openxmlformats.org/officeDocument/2006/relationships/hyperlink" Target="https://www.health.gov.au/our-work/after-hours-review" TargetMode="External"/><Relationship Id="rId1" Type="http://schemas.openxmlformats.org/officeDocument/2006/relationships/hyperlink" Target="https://www.health.gov.au/find-a-medicare-ucc/when-to-vis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therine.eggett\AppData\Roaming\Microsoft\Templates\2%20Report\Report%20template_AU%20-%20Portrait.dotm" TargetMode="External"/></Relationships>
</file>

<file path=word/theme/theme1.xml><?xml version="1.0" encoding="utf-8"?>
<a:theme xmlns:a="http://schemas.openxmlformats.org/drawingml/2006/main" name="Default Theme">
  <a:themeElements>
    <a:clrScheme name="New Brand">
      <a:dk1>
        <a:sysClr val="windowText" lastClr="000000"/>
      </a:dk1>
      <a:lt1>
        <a:sysClr val="window" lastClr="FFFFFF"/>
      </a:lt1>
      <a:dk2>
        <a:srgbClr val="2E368F"/>
      </a:dk2>
      <a:lt2>
        <a:srgbClr val="00264D"/>
      </a:lt2>
      <a:accent1>
        <a:srgbClr val="FF3A40"/>
      </a:accent1>
      <a:accent2>
        <a:srgbClr val="F25E21"/>
      </a:accent2>
      <a:accent3>
        <a:srgbClr val="F8981D"/>
      </a:accent3>
      <a:accent4>
        <a:srgbClr val="FED13B"/>
      </a:accent4>
      <a:accent5>
        <a:srgbClr val="E6E6E1"/>
      </a:accent5>
      <a:accent6>
        <a:srgbClr val="25B3E0"/>
      </a:accent6>
      <a:hlink>
        <a:srgbClr val="0048C7"/>
      </a:hlink>
      <a:folHlink>
        <a:srgbClr val="0048C7"/>
      </a:folHlink>
    </a:clrScheme>
    <a:fontScheme name="Nous Font">
      <a:majorFont>
        <a:latin typeface="Segoe UI Semibold"/>
        <a:ea typeface=""/>
        <a:cs typeface=""/>
      </a:majorFont>
      <a:minorFont>
        <a:latin typeface="Segoe U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a:solidFill>
            <a:schemeClr val="accent3"/>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25400" cap="rnd">
          <a:solidFill>
            <a:schemeClr val="accent3"/>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2025-01-28T00:00:00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64f1bf92-8efe-42de-a57b-c47f1363fb08" xsi:nil="true"/>
    <lcf76f155ced4ddcb4097134ff3c332f xmlns="7c980402-323e-4976-aa94-186e43b5ebe6">
      <Terms xmlns="http://schemas.microsoft.com/office/infopath/2007/PartnerControls"/>
    </lcf76f155ced4ddcb4097134ff3c332f>
    <Notes xmlns="7c980402-323e-4976-aa94-186e43b5ebe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D38756645B5D2A428763B0189B7EC204" ma:contentTypeVersion="18" ma:contentTypeDescription="Create a new document." ma:contentTypeScope="" ma:versionID="24e8203847f85e99c49b6e07131fa800">
  <xsd:schema xmlns:xsd="http://www.w3.org/2001/XMLSchema" xmlns:xs="http://www.w3.org/2001/XMLSchema" xmlns:p="http://schemas.microsoft.com/office/2006/metadata/properties" xmlns:ns2="7c980402-323e-4976-aa94-186e43b5ebe6" xmlns:ns3="64f1bf92-8efe-42de-a57b-c47f1363fb08" targetNamespace="http://schemas.microsoft.com/office/2006/metadata/properties" ma:root="true" ma:fieldsID="f495a3c60dae97b33fff1f3eeabeceac" ns2:_="" ns3:_="">
    <xsd:import namespace="7c980402-323e-4976-aa94-186e43b5ebe6"/>
    <xsd:import namespace="64f1bf92-8efe-42de-a57b-c47f1363fb0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ServiceLocation" minOccurs="0"/>
                <xsd:element ref="ns2:MediaServiceObjectDetectorVersions" minOccurs="0"/>
                <xsd:element ref="ns2:Note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980402-323e-4976-aa94-186e43b5eb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Notes" ma:index="23" nillable="true" ma:displayName="Notes" ma:format="Dropdown" ma:internalName="Notes">
      <xsd:simpleType>
        <xsd:restriction base="dms:Text">
          <xsd:maxLength value="255"/>
        </xsd:restriction>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4f1bf92-8efe-42de-a57b-c47f1363fb08"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3223602-d5ba-4eea-84af-3e2911b1ba5f}" ma:internalName="TaxCatchAll" ma:showField="CatchAllData" ma:web="64f1bf92-8efe-42de-a57b-c47f1363fb08">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875B17F-0DB6-4FF5-A0B5-36D245B956A8}">
  <ds:schemaRefs>
    <ds:schemaRef ds:uri="http://schemas.openxmlformats.org/officeDocument/2006/bibliography"/>
  </ds:schemaRefs>
</ds:datastoreItem>
</file>

<file path=customXml/itemProps3.xml><?xml version="1.0" encoding="utf-8"?>
<ds:datastoreItem xmlns:ds="http://schemas.openxmlformats.org/officeDocument/2006/customXml" ds:itemID="{6CB462EA-10A7-4754-94DC-A6846B7C0C55}">
  <ds:schemaRefs>
    <ds:schemaRef ds:uri="http://schemas.microsoft.com/office/2006/metadata/properties"/>
    <ds:schemaRef ds:uri="http://schemas.microsoft.com/office/infopath/2007/PartnerControls"/>
    <ds:schemaRef ds:uri="64f1bf92-8efe-42de-a57b-c47f1363fb08"/>
    <ds:schemaRef ds:uri="7c980402-323e-4976-aa94-186e43b5ebe6"/>
  </ds:schemaRefs>
</ds:datastoreItem>
</file>

<file path=customXml/itemProps4.xml><?xml version="1.0" encoding="utf-8"?>
<ds:datastoreItem xmlns:ds="http://schemas.openxmlformats.org/officeDocument/2006/customXml" ds:itemID="{D51B4A30-4335-4615-B531-124E826026D8}">
  <ds:schemaRefs>
    <ds:schemaRef ds:uri="http://schemas.microsoft.com/sharepoint/v3/contenttype/forms"/>
  </ds:schemaRefs>
</ds:datastoreItem>
</file>

<file path=customXml/itemProps5.xml><?xml version="1.0" encoding="utf-8"?>
<ds:datastoreItem xmlns:ds="http://schemas.openxmlformats.org/officeDocument/2006/customXml" ds:itemID="{FC5C72E4-19D7-4533-814F-B211E2A145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980402-323e-4976-aa94-186e43b5ebe6"/>
    <ds:schemaRef ds:uri="64f1bf92-8efe-42de-a57b-c47f1363fb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Report template_AU - Portrait.dotm</Template>
  <TotalTime>34</TotalTime>
  <Pages>1</Pages>
  <Words>50302</Words>
  <Characters>277673</Characters>
  <Application>Microsoft Office Word</Application>
  <DocSecurity>0</DocSecurity>
  <Lines>8166</Lines>
  <Paragraphs>5376</Paragraphs>
  <ScaleCrop>false</ScaleCrop>
  <HeadingPairs>
    <vt:vector size="2" baseType="variant">
      <vt:variant>
        <vt:lpstr>Title</vt:lpstr>
      </vt:variant>
      <vt:variant>
        <vt:i4>1</vt:i4>
      </vt:variant>
    </vt:vector>
  </HeadingPairs>
  <TitlesOfParts>
    <vt:vector size="1" baseType="lpstr">
      <vt:lpstr>Evaluation of the Medicare Urgent Care Clinics: Interim Evaluation Report 1</vt:lpstr>
    </vt:vector>
  </TitlesOfParts>
  <Company>The Nous Group</Company>
  <LinksUpToDate>false</LinksUpToDate>
  <CharactersWithSpaces>322599</CharactersWithSpaces>
  <SharedDoc>false</SharedDoc>
  <HLinks>
    <vt:vector size="534" baseType="variant">
      <vt:variant>
        <vt:i4>2424935</vt:i4>
      </vt:variant>
      <vt:variant>
        <vt:i4>965</vt:i4>
      </vt:variant>
      <vt:variant>
        <vt:i4>0</vt:i4>
      </vt:variant>
      <vt:variant>
        <vt:i4>5</vt:i4>
      </vt:variant>
      <vt:variant>
        <vt:lpwstr>https://www.safetyandquality.gov.au/sites/default/files/2023-07/literature_review_on_patient_experience_in_primary_health_care_-_april_-_2023.pdf</vt:lpwstr>
      </vt:variant>
      <vt:variant>
        <vt:lpwstr/>
      </vt:variant>
      <vt:variant>
        <vt:i4>2949235</vt:i4>
      </vt:variant>
      <vt:variant>
        <vt:i4>962</vt:i4>
      </vt:variant>
      <vt:variant>
        <vt:i4>0</vt:i4>
      </vt:variant>
      <vt:variant>
        <vt:i4>5</vt:i4>
      </vt:variant>
      <vt:variant>
        <vt:lpwstr>https://vahi.vic.gov.au/reports</vt:lpwstr>
      </vt:variant>
      <vt:variant>
        <vt:lpwstr/>
      </vt:variant>
      <vt:variant>
        <vt:i4>7209007</vt:i4>
      </vt:variant>
      <vt:variant>
        <vt:i4>959</vt:i4>
      </vt:variant>
      <vt:variant>
        <vt:i4>0</vt:i4>
      </vt:variant>
      <vt:variant>
        <vt:i4>5</vt:i4>
      </vt:variant>
      <vt:variant>
        <vt:lpwstr>https://www.health.tas.gov.au/health-system-dashboard/monthly/emergency-department</vt:lpwstr>
      </vt:variant>
      <vt:variant>
        <vt:lpwstr/>
      </vt:variant>
      <vt:variant>
        <vt:i4>27</vt:i4>
      </vt:variant>
      <vt:variant>
        <vt:i4>956</vt:i4>
      </vt:variant>
      <vt:variant>
        <vt:i4>0</vt:i4>
      </vt:variant>
      <vt:variant>
        <vt:i4>5</vt:i4>
      </vt:variant>
      <vt:variant>
        <vt:lpwstr>https://doi.org/10.1186/s12913-017-2483-x</vt:lpwstr>
      </vt:variant>
      <vt:variant>
        <vt:lpwstr/>
      </vt:variant>
      <vt:variant>
        <vt:i4>3735608</vt:i4>
      </vt:variant>
      <vt:variant>
        <vt:i4>953</vt:i4>
      </vt:variant>
      <vt:variant>
        <vt:i4>0</vt:i4>
      </vt:variant>
      <vt:variant>
        <vt:i4>5</vt:i4>
      </vt:variant>
      <vt:variant>
        <vt:lpwstr>https://grattan.edu.au/wp-content/uploads/2018/07/906-Mapping-primary-care.pdf</vt:lpwstr>
      </vt:variant>
      <vt:variant>
        <vt:lpwstr/>
      </vt:variant>
      <vt:variant>
        <vt:i4>6094935</vt:i4>
      </vt:variant>
      <vt:variant>
        <vt:i4>950</vt:i4>
      </vt:variant>
      <vt:variant>
        <vt:i4>0</vt:i4>
      </vt:variant>
      <vt:variant>
        <vt:i4>5</vt:i4>
      </vt:variant>
      <vt:variant>
        <vt:lpwstr>https://rnzcuc.org.nz/clinics-and-training-facilities/accredited-urgent-care-clinics/ucs/</vt:lpwstr>
      </vt:variant>
      <vt:variant>
        <vt:lpwstr/>
      </vt:variant>
      <vt:variant>
        <vt:i4>1245190</vt:i4>
      </vt:variant>
      <vt:variant>
        <vt:i4>947</vt:i4>
      </vt:variant>
      <vt:variant>
        <vt:i4>0</vt:i4>
      </vt:variant>
      <vt:variant>
        <vt:i4>5</vt:i4>
      </vt:variant>
      <vt:variant>
        <vt:lpwstr>https://www.data.qld.gov.au/dataset/emergency-departments-quarterly-data</vt:lpwstr>
      </vt:variant>
      <vt:variant>
        <vt:lpwstr/>
      </vt:variant>
      <vt:variant>
        <vt:i4>7602233</vt:i4>
      </vt:variant>
      <vt:variant>
        <vt:i4>944</vt:i4>
      </vt:variant>
      <vt:variant>
        <vt:i4>0</vt:i4>
      </vt:variant>
      <vt:variant>
        <vt:i4>5</vt:i4>
      </vt:variant>
      <vt:variant>
        <vt:lpwstr>https://doi.org/10.1071/AH19210</vt:lpwstr>
      </vt:variant>
      <vt:variant>
        <vt:lpwstr/>
      </vt:variant>
      <vt:variant>
        <vt:i4>7209009</vt:i4>
      </vt:variant>
      <vt:variant>
        <vt:i4>941</vt:i4>
      </vt:variant>
      <vt:variant>
        <vt:i4>0</vt:i4>
      </vt:variant>
      <vt:variant>
        <vt:i4>5</vt:i4>
      </vt:variant>
      <vt:variant>
        <vt:lpwstr>https://nt.gov.au/industry/licences/radiation-licences-for-medical-and-dental-practitioners/registered-nurses-and-general-practitioners</vt:lpwstr>
      </vt:variant>
      <vt:variant>
        <vt:lpwstr/>
      </vt:variant>
      <vt:variant>
        <vt:i4>2949230</vt:i4>
      </vt:variant>
      <vt:variant>
        <vt:i4>938</vt:i4>
      </vt:variant>
      <vt:variant>
        <vt:i4>0</vt:i4>
      </vt:variant>
      <vt:variant>
        <vt:i4>5</vt:i4>
      </vt:variant>
      <vt:variant>
        <vt:lpwstr>https://www.bhi.nsw.gov.au/data-portal</vt:lpwstr>
      </vt:variant>
      <vt:variant>
        <vt:lpwstr/>
      </vt:variant>
      <vt:variant>
        <vt:i4>7405692</vt:i4>
      </vt:variant>
      <vt:variant>
        <vt:i4>935</vt:i4>
      </vt:variant>
      <vt:variant>
        <vt:i4>0</vt:i4>
      </vt:variant>
      <vt:variant>
        <vt:i4>5</vt:i4>
      </vt:variant>
      <vt:variant>
        <vt:lpwstr>https://aci.health.nsw.gov.au/projects/consumer-enablement/how-to-support-enablement/care-coordination</vt:lpwstr>
      </vt:variant>
      <vt:variant>
        <vt:lpwstr/>
      </vt:variant>
      <vt:variant>
        <vt:i4>2687076</vt:i4>
      </vt:variant>
      <vt:variant>
        <vt:i4>932</vt:i4>
      </vt:variant>
      <vt:variant>
        <vt:i4>0</vt:i4>
      </vt:variant>
      <vt:variant>
        <vt:i4>5</vt:i4>
      </vt:variant>
      <vt:variant>
        <vt:lpwstr>https://www.nice.org.uk/guidance/ng94/evidence/18minor-injury-unit-urgent-care-centre-or-walkin-centre-pdf-172397464605</vt:lpwstr>
      </vt:variant>
      <vt:variant>
        <vt:lpwstr/>
      </vt:variant>
      <vt:variant>
        <vt:i4>2555989</vt:i4>
      </vt:variant>
      <vt:variant>
        <vt:i4>929</vt:i4>
      </vt:variant>
      <vt:variant>
        <vt:i4>0</vt:i4>
      </vt:variant>
      <vt:variant>
        <vt:i4>5</vt:i4>
      </vt:variant>
      <vt:variant>
        <vt:lpwstr>https://www.facebook.com/business/help/675615482516035?locale=en_GB</vt:lpwstr>
      </vt:variant>
      <vt:variant>
        <vt:lpwstr/>
      </vt:variant>
      <vt:variant>
        <vt:i4>5308502</vt:i4>
      </vt:variant>
      <vt:variant>
        <vt:i4>926</vt:i4>
      </vt:variant>
      <vt:variant>
        <vt:i4>0</vt:i4>
      </vt:variant>
      <vt:variant>
        <vt:i4>5</vt:i4>
      </vt:variant>
      <vt:variant>
        <vt:lpwstr>https://doi.org/10.1016/j.physio.2021.12.005</vt:lpwstr>
      </vt:variant>
      <vt:variant>
        <vt:lpwstr/>
      </vt:variant>
      <vt:variant>
        <vt:i4>6094911</vt:i4>
      </vt:variant>
      <vt:variant>
        <vt:i4>923</vt:i4>
      </vt:variant>
      <vt:variant>
        <vt:i4>0</vt:i4>
      </vt:variant>
      <vt:variant>
        <vt:i4>5</vt:i4>
      </vt:variant>
      <vt:variant>
        <vt:lpwstr>https://www.healthed.com.au/clinical_articles/most-gps-support-urgent-care-clinics-poll/</vt:lpwstr>
      </vt:variant>
      <vt:variant>
        <vt:lpwstr/>
      </vt:variant>
      <vt:variant>
        <vt:i4>7209056</vt:i4>
      </vt:variant>
      <vt:variant>
        <vt:i4>920</vt:i4>
      </vt:variant>
      <vt:variant>
        <vt:i4>0</vt:i4>
      </vt:variant>
      <vt:variant>
        <vt:i4>5</vt:i4>
      </vt:variant>
      <vt:variant>
        <vt:lpwstr>https://doi.org/10.1136/bmjopen-2012-001570</vt:lpwstr>
      </vt:variant>
      <vt:variant>
        <vt:lpwstr/>
      </vt:variant>
      <vt:variant>
        <vt:i4>3080313</vt:i4>
      </vt:variant>
      <vt:variant>
        <vt:i4>917</vt:i4>
      </vt:variant>
      <vt:variant>
        <vt:i4>0</vt:i4>
      </vt:variant>
      <vt:variant>
        <vt:i4>5</vt:i4>
      </vt:variant>
      <vt:variant>
        <vt:lpwstr>https://www.tisnational.gov.au/Our-services/Pricing/Cost-calculator</vt:lpwstr>
      </vt:variant>
      <vt:variant>
        <vt:lpwstr/>
      </vt:variant>
      <vt:variant>
        <vt:i4>720919</vt:i4>
      </vt:variant>
      <vt:variant>
        <vt:i4>914</vt:i4>
      </vt:variant>
      <vt:variant>
        <vt:i4>0</vt:i4>
      </vt:variant>
      <vt:variant>
        <vt:i4>5</vt:i4>
      </vt:variant>
      <vt:variant>
        <vt:lpwstr>https://emj.bmj.com/content/33/3/200.long</vt:lpwstr>
      </vt:variant>
      <vt:variant>
        <vt:lpwstr/>
      </vt:variant>
      <vt:variant>
        <vt:i4>2031704</vt:i4>
      </vt:variant>
      <vt:variant>
        <vt:i4>911</vt:i4>
      </vt:variant>
      <vt:variant>
        <vt:i4>0</vt:i4>
      </vt:variant>
      <vt:variant>
        <vt:i4>5</vt:i4>
      </vt:variant>
      <vt:variant>
        <vt:lpwstr>https://doi.org/10.1177/08404704221143300</vt:lpwstr>
      </vt:variant>
      <vt:variant>
        <vt:lpwstr/>
      </vt:variant>
      <vt:variant>
        <vt:i4>3670074</vt:i4>
      </vt:variant>
      <vt:variant>
        <vt:i4>908</vt:i4>
      </vt:variant>
      <vt:variant>
        <vt:i4>0</vt:i4>
      </vt:variant>
      <vt:variant>
        <vt:i4>5</vt:i4>
      </vt:variant>
      <vt:variant>
        <vt:lpwstr>https://doi.org/10.1111/j.1525-1497.2005.0299.x</vt:lpwstr>
      </vt:variant>
      <vt:variant>
        <vt:lpwstr/>
      </vt:variant>
      <vt:variant>
        <vt:i4>262214</vt:i4>
      </vt:variant>
      <vt:variant>
        <vt:i4>905</vt:i4>
      </vt:variant>
      <vt:variant>
        <vt:i4>0</vt:i4>
      </vt:variant>
      <vt:variant>
        <vt:i4>5</vt:i4>
      </vt:variant>
      <vt:variant>
        <vt:lpwstr>https://www.aihw.gov.au/reports-data/population-groups/cald-australians/overview</vt:lpwstr>
      </vt:variant>
      <vt:variant>
        <vt:lpwstr/>
      </vt:variant>
      <vt:variant>
        <vt:i4>8257658</vt:i4>
      </vt:variant>
      <vt:variant>
        <vt:i4>902</vt:i4>
      </vt:variant>
      <vt:variant>
        <vt:i4>0</vt:i4>
      </vt:variant>
      <vt:variant>
        <vt:i4>5</vt:i4>
      </vt:variant>
      <vt:variant>
        <vt:lpwstr>https://www.aihw.gov.au/reports-data/myhospitals/sectors/admitted-patients</vt:lpwstr>
      </vt:variant>
      <vt:variant>
        <vt:lpwstr/>
      </vt:variant>
      <vt:variant>
        <vt:i4>6750266</vt:i4>
      </vt:variant>
      <vt:variant>
        <vt:i4>899</vt:i4>
      </vt:variant>
      <vt:variant>
        <vt:i4>0</vt:i4>
      </vt:variant>
      <vt:variant>
        <vt:i4>5</vt:i4>
      </vt:variant>
      <vt:variant>
        <vt:lpwstr>https://www.aihw.gov.au/reports-data/myhospitals/sectors/emergency-department-care%23more-data</vt:lpwstr>
      </vt:variant>
      <vt:variant>
        <vt:lpwstr/>
      </vt:variant>
      <vt:variant>
        <vt:i4>6225935</vt:i4>
      </vt:variant>
      <vt:variant>
        <vt:i4>896</vt:i4>
      </vt:variant>
      <vt:variant>
        <vt:i4>0</vt:i4>
      </vt:variant>
      <vt:variant>
        <vt:i4>5</vt:i4>
      </vt:variant>
      <vt:variant>
        <vt:lpwstr>https://meteor.aihw.gov.au/content/740847</vt:lpwstr>
      </vt:variant>
      <vt:variant>
        <vt:lpwstr/>
      </vt:variant>
      <vt:variant>
        <vt:i4>6750262</vt:i4>
      </vt:variant>
      <vt:variant>
        <vt:i4>893</vt:i4>
      </vt:variant>
      <vt:variant>
        <vt:i4>0</vt:i4>
      </vt:variant>
      <vt:variant>
        <vt:i4>5</vt:i4>
      </vt:variant>
      <vt:variant>
        <vt:lpwstr>https://www.aihw.gov.au/reports-data/myhospitals/sectors/emergency-department-care</vt:lpwstr>
      </vt:variant>
      <vt:variant>
        <vt:lpwstr/>
      </vt:variant>
      <vt:variant>
        <vt:i4>1114182</vt:i4>
      </vt:variant>
      <vt:variant>
        <vt:i4>890</vt:i4>
      </vt:variant>
      <vt:variant>
        <vt:i4>0</vt:i4>
      </vt:variant>
      <vt:variant>
        <vt:i4>5</vt:i4>
      </vt:variant>
      <vt:variant>
        <vt:lpwstr>https://www.aihw.gov.au/reports-data/health-welfare-overview/health-care-quality-performance/coordination-of-health-care</vt:lpwstr>
      </vt:variant>
      <vt:variant>
        <vt:lpwstr/>
      </vt:variant>
      <vt:variant>
        <vt:i4>3932260</vt:i4>
      </vt:variant>
      <vt:variant>
        <vt:i4>887</vt:i4>
      </vt:variant>
      <vt:variant>
        <vt:i4>0</vt:i4>
      </vt:variant>
      <vt:variant>
        <vt:i4>5</vt:i4>
      </vt:variant>
      <vt:variant>
        <vt:lpwstr>https://www.health.gov.au/find-a-medicare-ucc/when-to-visit</vt:lpwstr>
      </vt:variant>
      <vt:variant>
        <vt:lpwstr/>
      </vt:variant>
      <vt:variant>
        <vt:i4>2621543</vt:i4>
      </vt:variant>
      <vt:variant>
        <vt:i4>884</vt:i4>
      </vt:variant>
      <vt:variant>
        <vt:i4>0</vt:i4>
      </vt:variant>
      <vt:variant>
        <vt:i4>5</vt:i4>
      </vt:variant>
      <vt:variant>
        <vt:lpwstr>https://www9.health.gov.au/mbs/fullDisplay.cfm?type=item&amp;q=599&amp;qt=item</vt:lpwstr>
      </vt:variant>
      <vt:variant>
        <vt:lpwstr/>
      </vt:variant>
      <vt:variant>
        <vt:i4>2621500</vt:i4>
      </vt:variant>
      <vt:variant>
        <vt:i4>881</vt:i4>
      </vt:variant>
      <vt:variant>
        <vt:i4>0</vt:i4>
      </vt:variant>
      <vt:variant>
        <vt:i4>5</vt:i4>
      </vt:variant>
      <vt:variant>
        <vt:lpwstr>https://www.legislation.gov.au/F2024N01065/asmade/text</vt:lpwstr>
      </vt:variant>
      <vt:variant>
        <vt:lpwstr/>
      </vt:variant>
      <vt:variant>
        <vt:i4>1441823</vt:i4>
      </vt:variant>
      <vt:variant>
        <vt:i4>878</vt:i4>
      </vt:variant>
      <vt:variant>
        <vt:i4>0</vt:i4>
      </vt:variant>
      <vt:variant>
        <vt:i4>5</vt:i4>
      </vt:variant>
      <vt:variant>
        <vt:lpwstr>https://www.safetyandquality.gov.au/sites/default/files/migrated/PCC_Paper_August.pdf</vt:lpwstr>
      </vt:variant>
      <vt:variant>
        <vt:lpwstr/>
      </vt:variant>
      <vt:variant>
        <vt:i4>786492</vt:i4>
      </vt:variant>
      <vt:variant>
        <vt:i4>875</vt:i4>
      </vt:variant>
      <vt:variant>
        <vt:i4>0</vt:i4>
      </vt:variant>
      <vt:variant>
        <vt:i4>5</vt:i4>
      </vt:variant>
      <vt:variant>
        <vt:lpwstr>https://www.health.gov.au/sites/default/files/2024-10/australian-respiratory-surveillance-report-15-7-october-2024-to-20-october-2024_0.pdf</vt:lpwstr>
      </vt:variant>
      <vt:variant>
        <vt:lpwstr/>
      </vt:variant>
      <vt:variant>
        <vt:i4>589829</vt:i4>
      </vt:variant>
      <vt:variant>
        <vt:i4>872</vt:i4>
      </vt:variant>
      <vt:variant>
        <vt:i4>0</vt:i4>
      </vt:variant>
      <vt:variant>
        <vt:i4>5</vt:i4>
      </vt:variant>
      <vt:variant>
        <vt:lpwstr>https://www.abs.gov.au/statistics/classifications/australian-standard-classification-cultural-and-ethnic-groups-ascceg/latest-release</vt:lpwstr>
      </vt:variant>
      <vt:variant>
        <vt:lpwstr/>
      </vt:variant>
      <vt:variant>
        <vt:i4>458836</vt:i4>
      </vt:variant>
      <vt:variant>
        <vt:i4>869</vt:i4>
      </vt:variant>
      <vt:variant>
        <vt:i4>0</vt:i4>
      </vt:variant>
      <vt:variant>
        <vt:i4>5</vt:i4>
      </vt:variant>
      <vt:variant>
        <vt:lpwstr>https://www.abs.gov.au/statistics/standards/country-birth-standard/latest-release</vt:lpwstr>
      </vt:variant>
      <vt:variant>
        <vt:lpwstr/>
      </vt:variant>
      <vt:variant>
        <vt:i4>4784151</vt:i4>
      </vt:variant>
      <vt:variant>
        <vt:i4>866</vt:i4>
      </vt:variant>
      <vt:variant>
        <vt:i4>0</vt:i4>
      </vt:variant>
      <vt:variant>
        <vt:i4>5</vt:i4>
      </vt:variant>
      <vt:variant>
        <vt:lpwstr>https://acem.org.au/Content-Sources/Advancing-Emergency-Medicine/Better-Outcomes-for-Patients/Triage</vt:lpwstr>
      </vt:variant>
      <vt:variant>
        <vt:lpwstr/>
      </vt:variant>
      <vt:variant>
        <vt:i4>2621557</vt:i4>
      </vt:variant>
      <vt:variant>
        <vt:i4>863</vt:i4>
      </vt:variant>
      <vt:variant>
        <vt:i4>0</vt:i4>
      </vt:variant>
      <vt:variant>
        <vt:i4>5</vt:i4>
      </vt:variant>
      <vt:variant>
        <vt:lpwstr>https://www.ahrq.gov/ncepcr/care/coordination.html</vt:lpwstr>
      </vt:variant>
      <vt:variant>
        <vt:lpwstr/>
      </vt:variant>
      <vt:variant>
        <vt:i4>7733375</vt:i4>
      </vt:variant>
      <vt:variant>
        <vt:i4>860</vt:i4>
      </vt:variant>
      <vt:variant>
        <vt:i4>0</vt:i4>
      </vt:variant>
      <vt:variant>
        <vt:i4>5</vt:i4>
      </vt:variant>
      <vt:variant>
        <vt:lpwstr>https://doi.org/10.1136/emermed-2016-206539</vt:lpwstr>
      </vt:variant>
      <vt:variant>
        <vt:lpwstr/>
      </vt:variant>
      <vt:variant>
        <vt:i4>6750266</vt:i4>
      </vt:variant>
      <vt:variant>
        <vt:i4>630</vt:i4>
      </vt:variant>
      <vt:variant>
        <vt:i4>0</vt:i4>
      </vt:variant>
      <vt:variant>
        <vt:i4>5</vt:i4>
      </vt:variant>
      <vt:variant>
        <vt:lpwstr>https://www.aihw.gov.au/reports-data/myhospitals/sectors/emergency-department-care%23more-data</vt:lpwstr>
      </vt:variant>
      <vt:variant>
        <vt:lpwstr/>
      </vt:variant>
      <vt:variant>
        <vt:i4>6750266</vt:i4>
      </vt:variant>
      <vt:variant>
        <vt:i4>624</vt:i4>
      </vt:variant>
      <vt:variant>
        <vt:i4>0</vt:i4>
      </vt:variant>
      <vt:variant>
        <vt:i4>5</vt:i4>
      </vt:variant>
      <vt:variant>
        <vt:lpwstr>https://www.aihw.gov.au/reports-data/myhospitals/sectors/emergency-department-care%23more-data</vt:lpwstr>
      </vt:variant>
      <vt:variant>
        <vt:lpwstr/>
      </vt:variant>
      <vt:variant>
        <vt:i4>6750262</vt:i4>
      </vt:variant>
      <vt:variant>
        <vt:i4>405</vt:i4>
      </vt:variant>
      <vt:variant>
        <vt:i4>0</vt:i4>
      </vt:variant>
      <vt:variant>
        <vt:i4>5</vt:i4>
      </vt:variant>
      <vt:variant>
        <vt:lpwstr>https://www.aihw.gov.au/reports-data/myhospitals/sectors/emergency-department-care</vt:lpwstr>
      </vt:variant>
      <vt:variant>
        <vt:lpwstr/>
      </vt:variant>
      <vt:variant>
        <vt:i4>6750262</vt:i4>
      </vt:variant>
      <vt:variant>
        <vt:i4>396</vt:i4>
      </vt:variant>
      <vt:variant>
        <vt:i4>0</vt:i4>
      </vt:variant>
      <vt:variant>
        <vt:i4>5</vt:i4>
      </vt:variant>
      <vt:variant>
        <vt:lpwstr>https://www.aihw.gov.au/reports-data/myhospitals/sectors/emergency-department-care</vt:lpwstr>
      </vt:variant>
      <vt:variant>
        <vt:lpwstr/>
      </vt:variant>
      <vt:variant>
        <vt:i4>1966143</vt:i4>
      </vt:variant>
      <vt:variant>
        <vt:i4>278</vt:i4>
      </vt:variant>
      <vt:variant>
        <vt:i4>0</vt:i4>
      </vt:variant>
      <vt:variant>
        <vt:i4>5</vt:i4>
      </vt:variant>
      <vt:variant>
        <vt:lpwstr/>
      </vt:variant>
      <vt:variant>
        <vt:lpwstr>_Toc189772045</vt:lpwstr>
      </vt:variant>
      <vt:variant>
        <vt:i4>1966143</vt:i4>
      </vt:variant>
      <vt:variant>
        <vt:i4>272</vt:i4>
      </vt:variant>
      <vt:variant>
        <vt:i4>0</vt:i4>
      </vt:variant>
      <vt:variant>
        <vt:i4>5</vt:i4>
      </vt:variant>
      <vt:variant>
        <vt:lpwstr/>
      </vt:variant>
      <vt:variant>
        <vt:lpwstr>_Toc189772044</vt:lpwstr>
      </vt:variant>
      <vt:variant>
        <vt:i4>1966143</vt:i4>
      </vt:variant>
      <vt:variant>
        <vt:i4>266</vt:i4>
      </vt:variant>
      <vt:variant>
        <vt:i4>0</vt:i4>
      </vt:variant>
      <vt:variant>
        <vt:i4>5</vt:i4>
      </vt:variant>
      <vt:variant>
        <vt:lpwstr/>
      </vt:variant>
      <vt:variant>
        <vt:lpwstr>_Toc189772043</vt:lpwstr>
      </vt:variant>
      <vt:variant>
        <vt:i4>1966143</vt:i4>
      </vt:variant>
      <vt:variant>
        <vt:i4>260</vt:i4>
      </vt:variant>
      <vt:variant>
        <vt:i4>0</vt:i4>
      </vt:variant>
      <vt:variant>
        <vt:i4>5</vt:i4>
      </vt:variant>
      <vt:variant>
        <vt:lpwstr/>
      </vt:variant>
      <vt:variant>
        <vt:lpwstr>_Toc189772042</vt:lpwstr>
      </vt:variant>
      <vt:variant>
        <vt:i4>1966143</vt:i4>
      </vt:variant>
      <vt:variant>
        <vt:i4>254</vt:i4>
      </vt:variant>
      <vt:variant>
        <vt:i4>0</vt:i4>
      </vt:variant>
      <vt:variant>
        <vt:i4>5</vt:i4>
      </vt:variant>
      <vt:variant>
        <vt:lpwstr/>
      </vt:variant>
      <vt:variant>
        <vt:lpwstr>_Toc189772041</vt:lpwstr>
      </vt:variant>
      <vt:variant>
        <vt:i4>1966143</vt:i4>
      </vt:variant>
      <vt:variant>
        <vt:i4>248</vt:i4>
      </vt:variant>
      <vt:variant>
        <vt:i4>0</vt:i4>
      </vt:variant>
      <vt:variant>
        <vt:i4>5</vt:i4>
      </vt:variant>
      <vt:variant>
        <vt:lpwstr/>
      </vt:variant>
      <vt:variant>
        <vt:lpwstr>_Toc189772040</vt:lpwstr>
      </vt:variant>
      <vt:variant>
        <vt:i4>1638463</vt:i4>
      </vt:variant>
      <vt:variant>
        <vt:i4>242</vt:i4>
      </vt:variant>
      <vt:variant>
        <vt:i4>0</vt:i4>
      </vt:variant>
      <vt:variant>
        <vt:i4>5</vt:i4>
      </vt:variant>
      <vt:variant>
        <vt:lpwstr/>
      </vt:variant>
      <vt:variant>
        <vt:lpwstr>_Toc189772039</vt:lpwstr>
      </vt:variant>
      <vt:variant>
        <vt:i4>1638463</vt:i4>
      </vt:variant>
      <vt:variant>
        <vt:i4>236</vt:i4>
      </vt:variant>
      <vt:variant>
        <vt:i4>0</vt:i4>
      </vt:variant>
      <vt:variant>
        <vt:i4>5</vt:i4>
      </vt:variant>
      <vt:variant>
        <vt:lpwstr/>
      </vt:variant>
      <vt:variant>
        <vt:lpwstr>_Toc189772038</vt:lpwstr>
      </vt:variant>
      <vt:variant>
        <vt:i4>1638463</vt:i4>
      </vt:variant>
      <vt:variant>
        <vt:i4>230</vt:i4>
      </vt:variant>
      <vt:variant>
        <vt:i4>0</vt:i4>
      </vt:variant>
      <vt:variant>
        <vt:i4>5</vt:i4>
      </vt:variant>
      <vt:variant>
        <vt:lpwstr/>
      </vt:variant>
      <vt:variant>
        <vt:lpwstr>_Toc189772037</vt:lpwstr>
      </vt:variant>
      <vt:variant>
        <vt:i4>1638463</vt:i4>
      </vt:variant>
      <vt:variant>
        <vt:i4>224</vt:i4>
      </vt:variant>
      <vt:variant>
        <vt:i4>0</vt:i4>
      </vt:variant>
      <vt:variant>
        <vt:i4>5</vt:i4>
      </vt:variant>
      <vt:variant>
        <vt:lpwstr/>
      </vt:variant>
      <vt:variant>
        <vt:lpwstr>_Toc189772036</vt:lpwstr>
      </vt:variant>
      <vt:variant>
        <vt:i4>1638463</vt:i4>
      </vt:variant>
      <vt:variant>
        <vt:i4>218</vt:i4>
      </vt:variant>
      <vt:variant>
        <vt:i4>0</vt:i4>
      </vt:variant>
      <vt:variant>
        <vt:i4>5</vt:i4>
      </vt:variant>
      <vt:variant>
        <vt:lpwstr/>
      </vt:variant>
      <vt:variant>
        <vt:lpwstr>_Toc189772035</vt:lpwstr>
      </vt:variant>
      <vt:variant>
        <vt:i4>1638463</vt:i4>
      </vt:variant>
      <vt:variant>
        <vt:i4>212</vt:i4>
      </vt:variant>
      <vt:variant>
        <vt:i4>0</vt:i4>
      </vt:variant>
      <vt:variant>
        <vt:i4>5</vt:i4>
      </vt:variant>
      <vt:variant>
        <vt:lpwstr/>
      </vt:variant>
      <vt:variant>
        <vt:lpwstr>_Toc189772034</vt:lpwstr>
      </vt:variant>
      <vt:variant>
        <vt:i4>1638463</vt:i4>
      </vt:variant>
      <vt:variant>
        <vt:i4>206</vt:i4>
      </vt:variant>
      <vt:variant>
        <vt:i4>0</vt:i4>
      </vt:variant>
      <vt:variant>
        <vt:i4>5</vt:i4>
      </vt:variant>
      <vt:variant>
        <vt:lpwstr/>
      </vt:variant>
      <vt:variant>
        <vt:lpwstr>_Toc189772033</vt:lpwstr>
      </vt:variant>
      <vt:variant>
        <vt:i4>1638463</vt:i4>
      </vt:variant>
      <vt:variant>
        <vt:i4>200</vt:i4>
      </vt:variant>
      <vt:variant>
        <vt:i4>0</vt:i4>
      </vt:variant>
      <vt:variant>
        <vt:i4>5</vt:i4>
      </vt:variant>
      <vt:variant>
        <vt:lpwstr/>
      </vt:variant>
      <vt:variant>
        <vt:lpwstr>_Toc189772032</vt:lpwstr>
      </vt:variant>
      <vt:variant>
        <vt:i4>1638463</vt:i4>
      </vt:variant>
      <vt:variant>
        <vt:i4>194</vt:i4>
      </vt:variant>
      <vt:variant>
        <vt:i4>0</vt:i4>
      </vt:variant>
      <vt:variant>
        <vt:i4>5</vt:i4>
      </vt:variant>
      <vt:variant>
        <vt:lpwstr/>
      </vt:variant>
      <vt:variant>
        <vt:lpwstr>_Toc189772031</vt:lpwstr>
      </vt:variant>
      <vt:variant>
        <vt:i4>1638463</vt:i4>
      </vt:variant>
      <vt:variant>
        <vt:i4>188</vt:i4>
      </vt:variant>
      <vt:variant>
        <vt:i4>0</vt:i4>
      </vt:variant>
      <vt:variant>
        <vt:i4>5</vt:i4>
      </vt:variant>
      <vt:variant>
        <vt:lpwstr/>
      </vt:variant>
      <vt:variant>
        <vt:lpwstr>_Toc189772030</vt:lpwstr>
      </vt:variant>
      <vt:variant>
        <vt:i4>1572927</vt:i4>
      </vt:variant>
      <vt:variant>
        <vt:i4>182</vt:i4>
      </vt:variant>
      <vt:variant>
        <vt:i4>0</vt:i4>
      </vt:variant>
      <vt:variant>
        <vt:i4>5</vt:i4>
      </vt:variant>
      <vt:variant>
        <vt:lpwstr/>
      </vt:variant>
      <vt:variant>
        <vt:lpwstr>_Toc189772029</vt:lpwstr>
      </vt:variant>
      <vt:variant>
        <vt:i4>1572927</vt:i4>
      </vt:variant>
      <vt:variant>
        <vt:i4>176</vt:i4>
      </vt:variant>
      <vt:variant>
        <vt:i4>0</vt:i4>
      </vt:variant>
      <vt:variant>
        <vt:i4>5</vt:i4>
      </vt:variant>
      <vt:variant>
        <vt:lpwstr/>
      </vt:variant>
      <vt:variant>
        <vt:lpwstr>_Toc189772028</vt:lpwstr>
      </vt:variant>
      <vt:variant>
        <vt:i4>1572927</vt:i4>
      </vt:variant>
      <vt:variant>
        <vt:i4>170</vt:i4>
      </vt:variant>
      <vt:variant>
        <vt:i4>0</vt:i4>
      </vt:variant>
      <vt:variant>
        <vt:i4>5</vt:i4>
      </vt:variant>
      <vt:variant>
        <vt:lpwstr/>
      </vt:variant>
      <vt:variant>
        <vt:lpwstr>_Toc189772027</vt:lpwstr>
      </vt:variant>
      <vt:variant>
        <vt:i4>1572927</vt:i4>
      </vt:variant>
      <vt:variant>
        <vt:i4>164</vt:i4>
      </vt:variant>
      <vt:variant>
        <vt:i4>0</vt:i4>
      </vt:variant>
      <vt:variant>
        <vt:i4>5</vt:i4>
      </vt:variant>
      <vt:variant>
        <vt:lpwstr/>
      </vt:variant>
      <vt:variant>
        <vt:lpwstr>_Toc189772026</vt:lpwstr>
      </vt:variant>
      <vt:variant>
        <vt:i4>1572927</vt:i4>
      </vt:variant>
      <vt:variant>
        <vt:i4>158</vt:i4>
      </vt:variant>
      <vt:variant>
        <vt:i4>0</vt:i4>
      </vt:variant>
      <vt:variant>
        <vt:i4>5</vt:i4>
      </vt:variant>
      <vt:variant>
        <vt:lpwstr/>
      </vt:variant>
      <vt:variant>
        <vt:lpwstr>_Toc189772025</vt:lpwstr>
      </vt:variant>
      <vt:variant>
        <vt:i4>1572927</vt:i4>
      </vt:variant>
      <vt:variant>
        <vt:i4>152</vt:i4>
      </vt:variant>
      <vt:variant>
        <vt:i4>0</vt:i4>
      </vt:variant>
      <vt:variant>
        <vt:i4>5</vt:i4>
      </vt:variant>
      <vt:variant>
        <vt:lpwstr/>
      </vt:variant>
      <vt:variant>
        <vt:lpwstr>_Toc189772024</vt:lpwstr>
      </vt:variant>
      <vt:variant>
        <vt:i4>1572927</vt:i4>
      </vt:variant>
      <vt:variant>
        <vt:i4>146</vt:i4>
      </vt:variant>
      <vt:variant>
        <vt:i4>0</vt:i4>
      </vt:variant>
      <vt:variant>
        <vt:i4>5</vt:i4>
      </vt:variant>
      <vt:variant>
        <vt:lpwstr/>
      </vt:variant>
      <vt:variant>
        <vt:lpwstr>_Toc189772023</vt:lpwstr>
      </vt:variant>
      <vt:variant>
        <vt:i4>1572927</vt:i4>
      </vt:variant>
      <vt:variant>
        <vt:i4>140</vt:i4>
      </vt:variant>
      <vt:variant>
        <vt:i4>0</vt:i4>
      </vt:variant>
      <vt:variant>
        <vt:i4>5</vt:i4>
      </vt:variant>
      <vt:variant>
        <vt:lpwstr/>
      </vt:variant>
      <vt:variant>
        <vt:lpwstr>_Toc189772022</vt:lpwstr>
      </vt:variant>
      <vt:variant>
        <vt:i4>1572927</vt:i4>
      </vt:variant>
      <vt:variant>
        <vt:i4>134</vt:i4>
      </vt:variant>
      <vt:variant>
        <vt:i4>0</vt:i4>
      </vt:variant>
      <vt:variant>
        <vt:i4>5</vt:i4>
      </vt:variant>
      <vt:variant>
        <vt:lpwstr/>
      </vt:variant>
      <vt:variant>
        <vt:lpwstr>_Toc189772021</vt:lpwstr>
      </vt:variant>
      <vt:variant>
        <vt:i4>1572927</vt:i4>
      </vt:variant>
      <vt:variant>
        <vt:i4>128</vt:i4>
      </vt:variant>
      <vt:variant>
        <vt:i4>0</vt:i4>
      </vt:variant>
      <vt:variant>
        <vt:i4>5</vt:i4>
      </vt:variant>
      <vt:variant>
        <vt:lpwstr/>
      </vt:variant>
      <vt:variant>
        <vt:lpwstr>_Toc189772020</vt:lpwstr>
      </vt:variant>
      <vt:variant>
        <vt:i4>1769535</vt:i4>
      </vt:variant>
      <vt:variant>
        <vt:i4>122</vt:i4>
      </vt:variant>
      <vt:variant>
        <vt:i4>0</vt:i4>
      </vt:variant>
      <vt:variant>
        <vt:i4>5</vt:i4>
      </vt:variant>
      <vt:variant>
        <vt:lpwstr/>
      </vt:variant>
      <vt:variant>
        <vt:lpwstr>_Toc189772019</vt:lpwstr>
      </vt:variant>
      <vt:variant>
        <vt:i4>1769535</vt:i4>
      </vt:variant>
      <vt:variant>
        <vt:i4>116</vt:i4>
      </vt:variant>
      <vt:variant>
        <vt:i4>0</vt:i4>
      </vt:variant>
      <vt:variant>
        <vt:i4>5</vt:i4>
      </vt:variant>
      <vt:variant>
        <vt:lpwstr/>
      </vt:variant>
      <vt:variant>
        <vt:lpwstr>_Toc189772018</vt:lpwstr>
      </vt:variant>
      <vt:variant>
        <vt:i4>1769535</vt:i4>
      </vt:variant>
      <vt:variant>
        <vt:i4>110</vt:i4>
      </vt:variant>
      <vt:variant>
        <vt:i4>0</vt:i4>
      </vt:variant>
      <vt:variant>
        <vt:i4>5</vt:i4>
      </vt:variant>
      <vt:variant>
        <vt:lpwstr/>
      </vt:variant>
      <vt:variant>
        <vt:lpwstr>_Toc189772017</vt:lpwstr>
      </vt:variant>
      <vt:variant>
        <vt:i4>1769535</vt:i4>
      </vt:variant>
      <vt:variant>
        <vt:i4>104</vt:i4>
      </vt:variant>
      <vt:variant>
        <vt:i4>0</vt:i4>
      </vt:variant>
      <vt:variant>
        <vt:i4>5</vt:i4>
      </vt:variant>
      <vt:variant>
        <vt:lpwstr/>
      </vt:variant>
      <vt:variant>
        <vt:lpwstr>_Toc189772016</vt:lpwstr>
      </vt:variant>
      <vt:variant>
        <vt:i4>1769535</vt:i4>
      </vt:variant>
      <vt:variant>
        <vt:i4>98</vt:i4>
      </vt:variant>
      <vt:variant>
        <vt:i4>0</vt:i4>
      </vt:variant>
      <vt:variant>
        <vt:i4>5</vt:i4>
      </vt:variant>
      <vt:variant>
        <vt:lpwstr/>
      </vt:variant>
      <vt:variant>
        <vt:lpwstr>_Toc189772015</vt:lpwstr>
      </vt:variant>
      <vt:variant>
        <vt:i4>1769535</vt:i4>
      </vt:variant>
      <vt:variant>
        <vt:i4>92</vt:i4>
      </vt:variant>
      <vt:variant>
        <vt:i4>0</vt:i4>
      </vt:variant>
      <vt:variant>
        <vt:i4>5</vt:i4>
      </vt:variant>
      <vt:variant>
        <vt:lpwstr/>
      </vt:variant>
      <vt:variant>
        <vt:lpwstr>_Toc189772014</vt:lpwstr>
      </vt:variant>
      <vt:variant>
        <vt:i4>1769535</vt:i4>
      </vt:variant>
      <vt:variant>
        <vt:i4>86</vt:i4>
      </vt:variant>
      <vt:variant>
        <vt:i4>0</vt:i4>
      </vt:variant>
      <vt:variant>
        <vt:i4>5</vt:i4>
      </vt:variant>
      <vt:variant>
        <vt:lpwstr/>
      </vt:variant>
      <vt:variant>
        <vt:lpwstr>_Toc189772013</vt:lpwstr>
      </vt:variant>
      <vt:variant>
        <vt:i4>1769535</vt:i4>
      </vt:variant>
      <vt:variant>
        <vt:i4>80</vt:i4>
      </vt:variant>
      <vt:variant>
        <vt:i4>0</vt:i4>
      </vt:variant>
      <vt:variant>
        <vt:i4>5</vt:i4>
      </vt:variant>
      <vt:variant>
        <vt:lpwstr/>
      </vt:variant>
      <vt:variant>
        <vt:lpwstr>_Toc189772012</vt:lpwstr>
      </vt:variant>
      <vt:variant>
        <vt:i4>1769535</vt:i4>
      </vt:variant>
      <vt:variant>
        <vt:i4>74</vt:i4>
      </vt:variant>
      <vt:variant>
        <vt:i4>0</vt:i4>
      </vt:variant>
      <vt:variant>
        <vt:i4>5</vt:i4>
      </vt:variant>
      <vt:variant>
        <vt:lpwstr/>
      </vt:variant>
      <vt:variant>
        <vt:lpwstr>_Toc189772011</vt:lpwstr>
      </vt:variant>
      <vt:variant>
        <vt:i4>1769535</vt:i4>
      </vt:variant>
      <vt:variant>
        <vt:i4>68</vt:i4>
      </vt:variant>
      <vt:variant>
        <vt:i4>0</vt:i4>
      </vt:variant>
      <vt:variant>
        <vt:i4>5</vt:i4>
      </vt:variant>
      <vt:variant>
        <vt:lpwstr/>
      </vt:variant>
      <vt:variant>
        <vt:lpwstr>_Toc189772010</vt:lpwstr>
      </vt:variant>
      <vt:variant>
        <vt:i4>1703999</vt:i4>
      </vt:variant>
      <vt:variant>
        <vt:i4>62</vt:i4>
      </vt:variant>
      <vt:variant>
        <vt:i4>0</vt:i4>
      </vt:variant>
      <vt:variant>
        <vt:i4>5</vt:i4>
      </vt:variant>
      <vt:variant>
        <vt:lpwstr/>
      </vt:variant>
      <vt:variant>
        <vt:lpwstr>_Toc189772009</vt:lpwstr>
      </vt:variant>
      <vt:variant>
        <vt:i4>1703999</vt:i4>
      </vt:variant>
      <vt:variant>
        <vt:i4>56</vt:i4>
      </vt:variant>
      <vt:variant>
        <vt:i4>0</vt:i4>
      </vt:variant>
      <vt:variant>
        <vt:i4>5</vt:i4>
      </vt:variant>
      <vt:variant>
        <vt:lpwstr/>
      </vt:variant>
      <vt:variant>
        <vt:lpwstr>_Toc189772008</vt:lpwstr>
      </vt:variant>
      <vt:variant>
        <vt:i4>1703999</vt:i4>
      </vt:variant>
      <vt:variant>
        <vt:i4>50</vt:i4>
      </vt:variant>
      <vt:variant>
        <vt:i4>0</vt:i4>
      </vt:variant>
      <vt:variant>
        <vt:i4>5</vt:i4>
      </vt:variant>
      <vt:variant>
        <vt:lpwstr/>
      </vt:variant>
      <vt:variant>
        <vt:lpwstr>_Toc189772007</vt:lpwstr>
      </vt:variant>
      <vt:variant>
        <vt:i4>1703999</vt:i4>
      </vt:variant>
      <vt:variant>
        <vt:i4>44</vt:i4>
      </vt:variant>
      <vt:variant>
        <vt:i4>0</vt:i4>
      </vt:variant>
      <vt:variant>
        <vt:i4>5</vt:i4>
      </vt:variant>
      <vt:variant>
        <vt:lpwstr/>
      </vt:variant>
      <vt:variant>
        <vt:lpwstr>_Toc189772006</vt:lpwstr>
      </vt:variant>
      <vt:variant>
        <vt:i4>1703999</vt:i4>
      </vt:variant>
      <vt:variant>
        <vt:i4>38</vt:i4>
      </vt:variant>
      <vt:variant>
        <vt:i4>0</vt:i4>
      </vt:variant>
      <vt:variant>
        <vt:i4>5</vt:i4>
      </vt:variant>
      <vt:variant>
        <vt:lpwstr/>
      </vt:variant>
      <vt:variant>
        <vt:lpwstr>_Toc189772005</vt:lpwstr>
      </vt:variant>
      <vt:variant>
        <vt:i4>1703999</vt:i4>
      </vt:variant>
      <vt:variant>
        <vt:i4>32</vt:i4>
      </vt:variant>
      <vt:variant>
        <vt:i4>0</vt:i4>
      </vt:variant>
      <vt:variant>
        <vt:i4>5</vt:i4>
      </vt:variant>
      <vt:variant>
        <vt:lpwstr/>
      </vt:variant>
      <vt:variant>
        <vt:lpwstr>_Toc189772004</vt:lpwstr>
      </vt:variant>
      <vt:variant>
        <vt:i4>1703999</vt:i4>
      </vt:variant>
      <vt:variant>
        <vt:i4>26</vt:i4>
      </vt:variant>
      <vt:variant>
        <vt:i4>0</vt:i4>
      </vt:variant>
      <vt:variant>
        <vt:i4>5</vt:i4>
      </vt:variant>
      <vt:variant>
        <vt:lpwstr/>
      </vt:variant>
      <vt:variant>
        <vt:lpwstr>_Toc189772003</vt:lpwstr>
      </vt:variant>
      <vt:variant>
        <vt:i4>1703999</vt:i4>
      </vt:variant>
      <vt:variant>
        <vt:i4>20</vt:i4>
      </vt:variant>
      <vt:variant>
        <vt:i4>0</vt:i4>
      </vt:variant>
      <vt:variant>
        <vt:i4>5</vt:i4>
      </vt:variant>
      <vt:variant>
        <vt:lpwstr/>
      </vt:variant>
      <vt:variant>
        <vt:lpwstr>_Toc189772002</vt:lpwstr>
      </vt:variant>
      <vt:variant>
        <vt:i4>1703999</vt:i4>
      </vt:variant>
      <vt:variant>
        <vt:i4>14</vt:i4>
      </vt:variant>
      <vt:variant>
        <vt:i4>0</vt:i4>
      </vt:variant>
      <vt:variant>
        <vt:i4>5</vt:i4>
      </vt:variant>
      <vt:variant>
        <vt:lpwstr/>
      </vt:variant>
      <vt:variant>
        <vt:lpwstr>_Toc189772001</vt:lpwstr>
      </vt:variant>
      <vt:variant>
        <vt:i4>1703999</vt:i4>
      </vt:variant>
      <vt:variant>
        <vt:i4>8</vt:i4>
      </vt:variant>
      <vt:variant>
        <vt:i4>0</vt:i4>
      </vt:variant>
      <vt:variant>
        <vt:i4>5</vt:i4>
      </vt:variant>
      <vt:variant>
        <vt:lpwstr/>
      </vt:variant>
      <vt:variant>
        <vt:lpwstr>_Toc189772000</vt:lpwstr>
      </vt:variant>
      <vt:variant>
        <vt:i4>1048630</vt:i4>
      </vt:variant>
      <vt:variant>
        <vt:i4>2</vt:i4>
      </vt:variant>
      <vt:variant>
        <vt:i4>0</vt:i4>
      </vt:variant>
      <vt:variant>
        <vt:i4>5</vt:i4>
      </vt:variant>
      <vt:variant>
        <vt:lpwstr/>
      </vt:variant>
      <vt:variant>
        <vt:lpwstr>_Toc189771999</vt:lpwstr>
      </vt:variant>
      <vt:variant>
        <vt:i4>4325397</vt:i4>
      </vt:variant>
      <vt:variant>
        <vt:i4>209</vt:i4>
      </vt:variant>
      <vt:variant>
        <vt:i4>0</vt:i4>
      </vt:variant>
      <vt:variant>
        <vt:i4>5</vt:i4>
      </vt:variant>
      <vt:variant>
        <vt:lpwstr>https://www.health.gov.au/our-work/after-hours-review</vt:lpwstr>
      </vt:variant>
      <vt:variant>
        <vt:lpwstr>:~:text=The%20After%20Hours%20Review%20investigated,improvements%20and%20longer%2Dterm%20reform.</vt:lpwstr>
      </vt:variant>
      <vt:variant>
        <vt:i4>3932260</vt:i4>
      </vt:variant>
      <vt:variant>
        <vt:i4>0</vt:i4>
      </vt:variant>
      <vt:variant>
        <vt:i4>0</vt:i4>
      </vt:variant>
      <vt:variant>
        <vt:i4>5</vt:i4>
      </vt:variant>
      <vt:variant>
        <vt:lpwstr>https://www.health.gov.au/find-a-medicare-ucc/when-to-visit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the Medicare Urgent Care Clinics: Interim Evaluation Report</dc:title>
  <dc:subject>Medicare Urgent Care Clinics </dc:subject>
  <dc:creator>Australian Government Department of Health and Aged Care</dc:creator>
  <cp:keywords/>
  <cp:lastModifiedBy>MASCHKE, Elvia</cp:lastModifiedBy>
  <cp:revision>9</cp:revision>
  <cp:lastPrinted>2025-01-22T18:32:00Z</cp:lastPrinted>
  <dcterms:created xsi:type="dcterms:W3CDTF">2025-02-06T22:35:00Z</dcterms:created>
  <dcterms:modified xsi:type="dcterms:W3CDTF">2025-03-20T00:50:00Z</dcterms:modified>
</cp:coreProperties>
</file>