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4AB11" w14:textId="11CD4E18" w:rsidR="00A502A7" w:rsidRPr="00D63F79" w:rsidRDefault="002A02AB" w:rsidP="0011110F">
      <w:pPr>
        <w:pStyle w:val="Title"/>
        <w:spacing w:before="240" w:after="360"/>
      </w:pPr>
      <w:r w:rsidRPr="00D63F79">
        <w:rPr>
          <w:noProof/>
          <w:lang w:val="en-AU"/>
        </w:rPr>
        <w:drawing>
          <wp:inline distT="0" distB="0" distL="0" distR="0" wp14:anchorId="08555A6E" wp14:editId="4D7AE0D6">
            <wp:extent cx="1398905" cy="1788160"/>
            <wp:effectExtent l="0" t="0" r="0" b="2540"/>
            <wp:docPr id="1" name="Picture 2" descr="CDNA logo" title="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8905" cy="1788160"/>
                    </a:xfrm>
                    <a:prstGeom prst="rect">
                      <a:avLst/>
                    </a:prstGeom>
                    <a:noFill/>
                    <a:ln>
                      <a:noFill/>
                    </a:ln>
                  </pic:spPr>
                </pic:pic>
              </a:graphicData>
            </a:graphic>
          </wp:inline>
        </w:drawing>
      </w:r>
    </w:p>
    <w:p w14:paraId="7F23A3BB" w14:textId="77777777" w:rsidR="00A502A7" w:rsidRPr="00D63F79" w:rsidRDefault="00A502A7" w:rsidP="00C05EBA">
      <w:pPr>
        <w:pStyle w:val="Title"/>
      </w:pPr>
      <w:r w:rsidRPr="00D63F79">
        <w:t>Legionellosis</w:t>
      </w:r>
    </w:p>
    <w:p w14:paraId="154D471B" w14:textId="77777777" w:rsidR="00EB278D" w:rsidRPr="00EB278D" w:rsidRDefault="00A502A7" w:rsidP="00611073">
      <w:pPr>
        <w:pStyle w:val="Subtitle"/>
        <w:spacing w:after="120"/>
      </w:pPr>
      <w:r w:rsidRPr="00D63F79">
        <w:t>CDNA National Gu</w:t>
      </w:r>
      <w:r w:rsidR="00EB278D">
        <w:t>idelines for Public Health Units</w:t>
      </w:r>
    </w:p>
    <w:tbl>
      <w:tblPr>
        <w:tblpPr w:leftFromText="180" w:rightFromText="180" w:vertAnchor="text" w:horzAnchor="margin" w:tblpX="28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909"/>
        <w:gridCol w:w="1640"/>
        <w:gridCol w:w="3600"/>
      </w:tblGrid>
      <w:tr w:rsidR="00A502A7" w:rsidRPr="00D63F79" w14:paraId="2C4E67D0" w14:textId="77777777" w:rsidTr="00791684">
        <w:tc>
          <w:tcPr>
            <w:tcW w:w="8528" w:type="dxa"/>
            <w:gridSpan w:val="4"/>
          </w:tcPr>
          <w:p w14:paraId="50AD8830" w14:textId="77777777" w:rsidR="00A502A7" w:rsidRPr="00D63F79" w:rsidRDefault="00A502A7" w:rsidP="00611073">
            <w:pPr>
              <w:spacing w:after="120"/>
            </w:pPr>
            <w:r w:rsidRPr="00D63F79">
              <w:t>Revision history</w:t>
            </w:r>
          </w:p>
        </w:tc>
      </w:tr>
      <w:tr w:rsidR="00A502A7" w:rsidRPr="00D63F79" w14:paraId="1AC8D50D" w14:textId="77777777" w:rsidTr="00577DD3">
        <w:tc>
          <w:tcPr>
            <w:tcW w:w="1164" w:type="dxa"/>
            <w:shd w:val="clear" w:color="auto" w:fill="E0E0E0"/>
          </w:tcPr>
          <w:p w14:paraId="56F17040" w14:textId="77777777" w:rsidR="00A502A7" w:rsidRPr="00D63F79" w:rsidRDefault="00A502A7" w:rsidP="00C05EBA">
            <w:r w:rsidRPr="00D63F79">
              <w:t>Version</w:t>
            </w:r>
          </w:p>
        </w:tc>
        <w:tc>
          <w:tcPr>
            <w:tcW w:w="1957" w:type="dxa"/>
            <w:shd w:val="clear" w:color="auto" w:fill="E0E0E0"/>
          </w:tcPr>
          <w:p w14:paraId="076C315A" w14:textId="77777777" w:rsidR="00A502A7" w:rsidRPr="00D63F79" w:rsidRDefault="00A502A7" w:rsidP="00C05EBA">
            <w:r w:rsidRPr="00D63F79">
              <w:t>Date</w:t>
            </w:r>
          </w:p>
        </w:tc>
        <w:tc>
          <w:tcPr>
            <w:tcW w:w="1665" w:type="dxa"/>
            <w:shd w:val="clear" w:color="auto" w:fill="E0E0E0"/>
          </w:tcPr>
          <w:p w14:paraId="5CAE04F6" w14:textId="77777777" w:rsidR="00A502A7" w:rsidRPr="00D63F79" w:rsidRDefault="00A502A7" w:rsidP="00C05EBA">
            <w:r w:rsidRPr="00D63F79">
              <w:t>Revised by</w:t>
            </w:r>
          </w:p>
        </w:tc>
        <w:tc>
          <w:tcPr>
            <w:tcW w:w="3742" w:type="dxa"/>
            <w:shd w:val="clear" w:color="auto" w:fill="E0E0E0"/>
          </w:tcPr>
          <w:p w14:paraId="1B014535" w14:textId="77777777" w:rsidR="00A502A7" w:rsidRPr="00D63F79" w:rsidRDefault="00A502A7" w:rsidP="00C05EBA">
            <w:r w:rsidRPr="00D63F79">
              <w:t>Changes</w:t>
            </w:r>
          </w:p>
        </w:tc>
      </w:tr>
      <w:tr w:rsidR="00A502A7" w:rsidRPr="00D63F79" w14:paraId="45B4C605" w14:textId="77777777" w:rsidTr="00577DD3">
        <w:tc>
          <w:tcPr>
            <w:tcW w:w="1164" w:type="dxa"/>
          </w:tcPr>
          <w:p w14:paraId="25A2228D" w14:textId="77777777" w:rsidR="00A502A7" w:rsidRPr="00D63F79" w:rsidRDefault="00A502A7" w:rsidP="00C05EBA">
            <w:r w:rsidRPr="00D63F79">
              <w:t>1.0</w:t>
            </w:r>
          </w:p>
        </w:tc>
        <w:tc>
          <w:tcPr>
            <w:tcW w:w="1957" w:type="dxa"/>
          </w:tcPr>
          <w:p w14:paraId="581431FE" w14:textId="77777777" w:rsidR="00A502A7" w:rsidRPr="00D63F79" w:rsidRDefault="00A502A7" w:rsidP="00C05EBA">
            <w:r w:rsidRPr="00D63F79">
              <w:t>01 October 2008</w:t>
            </w:r>
          </w:p>
        </w:tc>
        <w:tc>
          <w:tcPr>
            <w:tcW w:w="1665" w:type="dxa"/>
          </w:tcPr>
          <w:p w14:paraId="19CED503" w14:textId="77777777" w:rsidR="00A502A7" w:rsidRPr="00D63F79" w:rsidRDefault="00A502A7" w:rsidP="00C05EBA"/>
        </w:tc>
        <w:tc>
          <w:tcPr>
            <w:tcW w:w="3742" w:type="dxa"/>
          </w:tcPr>
          <w:p w14:paraId="2ECE919B" w14:textId="77777777" w:rsidR="00A502A7" w:rsidRPr="00D63F79" w:rsidRDefault="00A502A7" w:rsidP="00C05EBA">
            <w:r w:rsidRPr="00D63F79">
              <w:t>Endorsed by CDNA</w:t>
            </w:r>
          </w:p>
        </w:tc>
      </w:tr>
      <w:tr w:rsidR="00A502A7" w:rsidRPr="00D63F79" w14:paraId="386B8EFF" w14:textId="77777777" w:rsidTr="00577DD3">
        <w:tc>
          <w:tcPr>
            <w:tcW w:w="1164" w:type="dxa"/>
          </w:tcPr>
          <w:p w14:paraId="431D7812" w14:textId="77777777" w:rsidR="00A502A7" w:rsidRPr="00D63F79" w:rsidRDefault="00A502A7" w:rsidP="00C05EBA">
            <w:r w:rsidRPr="00D63F79">
              <w:t>1.0</w:t>
            </w:r>
          </w:p>
        </w:tc>
        <w:tc>
          <w:tcPr>
            <w:tcW w:w="1957" w:type="dxa"/>
          </w:tcPr>
          <w:p w14:paraId="5C94249A" w14:textId="77777777" w:rsidR="00A502A7" w:rsidRPr="00D63F79" w:rsidRDefault="00A502A7" w:rsidP="00C05EBA">
            <w:r w:rsidRPr="00D63F79">
              <w:t>20 February 2009</w:t>
            </w:r>
          </w:p>
        </w:tc>
        <w:tc>
          <w:tcPr>
            <w:tcW w:w="1665" w:type="dxa"/>
          </w:tcPr>
          <w:p w14:paraId="3A4D0E86" w14:textId="77777777" w:rsidR="00A502A7" w:rsidRPr="00D63F79" w:rsidRDefault="00A502A7" w:rsidP="00C05EBA">
            <w:r w:rsidRPr="00D63F79">
              <w:t>VPDS, OHP</w:t>
            </w:r>
          </w:p>
        </w:tc>
        <w:tc>
          <w:tcPr>
            <w:tcW w:w="3742" w:type="dxa"/>
          </w:tcPr>
          <w:p w14:paraId="3932F7B5" w14:textId="77777777" w:rsidR="00EB278D" w:rsidRDefault="00A502A7" w:rsidP="00EB278D">
            <w:pPr>
              <w:spacing w:after="0"/>
            </w:pPr>
            <w:r w:rsidRPr="00D63F79">
              <w:t>Updated URL and link to State or</w:t>
            </w:r>
            <w:r w:rsidR="002A02AB" w:rsidRPr="00D63F79">
              <w:t xml:space="preserve"> </w:t>
            </w:r>
          </w:p>
          <w:p w14:paraId="7355AA1A" w14:textId="77777777" w:rsidR="00A502A7" w:rsidRPr="00D63F79" w:rsidRDefault="00A502A7" w:rsidP="00EB278D">
            <w:pPr>
              <w:spacing w:after="0"/>
            </w:pPr>
            <w:r w:rsidRPr="00D63F79">
              <w:t>Territory legislation</w:t>
            </w:r>
          </w:p>
        </w:tc>
      </w:tr>
      <w:tr w:rsidR="00A502A7" w:rsidRPr="00D63F79" w14:paraId="1B856CA2" w14:textId="77777777" w:rsidTr="00577DD3">
        <w:tc>
          <w:tcPr>
            <w:tcW w:w="1164" w:type="dxa"/>
          </w:tcPr>
          <w:p w14:paraId="1159A7AE" w14:textId="77777777" w:rsidR="00A502A7" w:rsidRPr="00D63F79" w:rsidRDefault="00A502A7" w:rsidP="00EB278D">
            <w:pPr>
              <w:spacing w:after="0"/>
            </w:pPr>
            <w:r w:rsidRPr="00D63F79">
              <w:t>2.0</w:t>
            </w:r>
          </w:p>
        </w:tc>
        <w:tc>
          <w:tcPr>
            <w:tcW w:w="1957" w:type="dxa"/>
          </w:tcPr>
          <w:p w14:paraId="378265EC" w14:textId="77777777" w:rsidR="00A502A7" w:rsidRPr="00D63F79" w:rsidRDefault="00481A15" w:rsidP="00EB278D">
            <w:pPr>
              <w:spacing w:after="0"/>
            </w:pPr>
            <w:r>
              <w:t>21 March 2017</w:t>
            </w:r>
          </w:p>
        </w:tc>
        <w:tc>
          <w:tcPr>
            <w:tcW w:w="1665" w:type="dxa"/>
          </w:tcPr>
          <w:p w14:paraId="208CF2EA" w14:textId="77777777" w:rsidR="00577DD3" w:rsidRDefault="00577DD3" w:rsidP="00EB278D">
            <w:pPr>
              <w:spacing w:after="0"/>
            </w:pPr>
            <w:r>
              <w:t xml:space="preserve">Legionella </w:t>
            </w:r>
          </w:p>
          <w:p w14:paraId="5A4FCF3A" w14:textId="77777777" w:rsidR="00577DD3" w:rsidRDefault="00577DD3" w:rsidP="00EB278D">
            <w:pPr>
              <w:spacing w:after="0"/>
            </w:pPr>
            <w:proofErr w:type="spellStart"/>
            <w:r>
              <w:t>SoNG</w:t>
            </w:r>
            <w:proofErr w:type="spellEnd"/>
            <w:r>
              <w:t xml:space="preserve"> </w:t>
            </w:r>
          </w:p>
          <w:p w14:paraId="42CDC434" w14:textId="77777777" w:rsidR="00A502A7" w:rsidRPr="00D63F79" w:rsidRDefault="00577DD3" w:rsidP="00EB278D">
            <w:pPr>
              <w:spacing w:after="0"/>
            </w:pPr>
            <w:r>
              <w:t>Working Group</w:t>
            </w:r>
          </w:p>
        </w:tc>
        <w:tc>
          <w:tcPr>
            <w:tcW w:w="3742" w:type="dxa"/>
          </w:tcPr>
          <w:p w14:paraId="6AECDA73" w14:textId="77777777" w:rsidR="00A502A7" w:rsidRPr="00D63F79" w:rsidRDefault="00A502A7" w:rsidP="00EB278D">
            <w:pPr>
              <w:spacing w:after="0"/>
            </w:pPr>
          </w:p>
        </w:tc>
      </w:tr>
    </w:tbl>
    <w:p w14:paraId="281EA3CA" w14:textId="77777777" w:rsidR="00A502A7" w:rsidRPr="00D63F79" w:rsidRDefault="00A502A7" w:rsidP="003505A6">
      <w:pPr>
        <w:pStyle w:val="BodyText"/>
        <w:spacing w:before="360" w:after="0"/>
        <w:rPr>
          <w:rFonts w:ascii="Arial" w:hAnsi="Arial"/>
        </w:rPr>
      </w:pPr>
      <w:r w:rsidRPr="00D63F79">
        <w:rPr>
          <w:rFonts w:ascii="Arial" w:hAnsi="Arial"/>
        </w:rPr>
        <w:t xml:space="preserve">The Series of National Guidelines (‘the Guidelines’) have been developed by the Communicable Diseases Network Australia (CDNA) and noted by the Australian Health Protection Principal Committee (AHPPC). Their purpose is to provide nationally consistent guidance to public health units (PHUs) in responding to a notifiable disease event. </w:t>
      </w:r>
    </w:p>
    <w:p w14:paraId="3A7E3FBE" w14:textId="77777777" w:rsidR="00A502A7" w:rsidRPr="00D63F79" w:rsidRDefault="00A502A7" w:rsidP="00C05EBA">
      <w:pPr>
        <w:pStyle w:val="BodyText"/>
        <w:rPr>
          <w:rFonts w:ascii="Arial" w:hAnsi="Arial"/>
        </w:rPr>
      </w:pPr>
      <w:r w:rsidRPr="00D63F79">
        <w:rPr>
          <w:rFonts w:ascii="Arial" w:hAnsi="Arial"/>
        </w:rPr>
        <w:t>These guidelines capture the knowledge of experienced professionals and provide guidance on best practice based upon the best available evidence at the time of completion.</w:t>
      </w:r>
    </w:p>
    <w:p w14:paraId="1860412E" w14:textId="77777777" w:rsidR="00A502A7" w:rsidRPr="00D63F79" w:rsidRDefault="00A502A7" w:rsidP="00C05EBA">
      <w:pPr>
        <w:pStyle w:val="BodyText"/>
        <w:rPr>
          <w:rFonts w:ascii="Arial" w:hAnsi="Arial"/>
          <w:color w:val="auto"/>
        </w:rPr>
      </w:pPr>
      <w:r w:rsidRPr="00D63F79">
        <w:rPr>
          <w:rFonts w:ascii="Arial" w:hAnsi="Arial"/>
        </w:rPr>
        <w:t xml:space="preserve">Readers should not rely solely on the information contained within these guidelines. Guideline information is not intended to be a substitute for advice from other relevant sources including, but not limited to, the advice from a health professional. Clinical judgment and discretion may be required in the interpretation and application of these </w:t>
      </w:r>
      <w:r w:rsidRPr="00D63F79">
        <w:rPr>
          <w:rFonts w:ascii="Arial" w:hAnsi="Arial"/>
          <w:color w:val="auto"/>
        </w:rPr>
        <w:t>guidelines.</w:t>
      </w:r>
    </w:p>
    <w:p w14:paraId="3FB13D6E" w14:textId="77777777" w:rsidR="00A502A7" w:rsidRPr="00D63F79" w:rsidRDefault="00A502A7" w:rsidP="00C05EBA">
      <w:pPr>
        <w:pStyle w:val="BodyText"/>
        <w:rPr>
          <w:rFonts w:ascii="Arial" w:hAnsi="Arial"/>
        </w:rPr>
      </w:pPr>
      <w:r w:rsidRPr="00D63F79">
        <w:rPr>
          <w:rFonts w:ascii="Arial" w:hAnsi="Arial"/>
        </w:rPr>
        <w:t xml:space="preserve">The membership of CDNA and AHPPC, and the Commonwealth of Australia as represented by the Department of Health (‘Health’), do not warrant or represent that the information contained in the Guidelines is accurate, current or complete.  CDNA, AHPPC and Health do not accept any legal liability or responsibility for any loss, damages, costs or expenses incurred </w:t>
      </w:r>
      <w:proofErr w:type="gramStart"/>
      <w:r w:rsidRPr="00D63F79">
        <w:rPr>
          <w:rFonts w:ascii="Arial" w:hAnsi="Arial"/>
        </w:rPr>
        <w:t>by the use of</w:t>
      </w:r>
      <w:proofErr w:type="gramEnd"/>
      <w:r w:rsidRPr="00D63F79">
        <w:rPr>
          <w:rFonts w:ascii="Arial" w:hAnsi="Arial"/>
        </w:rPr>
        <w:t>, or reliance on, or interpretation of, the information contained in the guidelines.</w:t>
      </w:r>
    </w:p>
    <w:p w14:paraId="0D8E75E3" w14:textId="77777777" w:rsidR="00EB278D" w:rsidRPr="001D029A" w:rsidRDefault="00EB278D" w:rsidP="00611073">
      <w:pPr>
        <w:spacing w:after="120"/>
      </w:pPr>
      <w:r w:rsidRPr="00CF23D4">
        <w:t xml:space="preserve">Endorsed by CDNA: </w:t>
      </w:r>
      <w:r w:rsidR="00611073">
        <w:t>5 July 2017</w:t>
      </w:r>
    </w:p>
    <w:p w14:paraId="2D4D3F89" w14:textId="77777777" w:rsidR="00611073" w:rsidRDefault="00EB278D" w:rsidP="00611073">
      <w:pPr>
        <w:spacing w:after="120"/>
      </w:pPr>
      <w:r>
        <w:t>Noted</w:t>
      </w:r>
      <w:r w:rsidRPr="001D029A">
        <w:t xml:space="preserve"> by AHPPC:</w:t>
      </w:r>
      <w:r w:rsidR="00611073">
        <w:t xml:space="preserve"> 1</w:t>
      </w:r>
      <w:r>
        <w:t>7 August 2017</w:t>
      </w:r>
    </w:p>
    <w:p w14:paraId="078B3BD9" w14:textId="77777777" w:rsidR="00611073" w:rsidRDefault="00611073" w:rsidP="00611073">
      <w:pPr>
        <w:spacing w:after="120"/>
      </w:pPr>
      <w:r w:rsidRPr="005166DA">
        <w:t>Released by Health:</w:t>
      </w:r>
      <w:r w:rsidR="001644A3">
        <w:t xml:space="preserve"> 27 September 2017</w:t>
      </w:r>
      <w:r w:rsidR="00A502A7" w:rsidRPr="00D63F79">
        <w:br w:type="page"/>
      </w:r>
    </w:p>
    <w:p w14:paraId="6A0A3226" w14:textId="77777777" w:rsidR="00A502A7" w:rsidRPr="00D63F79" w:rsidRDefault="00A502A7" w:rsidP="00611073">
      <w:pPr>
        <w:spacing w:after="120"/>
        <w:jc w:val="center"/>
      </w:pPr>
      <w:r w:rsidRPr="00EB278D">
        <w:rPr>
          <w:rStyle w:val="TitleChar"/>
        </w:rPr>
        <w:lastRenderedPageBreak/>
        <w:t>Legionellosis</w:t>
      </w:r>
    </w:p>
    <w:p w14:paraId="4B9FA7E2" w14:textId="7E37BCE7" w:rsidR="00C36B51" w:rsidRPr="00C36B51" w:rsidRDefault="00A502A7" w:rsidP="003505A6">
      <w:pPr>
        <w:pStyle w:val="Subtitle"/>
        <w:spacing w:after="240"/>
      </w:pPr>
      <w:r w:rsidRPr="00D63F79">
        <w:t>CDNA National Guidelines for Public Health Units</w:t>
      </w:r>
    </w:p>
    <w:p w14:paraId="44BBA969" w14:textId="44CD32C3" w:rsidR="00EB278D" w:rsidRPr="00EB278D" w:rsidRDefault="00A502A7" w:rsidP="003505A6">
      <w:pPr>
        <w:pStyle w:val="Heading1"/>
        <w:ind w:left="357" w:hanging="357"/>
      </w:pPr>
      <w:r w:rsidRPr="00D63F79">
        <w:t>1. Summary</w:t>
      </w:r>
    </w:p>
    <w:p w14:paraId="6E5EEA32" w14:textId="77777777" w:rsidR="00EB278D" w:rsidRPr="00EB278D" w:rsidRDefault="00A502A7" w:rsidP="001A3BA6">
      <w:pPr>
        <w:pStyle w:val="Heading2"/>
        <w:spacing w:after="0"/>
      </w:pPr>
      <w:r w:rsidRPr="00EB278D">
        <w:t>Public health priority</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969"/>
        <w:gridCol w:w="2809"/>
        <w:gridCol w:w="2571"/>
      </w:tblGrid>
      <w:tr w:rsidR="00A502A7" w:rsidRPr="00D63F79" w14:paraId="002AFB90" w14:textId="77777777" w:rsidTr="003A4A1A">
        <w:tc>
          <w:tcPr>
            <w:tcW w:w="2969" w:type="dxa"/>
          </w:tcPr>
          <w:p w14:paraId="4A4B8430" w14:textId="77777777" w:rsidR="00A502A7" w:rsidRPr="00D63F79" w:rsidRDefault="00A502A7" w:rsidP="00C05EBA">
            <w:pPr>
              <w:pStyle w:val="Heading2"/>
              <w:rPr>
                <w:lang w:eastAsia="en-US"/>
              </w:rPr>
            </w:pPr>
            <w:r w:rsidRPr="00D63F79">
              <w:rPr>
                <w:lang w:eastAsia="en-US"/>
              </w:rPr>
              <w:t>Priority Classification</w:t>
            </w:r>
          </w:p>
        </w:tc>
        <w:tc>
          <w:tcPr>
            <w:tcW w:w="2809" w:type="dxa"/>
          </w:tcPr>
          <w:p w14:paraId="4E1B0160" w14:textId="77777777" w:rsidR="00A502A7" w:rsidRPr="00D63F79" w:rsidRDefault="00A502A7" w:rsidP="00C05EBA">
            <w:pPr>
              <w:pStyle w:val="Heading2"/>
              <w:rPr>
                <w:lang w:eastAsia="en-US"/>
              </w:rPr>
            </w:pPr>
            <w:r w:rsidRPr="00D63F79">
              <w:rPr>
                <w:lang w:eastAsia="en-US"/>
              </w:rPr>
              <w:t>Public health response timeline</w:t>
            </w:r>
          </w:p>
        </w:tc>
        <w:tc>
          <w:tcPr>
            <w:tcW w:w="2571" w:type="dxa"/>
          </w:tcPr>
          <w:p w14:paraId="7D1094D7" w14:textId="77777777" w:rsidR="00A502A7" w:rsidRPr="00D63F79" w:rsidRDefault="00A502A7" w:rsidP="00C05EBA">
            <w:pPr>
              <w:pStyle w:val="Heading2"/>
              <w:rPr>
                <w:lang w:eastAsia="en-US"/>
              </w:rPr>
            </w:pPr>
            <w:r w:rsidRPr="00D63F79">
              <w:rPr>
                <w:lang w:eastAsia="en-US"/>
              </w:rPr>
              <w:t>Data entry timeline</w:t>
            </w:r>
          </w:p>
        </w:tc>
      </w:tr>
      <w:tr w:rsidR="00A502A7" w:rsidRPr="00D63F79" w14:paraId="6B7B85E6" w14:textId="77777777" w:rsidTr="003A4A1A">
        <w:tc>
          <w:tcPr>
            <w:tcW w:w="2969" w:type="dxa"/>
          </w:tcPr>
          <w:p w14:paraId="0C0175BE" w14:textId="77777777" w:rsidR="00A502A7" w:rsidRPr="00D63F79" w:rsidRDefault="00A502A7" w:rsidP="00EB278D">
            <w:pPr>
              <w:pStyle w:val="BodyText"/>
              <w:tabs>
                <w:tab w:val="left" w:pos="2526"/>
              </w:tabs>
              <w:ind w:right="72"/>
              <w:rPr>
                <w:rFonts w:ascii="Arial" w:hAnsi="Arial"/>
                <w:lang w:eastAsia="en-US"/>
              </w:rPr>
            </w:pPr>
            <w:r w:rsidRPr="00D63F79">
              <w:rPr>
                <w:rFonts w:ascii="Arial" w:hAnsi="Arial"/>
                <w:lang w:eastAsia="en-US"/>
              </w:rPr>
              <w:t xml:space="preserve">High: all probable and confirmed cases of </w:t>
            </w:r>
            <w:r w:rsidR="005166DA">
              <w:rPr>
                <w:rFonts w:ascii="Arial" w:hAnsi="Arial"/>
                <w:i/>
                <w:lang w:eastAsia="en-US"/>
              </w:rPr>
              <w:t>Legionella </w:t>
            </w:r>
            <w:r w:rsidRPr="00D63F79">
              <w:rPr>
                <w:rFonts w:ascii="Arial" w:hAnsi="Arial"/>
                <w:i/>
                <w:lang w:eastAsia="en-US"/>
              </w:rPr>
              <w:t>pneumophila</w:t>
            </w:r>
            <w:r w:rsidRPr="00D63F79">
              <w:rPr>
                <w:rFonts w:ascii="Arial" w:hAnsi="Arial"/>
                <w:lang w:eastAsia="en-US"/>
              </w:rPr>
              <w:t xml:space="preserve"> and any clusters/outbreaks caused by other </w:t>
            </w:r>
            <w:r w:rsidRPr="00D63F79">
              <w:rPr>
                <w:rFonts w:ascii="Arial" w:hAnsi="Arial"/>
                <w:i/>
                <w:lang w:eastAsia="en-US"/>
              </w:rPr>
              <w:t xml:space="preserve">Legionella </w:t>
            </w:r>
            <w:r w:rsidRPr="00D63F79">
              <w:rPr>
                <w:rFonts w:ascii="Arial" w:hAnsi="Arial"/>
                <w:lang w:eastAsia="en-US"/>
              </w:rPr>
              <w:t>species</w:t>
            </w:r>
          </w:p>
        </w:tc>
        <w:tc>
          <w:tcPr>
            <w:tcW w:w="2809" w:type="dxa"/>
          </w:tcPr>
          <w:p w14:paraId="2F0EB6DE" w14:textId="77777777" w:rsidR="00A502A7" w:rsidRPr="00D63F79" w:rsidRDefault="00A502A7" w:rsidP="00EB278D">
            <w:pPr>
              <w:pStyle w:val="BodyText"/>
              <w:ind w:right="110"/>
              <w:rPr>
                <w:rFonts w:ascii="Arial" w:hAnsi="Arial"/>
                <w:lang w:eastAsia="en-US"/>
              </w:rPr>
            </w:pPr>
            <w:r w:rsidRPr="00D63F79">
              <w:rPr>
                <w:rFonts w:ascii="Arial" w:hAnsi="Arial"/>
                <w:lang w:eastAsia="en-US"/>
              </w:rPr>
              <w:t>Act as soon as possible,</w:t>
            </w:r>
            <w:r w:rsidRPr="00D63F79">
              <w:rPr>
                <w:rFonts w:ascii="Arial" w:hAnsi="Arial"/>
                <w:lang w:eastAsia="en-US"/>
              </w:rPr>
              <w:br/>
              <w:t>generally within one working</w:t>
            </w:r>
            <w:r w:rsidR="00AF7845">
              <w:rPr>
                <w:rFonts w:ascii="Arial" w:hAnsi="Arial"/>
                <w:lang w:eastAsia="en-US"/>
              </w:rPr>
              <w:t xml:space="preserve"> </w:t>
            </w:r>
            <w:r w:rsidRPr="00D63F79">
              <w:rPr>
                <w:rFonts w:ascii="Arial" w:hAnsi="Arial"/>
                <w:lang w:eastAsia="en-US"/>
              </w:rPr>
              <w:t>day</w:t>
            </w:r>
          </w:p>
        </w:tc>
        <w:tc>
          <w:tcPr>
            <w:tcW w:w="2571" w:type="dxa"/>
          </w:tcPr>
          <w:p w14:paraId="628A3762" w14:textId="77777777" w:rsidR="00A502A7" w:rsidRPr="00D63F79" w:rsidRDefault="00A502A7" w:rsidP="00C05EBA">
            <w:pPr>
              <w:pStyle w:val="BodyText"/>
              <w:rPr>
                <w:rFonts w:ascii="Arial" w:hAnsi="Arial"/>
                <w:lang w:eastAsia="en-US"/>
              </w:rPr>
            </w:pPr>
            <w:r w:rsidRPr="00D63F79">
              <w:rPr>
                <w:rFonts w:ascii="Arial" w:hAnsi="Arial"/>
                <w:lang w:eastAsia="en-US"/>
              </w:rPr>
              <w:t>Within 3 working days</w:t>
            </w:r>
          </w:p>
        </w:tc>
      </w:tr>
      <w:tr w:rsidR="00A502A7" w:rsidRPr="00D63F79" w14:paraId="33FE559F" w14:textId="77777777" w:rsidTr="003A4A1A">
        <w:tc>
          <w:tcPr>
            <w:tcW w:w="2969" w:type="dxa"/>
          </w:tcPr>
          <w:p w14:paraId="7CCCC23C" w14:textId="77777777" w:rsidR="00A502A7" w:rsidRPr="00D63F79" w:rsidRDefault="00A502A7" w:rsidP="00EB278D">
            <w:pPr>
              <w:pStyle w:val="BodyText"/>
              <w:ind w:right="72"/>
              <w:rPr>
                <w:rFonts w:ascii="Arial" w:hAnsi="Arial"/>
                <w:lang w:eastAsia="en-US"/>
              </w:rPr>
            </w:pPr>
            <w:r w:rsidRPr="00D63F79">
              <w:rPr>
                <w:rFonts w:ascii="Arial" w:hAnsi="Arial"/>
                <w:lang w:eastAsia="en-US"/>
              </w:rPr>
              <w:t xml:space="preserve">Routine: Sporadic probable and confirmed cases of </w:t>
            </w:r>
            <w:r w:rsidR="005166DA">
              <w:rPr>
                <w:rFonts w:ascii="Arial" w:hAnsi="Arial"/>
                <w:i/>
                <w:lang w:eastAsia="en-US"/>
              </w:rPr>
              <w:t xml:space="preserve">Legionella </w:t>
            </w:r>
            <w:proofErr w:type="spellStart"/>
            <w:proofErr w:type="gramStart"/>
            <w:r w:rsidRPr="00D63F79">
              <w:rPr>
                <w:rFonts w:ascii="Arial" w:hAnsi="Arial"/>
                <w:i/>
                <w:lang w:eastAsia="en-US"/>
              </w:rPr>
              <w:t>longbeachae</w:t>
            </w:r>
            <w:proofErr w:type="spellEnd"/>
            <w:r w:rsidR="002A02AB" w:rsidRPr="00D63F79">
              <w:rPr>
                <w:rFonts w:ascii="Arial" w:hAnsi="Arial"/>
                <w:i/>
                <w:lang w:eastAsia="en-US"/>
              </w:rPr>
              <w:t xml:space="preserve">  </w:t>
            </w:r>
            <w:r w:rsidRPr="00D63F79">
              <w:rPr>
                <w:rFonts w:ascii="Arial" w:hAnsi="Arial"/>
                <w:lang w:eastAsia="en-US"/>
              </w:rPr>
              <w:t>and</w:t>
            </w:r>
            <w:proofErr w:type="gramEnd"/>
            <w:r w:rsidRPr="00D63F79">
              <w:rPr>
                <w:rFonts w:ascii="Arial" w:hAnsi="Arial"/>
                <w:lang w:eastAsia="en-US"/>
              </w:rPr>
              <w:t xml:space="preserve"> other non-</w:t>
            </w:r>
            <w:r w:rsidRPr="00D63F79">
              <w:rPr>
                <w:rFonts w:ascii="Arial" w:hAnsi="Arial"/>
                <w:i/>
                <w:lang w:eastAsia="en-US"/>
              </w:rPr>
              <w:t>pneumophila</w:t>
            </w:r>
            <w:r w:rsidRPr="00D63F79">
              <w:rPr>
                <w:rFonts w:ascii="Arial" w:hAnsi="Arial"/>
                <w:lang w:eastAsia="en-US"/>
              </w:rPr>
              <w:t xml:space="preserve"> cases</w:t>
            </w:r>
          </w:p>
        </w:tc>
        <w:tc>
          <w:tcPr>
            <w:tcW w:w="2809" w:type="dxa"/>
          </w:tcPr>
          <w:p w14:paraId="56447766" w14:textId="77777777" w:rsidR="00A502A7" w:rsidRPr="00D63F79" w:rsidRDefault="00A502A7" w:rsidP="00EB278D">
            <w:pPr>
              <w:pStyle w:val="BodyText"/>
              <w:ind w:right="200"/>
              <w:rPr>
                <w:rFonts w:ascii="Arial" w:hAnsi="Arial"/>
                <w:lang w:eastAsia="en-US"/>
              </w:rPr>
            </w:pPr>
            <w:r w:rsidRPr="00D63F79">
              <w:rPr>
                <w:rFonts w:ascii="Arial" w:hAnsi="Arial"/>
                <w:lang w:eastAsia="en-US"/>
              </w:rPr>
              <w:t>Action should be carried out as part of routine duties</w:t>
            </w:r>
          </w:p>
        </w:tc>
        <w:tc>
          <w:tcPr>
            <w:tcW w:w="2571" w:type="dxa"/>
          </w:tcPr>
          <w:p w14:paraId="1BA56AC9" w14:textId="77777777" w:rsidR="00A502A7" w:rsidRPr="00D63F79" w:rsidRDefault="00A502A7" w:rsidP="00C05EBA">
            <w:pPr>
              <w:pStyle w:val="BodyText"/>
              <w:rPr>
                <w:rFonts w:ascii="Arial" w:hAnsi="Arial"/>
                <w:lang w:eastAsia="en-US"/>
              </w:rPr>
            </w:pPr>
            <w:r w:rsidRPr="00D63F79">
              <w:rPr>
                <w:rFonts w:ascii="Arial" w:hAnsi="Arial"/>
                <w:lang w:eastAsia="en-US"/>
              </w:rPr>
              <w:t>Within 5 working days</w:t>
            </w:r>
          </w:p>
        </w:tc>
      </w:tr>
    </w:tbl>
    <w:p w14:paraId="68C7DBF2" w14:textId="77777777" w:rsidR="00A502A7" w:rsidRPr="00D63F79" w:rsidRDefault="00A502A7" w:rsidP="003505A6">
      <w:pPr>
        <w:pStyle w:val="Heading2"/>
        <w:spacing w:before="240"/>
      </w:pPr>
      <w:r w:rsidRPr="00D63F79">
        <w:t>Case management</w:t>
      </w:r>
    </w:p>
    <w:p w14:paraId="564DCD1F" w14:textId="77777777" w:rsidR="00A502A7" w:rsidRPr="00D63F79" w:rsidRDefault="00A502A7" w:rsidP="003A4A1A">
      <w:pPr>
        <w:rPr>
          <w:color w:val="222222"/>
        </w:rPr>
      </w:pPr>
      <w:r w:rsidRPr="001A3BA6">
        <w:t>Follow-up/</w:t>
      </w:r>
      <w:r w:rsidR="00087D94" w:rsidRPr="001A3BA6">
        <w:t>r</w:t>
      </w:r>
      <w:r w:rsidRPr="001A3BA6">
        <w:t xml:space="preserve">espond to all confirmed and probable cases of </w:t>
      </w:r>
      <w:r w:rsidR="007727EB" w:rsidRPr="001A3BA6">
        <w:t>legionellosis</w:t>
      </w:r>
      <w:r w:rsidRPr="001A3BA6">
        <w:t xml:space="preserve"> irrespective of species.  Determine possible exposures and consider an environmental assessment especially where</w:t>
      </w:r>
      <w:r w:rsidR="002A02AB" w:rsidRPr="001A3BA6">
        <w:t xml:space="preserve"> </w:t>
      </w:r>
      <w:r w:rsidRPr="001A3BA6">
        <w:t>more</w:t>
      </w:r>
      <w:r w:rsidR="002A02AB" w:rsidRPr="001A3BA6">
        <w:t xml:space="preserve"> </w:t>
      </w:r>
      <w:r w:rsidRPr="001A3BA6">
        <w:t xml:space="preserve">than one case of </w:t>
      </w:r>
      <w:r w:rsidR="007727EB" w:rsidRPr="001A3BA6">
        <w:t>legionellosis</w:t>
      </w:r>
      <w:r w:rsidRPr="001A3BA6">
        <w:t xml:space="preserve"> reports a similar exposure or if a case has occurred in a healthcare or institutional setting.</w:t>
      </w:r>
      <w:r w:rsidR="002A02AB" w:rsidRPr="001A3BA6">
        <w:t xml:space="preserve"> </w:t>
      </w:r>
      <w:r w:rsidRPr="001A3BA6">
        <w:t>All cases must be notified to the appropriate State or Territory Communicable Diseases Branch</w:t>
      </w:r>
      <w:r w:rsidRPr="00D63F79">
        <w:rPr>
          <w:color w:val="222222"/>
        </w:rPr>
        <w:t>.</w:t>
      </w:r>
    </w:p>
    <w:p w14:paraId="01C301EC" w14:textId="77777777" w:rsidR="00A502A7" w:rsidRPr="00D63F79" w:rsidRDefault="00A502A7" w:rsidP="00C05EBA">
      <w:pPr>
        <w:pStyle w:val="Heading2"/>
      </w:pPr>
      <w:r w:rsidRPr="00D63F79">
        <w:t>Contact management</w:t>
      </w:r>
    </w:p>
    <w:p w14:paraId="312D5E2D" w14:textId="77777777" w:rsidR="00A502A7" w:rsidRPr="001A3BA6" w:rsidRDefault="00A502A7" w:rsidP="001A3BA6">
      <w:pPr>
        <w:rPr>
          <w:lang w:val="en-US"/>
        </w:rPr>
      </w:pPr>
      <w:r w:rsidRPr="00D63F79">
        <w:rPr>
          <w:lang w:val="en-US"/>
        </w:rPr>
        <w:t>No management of contacts is required as person-to-person transmission of the disease is likely to be very rare. Consider providing information to people potentially exposed to the same source as the case. Active case finding is undertaken when the source of infection is the workplace or an institutional setting, when the case is part of a cluster or community outbreak or if it is a travel-related case.</w:t>
      </w:r>
    </w:p>
    <w:p w14:paraId="3482BAF8" w14:textId="77777777" w:rsidR="00A502A7" w:rsidRPr="001A3BA6" w:rsidRDefault="00A502A7" w:rsidP="001A3BA6">
      <w:pPr>
        <w:pStyle w:val="Heading1"/>
      </w:pPr>
      <w:r w:rsidRPr="001A3BA6">
        <w:t>2. The disease</w:t>
      </w:r>
    </w:p>
    <w:p w14:paraId="164B85AD" w14:textId="77777777" w:rsidR="00A502A7" w:rsidRPr="001A3BA6" w:rsidRDefault="00A502A7" w:rsidP="001A3BA6">
      <w:pPr>
        <w:pStyle w:val="Heading2"/>
      </w:pPr>
      <w:r w:rsidRPr="001A3BA6">
        <w:t>Infectious agents</w:t>
      </w:r>
    </w:p>
    <w:p w14:paraId="6A53FF8F" w14:textId="77777777" w:rsidR="00A502A7" w:rsidRPr="00D63F79" w:rsidRDefault="005711DC" w:rsidP="00C05EBA">
      <w:pPr>
        <w:rPr>
          <w:lang w:val="en-US"/>
        </w:rPr>
      </w:pPr>
      <w:r w:rsidRPr="00874EBB">
        <w:rPr>
          <w:i/>
        </w:rPr>
        <w:t>Legionella</w:t>
      </w:r>
      <w:r w:rsidRPr="003A4A1A">
        <w:t xml:space="preserve"> species are gram-negative, rod-shaped, aerobic</w:t>
      </w:r>
      <w:r w:rsidR="001E467A" w:rsidRPr="003A4A1A">
        <w:t xml:space="preserve"> bacteria. To 2017, at least 60 </w:t>
      </w:r>
      <w:r w:rsidRPr="003A4A1A">
        <w:t>species with 70 serogroups have been identified, of which around 30 are known to cause human disease.</w:t>
      </w:r>
      <w:r w:rsidR="00A502A7" w:rsidRPr="00D63F79">
        <w:rPr>
          <w:vertAlign w:val="superscript"/>
          <w:lang w:val="en-US"/>
        </w:rPr>
        <w:t>1,2</w:t>
      </w:r>
      <w:r w:rsidR="00EF2537">
        <w:rPr>
          <w:vertAlign w:val="superscript"/>
          <w:lang w:val="en-US"/>
        </w:rPr>
        <w:t>,3</w:t>
      </w:r>
    </w:p>
    <w:p w14:paraId="337FF641" w14:textId="77777777" w:rsidR="00A502A7" w:rsidRPr="00D63F79" w:rsidRDefault="00A502A7" w:rsidP="003A4A1A">
      <w:pPr>
        <w:rPr>
          <w:lang w:val="en-US"/>
        </w:rPr>
      </w:pPr>
      <w:r w:rsidRPr="00D63F79">
        <w:rPr>
          <w:lang w:val="en-US"/>
        </w:rPr>
        <w:t xml:space="preserve">In Australia the </w:t>
      </w:r>
      <w:proofErr w:type="gramStart"/>
      <w:r w:rsidRPr="00D63F79">
        <w:rPr>
          <w:lang w:val="en-US"/>
        </w:rPr>
        <w:t>most commonly notified</w:t>
      </w:r>
      <w:proofErr w:type="gramEnd"/>
      <w:r w:rsidRPr="00D63F79">
        <w:rPr>
          <w:lang w:val="en-US"/>
        </w:rPr>
        <w:t xml:space="preserve"> species are</w:t>
      </w:r>
      <w:r w:rsidR="002A02AB" w:rsidRPr="00D63F79">
        <w:rPr>
          <w:lang w:val="en-US"/>
        </w:rPr>
        <w:t xml:space="preserve"> </w:t>
      </w:r>
      <w:r w:rsidRPr="00D63F79">
        <w:rPr>
          <w:i/>
          <w:lang w:val="en-US"/>
        </w:rPr>
        <w:t>L</w:t>
      </w:r>
      <w:r w:rsidR="00C16803">
        <w:rPr>
          <w:i/>
          <w:lang w:val="en-US"/>
        </w:rPr>
        <w:t>egionella</w:t>
      </w:r>
      <w:r w:rsidRPr="00D63F79">
        <w:rPr>
          <w:i/>
          <w:lang w:val="en-US"/>
        </w:rPr>
        <w:t xml:space="preserve"> pneumophila</w:t>
      </w:r>
      <w:r w:rsidRPr="00D63F79">
        <w:rPr>
          <w:lang w:val="en-US"/>
        </w:rPr>
        <w:t xml:space="preserve"> and</w:t>
      </w:r>
      <w:r w:rsidR="002A02AB" w:rsidRPr="00D63F79">
        <w:rPr>
          <w:lang w:val="en-US"/>
        </w:rPr>
        <w:t xml:space="preserve"> </w:t>
      </w:r>
      <w:r w:rsidR="002A02AB" w:rsidRPr="00D63F79">
        <w:rPr>
          <w:i/>
          <w:lang w:val="en-US"/>
        </w:rPr>
        <w:t>L</w:t>
      </w:r>
      <w:r w:rsidR="00C16803">
        <w:rPr>
          <w:i/>
          <w:lang w:val="en-US"/>
        </w:rPr>
        <w:t>egionella </w:t>
      </w:r>
      <w:proofErr w:type="spellStart"/>
      <w:r w:rsidRPr="00D63F79">
        <w:rPr>
          <w:i/>
          <w:lang w:val="en-US"/>
        </w:rPr>
        <w:t>longbeachae</w:t>
      </w:r>
      <w:proofErr w:type="spellEnd"/>
      <w:r w:rsidRPr="00D63F79">
        <w:rPr>
          <w:lang w:val="en-US"/>
        </w:rPr>
        <w:t xml:space="preserve">. </w:t>
      </w:r>
      <w:r w:rsidR="00657FEF" w:rsidRPr="00D63F79">
        <w:rPr>
          <w:rStyle w:val="Emphasis"/>
          <w:rFonts w:cs="Arial"/>
        </w:rPr>
        <w:t>L</w:t>
      </w:r>
      <w:r w:rsidR="00C16803">
        <w:rPr>
          <w:rStyle w:val="Emphasis"/>
          <w:rFonts w:cs="Arial"/>
        </w:rPr>
        <w:t>egionella</w:t>
      </w:r>
      <w:r w:rsidR="00657FEF" w:rsidRPr="00D63F79">
        <w:rPr>
          <w:rStyle w:val="Emphasis"/>
          <w:rFonts w:cs="Arial"/>
        </w:rPr>
        <w:t xml:space="preserve"> </w:t>
      </w:r>
      <w:r w:rsidRPr="00D63F79">
        <w:rPr>
          <w:rStyle w:val="Emphasis"/>
          <w:rFonts w:cs="Arial"/>
        </w:rPr>
        <w:t>pneumophila</w:t>
      </w:r>
      <w:r w:rsidR="002A02AB" w:rsidRPr="00D63F79">
        <w:rPr>
          <w:rStyle w:val="Emphasis"/>
          <w:rFonts w:cs="Arial"/>
        </w:rPr>
        <w:t xml:space="preserve"> </w:t>
      </w:r>
      <w:r w:rsidRPr="00D63F79">
        <w:t xml:space="preserve">serogroup 1 causes </w:t>
      </w:r>
      <w:proofErr w:type="gramStart"/>
      <w:r w:rsidRPr="00D63F79">
        <w:t>the majority of</w:t>
      </w:r>
      <w:proofErr w:type="gramEnd"/>
      <w:r w:rsidRPr="00D63F79">
        <w:t xml:space="preserve"> outbreaks.</w:t>
      </w:r>
      <w:r w:rsidR="00C16803">
        <w:t xml:space="preserve"> </w:t>
      </w:r>
    </w:p>
    <w:p w14:paraId="4F16E544" w14:textId="77777777" w:rsidR="00A11EF7" w:rsidRPr="001A3BA6" w:rsidRDefault="00A502A7" w:rsidP="003A4A1A">
      <w:pPr>
        <w:rPr>
          <w:vertAlign w:val="superscript"/>
          <w:lang w:val="en-US"/>
        </w:rPr>
      </w:pPr>
      <w:r w:rsidRPr="00D63F79">
        <w:rPr>
          <w:lang w:val="en-US"/>
        </w:rPr>
        <w:lastRenderedPageBreak/>
        <w:t>Legionellosis is the term given for any illness</w:t>
      </w:r>
      <w:r w:rsidR="002A02AB" w:rsidRPr="00D63F79">
        <w:rPr>
          <w:lang w:val="en-US"/>
        </w:rPr>
        <w:t xml:space="preserve"> </w:t>
      </w:r>
      <w:r w:rsidRPr="00D63F79">
        <w:rPr>
          <w:lang w:val="en-US"/>
        </w:rPr>
        <w:t>caused by</w:t>
      </w:r>
      <w:r w:rsidR="002A02AB" w:rsidRPr="00D63F79">
        <w:rPr>
          <w:lang w:val="en-US"/>
        </w:rPr>
        <w:t xml:space="preserve"> </w:t>
      </w:r>
      <w:r w:rsidRPr="00D63F79">
        <w:rPr>
          <w:i/>
          <w:lang w:val="en-US"/>
        </w:rPr>
        <w:t>Legionella</w:t>
      </w:r>
      <w:r w:rsidRPr="00D63F79">
        <w:rPr>
          <w:lang w:val="en-US"/>
        </w:rPr>
        <w:t xml:space="preserve"> bacteria. The spectrum of illness ranges from a severe form of infection with pneumonia,</w:t>
      </w:r>
      <w:r w:rsidR="002A02AB" w:rsidRPr="00D63F79">
        <w:rPr>
          <w:lang w:val="en-US"/>
        </w:rPr>
        <w:t xml:space="preserve"> </w:t>
      </w:r>
      <w:r w:rsidRPr="00D63F79">
        <w:rPr>
          <w:lang w:val="en-US"/>
        </w:rPr>
        <w:t>Legionnaires</w:t>
      </w:r>
      <w:r w:rsidR="00657FEF" w:rsidRPr="00D63F79">
        <w:rPr>
          <w:lang w:val="en-US"/>
        </w:rPr>
        <w:t>’</w:t>
      </w:r>
      <w:r w:rsidRPr="00D63F79">
        <w:rPr>
          <w:lang w:val="en-US"/>
        </w:rPr>
        <w:t xml:space="preserve"> disease, to a milder self-limiting influenza-like illness without radiographic evidence of pneumonia,</w:t>
      </w:r>
      <w:r w:rsidR="002A02AB" w:rsidRPr="00D63F79">
        <w:rPr>
          <w:lang w:val="en-US"/>
        </w:rPr>
        <w:t xml:space="preserve"> </w:t>
      </w:r>
      <w:r w:rsidRPr="00D63F79">
        <w:rPr>
          <w:lang w:val="en-US"/>
        </w:rPr>
        <w:t>Pontiac Fever.</w:t>
      </w:r>
      <w:r w:rsidR="00EF2537">
        <w:rPr>
          <w:vertAlign w:val="superscript"/>
          <w:lang w:val="en-US"/>
        </w:rPr>
        <w:t>4</w:t>
      </w:r>
      <w:r w:rsidR="00EF2537" w:rsidRPr="00D63F79">
        <w:rPr>
          <w:vertAlign w:val="superscript"/>
          <w:lang w:val="en-US"/>
        </w:rPr>
        <w:t xml:space="preserve"> </w:t>
      </w:r>
      <w:r w:rsidR="00EF2537">
        <w:rPr>
          <w:vertAlign w:val="superscript"/>
          <w:lang w:val="en-US"/>
        </w:rPr>
        <w:t xml:space="preserve"> </w:t>
      </w:r>
    </w:p>
    <w:p w14:paraId="3C6650BF" w14:textId="77777777" w:rsidR="00A11EF7" w:rsidRPr="00D63F79" w:rsidRDefault="00A11EF7" w:rsidP="00A11EF7">
      <w:pPr>
        <w:pStyle w:val="Heading2"/>
      </w:pPr>
      <w:r w:rsidRPr="00D63F79">
        <w:t>Definitions</w:t>
      </w:r>
    </w:p>
    <w:p w14:paraId="3C349092" w14:textId="77777777" w:rsidR="00A11EF7" w:rsidRPr="00D63F79" w:rsidRDefault="00A11EF7" w:rsidP="00A11EF7">
      <w:pPr>
        <w:pStyle w:val="NormalWeb"/>
        <w:spacing w:before="0" w:beforeAutospacing="0"/>
        <w:rPr>
          <w:lang w:val="en-US"/>
        </w:rPr>
      </w:pPr>
      <w:r w:rsidRPr="00D63F79">
        <w:rPr>
          <w:b/>
          <w:lang w:val="en-US"/>
        </w:rPr>
        <w:t>Cooling water system</w:t>
      </w:r>
      <w:r>
        <w:rPr>
          <w:b/>
          <w:lang w:val="en-US"/>
        </w:rPr>
        <w:t xml:space="preserve"> (CWS)</w:t>
      </w:r>
      <w:r w:rsidRPr="00D63F79">
        <w:rPr>
          <w:b/>
          <w:lang w:val="en-US"/>
        </w:rPr>
        <w:t>:</w:t>
      </w:r>
      <w:r w:rsidRPr="00D63F79">
        <w:rPr>
          <w:lang w:val="en-US"/>
        </w:rPr>
        <w:t xml:space="preserve"> a heat exchange system that consists of a heat generating plant, a heat rejection plant, interconnecting water recirculating pipe work and associated pumps, valves and controls, and includes a cooling tower or evaporative condenser. </w:t>
      </w:r>
    </w:p>
    <w:p w14:paraId="479AFB11" w14:textId="77777777" w:rsidR="00A11EF7" w:rsidRPr="00D63F79" w:rsidRDefault="00A11EF7" w:rsidP="00A11EF7">
      <w:pPr>
        <w:pStyle w:val="NormalWeb"/>
        <w:rPr>
          <w:lang w:val="en-US"/>
        </w:rPr>
      </w:pPr>
      <w:r w:rsidRPr="00D63F79">
        <w:rPr>
          <w:b/>
          <w:lang w:val="en-US"/>
        </w:rPr>
        <w:t>Cooling tower:</w:t>
      </w:r>
      <w:r w:rsidRPr="00D63F79">
        <w:rPr>
          <w:lang w:val="en-US"/>
        </w:rPr>
        <w:t xml:space="preserve"> a device for lowering the temperature of water by evaporative cooling in which atmospheric air is in contact with falling water thereby exchanging heat. </w:t>
      </w:r>
      <w:r w:rsidR="00FA0EDC" w:rsidRPr="00D63F79">
        <w:rPr>
          <w:lang w:val="en-US"/>
        </w:rPr>
        <w:t>Evaporative</w:t>
      </w:r>
      <w:r w:rsidRPr="00D63F79">
        <w:rPr>
          <w:lang w:val="en-US"/>
        </w:rPr>
        <w:t xml:space="preserve"> condenser a heat exchanger in which refrigerant is cooled by a combination of air movement and water spraying.</w:t>
      </w:r>
    </w:p>
    <w:p w14:paraId="1F9EA6B3" w14:textId="77777777" w:rsidR="00A11EF7" w:rsidRPr="00D63F79" w:rsidRDefault="00A11EF7" w:rsidP="00A11EF7">
      <w:pPr>
        <w:rPr>
          <w:lang w:val="en-US"/>
        </w:rPr>
      </w:pPr>
      <w:r w:rsidRPr="00D63F79">
        <w:rPr>
          <w:b/>
          <w:lang w:val="en-US"/>
        </w:rPr>
        <w:t>Hot water system</w:t>
      </w:r>
      <w:r>
        <w:rPr>
          <w:b/>
          <w:lang w:val="en-US"/>
        </w:rPr>
        <w:t xml:space="preserve"> (HWS)</w:t>
      </w:r>
      <w:r w:rsidRPr="00D63F79">
        <w:rPr>
          <w:b/>
          <w:lang w:val="en-US"/>
        </w:rPr>
        <w:t xml:space="preserve">: </w:t>
      </w:r>
      <w:r w:rsidRPr="00D63F79">
        <w:rPr>
          <w:lang w:val="en-US"/>
        </w:rPr>
        <w:t xml:space="preserve">a reticulated water system that distributes or recirculates hot water (&gt;60°C) through </w:t>
      </w:r>
      <w:proofErr w:type="gramStart"/>
      <w:r w:rsidRPr="00D63F79">
        <w:rPr>
          <w:lang w:val="en-US"/>
        </w:rPr>
        <w:t>the majority of</w:t>
      </w:r>
      <w:proofErr w:type="gramEnd"/>
      <w:r w:rsidRPr="00D63F79">
        <w:rPr>
          <w:lang w:val="en-US"/>
        </w:rPr>
        <w:t xml:space="preserve"> its branches. A hot water system</w:t>
      </w:r>
      <w:r>
        <w:rPr>
          <w:lang w:val="en-US"/>
        </w:rPr>
        <w:t xml:space="preserve"> (HWS)</w:t>
      </w:r>
      <w:r w:rsidRPr="00D63F79">
        <w:rPr>
          <w:lang w:val="en-US"/>
        </w:rPr>
        <w:t xml:space="preserve"> may include temperature control devices located near outlets to regulate the delivery temperature.</w:t>
      </w:r>
    </w:p>
    <w:p w14:paraId="246DED9B" w14:textId="77777777" w:rsidR="00A11EF7" w:rsidRPr="00D63F79" w:rsidRDefault="00A11EF7" w:rsidP="00A11EF7">
      <w:pPr>
        <w:pStyle w:val="NormalWeb"/>
        <w:rPr>
          <w:lang w:val="en-US"/>
        </w:rPr>
      </w:pPr>
      <w:r w:rsidRPr="00D63F79">
        <w:rPr>
          <w:b/>
          <w:lang w:val="en-US"/>
        </w:rPr>
        <w:t>Warm water system</w:t>
      </w:r>
      <w:r>
        <w:rPr>
          <w:b/>
          <w:lang w:val="en-US"/>
        </w:rPr>
        <w:t xml:space="preserve"> (WWS)</w:t>
      </w:r>
      <w:r w:rsidRPr="00D63F79">
        <w:rPr>
          <w:b/>
          <w:lang w:val="en-US"/>
        </w:rPr>
        <w:t>:</w:t>
      </w:r>
      <w:r w:rsidRPr="00D63F79">
        <w:rPr>
          <w:lang w:val="en-US"/>
        </w:rPr>
        <w:t xml:space="preserve"> a reticulated water system that distributes or recirculates warm water through </w:t>
      </w:r>
      <w:proofErr w:type="gramStart"/>
      <w:r w:rsidRPr="00D63F79">
        <w:rPr>
          <w:lang w:val="en-US"/>
        </w:rPr>
        <w:t>the majority of</w:t>
      </w:r>
      <w:proofErr w:type="gramEnd"/>
      <w:r w:rsidRPr="00D63F79">
        <w:rPr>
          <w:lang w:val="en-US"/>
        </w:rPr>
        <w:t xml:space="preserve"> its branches at a nominal temperature of 45°C by means of a temperature controlling device.</w:t>
      </w:r>
    </w:p>
    <w:p w14:paraId="28411F36" w14:textId="77777777" w:rsidR="00A502A7" w:rsidRPr="001A3BA6" w:rsidRDefault="00A11EF7" w:rsidP="00EF6233">
      <w:pPr>
        <w:pStyle w:val="NormalWeb"/>
        <w:rPr>
          <w:rFonts w:cs="Arial"/>
          <w:color w:val="0000FF"/>
          <w:u w:val="single"/>
        </w:rPr>
      </w:pPr>
      <w:r w:rsidRPr="00D63F79">
        <w:rPr>
          <w:lang w:val="en-US"/>
        </w:rPr>
        <w:t>Adapted from: Health Protection Programs. Control of Legionella in manufactured water systems in South Australia. Revised 2013. SA Health, Adelaide.</w:t>
      </w:r>
      <w:r w:rsidRPr="00D63F79">
        <w:rPr>
          <w:color w:val="1F497D"/>
        </w:rPr>
        <w:t xml:space="preserve"> </w:t>
      </w:r>
      <w:r w:rsidRPr="00611073">
        <w:t>Available at</w:t>
      </w:r>
      <w:r w:rsidR="00EF6233">
        <w:t>:</w:t>
      </w:r>
      <w:r w:rsidR="001A3BA6" w:rsidRPr="00611073">
        <w:t xml:space="preserve"> </w:t>
      </w:r>
      <w:hyperlink r:id="rId12" w:history="1">
        <w:r w:rsidR="001E467A">
          <w:rPr>
            <w:rStyle w:val="Hyperlink"/>
          </w:rPr>
          <w:t>SA Health </w:t>
        </w:r>
        <w:r w:rsidR="001A3BA6" w:rsidRPr="001A3BA6">
          <w:rPr>
            <w:rStyle w:val="Hyperlink"/>
          </w:rPr>
          <w:t>website</w:t>
        </w:r>
      </w:hyperlink>
      <w:r w:rsidR="001E467A">
        <w:rPr>
          <w:color w:val="1F497D"/>
        </w:rPr>
        <w:t>.</w:t>
      </w:r>
    </w:p>
    <w:p w14:paraId="65573487" w14:textId="77777777" w:rsidR="00A502A7" w:rsidRPr="001A3BA6" w:rsidRDefault="00A502A7" w:rsidP="001A3BA6">
      <w:pPr>
        <w:pStyle w:val="Heading2"/>
      </w:pPr>
      <w:r w:rsidRPr="001A3BA6">
        <w:t>Reservoir</w:t>
      </w:r>
    </w:p>
    <w:p w14:paraId="5D871E0C" w14:textId="77777777" w:rsidR="00A502A7" w:rsidRPr="00611073" w:rsidRDefault="00A502A7" w:rsidP="00C16803">
      <w:pPr>
        <w:rPr>
          <w:b/>
          <w:i/>
        </w:rPr>
      </w:pPr>
      <w:r w:rsidRPr="00874EBB">
        <w:rPr>
          <w:i/>
        </w:rPr>
        <w:t>Legionella</w:t>
      </w:r>
      <w:r w:rsidRPr="00611073">
        <w:t xml:space="preserve"> bacteria are found naturally in low levels in aquatic habitats and soil. </w:t>
      </w:r>
    </w:p>
    <w:p w14:paraId="239887A1" w14:textId="77777777" w:rsidR="00871098" w:rsidRPr="00611073" w:rsidRDefault="00A502A7" w:rsidP="00C16803">
      <w:pPr>
        <w:rPr>
          <w:b/>
          <w:i/>
        </w:rPr>
      </w:pPr>
      <w:r w:rsidRPr="00611073">
        <w:t>Most</w:t>
      </w:r>
      <w:r w:rsidR="002A02AB" w:rsidRPr="00611073">
        <w:t xml:space="preserve"> </w:t>
      </w:r>
      <w:r w:rsidRPr="00874EBB">
        <w:rPr>
          <w:i/>
        </w:rPr>
        <w:t>Legionella</w:t>
      </w:r>
      <w:r w:rsidRPr="00611073">
        <w:t xml:space="preserve"> bacteria</w:t>
      </w:r>
      <w:r w:rsidR="002A02AB" w:rsidRPr="00611073">
        <w:t xml:space="preserve"> </w:t>
      </w:r>
      <w:r w:rsidRPr="00611073">
        <w:t>thrive in warm water (20°C – 4</w:t>
      </w:r>
      <w:r w:rsidR="00F65C15" w:rsidRPr="00611073">
        <w:t>5</w:t>
      </w:r>
      <w:r w:rsidRPr="00611073">
        <w:t>°C)</w:t>
      </w:r>
      <w:r w:rsidR="00A11EF7" w:rsidRPr="00611073">
        <w:rPr>
          <w:vertAlign w:val="superscript"/>
        </w:rPr>
        <w:t>5</w:t>
      </w:r>
      <w:r w:rsidRPr="00611073">
        <w:t xml:space="preserve"> and are often associated</w:t>
      </w:r>
      <w:r w:rsidR="00874EBB">
        <w:t xml:space="preserve"> with</w:t>
      </w:r>
      <w:r w:rsidRPr="00611073">
        <w:t xml:space="preserve"> </w:t>
      </w:r>
      <w:r w:rsidR="00657FEF" w:rsidRPr="00611073">
        <w:t>CWS</w:t>
      </w:r>
      <w:r w:rsidRPr="00611073">
        <w:t xml:space="preserve"> or </w:t>
      </w:r>
      <w:r w:rsidR="00657FEF" w:rsidRPr="00611073">
        <w:t>WWS</w:t>
      </w:r>
      <w:r w:rsidRPr="00611073">
        <w:t xml:space="preserve">. </w:t>
      </w:r>
    </w:p>
    <w:p w14:paraId="2D97FA17" w14:textId="77777777" w:rsidR="00A502A7" w:rsidRPr="00611073" w:rsidRDefault="00A502A7" w:rsidP="00C16803">
      <w:pPr>
        <w:rPr>
          <w:b/>
          <w:i/>
        </w:rPr>
      </w:pPr>
      <w:r w:rsidRPr="00C16803">
        <w:rPr>
          <w:i/>
        </w:rPr>
        <w:t>L. pneumophila</w:t>
      </w:r>
      <w:r w:rsidRPr="00611073">
        <w:t xml:space="preserve"> grows readily in closed water systems</w:t>
      </w:r>
      <w:r w:rsidR="002A02AB" w:rsidRPr="00611073">
        <w:t xml:space="preserve"> </w:t>
      </w:r>
      <w:r w:rsidRPr="00611073">
        <w:t>in built environments such as inside plumbing fixtures and pipes where warm temperatures and the build-up of nutrients and microorganisms on surfaces (called biofilm) provide an ideal environment. In the absence of effective environmental management</w:t>
      </w:r>
      <w:r w:rsidR="002A02AB" w:rsidRPr="00611073">
        <w:t xml:space="preserve"> </w:t>
      </w:r>
      <w:r w:rsidRPr="00874EBB">
        <w:rPr>
          <w:i/>
        </w:rPr>
        <w:t>Legionella</w:t>
      </w:r>
      <w:r w:rsidRPr="00611073">
        <w:t xml:space="preserve"> bacteria can proliferate.  </w:t>
      </w:r>
    </w:p>
    <w:p w14:paraId="3A620C96" w14:textId="77777777" w:rsidR="00A502A7" w:rsidRPr="00611073" w:rsidRDefault="00A502A7" w:rsidP="00C16803">
      <w:pPr>
        <w:rPr>
          <w:b/>
          <w:i/>
        </w:rPr>
      </w:pPr>
      <w:r w:rsidRPr="00C16803">
        <w:rPr>
          <w:i/>
        </w:rPr>
        <w:t xml:space="preserve">L. </w:t>
      </w:r>
      <w:proofErr w:type="spellStart"/>
      <w:r w:rsidRPr="00C16803">
        <w:rPr>
          <w:i/>
        </w:rPr>
        <w:t>longbeachae</w:t>
      </w:r>
      <w:proofErr w:type="spellEnd"/>
      <w:r w:rsidRPr="00611073">
        <w:t xml:space="preserve"> is often associated with garden soil, potting mix or compost. There have been no reports of </w:t>
      </w:r>
      <w:r w:rsidRPr="00874EBB">
        <w:rPr>
          <w:i/>
        </w:rPr>
        <w:t>L.</w:t>
      </w:r>
      <w:r w:rsidR="00657FEF" w:rsidRPr="00874EBB">
        <w:rPr>
          <w:i/>
        </w:rPr>
        <w:t xml:space="preserve"> </w:t>
      </w:r>
      <w:proofErr w:type="spellStart"/>
      <w:r w:rsidRPr="00874EBB">
        <w:rPr>
          <w:i/>
        </w:rPr>
        <w:t>longbeachae</w:t>
      </w:r>
      <w:proofErr w:type="spellEnd"/>
      <w:r w:rsidRPr="00874EBB">
        <w:rPr>
          <w:i/>
        </w:rPr>
        <w:t xml:space="preserve"> </w:t>
      </w:r>
      <w:r w:rsidRPr="00611073">
        <w:t>acquired via water systems in the built environment.</w:t>
      </w:r>
    </w:p>
    <w:p w14:paraId="5E89B43A" w14:textId="77777777" w:rsidR="00A502A7" w:rsidRPr="00B46B27" w:rsidRDefault="00A502A7" w:rsidP="00B46B27">
      <w:pPr>
        <w:pStyle w:val="Heading2"/>
      </w:pPr>
      <w:r w:rsidRPr="00B46B27">
        <w:t>Mode of transmission</w:t>
      </w:r>
    </w:p>
    <w:p w14:paraId="63D3F7D3" w14:textId="77777777" w:rsidR="00A502A7" w:rsidRPr="00D63F79" w:rsidRDefault="00A502A7" w:rsidP="00C05EBA">
      <w:r w:rsidRPr="00D63F79">
        <w:rPr>
          <w:i/>
        </w:rPr>
        <w:t>Legionella</w:t>
      </w:r>
      <w:r w:rsidRPr="00D63F79">
        <w:t xml:space="preserve"> are transmitted to susceptible humans via inhalation of aerosols or aspiration of contaminated water.</w:t>
      </w:r>
      <w:r w:rsidR="002A02AB" w:rsidRPr="00D63F79">
        <w:t xml:space="preserve"> </w:t>
      </w:r>
      <w:r w:rsidRPr="00D63F79">
        <w:t xml:space="preserve">Outbreak data suggests </w:t>
      </w:r>
      <w:r w:rsidR="00CF33E9" w:rsidRPr="00D63F79">
        <w:t xml:space="preserve">outbreaks </w:t>
      </w:r>
      <w:r w:rsidRPr="00D63F79">
        <w:t>that occur with</w:t>
      </w:r>
      <w:r w:rsidR="002A02AB" w:rsidRPr="00D63F79">
        <w:t xml:space="preserve"> </w:t>
      </w:r>
      <w:r w:rsidRPr="00D63F79">
        <w:rPr>
          <w:i/>
        </w:rPr>
        <w:t>L. pneumophila</w:t>
      </w:r>
      <w:r w:rsidRPr="00D63F79">
        <w:t>,</w:t>
      </w:r>
      <w:r w:rsidR="002A02AB" w:rsidRPr="00D63F79">
        <w:t xml:space="preserve"> </w:t>
      </w:r>
      <w:r w:rsidR="00874EBB">
        <w:t xml:space="preserve">are </w:t>
      </w:r>
      <w:r w:rsidRPr="00D63F79">
        <w:t xml:space="preserve">usually serogroup 1. </w:t>
      </w:r>
    </w:p>
    <w:p w14:paraId="55D742ED" w14:textId="77777777" w:rsidR="003E38CB" w:rsidRPr="00D63F79" w:rsidRDefault="00A502A7" w:rsidP="00C05EBA">
      <w:r w:rsidRPr="00D63F79">
        <w:t xml:space="preserve">A variety of aerosol-producing devices have been associated with outbreaks of Legionnaires' disease, including </w:t>
      </w:r>
      <w:r w:rsidR="00CF33E9" w:rsidRPr="00D63F79">
        <w:t xml:space="preserve">air conditioning </w:t>
      </w:r>
      <w:r w:rsidRPr="00D63F79">
        <w:t>cooling towers</w:t>
      </w:r>
      <w:r w:rsidR="00CF33E9" w:rsidRPr="00D63F79">
        <w:t>,</w:t>
      </w:r>
      <w:r w:rsidRPr="00D63F79">
        <w:t xml:space="preserve"> whirlpool spas, showers, decorative fountains,</w:t>
      </w:r>
      <w:r w:rsidR="002A02AB" w:rsidRPr="00D63F79">
        <w:t xml:space="preserve"> </w:t>
      </w:r>
      <w:r w:rsidRPr="00D63F79">
        <w:t>car washes, nebulisers, humidifiers and water misters.</w:t>
      </w:r>
      <w:r w:rsidR="00B603F3">
        <w:rPr>
          <w:vertAlign w:val="superscript"/>
        </w:rPr>
        <w:t>6</w:t>
      </w:r>
      <w:r w:rsidRPr="00D63F79">
        <w:rPr>
          <w:vertAlign w:val="superscript"/>
        </w:rPr>
        <w:t>,</w:t>
      </w:r>
      <w:r w:rsidR="00B603F3">
        <w:rPr>
          <w:vertAlign w:val="superscript"/>
        </w:rPr>
        <w:t>7</w:t>
      </w:r>
      <w:r w:rsidR="00EF2537">
        <w:rPr>
          <w:vertAlign w:val="superscript"/>
        </w:rPr>
        <w:t>,8</w:t>
      </w:r>
      <w:r w:rsidR="00B603F3" w:rsidRPr="00D63F79">
        <w:rPr>
          <w:vertAlign w:val="superscript"/>
        </w:rPr>
        <w:t xml:space="preserve"> </w:t>
      </w:r>
      <w:r w:rsidRPr="00D63F79">
        <w:t>In these cases, proximity to the aerosol generator, duration of exposure, and presence in an area downstream of the contaminated device have all been found to be risk factors for disease acquisition.</w:t>
      </w:r>
      <w:r w:rsidR="00EF2537">
        <w:rPr>
          <w:vertAlign w:val="superscript"/>
        </w:rPr>
        <w:t>9</w:t>
      </w:r>
    </w:p>
    <w:p w14:paraId="3E2F5FCE" w14:textId="77777777" w:rsidR="00A502A7" w:rsidRPr="00D63F79" w:rsidRDefault="00A502A7" w:rsidP="00C05EBA">
      <w:r w:rsidRPr="00D63F79">
        <w:lastRenderedPageBreak/>
        <w:t xml:space="preserve">In a small fraction of hospital acquired Legionnaires' disease cases, </w:t>
      </w:r>
      <w:proofErr w:type="spellStart"/>
      <w:r w:rsidRPr="00D63F79">
        <w:t>microaspiration</w:t>
      </w:r>
      <w:proofErr w:type="spellEnd"/>
      <w:r w:rsidRPr="00D63F79">
        <w:t xml:space="preserve"> of colonised drinking water into the lungs has been implicated.  </w:t>
      </w:r>
      <w:r w:rsidR="00CF33E9" w:rsidRPr="00D63F79">
        <w:t>Data</w:t>
      </w:r>
      <w:r w:rsidRPr="00D63F79">
        <w:t xml:space="preserve"> supporting </w:t>
      </w:r>
      <w:proofErr w:type="spellStart"/>
      <w:r w:rsidRPr="00D63F79">
        <w:t>microaspiration</w:t>
      </w:r>
      <w:proofErr w:type="spellEnd"/>
      <w:r w:rsidRPr="00D63F79">
        <w:t xml:space="preserve"> of water as a major source of transmission are not convincing</w:t>
      </w:r>
      <w:r w:rsidR="00CF33E9" w:rsidRPr="00D63F79">
        <w:t>. T</w:t>
      </w:r>
      <w:r w:rsidRPr="00D63F79">
        <w:t>here is evidence to support aspiration of contaminated water as a possible mode of transmission in certain subgroups, such as those receiving nasogastric feeding.</w:t>
      </w:r>
      <w:r w:rsidRPr="00D63F79">
        <w:rPr>
          <w:vertAlign w:val="superscript"/>
        </w:rPr>
        <w:t>10</w:t>
      </w:r>
      <w:r w:rsidR="00B603F3">
        <w:rPr>
          <w:vertAlign w:val="superscript"/>
        </w:rPr>
        <w:t>,11</w:t>
      </w:r>
      <w:r w:rsidR="00EF2537">
        <w:rPr>
          <w:vertAlign w:val="superscript"/>
        </w:rPr>
        <w:t>,12</w:t>
      </w:r>
      <w:r w:rsidRPr="00D63F79">
        <w:rPr>
          <w:vertAlign w:val="superscript"/>
        </w:rPr>
        <w:t xml:space="preserve"> </w:t>
      </w:r>
    </w:p>
    <w:p w14:paraId="3A7B3648" w14:textId="77777777" w:rsidR="00A502A7" w:rsidRPr="00652A15" w:rsidRDefault="00A502A7" w:rsidP="00C05EBA">
      <w:pPr>
        <w:rPr>
          <w:vertAlign w:val="superscript"/>
        </w:rPr>
      </w:pPr>
      <w:r w:rsidRPr="00D63F79">
        <w:t xml:space="preserve">Transmission of </w:t>
      </w:r>
      <w:r w:rsidRPr="00D63F79">
        <w:rPr>
          <w:i/>
        </w:rPr>
        <w:t xml:space="preserve">L. </w:t>
      </w:r>
      <w:proofErr w:type="spellStart"/>
      <w:r w:rsidRPr="00D63F79">
        <w:rPr>
          <w:i/>
        </w:rPr>
        <w:t>longbeachae</w:t>
      </w:r>
      <w:proofErr w:type="spellEnd"/>
      <w:r w:rsidRPr="00D63F79">
        <w:t xml:space="preserve"> associated with close contact with potting mixes and other sources has been documented but was not unequivocally demonstrated with multivariate analysis in a case-control study.  The gardening environment and behavioural factors were better predictors of infection. These factors included poor gardening hygiene (lack of hand washing prior to eating, drinking or smoking while gardening</w:t>
      </w:r>
      <w:r w:rsidR="00874EBB">
        <w:t>)</w:t>
      </w:r>
      <w:r w:rsidRPr="00D63F79">
        <w:t xml:space="preserve"> and being near dripping hanging </w:t>
      </w:r>
      <w:proofErr w:type="gramStart"/>
      <w:r w:rsidRPr="00D63F79">
        <w:t>flower pots</w:t>
      </w:r>
      <w:proofErr w:type="gramEnd"/>
      <w:r w:rsidRPr="00D63F79">
        <w:t>).</w:t>
      </w:r>
      <w:r w:rsidR="00B603F3" w:rsidRPr="00D63F79">
        <w:rPr>
          <w:vertAlign w:val="superscript"/>
        </w:rPr>
        <w:t>1</w:t>
      </w:r>
      <w:r w:rsidR="00EF2537">
        <w:rPr>
          <w:vertAlign w:val="superscript"/>
        </w:rPr>
        <w:t>3</w:t>
      </w:r>
      <w:r w:rsidR="00B603F3" w:rsidRPr="00D63F79">
        <w:rPr>
          <w:vertAlign w:val="superscript"/>
        </w:rPr>
        <w:t xml:space="preserve"> </w:t>
      </w:r>
    </w:p>
    <w:p w14:paraId="23DE36D5" w14:textId="77777777" w:rsidR="00D16B89" w:rsidRPr="00D63F79" w:rsidRDefault="00A502A7" w:rsidP="00C05EBA">
      <w:pPr>
        <w:rPr>
          <w:vertAlign w:val="superscript"/>
        </w:rPr>
      </w:pPr>
      <w:r w:rsidRPr="00D63F79">
        <w:t>Person-to-person transmission of legionellosis is likely to be very rare. In 2016, there was a case documented of a mother who acquired the infection from her ill</w:t>
      </w:r>
      <w:r w:rsidR="00613518" w:rsidRPr="00D63F79">
        <w:t xml:space="preserve"> </w:t>
      </w:r>
      <w:r w:rsidRPr="00D63F79">
        <w:t>son.</w:t>
      </w:r>
      <w:r w:rsidR="00B603F3" w:rsidRPr="00D63F79">
        <w:rPr>
          <w:vertAlign w:val="superscript"/>
        </w:rPr>
        <w:t>1</w:t>
      </w:r>
      <w:r w:rsidR="00EF2537">
        <w:rPr>
          <w:vertAlign w:val="superscript"/>
        </w:rPr>
        <w:t>4</w:t>
      </w:r>
    </w:p>
    <w:p w14:paraId="1EEA5895" w14:textId="77777777" w:rsidR="00A502A7" w:rsidRPr="00652A15" w:rsidRDefault="00A502A7" w:rsidP="00652A15">
      <w:pPr>
        <w:pStyle w:val="Heading2"/>
      </w:pPr>
      <w:r w:rsidRPr="00652A15">
        <w:t>Incubation period</w:t>
      </w:r>
    </w:p>
    <w:p w14:paraId="1F54FF62" w14:textId="77777777" w:rsidR="00A502A7" w:rsidRPr="00652A15" w:rsidRDefault="00A502A7" w:rsidP="007D7F3C">
      <w:pPr>
        <w:rPr>
          <w:b/>
          <w:bCs/>
        </w:rPr>
      </w:pPr>
      <w:r w:rsidRPr="00652A15">
        <w:t>The incubation period during most outbreaks of Legionnaires’</w:t>
      </w:r>
      <w:r w:rsidR="002A02AB" w:rsidRPr="00652A15">
        <w:t xml:space="preserve"> </w:t>
      </w:r>
      <w:r w:rsidRPr="00652A15">
        <w:t xml:space="preserve">disease is variable, averaging between </w:t>
      </w:r>
      <w:r w:rsidR="00D5155B" w:rsidRPr="00652A15">
        <w:t>5 - 6</w:t>
      </w:r>
      <w:r w:rsidRPr="00652A15">
        <w:t xml:space="preserve"> days (range </w:t>
      </w:r>
      <w:r w:rsidR="00D5155B" w:rsidRPr="00652A15">
        <w:t>2 - 10</w:t>
      </w:r>
      <w:r w:rsidRPr="00652A15">
        <w:t xml:space="preserve"> days), and</w:t>
      </w:r>
      <w:r w:rsidR="002A02AB" w:rsidRPr="00652A15">
        <w:t xml:space="preserve"> </w:t>
      </w:r>
      <w:r w:rsidRPr="00652A15">
        <w:t xml:space="preserve">outliers from </w:t>
      </w:r>
      <w:r w:rsidR="00D5155B" w:rsidRPr="00652A15">
        <w:t>1 - 28</w:t>
      </w:r>
      <w:r w:rsidRPr="00652A15">
        <w:t xml:space="preserve"> days.</w:t>
      </w:r>
      <w:r w:rsidR="00EF2537" w:rsidRPr="00652A15">
        <w:rPr>
          <w:vertAlign w:val="superscript"/>
        </w:rPr>
        <w:t>9</w:t>
      </w:r>
      <w:r w:rsidR="00D5155B" w:rsidRPr="00652A15">
        <w:rPr>
          <w:vertAlign w:val="superscript"/>
        </w:rPr>
        <w:t xml:space="preserve"> </w:t>
      </w:r>
      <w:r w:rsidR="00B603F3" w:rsidRPr="00652A15">
        <w:t xml:space="preserve">A </w:t>
      </w:r>
      <w:r w:rsidRPr="00652A15">
        <w:t xml:space="preserve">nosocomial case with an incubation period of </w:t>
      </w:r>
      <w:r w:rsidR="00D5155B" w:rsidRPr="00652A15">
        <w:t>63</w:t>
      </w:r>
      <w:r w:rsidRPr="00652A15">
        <w:t xml:space="preserve"> days has been</w:t>
      </w:r>
      <w:r w:rsidR="00613518" w:rsidRPr="00652A15">
        <w:t xml:space="preserve"> </w:t>
      </w:r>
      <w:r w:rsidRPr="00652A15">
        <w:t>reported.</w:t>
      </w:r>
      <w:r w:rsidR="00B603F3" w:rsidRPr="003A4A1A">
        <w:rPr>
          <w:vertAlign w:val="superscript"/>
        </w:rPr>
        <w:t>1</w:t>
      </w:r>
      <w:r w:rsidR="00EF2537" w:rsidRPr="003A4A1A">
        <w:rPr>
          <w:vertAlign w:val="superscript"/>
        </w:rPr>
        <w:t>5</w:t>
      </w:r>
    </w:p>
    <w:p w14:paraId="1AD60F5F" w14:textId="77777777" w:rsidR="00A502A7" w:rsidRPr="00652A15" w:rsidRDefault="00A502A7" w:rsidP="007D7F3C">
      <w:pPr>
        <w:rPr>
          <w:b/>
          <w:bCs/>
        </w:rPr>
      </w:pPr>
      <w:r w:rsidRPr="00652A15">
        <w:t xml:space="preserve">The incubation period of Pontiac fever is from four hours to three days, with a median of </w:t>
      </w:r>
      <w:r w:rsidR="00D5155B" w:rsidRPr="00652A15">
        <w:t>about 1.5 days</w:t>
      </w:r>
      <w:r w:rsidRPr="00652A15">
        <w:t>, although incubation periods of up to five days have been reported.</w:t>
      </w:r>
      <w:r w:rsidR="00EF2537" w:rsidRPr="003A4A1A">
        <w:rPr>
          <w:vertAlign w:val="superscript"/>
        </w:rPr>
        <w:t>9</w:t>
      </w:r>
    </w:p>
    <w:p w14:paraId="21186EE7" w14:textId="77777777" w:rsidR="00A502A7" w:rsidRPr="00D63F79" w:rsidRDefault="00A502A7" w:rsidP="00C05EBA">
      <w:pPr>
        <w:pStyle w:val="Heading2"/>
      </w:pPr>
      <w:r w:rsidRPr="00D63F79">
        <w:t xml:space="preserve">Clinical presentation and outcome </w:t>
      </w:r>
    </w:p>
    <w:p w14:paraId="41636105" w14:textId="77777777" w:rsidR="00A502A7" w:rsidRPr="00652A15" w:rsidRDefault="00A502A7" w:rsidP="00C05EBA">
      <w:r w:rsidRPr="00D63F79">
        <w:t xml:space="preserve">The clinical spectrum of disease caused by </w:t>
      </w:r>
      <w:r w:rsidRPr="00D63F79">
        <w:rPr>
          <w:i/>
        </w:rPr>
        <w:t>Legionella</w:t>
      </w:r>
      <w:r w:rsidRPr="00D63F79">
        <w:t xml:space="preserve"> </w:t>
      </w:r>
      <w:r w:rsidRPr="00874EBB">
        <w:t>sp</w:t>
      </w:r>
      <w:r w:rsidRPr="00D63F79">
        <w:t xml:space="preserve">. is broad and ranges from asymptomatic infection to a mild cough and </w:t>
      </w:r>
      <w:proofErr w:type="gramStart"/>
      <w:r w:rsidRPr="00D63F79">
        <w:t>low grade</w:t>
      </w:r>
      <w:proofErr w:type="gramEnd"/>
      <w:r w:rsidRPr="00D63F79">
        <w:t xml:space="preserve"> fever to stupor, respiratory failure, multiorgan failure and rapidly progressive pneumonia</w:t>
      </w:r>
      <w:r w:rsidR="002247B4" w:rsidRPr="00D63F79">
        <w:t xml:space="preserve"> leading to death</w:t>
      </w:r>
      <w:r w:rsidRPr="00D63F79">
        <w:t>. Pontiac disease is the non-pneumonic form</w:t>
      </w:r>
      <w:r w:rsidR="002A02AB" w:rsidRPr="00D63F79">
        <w:t xml:space="preserve"> </w:t>
      </w:r>
      <w:r w:rsidRPr="00D63F79">
        <w:t>and is an acute, self-limiting influenza-like illness.  The clinical presentation of Legionnaires’ disease includes fever, loss of appetite, headache, malaise</w:t>
      </w:r>
      <w:r w:rsidR="00613518" w:rsidRPr="00D63F79">
        <w:t>,</w:t>
      </w:r>
      <w:r w:rsidRPr="00D63F79">
        <w:t xml:space="preserve"> lethargy and pneumonia. Some patients may also have myalgia, diarrhoea, nausea, vomiting and confusion. Evidence of infection with other respiratory pathogens does not exclude the possibility of coinfection with </w:t>
      </w:r>
      <w:r w:rsidRPr="00D63F79">
        <w:rPr>
          <w:i/>
        </w:rPr>
        <w:t xml:space="preserve">Legionella </w:t>
      </w:r>
      <w:r w:rsidRPr="00D63F79">
        <w:t>sp.</w:t>
      </w:r>
      <w:r w:rsidR="00EF2537">
        <w:rPr>
          <w:vertAlign w:val="superscript"/>
        </w:rPr>
        <w:t>9</w:t>
      </w:r>
      <w:r w:rsidRPr="00D63F79">
        <w:rPr>
          <w:vertAlign w:val="superscript"/>
        </w:rPr>
        <w:t>,</w:t>
      </w:r>
      <w:r w:rsidR="00B603F3" w:rsidRPr="00D63F79">
        <w:rPr>
          <w:vertAlign w:val="superscript"/>
        </w:rPr>
        <w:t>1</w:t>
      </w:r>
      <w:r w:rsidR="00EF2537">
        <w:rPr>
          <w:vertAlign w:val="superscript"/>
        </w:rPr>
        <w:t>6</w:t>
      </w:r>
      <w:r w:rsidRPr="00D63F79">
        <w:rPr>
          <w:vertAlign w:val="superscript"/>
        </w:rPr>
        <w:t>,1</w:t>
      </w:r>
      <w:r w:rsidR="00EF2537">
        <w:rPr>
          <w:vertAlign w:val="superscript"/>
        </w:rPr>
        <w:t xml:space="preserve">7 </w:t>
      </w:r>
      <w:r w:rsidRPr="00D63F79">
        <w:t xml:space="preserve">Radiological findings commonly describe a patchy, </w:t>
      </w:r>
      <w:proofErr w:type="spellStart"/>
      <w:r w:rsidRPr="00D63F79">
        <w:t>unilobular</w:t>
      </w:r>
      <w:proofErr w:type="spellEnd"/>
      <w:r w:rsidRPr="00D63F79">
        <w:t xml:space="preserve"> infiltrate/consolidation but other appearances may occur along with the presence of</w:t>
      </w:r>
      <w:r w:rsidR="002A02AB" w:rsidRPr="00D63F79">
        <w:t xml:space="preserve"> </w:t>
      </w:r>
      <w:r w:rsidRPr="00D63F79">
        <w:t>pleural effusion.</w:t>
      </w:r>
    </w:p>
    <w:p w14:paraId="1C8DD323" w14:textId="77777777" w:rsidR="00A502A7" w:rsidRPr="00D63F79" w:rsidRDefault="00A502A7" w:rsidP="00C05EBA">
      <w:pPr>
        <w:pStyle w:val="Heading2"/>
      </w:pPr>
      <w:r w:rsidRPr="00D63F79">
        <w:t xml:space="preserve">Persons at increased risk of disease </w:t>
      </w:r>
    </w:p>
    <w:p w14:paraId="07E9A2C9" w14:textId="77777777" w:rsidR="00A502A7" w:rsidRPr="00D63F79" w:rsidRDefault="00A502A7" w:rsidP="00C05EBA">
      <w:r w:rsidRPr="00D63F79">
        <w:rPr>
          <w:i/>
        </w:rPr>
        <w:t>Legionella</w:t>
      </w:r>
      <w:r w:rsidRPr="00D63F79">
        <w:t xml:space="preserve"> </w:t>
      </w:r>
      <w:r w:rsidR="00657FEF" w:rsidRPr="00D63F79">
        <w:t xml:space="preserve">are </w:t>
      </w:r>
      <w:r w:rsidRPr="00D63F79">
        <w:t>found extensively in the environment and many people are exposed but do not develop illness.</w:t>
      </w:r>
      <w:r w:rsidR="002A02AB" w:rsidRPr="00D63F79">
        <w:t xml:space="preserve"> </w:t>
      </w:r>
      <w:r w:rsidRPr="00D63F79">
        <w:t xml:space="preserve">People at highest risk of acquiring legionellosis in the community or healthcare facilities </w:t>
      </w:r>
      <w:r w:rsidR="00B603F3" w:rsidRPr="00D63F79">
        <w:t>are</w:t>
      </w:r>
      <w:r w:rsidR="00B603F3" w:rsidRPr="00D63F79">
        <w:rPr>
          <w:vertAlign w:val="superscript"/>
        </w:rPr>
        <w:t>1</w:t>
      </w:r>
      <w:r w:rsidR="00EF2537">
        <w:rPr>
          <w:vertAlign w:val="superscript"/>
        </w:rPr>
        <w:t>8</w:t>
      </w:r>
      <w:r w:rsidRPr="00D63F79">
        <w:t>:</w:t>
      </w:r>
    </w:p>
    <w:p w14:paraId="2916ADEC" w14:textId="77777777" w:rsidR="00A502A7" w:rsidRPr="00D63F79" w:rsidRDefault="00A502A7" w:rsidP="00C05EBA">
      <w:pPr>
        <w:pStyle w:val="ListParagraph"/>
        <w:numPr>
          <w:ilvl w:val="0"/>
          <w:numId w:val="4"/>
        </w:numPr>
      </w:pPr>
      <w:r w:rsidRPr="00D63F79">
        <w:t xml:space="preserve">severely immunocompromised patients e.g. </w:t>
      </w:r>
      <w:proofErr w:type="spellStart"/>
      <w:r w:rsidRPr="00D63F79">
        <w:t>haematopoietic</w:t>
      </w:r>
      <w:proofErr w:type="spellEnd"/>
      <w:r w:rsidRPr="00D63F79">
        <w:t xml:space="preserve"> stem cell transplant (HSCT) and </w:t>
      </w:r>
      <w:r w:rsidR="006A7A3A" w:rsidRPr="00D63F79">
        <w:t xml:space="preserve">recent </w:t>
      </w:r>
      <w:r w:rsidRPr="00D63F79">
        <w:t>organ transplant patients</w:t>
      </w:r>
    </w:p>
    <w:p w14:paraId="661AF359" w14:textId="77777777" w:rsidR="00652A15" w:rsidRPr="00D63F79" w:rsidRDefault="00A502A7" w:rsidP="00652A15">
      <w:pPr>
        <w:pStyle w:val="ListParagraph"/>
        <w:numPr>
          <w:ilvl w:val="0"/>
          <w:numId w:val="4"/>
        </w:numPr>
      </w:pPr>
      <w:r w:rsidRPr="00D63F79">
        <w:t>patients receiving high doses of immunosuppressive medication.</w:t>
      </w:r>
    </w:p>
    <w:p w14:paraId="32F69B83" w14:textId="77777777" w:rsidR="00A502A7" w:rsidRPr="00D63F79" w:rsidRDefault="00A502A7" w:rsidP="00C05EBA">
      <w:r w:rsidRPr="00D63F79">
        <w:t>Other people at higher</w:t>
      </w:r>
      <w:r w:rsidR="002A02AB" w:rsidRPr="00D63F79">
        <w:t xml:space="preserve"> </w:t>
      </w:r>
      <w:r w:rsidRPr="00D63F79">
        <w:t xml:space="preserve">risk of acquiring legionellosis </w:t>
      </w:r>
      <w:r w:rsidR="006A7A3A" w:rsidRPr="00D63F79">
        <w:t>include</w:t>
      </w:r>
      <w:r w:rsidRPr="00D63F79">
        <w:t>:</w:t>
      </w:r>
    </w:p>
    <w:p w14:paraId="39B8C5EF" w14:textId="77777777" w:rsidR="00A502A7" w:rsidRPr="00D63F79" w:rsidRDefault="00A502A7" w:rsidP="00C05EBA">
      <w:pPr>
        <w:pStyle w:val="ListParagraph"/>
        <w:numPr>
          <w:ilvl w:val="0"/>
          <w:numId w:val="4"/>
        </w:numPr>
      </w:pPr>
      <w:r w:rsidRPr="00D63F79">
        <w:t>those with chronic underlying disease, such as chronic obstructive pulmonary disease, diabetes mellitus, congestive heart failure, chronic liver failure, chronic renal failure</w:t>
      </w:r>
    </w:p>
    <w:p w14:paraId="008E3766" w14:textId="77777777" w:rsidR="00A502A7" w:rsidRPr="00D63F79" w:rsidRDefault="00A502A7" w:rsidP="00C05EBA">
      <w:pPr>
        <w:pStyle w:val="ListParagraph"/>
        <w:numPr>
          <w:ilvl w:val="0"/>
          <w:numId w:val="4"/>
        </w:numPr>
      </w:pPr>
      <w:r w:rsidRPr="00D63F79">
        <w:t>transplant recipients who are on immunosuppressant therapy</w:t>
      </w:r>
    </w:p>
    <w:p w14:paraId="6AEFE1CD" w14:textId="77777777" w:rsidR="00A502A7" w:rsidRPr="00D63F79" w:rsidRDefault="00A502A7" w:rsidP="00C05EBA">
      <w:pPr>
        <w:pStyle w:val="ListParagraph"/>
        <w:numPr>
          <w:ilvl w:val="0"/>
          <w:numId w:val="4"/>
        </w:numPr>
      </w:pPr>
      <w:r w:rsidRPr="00D63F79">
        <w:t>those receiving monoclonal antibodies</w:t>
      </w:r>
    </w:p>
    <w:p w14:paraId="0FB65396" w14:textId="77777777" w:rsidR="00A502A7" w:rsidRPr="00D63F79" w:rsidRDefault="006A7A3A" w:rsidP="00C05EBA">
      <w:pPr>
        <w:pStyle w:val="ListParagraph"/>
        <w:numPr>
          <w:ilvl w:val="0"/>
          <w:numId w:val="4"/>
        </w:numPr>
      </w:pPr>
      <w:r w:rsidRPr="00D63F79">
        <w:t xml:space="preserve">those with </w:t>
      </w:r>
      <w:r w:rsidR="00A502A7" w:rsidRPr="00D63F79">
        <w:t>HIV/AIDS and some forms of cancer</w:t>
      </w:r>
    </w:p>
    <w:p w14:paraId="60B165E6" w14:textId="77777777" w:rsidR="00A502A7" w:rsidRPr="00D63F79" w:rsidRDefault="00A502A7" w:rsidP="00C05EBA">
      <w:pPr>
        <w:pStyle w:val="ListParagraph"/>
        <w:numPr>
          <w:ilvl w:val="0"/>
          <w:numId w:val="4"/>
        </w:numPr>
      </w:pPr>
      <w:r w:rsidRPr="00D63F79">
        <w:lastRenderedPageBreak/>
        <w:t xml:space="preserve">smokers </w:t>
      </w:r>
    </w:p>
    <w:p w14:paraId="109F228B" w14:textId="77777777" w:rsidR="00A502A7" w:rsidRPr="00D63F79" w:rsidRDefault="00A502A7" w:rsidP="00C05EBA">
      <w:pPr>
        <w:pStyle w:val="ListParagraph"/>
        <w:numPr>
          <w:ilvl w:val="0"/>
          <w:numId w:val="4"/>
        </w:numPr>
      </w:pPr>
      <w:r w:rsidRPr="00D63F79">
        <w:t>people over the age of 50 years.</w:t>
      </w:r>
    </w:p>
    <w:p w14:paraId="43FCD6E2" w14:textId="77777777" w:rsidR="00A502A7" w:rsidRPr="00D63F79" w:rsidRDefault="00A502A7" w:rsidP="00C05EBA">
      <w:r w:rsidRPr="00D63F79">
        <w:t xml:space="preserve">Additional risk factors for healthcare </w:t>
      </w:r>
      <w:r w:rsidR="00D5155B">
        <w:t>associated</w:t>
      </w:r>
      <w:r w:rsidR="00D5155B" w:rsidRPr="00D63F79">
        <w:t xml:space="preserve"> </w:t>
      </w:r>
      <w:r w:rsidRPr="00D63F79">
        <w:t xml:space="preserve">infections include recent surgery, intubation and mechanical ventilation, aspiration of water contaminated with </w:t>
      </w:r>
      <w:r w:rsidR="00657FEF" w:rsidRPr="00D63F79">
        <w:rPr>
          <w:i/>
        </w:rPr>
        <w:t>Legionella</w:t>
      </w:r>
      <w:r w:rsidR="00657FEF" w:rsidRPr="00D63F79">
        <w:t xml:space="preserve"> </w:t>
      </w:r>
      <w:r w:rsidRPr="00D63F79">
        <w:t xml:space="preserve">including nasogastric feeds and the use of respiratory therapy equipment contaminated with </w:t>
      </w:r>
      <w:r w:rsidR="00657FEF" w:rsidRPr="00D63F79">
        <w:rPr>
          <w:i/>
        </w:rPr>
        <w:t>L</w:t>
      </w:r>
      <w:r w:rsidRPr="00D63F79">
        <w:rPr>
          <w:i/>
        </w:rPr>
        <w:t>egionella</w:t>
      </w:r>
      <w:r w:rsidRPr="00D63F79">
        <w:t>.</w:t>
      </w:r>
      <w:r w:rsidR="00B603F3" w:rsidRPr="00D63F79">
        <w:rPr>
          <w:vertAlign w:val="superscript"/>
        </w:rPr>
        <w:t>1</w:t>
      </w:r>
      <w:r w:rsidR="00EF2537">
        <w:rPr>
          <w:vertAlign w:val="superscript"/>
        </w:rPr>
        <w:t>9</w:t>
      </w:r>
      <w:r w:rsidR="00D5155B">
        <w:rPr>
          <w:vertAlign w:val="superscript"/>
        </w:rPr>
        <w:t xml:space="preserve"> </w:t>
      </w:r>
      <w:r w:rsidR="00B603F3" w:rsidRPr="00D63F79">
        <w:t xml:space="preserve">Risks </w:t>
      </w:r>
      <w:r w:rsidRPr="00D63F79">
        <w:t>are further elevated if there has been recent plumbing work which has caused disturbance of biofilm or a prior history of nosocomial cases in the healthcare facility</w:t>
      </w:r>
      <w:r w:rsidR="00874EBB">
        <w:t>,</w:t>
      </w:r>
      <w:r w:rsidRPr="00D63F79">
        <w:t xml:space="preserve"> given the difficulties of eradicating </w:t>
      </w:r>
      <w:r w:rsidR="00657FEF" w:rsidRPr="00D63F79">
        <w:rPr>
          <w:i/>
        </w:rPr>
        <w:t>L</w:t>
      </w:r>
      <w:r w:rsidRPr="00D63F79">
        <w:rPr>
          <w:i/>
        </w:rPr>
        <w:t>egionella</w:t>
      </w:r>
      <w:r w:rsidRPr="00D63F79">
        <w:t>.</w:t>
      </w:r>
      <w:r w:rsidR="00EE4ABB" w:rsidRPr="00EE4ABB">
        <w:rPr>
          <w:vertAlign w:val="superscript"/>
        </w:rPr>
        <w:t xml:space="preserve"> </w:t>
      </w:r>
      <w:r w:rsidR="00EF2537">
        <w:rPr>
          <w:vertAlign w:val="superscript"/>
        </w:rPr>
        <w:t>20</w:t>
      </w:r>
      <w:r w:rsidRPr="00D63F79">
        <w:t xml:space="preserve"> </w:t>
      </w:r>
    </w:p>
    <w:p w14:paraId="55CC7245" w14:textId="77777777" w:rsidR="00A502A7" w:rsidRPr="00D63F79" w:rsidRDefault="00A502A7" w:rsidP="00C05EBA">
      <w:pPr>
        <w:pStyle w:val="Heading2"/>
      </w:pPr>
      <w:r w:rsidRPr="00D63F79">
        <w:t xml:space="preserve">Disease occurrence and public health significance </w:t>
      </w:r>
    </w:p>
    <w:p w14:paraId="1F489690" w14:textId="77777777" w:rsidR="00A502A7" w:rsidRPr="00D63F79" w:rsidRDefault="00A502A7" w:rsidP="00C05EBA">
      <w:r w:rsidRPr="00D63F79">
        <w:t>Legionnaires' disease is an important cause of community-acquired and hospital-acquired pneumonia with outbreaks of public health significance being reported globally.</w:t>
      </w:r>
      <w:r w:rsidR="00EE4ABB">
        <w:rPr>
          <w:vertAlign w:val="superscript"/>
        </w:rPr>
        <w:t>20</w:t>
      </w:r>
      <w:r w:rsidR="00EF2537">
        <w:rPr>
          <w:vertAlign w:val="superscript"/>
        </w:rPr>
        <w:t>,21</w:t>
      </w:r>
      <w:r w:rsidR="00EE4ABB" w:rsidRPr="00D63F79">
        <w:rPr>
          <w:vertAlign w:val="superscript"/>
        </w:rPr>
        <w:t xml:space="preserve"> </w:t>
      </w:r>
      <w:r w:rsidRPr="00D63F79">
        <w:t>Global incidence is difficult to quantify due to inequalities of case definitions, diagnostics and surveillance systems.</w:t>
      </w:r>
      <w:r w:rsidR="00EE4ABB" w:rsidRPr="00D63F79">
        <w:rPr>
          <w:vertAlign w:val="superscript"/>
        </w:rPr>
        <w:t>2</w:t>
      </w:r>
      <w:r w:rsidR="00EF2537">
        <w:rPr>
          <w:vertAlign w:val="superscript"/>
        </w:rPr>
        <w:t>1</w:t>
      </w:r>
      <w:r w:rsidR="00B603F3">
        <w:rPr>
          <w:vertAlign w:val="superscript"/>
        </w:rPr>
        <w:t>,2</w:t>
      </w:r>
      <w:r w:rsidR="00EF2537">
        <w:rPr>
          <w:vertAlign w:val="superscript"/>
        </w:rPr>
        <w:t>2</w:t>
      </w:r>
    </w:p>
    <w:p w14:paraId="3EC4CF74" w14:textId="77777777" w:rsidR="00A502A7" w:rsidRPr="00D332DB" w:rsidRDefault="00A502A7" w:rsidP="00C05EBA">
      <w:pPr>
        <w:rPr>
          <w:vertAlign w:val="superscript"/>
        </w:rPr>
      </w:pPr>
      <w:r w:rsidRPr="00D63F79">
        <w:t>Most cases of legionellosis are sporadic.</w:t>
      </w:r>
      <w:r w:rsidR="002A02AB" w:rsidRPr="00D63F79">
        <w:t xml:space="preserve"> </w:t>
      </w:r>
      <w:r w:rsidRPr="00D63F79">
        <w:t xml:space="preserve">Cases </w:t>
      </w:r>
      <w:r w:rsidR="006A7A3A" w:rsidRPr="00D63F79">
        <w:t xml:space="preserve">occur </w:t>
      </w:r>
      <w:r w:rsidRPr="00D63F79">
        <w:t xml:space="preserve">more commonly </w:t>
      </w:r>
      <w:r w:rsidR="00960491" w:rsidRPr="00D63F79">
        <w:t>among adults</w:t>
      </w:r>
      <w:r w:rsidRPr="00D63F79">
        <w:t xml:space="preserve"> over the age of 50 years</w:t>
      </w:r>
      <w:r w:rsidR="00960491" w:rsidRPr="00D63F79">
        <w:t xml:space="preserve"> and</w:t>
      </w:r>
      <w:r w:rsidRPr="00D63F79">
        <w:t xml:space="preserve"> men</w:t>
      </w:r>
      <w:r w:rsidR="00960491" w:rsidRPr="00D63F79">
        <w:t>.</w:t>
      </w:r>
      <w:r w:rsidR="00EF2537">
        <w:rPr>
          <w:vertAlign w:val="superscript"/>
        </w:rPr>
        <w:t>9,16</w:t>
      </w:r>
      <w:r w:rsidR="00EE4ABB" w:rsidRPr="00D63F79">
        <w:t xml:space="preserve"> </w:t>
      </w:r>
      <w:r w:rsidR="006A7A3A" w:rsidRPr="00D63F79">
        <w:t>The disease is rare in children.</w:t>
      </w:r>
    </w:p>
    <w:p w14:paraId="1F577760" w14:textId="77777777" w:rsidR="00A502A7" w:rsidRPr="00D63F79" w:rsidRDefault="00A502A7" w:rsidP="00C05EBA">
      <w:r w:rsidRPr="00D63F79">
        <w:t xml:space="preserve">In recent years, an average of 400 confirmed and probable legionellosis cases have been notified in Australia each year. </w:t>
      </w:r>
      <w:r w:rsidR="00960491" w:rsidRPr="00D63F79">
        <w:t>In 2014</w:t>
      </w:r>
      <w:r w:rsidR="00D5155B">
        <w:t xml:space="preserve"> </w:t>
      </w:r>
      <w:r w:rsidR="00960491" w:rsidRPr="00D63F79">
        <w:t>t</w:t>
      </w:r>
      <w:r w:rsidRPr="00D63F79">
        <w:t>he notification</w:t>
      </w:r>
      <w:r w:rsidR="001E467A">
        <w:t xml:space="preserve"> rate was 1.8 cases per 100,000 </w:t>
      </w:r>
      <w:r w:rsidRPr="00D63F79">
        <w:t>population (range 1.4 – 2.2 cases per 100,000 population between 2010 and 2014</w:t>
      </w:r>
      <w:proofErr w:type="gramStart"/>
      <w:r w:rsidRPr="00D63F79">
        <w:t>)</w:t>
      </w:r>
      <w:r w:rsidR="00611073">
        <w:t xml:space="preserve">  </w:t>
      </w:r>
      <w:r w:rsidRPr="00D63F79">
        <w:t>(</w:t>
      </w:r>
      <w:proofErr w:type="gramEnd"/>
      <w:r w:rsidRPr="00D63F79">
        <w:t xml:space="preserve">NNDSS data). While in many countries </w:t>
      </w:r>
      <w:r w:rsidRPr="00D63F79">
        <w:rPr>
          <w:i/>
        </w:rPr>
        <w:t>L. pneumophila</w:t>
      </w:r>
      <w:r w:rsidRPr="00D63F79">
        <w:t xml:space="preserve"> serogroup 1 is the most comm</w:t>
      </w:r>
      <w:r w:rsidR="00960491" w:rsidRPr="00D63F79">
        <w:t>on causative agent, i</w:t>
      </w:r>
      <w:r w:rsidRPr="00D63F79">
        <w:t>n Australia,</w:t>
      </w:r>
      <w:r w:rsidR="002A02AB" w:rsidRPr="00D63F79">
        <w:t xml:space="preserve"> </w:t>
      </w:r>
      <w:r w:rsidRPr="00D63F79">
        <w:rPr>
          <w:i/>
        </w:rPr>
        <w:t xml:space="preserve">L. </w:t>
      </w:r>
      <w:proofErr w:type="spellStart"/>
      <w:r w:rsidRPr="00D63F79">
        <w:rPr>
          <w:i/>
        </w:rPr>
        <w:t>longbeachae</w:t>
      </w:r>
      <w:proofErr w:type="spellEnd"/>
      <w:r w:rsidR="002A02AB" w:rsidRPr="00D63F79">
        <w:rPr>
          <w:i/>
        </w:rPr>
        <w:t xml:space="preserve"> </w:t>
      </w:r>
      <w:r w:rsidRPr="00D63F79">
        <w:t xml:space="preserve">and </w:t>
      </w:r>
      <w:r w:rsidRPr="00D63F79">
        <w:rPr>
          <w:i/>
        </w:rPr>
        <w:t>L.</w:t>
      </w:r>
      <w:r w:rsidR="002A02AB" w:rsidRPr="00D63F79">
        <w:rPr>
          <w:i/>
        </w:rPr>
        <w:t xml:space="preserve"> </w:t>
      </w:r>
      <w:r w:rsidRPr="00D63F79">
        <w:rPr>
          <w:i/>
        </w:rPr>
        <w:t>pneumophila</w:t>
      </w:r>
      <w:r w:rsidRPr="00D63F79">
        <w:t xml:space="preserve"> are notified in almost equal numbers.  Notified species in Australia vary by geographical location, with </w:t>
      </w:r>
      <w:r w:rsidR="00874EBB">
        <w:rPr>
          <w:i/>
        </w:rPr>
        <w:t>L. </w:t>
      </w:r>
      <w:proofErr w:type="spellStart"/>
      <w:r w:rsidR="00874EBB">
        <w:rPr>
          <w:i/>
        </w:rPr>
        <w:t>l</w:t>
      </w:r>
      <w:r w:rsidRPr="00D63F79">
        <w:rPr>
          <w:i/>
        </w:rPr>
        <w:t>ongbeachae</w:t>
      </w:r>
      <w:proofErr w:type="spellEnd"/>
      <w:r w:rsidRPr="00D63F79">
        <w:t xml:space="preserve"> usually comprising </w:t>
      </w:r>
      <w:proofErr w:type="gramStart"/>
      <w:r w:rsidRPr="00D63F79">
        <w:t>the majority of</w:t>
      </w:r>
      <w:proofErr w:type="gramEnd"/>
      <w:r w:rsidRPr="00D63F79">
        <w:t xml:space="preserve"> notifications for South Australia and Western Australia while </w:t>
      </w:r>
      <w:r w:rsidRPr="00D63F79">
        <w:rPr>
          <w:i/>
        </w:rPr>
        <w:t>L. pneumophila</w:t>
      </w:r>
      <w:r w:rsidRPr="00D63F79">
        <w:t xml:space="preserve"> has comprised the majority of notifications in Victoria and New South Wales.</w:t>
      </w:r>
      <w:r w:rsidRPr="00D63F79">
        <w:rPr>
          <w:vertAlign w:val="superscript"/>
        </w:rPr>
        <w:t>2</w:t>
      </w:r>
      <w:r w:rsidR="007F3BD9">
        <w:rPr>
          <w:vertAlign w:val="superscript"/>
        </w:rPr>
        <w:t>3</w:t>
      </w:r>
    </w:p>
    <w:p w14:paraId="798B565E" w14:textId="77777777" w:rsidR="00A502A7" w:rsidRPr="00D63F79" w:rsidRDefault="00A502A7" w:rsidP="00C05EBA">
      <w:r w:rsidRPr="00D63F79">
        <w:t>Cases occur throughout the year</w:t>
      </w:r>
      <w:r w:rsidR="00536525" w:rsidRPr="00D63F79">
        <w:t xml:space="preserve">. </w:t>
      </w:r>
      <w:r w:rsidRPr="00D63F79">
        <w:rPr>
          <w:i/>
        </w:rPr>
        <w:t>Legionella</w:t>
      </w:r>
      <w:r w:rsidRPr="00D63F79">
        <w:t xml:space="preserve"> accoun</w:t>
      </w:r>
      <w:r w:rsidR="00E07E3F">
        <w:t>ts for between 0.5 and 5 per cent</w:t>
      </w:r>
      <w:r w:rsidRPr="00D63F79">
        <w:t xml:space="preserve"> of cases of community acquired pneumonia.</w:t>
      </w:r>
      <w:r w:rsidR="007F3BD9">
        <w:rPr>
          <w:vertAlign w:val="superscript"/>
        </w:rPr>
        <w:t>9</w:t>
      </w:r>
      <w:r w:rsidR="000C39D1">
        <w:rPr>
          <w:vertAlign w:val="superscript"/>
        </w:rPr>
        <w:t>,2</w:t>
      </w:r>
      <w:r w:rsidR="007F3BD9">
        <w:rPr>
          <w:vertAlign w:val="superscript"/>
        </w:rPr>
        <w:t>4</w:t>
      </w:r>
    </w:p>
    <w:p w14:paraId="717D52B3" w14:textId="77777777" w:rsidR="00A502A7" w:rsidRPr="00D63F79" w:rsidRDefault="00A502A7" w:rsidP="00C05EBA">
      <w:pPr>
        <w:pStyle w:val="Heading1"/>
      </w:pPr>
      <w:r w:rsidRPr="00D63F79">
        <w:t xml:space="preserve">3. Routine prevention activities </w:t>
      </w:r>
    </w:p>
    <w:p w14:paraId="6FDA9549" w14:textId="77777777" w:rsidR="007D4BA9" w:rsidRPr="00D63F79" w:rsidRDefault="00A502A7">
      <w:r w:rsidRPr="00D63F79">
        <w:t>Prevention</w:t>
      </w:r>
      <w:r w:rsidR="002A02AB" w:rsidRPr="00D63F79">
        <w:t xml:space="preserve"> </w:t>
      </w:r>
      <w:r w:rsidRPr="00D63F79">
        <w:t xml:space="preserve">measures for legionellosis focus on the management of the environments in which </w:t>
      </w:r>
      <w:r w:rsidR="00657FEF" w:rsidRPr="00D63F79">
        <w:rPr>
          <w:i/>
        </w:rPr>
        <w:t>L</w:t>
      </w:r>
      <w:r w:rsidRPr="00D63F79">
        <w:rPr>
          <w:i/>
        </w:rPr>
        <w:t>egionella</w:t>
      </w:r>
      <w:r w:rsidRPr="00D63F79">
        <w:t xml:space="preserve"> are likely to proliferate. This includes ensuring compliance with national standards and codes of practice to reduce risk of proliferation</w:t>
      </w:r>
      <w:r w:rsidR="002A02AB" w:rsidRPr="00D63F79">
        <w:t xml:space="preserve"> </w:t>
      </w:r>
      <w:r w:rsidRPr="00D63F79">
        <w:t xml:space="preserve">and subsequent infection. </w:t>
      </w:r>
    </w:p>
    <w:p w14:paraId="2F9DFFE4" w14:textId="77777777" w:rsidR="00A502A7" w:rsidRPr="00D332DB" w:rsidRDefault="00A502A7" w:rsidP="00C05EBA">
      <w:pPr>
        <w:pStyle w:val="ListParagraph"/>
        <w:numPr>
          <w:ilvl w:val="0"/>
          <w:numId w:val="6"/>
        </w:numPr>
      </w:pPr>
      <w:r w:rsidRPr="00D332DB">
        <w:t>C</w:t>
      </w:r>
      <w:r w:rsidR="00657FEF" w:rsidRPr="00D332DB">
        <w:t>ooling water systems</w:t>
      </w:r>
      <w:r w:rsidRPr="00D332DB">
        <w:t xml:space="preserve"> and warm water sources</w:t>
      </w:r>
      <w:r w:rsidRPr="00D63F79">
        <w:t>:</w:t>
      </w:r>
      <w:r w:rsidR="002A02AB" w:rsidRPr="00D63F79">
        <w:t xml:space="preserve"> </w:t>
      </w:r>
      <w:r w:rsidRPr="00D63F79">
        <w:t xml:space="preserve">Preventative measures focus on </w:t>
      </w:r>
      <w:proofErr w:type="spellStart"/>
      <w:r w:rsidRPr="00D63F79">
        <w:t>minimising</w:t>
      </w:r>
      <w:proofErr w:type="spellEnd"/>
      <w:r w:rsidRPr="00D63F79">
        <w:t xml:space="preserve"> the risk of the growth of </w:t>
      </w:r>
      <w:r w:rsidRPr="00874EBB">
        <w:rPr>
          <w:i/>
        </w:rPr>
        <w:t>Legionella</w:t>
      </w:r>
      <w:r w:rsidR="00960491" w:rsidRPr="00D63F79">
        <w:t xml:space="preserve"> (especially </w:t>
      </w:r>
      <w:r w:rsidR="00960491" w:rsidRPr="00D63F79">
        <w:rPr>
          <w:i/>
        </w:rPr>
        <w:t>L. pneumophila</w:t>
      </w:r>
      <w:r w:rsidR="00960491" w:rsidRPr="00D63F79">
        <w:t>)</w:t>
      </w:r>
      <w:r w:rsidRPr="00D63F79">
        <w:t xml:space="preserve"> in cooling towers and warm water sources through maintenance, water quality, education of building operators, legislation and enforcement. Relevant standards for the control and prevention of </w:t>
      </w:r>
      <w:r w:rsidRPr="00D63F79">
        <w:rPr>
          <w:i/>
        </w:rPr>
        <w:t xml:space="preserve">Legionella </w:t>
      </w:r>
      <w:r w:rsidRPr="00D63F79">
        <w:t>in cooling systems include the Australian/New Zealand Standard AS/NZS 3666: 2011, ‘Air-handling</w:t>
      </w:r>
      <w:r w:rsidR="001E467A">
        <w:t xml:space="preserve"> and water systems of buildings </w:t>
      </w:r>
      <w:r w:rsidRPr="00D63F79">
        <w:t>Microbial control’.</w:t>
      </w:r>
      <w:r w:rsidRPr="00D63F79">
        <w:rPr>
          <w:vertAlign w:val="superscript"/>
        </w:rPr>
        <w:t>2</w:t>
      </w:r>
      <w:r w:rsidR="007F3BD9">
        <w:rPr>
          <w:vertAlign w:val="superscript"/>
        </w:rPr>
        <w:t>5</w:t>
      </w:r>
      <w:r w:rsidRPr="00D63F79">
        <w:t xml:space="preserve"> Further guidance can also be found in other relevant Australian and Australian/New Zealand Standards and State and Territory guidelines.</w:t>
      </w:r>
      <w:r w:rsidR="00D75C0B" w:rsidRPr="00D63F79">
        <w:rPr>
          <w:vertAlign w:val="superscript"/>
        </w:rPr>
        <w:t>1</w:t>
      </w:r>
      <w:r w:rsidR="007F3BD9">
        <w:rPr>
          <w:vertAlign w:val="superscript"/>
        </w:rPr>
        <w:t>9</w:t>
      </w:r>
      <w:r w:rsidRPr="00D63F79">
        <w:rPr>
          <w:vertAlign w:val="superscript"/>
        </w:rPr>
        <w:t>,</w:t>
      </w:r>
      <w:r w:rsidR="00EE4ABB" w:rsidRPr="00D63F79">
        <w:rPr>
          <w:vertAlign w:val="superscript"/>
        </w:rPr>
        <w:t>2</w:t>
      </w:r>
      <w:r w:rsidR="007F3BD9">
        <w:rPr>
          <w:vertAlign w:val="superscript"/>
        </w:rPr>
        <w:t>5</w:t>
      </w:r>
    </w:p>
    <w:p w14:paraId="5B6E96BB" w14:textId="77777777" w:rsidR="00D332DB" w:rsidRPr="00D63F79" w:rsidRDefault="00D332DB" w:rsidP="00D332DB">
      <w:pPr>
        <w:pStyle w:val="ListParagraph"/>
        <w:ind w:left="720" w:firstLine="0"/>
      </w:pPr>
    </w:p>
    <w:p w14:paraId="3C997A05" w14:textId="77777777" w:rsidR="00A502A7" w:rsidRDefault="00A502A7" w:rsidP="00C05EBA">
      <w:pPr>
        <w:pStyle w:val="ListParagraph"/>
        <w:numPr>
          <w:ilvl w:val="0"/>
          <w:numId w:val="6"/>
        </w:numPr>
      </w:pPr>
      <w:r w:rsidRPr="00D332DB">
        <w:t>Compost and potting mix</w:t>
      </w:r>
      <w:r w:rsidRPr="00D63F79">
        <w:rPr>
          <w:i/>
        </w:rPr>
        <w:t xml:space="preserve">: L. </w:t>
      </w:r>
      <w:proofErr w:type="spellStart"/>
      <w:r w:rsidRPr="00D63F79">
        <w:rPr>
          <w:i/>
        </w:rPr>
        <w:t>longbeachae</w:t>
      </w:r>
      <w:proofErr w:type="spellEnd"/>
      <w:r w:rsidRPr="00D63F79">
        <w:t xml:space="preserve"> </w:t>
      </w:r>
      <w:r w:rsidR="007D4BA9">
        <w:t xml:space="preserve">infection </w:t>
      </w:r>
      <w:r w:rsidRPr="00D63F79">
        <w:t xml:space="preserve">prevention at the individual level focuses on education to reduce individual </w:t>
      </w:r>
      <w:proofErr w:type="spellStart"/>
      <w:r w:rsidRPr="00D63F79">
        <w:t>behavioural</w:t>
      </w:r>
      <w:proofErr w:type="spellEnd"/>
      <w:r w:rsidRPr="00D63F79">
        <w:t xml:space="preserve"> risk factors such as encouraging the wearing of gardening gloves, moistening down potting mixes and compost before use, avoid inhalation and paying rigorous attention to hand washing especially after handling potting mix as well as before eating, drinking or smoking.  At the industry level, codes of practice have resulted in warning labels promoting safe handling being placed on bags of potting mix.</w:t>
      </w:r>
    </w:p>
    <w:p w14:paraId="66EAF5D8" w14:textId="77777777" w:rsidR="00D332DB" w:rsidRPr="00D63F79" w:rsidRDefault="00D332DB" w:rsidP="00D332DB">
      <w:pPr>
        <w:pStyle w:val="ListParagraph"/>
        <w:ind w:left="720" w:firstLine="0"/>
      </w:pPr>
    </w:p>
    <w:p w14:paraId="5EE64C1D" w14:textId="77777777" w:rsidR="00A502A7" w:rsidRPr="00D332DB" w:rsidRDefault="00A502A7" w:rsidP="00C05EBA">
      <w:pPr>
        <w:pStyle w:val="ListParagraph"/>
        <w:numPr>
          <w:ilvl w:val="0"/>
          <w:numId w:val="6"/>
        </w:numPr>
      </w:pPr>
      <w:r w:rsidRPr="00D332DB">
        <w:t>Clinical and infection control practices in healthcare facilities</w:t>
      </w:r>
      <w:r w:rsidRPr="00D63F79">
        <w:t xml:space="preserve">: Only sterile water should be used to clean </w:t>
      </w:r>
      <w:proofErr w:type="spellStart"/>
      <w:r w:rsidRPr="00D63F79">
        <w:t>nebuliser</w:t>
      </w:r>
      <w:proofErr w:type="spellEnd"/>
      <w:r w:rsidRPr="00D63F79">
        <w:t xml:space="preserve"> medication chambers and in the preparation of aerosol solutions for use in </w:t>
      </w:r>
      <w:proofErr w:type="spellStart"/>
      <w:r w:rsidRPr="00D63F79">
        <w:t>nebulisers</w:t>
      </w:r>
      <w:proofErr w:type="spellEnd"/>
      <w:r w:rsidRPr="00D63F79">
        <w:t xml:space="preserve"> and humidifiers.</w:t>
      </w:r>
      <w:r w:rsidR="007F3BD9">
        <w:rPr>
          <w:vertAlign w:val="superscript"/>
        </w:rPr>
        <w:t>10</w:t>
      </w:r>
      <w:r w:rsidR="00D75C0B">
        <w:rPr>
          <w:vertAlign w:val="superscript"/>
        </w:rPr>
        <w:t>-1</w:t>
      </w:r>
      <w:r w:rsidR="007F3BD9">
        <w:rPr>
          <w:vertAlign w:val="superscript"/>
        </w:rPr>
        <w:t>2</w:t>
      </w:r>
      <w:r w:rsidR="00D75C0B">
        <w:rPr>
          <w:vertAlign w:val="superscript"/>
        </w:rPr>
        <w:t xml:space="preserve"> </w:t>
      </w:r>
      <w:r w:rsidR="00EE4ABB" w:rsidRPr="00D63F79">
        <w:t xml:space="preserve">In </w:t>
      </w:r>
      <w:r w:rsidRPr="00D63F79">
        <w:t>immunosuppressed and intubated patients, nasogastric tubes should only be flushed with sterile water.</w:t>
      </w:r>
      <w:r w:rsidR="007F3BD9">
        <w:rPr>
          <w:vertAlign w:val="superscript"/>
        </w:rPr>
        <w:t>10</w:t>
      </w:r>
      <w:r w:rsidRPr="00D63F79">
        <w:rPr>
          <w:vertAlign w:val="superscript"/>
        </w:rPr>
        <w:t>,</w:t>
      </w:r>
      <w:r w:rsidR="00EE4ABB" w:rsidRPr="00D63F79">
        <w:rPr>
          <w:vertAlign w:val="superscript"/>
        </w:rPr>
        <w:t>2</w:t>
      </w:r>
      <w:r w:rsidR="007F3BD9">
        <w:rPr>
          <w:vertAlign w:val="superscript"/>
        </w:rPr>
        <w:t>6</w:t>
      </w:r>
    </w:p>
    <w:p w14:paraId="4402DCE9" w14:textId="77777777" w:rsidR="00A502A7" w:rsidRPr="00D63F79" w:rsidRDefault="00A502A7" w:rsidP="00C05EBA">
      <w:pPr>
        <w:pStyle w:val="Heading1"/>
      </w:pPr>
      <w:r w:rsidRPr="00D63F79">
        <w:t>4. Surveillance objectives</w:t>
      </w:r>
    </w:p>
    <w:p w14:paraId="3CE1B175" w14:textId="77777777" w:rsidR="00A502A7" w:rsidRPr="00D63F79" w:rsidRDefault="00A502A7" w:rsidP="00C05EBA">
      <w:r w:rsidRPr="00D63F79">
        <w:t>The objectives of surveillance for legionellosis are:</w:t>
      </w:r>
    </w:p>
    <w:p w14:paraId="3961B50A" w14:textId="77777777" w:rsidR="00A502A7" w:rsidRPr="003A4A1A" w:rsidRDefault="00A502A7" w:rsidP="001E467A">
      <w:pPr>
        <w:pStyle w:val="bullet"/>
        <w:numPr>
          <w:ilvl w:val="0"/>
          <w:numId w:val="21"/>
        </w:numPr>
        <w:rPr>
          <w:rFonts w:ascii="Arial" w:hAnsi="Arial" w:cs="Arial"/>
        </w:rPr>
      </w:pPr>
      <w:r w:rsidRPr="003A4A1A">
        <w:rPr>
          <w:rFonts w:ascii="Arial" w:hAnsi="Arial" w:cs="Arial"/>
        </w:rPr>
        <w:t xml:space="preserve">to identify </w:t>
      </w:r>
      <w:r w:rsidR="00960491" w:rsidRPr="003A4A1A">
        <w:rPr>
          <w:rFonts w:ascii="Arial" w:hAnsi="Arial" w:cs="Arial"/>
        </w:rPr>
        <w:t>potential</w:t>
      </w:r>
      <w:r w:rsidRPr="003A4A1A">
        <w:rPr>
          <w:rFonts w:ascii="Arial" w:hAnsi="Arial" w:cs="Arial"/>
        </w:rPr>
        <w:t xml:space="preserve"> common sources of infection considering geography, time, travel or other possible links</w:t>
      </w:r>
      <w:r w:rsidR="00960491" w:rsidRPr="003A4A1A">
        <w:rPr>
          <w:rFonts w:ascii="Arial" w:hAnsi="Arial" w:cs="Arial"/>
        </w:rPr>
        <w:t xml:space="preserve">, </w:t>
      </w:r>
      <w:proofErr w:type="gramStart"/>
      <w:r w:rsidR="00960491" w:rsidRPr="003A4A1A">
        <w:rPr>
          <w:rFonts w:ascii="Arial" w:hAnsi="Arial" w:cs="Arial"/>
        </w:rPr>
        <w:t>so as to</w:t>
      </w:r>
      <w:proofErr w:type="gramEnd"/>
      <w:r w:rsidR="00960491" w:rsidRPr="003A4A1A">
        <w:rPr>
          <w:rFonts w:ascii="Arial" w:hAnsi="Arial" w:cs="Arial"/>
        </w:rPr>
        <w:t xml:space="preserve"> enable environmental investigation and control measures, where appropriate</w:t>
      </w:r>
    </w:p>
    <w:p w14:paraId="746B0ACF" w14:textId="77777777" w:rsidR="00A502A7" w:rsidRPr="003A4A1A" w:rsidRDefault="00A502A7" w:rsidP="001E467A">
      <w:pPr>
        <w:pStyle w:val="bullet"/>
        <w:numPr>
          <w:ilvl w:val="0"/>
          <w:numId w:val="21"/>
        </w:numPr>
        <w:rPr>
          <w:rFonts w:ascii="Arial" w:hAnsi="Arial" w:cs="Arial"/>
        </w:rPr>
      </w:pPr>
      <w:r w:rsidRPr="003A4A1A">
        <w:rPr>
          <w:rFonts w:ascii="Arial" w:hAnsi="Arial" w:cs="Arial"/>
        </w:rPr>
        <w:t>identifying clusters and outbreaks</w:t>
      </w:r>
      <w:r w:rsidRPr="003A4A1A">
        <w:rPr>
          <w:rStyle w:val="FootnoteReference"/>
          <w:rFonts w:ascii="Arial" w:hAnsi="Arial" w:cs="Arial"/>
        </w:rPr>
        <w:footnoteReference w:id="2"/>
      </w:r>
      <w:r w:rsidRPr="003A4A1A">
        <w:rPr>
          <w:rFonts w:ascii="Arial" w:hAnsi="Arial" w:cs="Arial"/>
        </w:rPr>
        <w:t>and</w:t>
      </w:r>
    </w:p>
    <w:p w14:paraId="498AA0A8" w14:textId="77777777" w:rsidR="001E467A" w:rsidRPr="001E467A" w:rsidRDefault="00A502A7" w:rsidP="001E467A">
      <w:pPr>
        <w:pStyle w:val="bullet"/>
        <w:numPr>
          <w:ilvl w:val="0"/>
          <w:numId w:val="21"/>
        </w:numPr>
      </w:pPr>
      <w:r w:rsidRPr="003A4A1A">
        <w:rPr>
          <w:rFonts w:ascii="Arial" w:hAnsi="Arial" w:cs="Arial"/>
        </w:rPr>
        <w:t>to monitor the epidemiology of legionellosis, especially Legionnaires’ disease,</w:t>
      </w:r>
      <w:r w:rsidR="002A02AB" w:rsidRPr="003A4A1A">
        <w:rPr>
          <w:rFonts w:ascii="Arial" w:hAnsi="Arial" w:cs="Arial"/>
        </w:rPr>
        <w:t xml:space="preserve"> </w:t>
      </w:r>
      <w:r w:rsidRPr="003A4A1A">
        <w:rPr>
          <w:rFonts w:ascii="Arial" w:hAnsi="Arial" w:cs="Arial"/>
        </w:rPr>
        <w:t>to inform the development of better prevention strategies</w:t>
      </w:r>
      <w:r w:rsidRPr="00D63F79">
        <w:t>.</w:t>
      </w:r>
    </w:p>
    <w:p w14:paraId="664237CD" w14:textId="77777777" w:rsidR="00A502A7" w:rsidRPr="00D63F79" w:rsidRDefault="00A502A7" w:rsidP="00C05EBA">
      <w:pPr>
        <w:pStyle w:val="Heading1"/>
      </w:pPr>
      <w:r w:rsidRPr="00D63F79">
        <w:t>5. Data management</w:t>
      </w:r>
    </w:p>
    <w:p w14:paraId="1563AD75" w14:textId="77777777" w:rsidR="00C44C95" w:rsidRPr="00D63F79" w:rsidRDefault="00C44C95" w:rsidP="00C05EBA">
      <w:r w:rsidRPr="00D63F79">
        <w:t xml:space="preserve">All probable and confirmed cases of </w:t>
      </w:r>
      <w:r w:rsidRPr="00D63F79">
        <w:rPr>
          <w:i/>
        </w:rPr>
        <w:t>L. pneumophila</w:t>
      </w:r>
      <w:r w:rsidRPr="00D63F79">
        <w:t xml:space="preserve"> and any clusters/outbreaks caused by other </w:t>
      </w:r>
      <w:r w:rsidRPr="00D63F79">
        <w:rPr>
          <w:i/>
        </w:rPr>
        <w:t>Legionella</w:t>
      </w:r>
      <w:r w:rsidRPr="00D63F79">
        <w:t xml:space="preserve"> species </w:t>
      </w:r>
      <w:r w:rsidR="00A502A7" w:rsidRPr="00D63F79">
        <w:t>should be entered onto the notifiable diseases database</w:t>
      </w:r>
      <w:r w:rsidR="00D75C0B">
        <w:t xml:space="preserve"> </w:t>
      </w:r>
      <w:r w:rsidR="00A502A7" w:rsidRPr="00D63F79">
        <w:t xml:space="preserve">within three working days following notification. </w:t>
      </w:r>
    </w:p>
    <w:p w14:paraId="2C023041" w14:textId="77777777" w:rsidR="00A502A7" w:rsidRPr="00D63F79" w:rsidRDefault="00C44C95" w:rsidP="00C05EBA">
      <w:r w:rsidRPr="00D63F79">
        <w:t xml:space="preserve">Sporadic probable and confirmed cases of </w:t>
      </w:r>
      <w:r w:rsidRPr="00D63F79">
        <w:rPr>
          <w:i/>
        </w:rPr>
        <w:t xml:space="preserve">L. </w:t>
      </w:r>
      <w:proofErr w:type="spellStart"/>
      <w:r w:rsidRPr="00D63F79">
        <w:rPr>
          <w:i/>
        </w:rPr>
        <w:t>longbeachae</w:t>
      </w:r>
      <w:proofErr w:type="spellEnd"/>
      <w:r w:rsidR="00960491" w:rsidRPr="00D63F79">
        <w:t xml:space="preserve"> </w:t>
      </w:r>
      <w:r w:rsidRPr="00D63F79">
        <w:t xml:space="preserve">and other </w:t>
      </w:r>
      <w:r w:rsidR="00E17718" w:rsidRPr="00D63F79">
        <w:t>non-</w:t>
      </w:r>
      <w:r w:rsidR="00E17718" w:rsidRPr="00D63F79">
        <w:rPr>
          <w:i/>
        </w:rPr>
        <w:t xml:space="preserve">L. </w:t>
      </w:r>
      <w:r w:rsidRPr="00D63F79">
        <w:rPr>
          <w:i/>
        </w:rPr>
        <w:t>pneumophila</w:t>
      </w:r>
      <w:r w:rsidRPr="00D63F79">
        <w:t xml:space="preserve"> cases</w:t>
      </w:r>
      <w:r w:rsidR="00A502A7" w:rsidRPr="00D63F79">
        <w:t xml:space="preserve"> </w:t>
      </w:r>
      <w:r w:rsidRPr="00D63F79">
        <w:t xml:space="preserve">should be entered onto the notifiable diseases database within five working days following notification. </w:t>
      </w:r>
    </w:p>
    <w:p w14:paraId="6B0203C7" w14:textId="77777777" w:rsidR="00A502A7" w:rsidRPr="00D63F79" w:rsidRDefault="00A502A7" w:rsidP="00C05EBA">
      <w:r w:rsidRPr="00D63F79">
        <w:t xml:space="preserve">Update the serogroup information within one working day of report. </w:t>
      </w:r>
    </w:p>
    <w:p w14:paraId="4757E526" w14:textId="77777777" w:rsidR="00A502A7" w:rsidRPr="00007C1D" w:rsidRDefault="00A502A7" w:rsidP="00007C1D">
      <w:pPr>
        <w:pStyle w:val="Heading1"/>
      </w:pPr>
      <w:bookmarkStart w:id="0" w:name="_6._Communications"/>
      <w:bookmarkEnd w:id="0"/>
      <w:r w:rsidRPr="00007C1D">
        <w:t>6. Communications</w:t>
      </w:r>
    </w:p>
    <w:p w14:paraId="11FEC663" w14:textId="77777777" w:rsidR="00A502A7" w:rsidRPr="00D63F79" w:rsidRDefault="00A502A7" w:rsidP="00C05EBA">
      <w:r w:rsidRPr="00D63F79">
        <w:t>Notify the State or Territory Communicable Diseases Branch (CDB) of the case’s age, sex, onset date and geographical areas of exposure. Where an exposure occurred outside the public health jurisdiction, the CDB or appropriate Public Health Authority will also notify the relevant PHU</w:t>
      </w:r>
      <w:r w:rsidR="002A02AB" w:rsidRPr="00D63F79">
        <w:t xml:space="preserve"> </w:t>
      </w:r>
      <w:r w:rsidRPr="00D63F79">
        <w:t xml:space="preserve">or State or Territory. </w:t>
      </w:r>
    </w:p>
    <w:p w14:paraId="760D86CC" w14:textId="77777777" w:rsidR="00A502A7" w:rsidRPr="00D332DB" w:rsidRDefault="00A502A7" w:rsidP="00C05EBA">
      <w:r w:rsidRPr="00D63F79">
        <w:t xml:space="preserve">The CDB should report to the National Incident Room cases of </w:t>
      </w:r>
      <w:r w:rsidRPr="00D63F79">
        <w:rPr>
          <w:i/>
        </w:rPr>
        <w:t>L. pneumophila</w:t>
      </w:r>
      <w:r w:rsidRPr="00D63F79">
        <w:t xml:space="preserve"> whose </w:t>
      </w:r>
      <w:r w:rsidR="00E17718" w:rsidRPr="00D63F79">
        <w:t>likely place of acquisition was overseas (with detail</w:t>
      </w:r>
      <w:r w:rsidR="007D4BA9">
        <w:t>s</w:t>
      </w:r>
      <w:r w:rsidR="00E17718" w:rsidRPr="00D63F79">
        <w:t xml:space="preserve"> of identified potential exposure locations and </w:t>
      </w:r>
      <w:r w:rsidR="00E17718" w:rsidRPr="00D63F79">
        <w:lastRenderedPageBreak/>
        <w:t>sources, including hotels,</w:t>
      </w:r>
      <w:r w:rsidR="007D4BA9">
        <w:t xml:space="preserve"> spas, misting systems, etc.), </w:t>
      </w:r>
      <w:r w:rsidRPr="00D63F79">
        <w:t>for referral to the relevant national authority. The National Incident Room will advise jurisdictions of any specific known sites of potential exposure overseas as relevant.</w:t>
      </w:r>
    </w:p>
    <w:p w14:paraId="7FF94135" w14:textId="77777777" w:rsidR="00A502A7" w:rsidRPr="00D63F79" w:rsidRDefault="00A502A7" w:rsidP="00C05EBA">
      <w:pPr>
        <w:pStyle w:val="Heading1"/>
      </w:pPr>
      <w:r w:rsidRPr="00D63F79">
        <w:t>7. Case definition</w:t>
      </w:r>
    </w:p>
    <w:p w14:paraId="18478D43" w14:textId="77777777" w:rsidR="00A502A7" w:rsidRPr="00D63F79" w:rsidRDefault="00A502A7" w:rsidP="00C05EBA">
      <w:pPr>
        <w:pStyle w:val="BodyText"/>
        <w:rPr>
          <w:rFonts w:ascii="Arial" w:hAnsi="Arial"/>
          <w:color w:val="auto"/>
        </w:rPr>
      </w:pPr>
      <w:r w:rsidRPr="00573F4F">
        <w:rPr>
          <w:rFonts w:ascii="Arial" w:hAnsi="Arial" w:cs="Arial"/>
        </w:rPr>
        <w:t xml:space="preserve">An up-to-date list of </w:t>
      </w:r>
      <w:hyperlink r:id="rId13" w:history="1">
        <w:r w:rsidRPr="00573F4F">
          <w:rPr>
            <w:rStyle w:val="Hyperlink"/>
            <w:rFonts w:cs="Arial"/>
            <w:color w:val="auto"/>
          </w:rPr>
          <w:t>case definitions</w:t>
        </w:r>
      </w:hyperlink>
      <w:r w:rsidR="002A02AB" w:rsidRPr="00573F4F">
        <w:rPr>
          <w:rStyle w:val="Hyperlink"/>
          <w:rFonts w:cs="Arial"/>
          <w:color w:val="auto"/>
          <w:u w:val="none"/>
        </w:rPr>
        <w:t xml:space="preserve"> </w:t>
      </w:r>
      <w:r w:rsidRPr="00573F4F">
        <w:rPr>
          <w:rFonts w:ascii="Arial" w:hAnsi="Arial" w:cs="Arial"/>
          <w:color w:val="auto"/>
        </w:rPr>
        <w:t>can be found on the</w:t>
      </w:r>
      <w:r w:rsidRPr="00D63F79">
        <w:rPr>
          <w:rFonts w:ascii="Arial" w:hAnsi="Arial"/>
          <w:color w:val="auto"/>
        </w:rPr>
        <w:t xml:space="preserve"> </w:t>
      </w:r>
      <w:hyperlink r:id="rId14" w:history="1">
        <w:r w:rsidRPr="00D332DB">
          <w:rPr>
            <w:rStyle w:val="Hyperlink"/>
          </w:rPr>
          <w:t>Department of Health’s website</w:t>
        </w:r>
      </w:hyperlink>
      <w:r w:rsidRPr="00D63F79">
        <w:rPr>
          <w:rFonts w:ascii="Arial" w:hAnsi="Arial"/>
          <w:color w:val="auto"/>
        </w:rPr>
        <w:t>.</w:t>
      </w:r>
      <w:r w:rsidR="00EE4ABB" w:rsidRPr="00D63F79">
        <w:rPr>
          <w:rFonts w:ascii="Arial" w:hAnsi="Arial"/>
          <w:color w:val="auto"/>
          <w:vertAlign w:val="superscript"/>
        </w:rPr>
        <w:t>2</w:t>
      </w:r>
      <w:r w:rsidR="007F3BD9">
        <w:rPr>
          <w:rFonts w:ascii="Arial" w:hAnsi="Arial"/>
          <w:color w:val="auto"/>
          <w:vertAlign w:val="superscript"/>
        </w:rPr>
        <w:t>7</w:t>
      </w:r>
    </w:p>
    <w:p w14:paraId="0C02F253" w14:textId="77777777" w:rsidR="00A502A7" w:rsidRPr="00D63F79" w:rsidRDefault="00A502A7" w:rsidP="00C05EBA">
      <w:pPr>
        <w:pStyle w:val="BodyText"/>
        <w:rPr>
          <w:rFonts w:ascii="Arial" w:hAnsi="Arial"/>
        </w:rPr>
      </w:pPr>
      <w:r w:rsidRPr="00D63F79">
        <w:rPr>
          <w:rFonts w:ascii="Arial" w:hAnsi="Arial"/>
        </w:rPr>
        <w:t>The case definition is primarily intended to inform surveillance activities.  Public health action may be considered necessary in patients not strictly meeting the criteria for a case.</w:t>
      </w:r>
    </w:p>
    <w:p w14:paraId="6817095B" w14:textId="77777777" w:rsidR="00A502A7" w:rsidRPr="00D63F79" w:rsidRDefault="00A502A7" w:rsidP="00C05EBA">
      <w:pPr>
        <w:pStyle w:val="Heading2"/>
      </w:pPr>
      <w:r w:rsidRPr="00D63F79">
        <w:t>Legionellosis</w:t>
      </w:r>
    </w:p>
    <w:p w14:paraId="56CED288" w14:textId="77777777" w:rsidR="00A502A7" w:rsidRPr="00D63F79" w:rsidRDefault="00A502A7" w:rsidP="00C05EBA">
      <w:r w:rsidRPr="00D63F79">
        <w:t>(Effective 1 January 2013)</w:t>
      </w:r>
    </w:p>
    <w:p w14:paraId="576F8984" w14:textId="77777777" w:rsidR="00A502A7" w:rsidRPr="00D63F79" w:rsidRDefault="00A502A7" w:rsidP="00D332DB">
      <w:pPr>
        <w:pStyle w:val="Heading3"/>
        <w:rPr>
          <w:color w:val="000000"/>
          <w:sz w:val="33"/>
          <w:szCs w:val="33"/>
        </w:rPr>
      </w:pPr>
      <w:r w:rsidRPr="00D63F79">
        <w:t>Reporting</w:t>
      </w:r>
    </w:p>
    <w:p w14:paraId="6CFB6C2F" w14:textId="77777777" w:rsidR="00A502A7" w:rsidRPr="00D63F79" w:rsidRDefault="00A502A7" w:rsidP="00C05EBA">
      <w:r w:rsidRPr="00D63F79">
        <w:t xml:space="preserve">Both </w:t>
      </w:r>
      <w:r w:rsidRPr="00D63F79">
        <w:rPr>
          <w:rStyle w:val="Strong"/>
          <w:rFonts w:cs="Arial"/>
        </w:rPr>
        <w:t>confirmed cases</w:t>
      </w:r>
      <w:r w:rsidRPr="00D63F79">
        <w:t xml:space="preserve"> and </w:t>
      </w:r>
      <w:r w:rsidRPr="00D63F79">
        <w:rPr>
          <w:rStyle w:val="Strong"/>
          <w:rFonts w:cs="Arial"/>
        </w:rPr>
        <w:t>probable cases</w:t>
      </w:r>
      <w:r w:rsidRPr="00D63F79">
        <w:t xml:space="preserve"> should be notified.</w:t>
      </w:r>
    </w:p>
    <w:p w14:paraId="0472421C" w14:textId="77777777" w:rsidR="00A502A7" w:rsidRPr="00D63F79" w:rsidRDefault="00A502A7" w:rsidP="00C05EBA">
      <w:pPr>
        <w:pStyle w:val="Heading3"/>
        <w:rPr>
          <w:color w:val="000000"/>
          <w:sz w:val="30"/>
          <w:szCs w:val="30"/>
        </w:rPr>
      </w:pPr>
      <w:r w:rsidRPr="00D63F79">
        <w:t>Confirmed case</w:t>
      </w:r>
    </w:p>
    <w:p w14:paraId="2E5EE98A" w14:textId="77777777" w:rsidR="00C05EBA" w:rsidRPr="00D63F79" w:rsidRDefault="00A502A7" w:rsidP="00C05EBA">
      <w:r w:rsidRPr="00D63F79">
        <w:t xml:space="preserve">A </w:t>
      </w:r>
      <w:r w:rsidRPr="00D63F79">
        <w:rPr>
          <w:rStyle w:val="Strong"/>
          <w:rFonts w:cs="Arial"/>
        </w:rPr>
        <w:t>confirmed case</w:t>
      </w:r>
      <w:r w:rsidRPr="00D63F79">
        <w:t xml:space="preserve"> requires </w:t>
      </w:r>
      <w:r w:rsidRPr="00D63F79">
        <w:rPr>
          <w:rStyle w:val="Strong"/>
          <w:rFonts w:cs="Arial"/>
        </w:rPr>
        <w:t>laboratory definitive evidence</w:t>
      </w:r>
      <w:r w:rsidRPr="00D63F79">
        <w:t xml:space="preserve"> AND </w:t>
      </w:r>
      <w:r w:rsidRPr="00D63F79">
        <w:rPr>
          <w:rStyle w:val="Strong"/>
          <w:rFonts w:cs="Arial"/>
        </w:rPr>
        <w:t>clinical evidence</w:t>
      </w:r>
      <w:r w:rsidRPr="00D63F79">
        <w:t>.</w:t>
      </w:r>
    </w:p>
    <w:p w14:paraId="0A3223E9" w14:textId="77777777" w:rsidR="00A502A7" w:rsidRPr="00D63F79" w:rsidRDefault="00A502A7" w:rsidP="00C05EBA">
      <w:pPr>
        <w:pStyle w:val="Heading3"/>
      </w:pPr>
      <w:r w:rsidRPr="00D63F79">
        <w:t>Laboratory definitive evidence</w:t>
      </w:r>
    </w:p>
    <w:p w14:paraId="40984DC7" w14:textId="77777777" w:rsidR="00AC63A4" w:rsidRDefault="00A502A7" w:rsidP="00AC63A4">
      <w:pPr>
        <w:spacing w:after="0"/>
        <w:rPr>
          <w:rStyle w:val="Emphasis"/>
          <w:rFonts w:cs="Arial"/>
        </w:rPr>
      </w:pPr>
      <w:r w:rsidRPr="00D63F79">
        <w:t xml:space="preserve">Isolation of </w:t>
      </w:r>
      <w:r w:rsidRPr="00D63F79">
        <w:rPr>
          <w:rStyle w:val="Emphasis"/>
          <w:rFonts w:cs="Arial"/>
        </w:rPr>
        <w:t>Legionella</w:t>
      </w:r>
    </w:p>
    <w:p w14:paraId="2DECA49C" w14:textId="77777777" w:rsidR="00AC63A4" w:rsidRDefault="00A502A7" w:rsidP="00AC63A4">
      <w:pPr>
        <w:spacing w:after="0"/>
      </w:pPr>
      <w:r w:rsidRPr="00D63F79">
        <w:br/>
        <w:t>OR</w:t>
      </w:r>
    </w:p>
    <w:p w14:paraId="6A73BBED" w14:textId="77777777" w:rsidR="00AC63A4" w:rsidRDefault="00A502A7" w:rsidP="00AC63A4">
      <w:pPr>
        <w:spacing w:after="0"/>
      </w:pPr>
      <w:r w:rsidRPr="00D63F79">
        <w:br/>
        <w:t xml:space="preserve">Detection of </w:t>
      </w:r>
      <w:r w:rsidRPr="00D63F79">
        <w:rPr>
          <w:i/>
        </w:rPr>
        <w:t>Legionella</w:t>
      </w:r>
      <w:r w:rsidRPr="00D63F79">
        <w:t xml:space="preserve"> urinary antigen</w:t>
      </w:r>
    </w:p>
    <w:p w14:paraId="74FD6955" w14:textId="77777777" w:rsidR="00AC63A4" w:rsidRDefault="00A502A7" w:rsidP="00AC63A4">
      <w:pPr>
        <w:spacing w:after="0"/>
      </w:pPr>
      <w:r w:rsidRPr="00D63F79">
        <w:br/>
        <w:t>OR</w:t>
      </w:r>
    </w:p>
    <w:p w14:paraId="38BED3D8" w14:textId="77777777" w:rsidR="00047FD4" w:rsidRDefault="00A502A7" w:rsidP="00AC63A4">
      <w:pPr>
        <w:spacing w:after="0"/>
      </w:pPr>
      <w:r w:rsidRPr="00D63F79">
        <w:br/>
        <w:t xml:space="preserve">Seroconversion or a significant increase in antibody level defined as a fourfold or greater rise in titre to </w:t>
      </w:r>
      <w:r w:rsidRPr="00956B15">
        <w:rPr>
          <w:rStyle w:val="Emphasis"/>
          <w:rFonts w:cs="Arial"/>
        </w:rPr>
        <w:t>Legionella</w:t>
      </w:r>
      <w:r w:rsidRPr="00D63F79">
        <w:t>.</w:t>
      </w:r>
    </w:p>
    <w:p w14:paraId="0BD1E9F3" w14:textId="77777777" w:rsidR="00EF6233" w:rsidRPr="00D63F79" w:rsidRDefault="00EF6233" w:rsidP="00AC63A4">
      <w:pPr>
        <w:spacing w:after="0"/>
      </w:pPr>
    </w:p>
    <w:p w14:paraId="0F08D903" w14:textId="77777777" w:rsidR="00A502A7" w:rsidRPr="00D63F79" w:rsidRDefault="00A502A7" w:rsidP="00047FD4">
      <w:pPr>
        <w:pStyle w:val="Heading3"/>
        <w:rPr>
          <w:color w:val="000000"/>
          <w:sz w:val="30"/>
          <w:szCs w:val="30"/>
        </w:rPr>
      </w:pPr>
      <w:r w:rsidRPr="00D63F79">
        <w:t>Clinical evidence for confirmed cases</w:t>
      </w:r>
    </w:p>
    <w:p w14:paraId="6179F160" w14:textId="77777777" w:rsidR="00047FD4" w:rsidRDefault="00A502A7" w:rsidP="00047FD4">
      <w:r w:rsidRPr="00D63F79">
        <w:t>Fever</w:t>
      </w:r>
    </w:p>
    <w:p w14:paraId="1E2DCCF0" w14:textId="77777777" w:rsidR="00AC63A4" w:rsidRDefault="00A502A7" w:rsidP="00047FD4">
      <w:r w:rsidRPr="00D63F79">
        <w:br/>
        <w:t>OR</w:t>
      </w:r>
    </w:p>
    <w:p w14:paraId="5E1BDD97" w14:textId="77777777" w:rsidR="00AC63A4" w:rsidRDefault="00A502A7" w:rsidP="00AC63A4">
      <w:pPr>
        <w:spacing w:after="0"/>
      </w:pPr>
      <w:r w:rsidRPr="00D63F79">
        <w:br/>
        <w:t>Cough</w:t>
      </w:r>
    </w:p>
    <w:p w14:paraId="6E10D1DA" w14:textId="77777777" w:rsidR="00AC63A4" w:rsidRDefault="00A502A7" w:rsidP="00AC63A4">
      <w:pPr>
        <w:spacing w:after="0"/>
      </w:pPr>
      <w:r w:rsidRPr="00D63F79">
        <w:br/>
        <w:t>OR</w:t>
      </w:r>
    </w:p>
    <w:p w14:paraId="164F9CE5" w14:textId="77777777" w:rsidR="00AC63A4" w:rsidRDefault="00A502A7" w:rsidP="00C05EBA">
      <w:r w:rsidRPr="00D63F79">
        <w:br/>
        <w:t>Pneumonia</w:t>
      </w:r>
    </w:p>
    <w:p w14:paraId="0742CB0C" w14:textId="77777777" w:rsidR="00956B15" w:rsidRPr="00D63F79" w:rsidRDefault="00956B15" w:rsidP="00C05EBA"/>
    <w:p w14:paraId="28743446" w14:textId="77777777" w:rsidR="00A502A7" w:rsidRPr="00D63F79" w:rsidRDefault="00A502A7" w:rsidP="00C05EBA">
      <w:pPr>
        <w:pStyle w:val="Heading3"/>
        <w:rPr>
          <w:color w:val="000000"/>
          <w:sz w:val="30"/>
          <w:szCs w:val="30"/>
        </w:rPr>
      </w:pPr>
      <w:r w:rsidRPr="00D63F79">
        <w:t>Probable case</w:t>
      </w:r>
    </w:p>
    <w:p w14:paraId="0D061BA7" w14:textId="77777777" w:rsidR="00AC63A4" w:rsidRDefault="00A502A7" w:rsidP="00AC63A4">
      <w:r w:rsidRPr="00D63F79">
        <w:t>A</w:t>
      </w:r>
      <w:r w:rsidR="002A02AB" w:rsidRPr="00D63F79">
        <w:t xml:space="preserve"> </w:t>
      </w:r>
      <w:r w:rsidRPr="00D63F79">
        <w:rPr>
          <w:rStyle w:val="Strong"/>
          <w:rFonts w:cs="Arial"/>
          <w:b w:val="0"/>
        </w:rPr>
        <w:t>probable case</w:t>
      </w:r>
      <w:r w:rsidR="002A02AB" w:rsidRPr="00D63F79">
        <w:rPr>
          <w:rStyle w:val="Strong"/>
          <w:rFonts w:cs="Arial"/>
          <w:b w:val="0"/>
        </w:rPr>
        <w:t xml:space="preserve"> </w:t>
      </w:r>
      <w:r w:rsidRPr="00D63F79">
        <w:t>requires</w:t>
      </w:r>
      <w:r w:rsidR="002A02AB" w:rsidRPr="00D63F79">
        <w:t xml:space="preserve"> </w:t>
      </w:r>
      <w:r w:rsidRPr="00D63F79">
        <w:rPr>
          <w:rStyle w:val="Strong"/>
          <w:rFonts w:cs="Arial"/>
        </w:rPr>
        <w:t>laboratory suggestive evidence</w:t>
      </w:r>
      <w:r w:rsidR="002A02AB" w:rsidRPr="00D63F79">
        <w:rPr>
          <w:rStyle w:val="Strong"/>
          <w:rFonts w:cs="Arial"/>
        </w:rPr>
        <w:t xml:space="preserve"> </w:t>
      </w:r>
      <w:r w:rsidRPr="00D63F79">
        <w:t xml:space="preserve">AND </w:t>
      </w:r>
      <w:r w:rsidRPr="00D63F79">
        <w:rPr>
          <w:rStyle w:val="Strong"/>
          <w:rFonts w:cs="Arial"/>
        </w:rPr>
        <w:t>clinical evidence</w:t>
      </w:r>
      <w:r w:rsidRPr="00D63F79">
        <w:t>.</w:t>
      </w:r>
    </w:p>
    <w:p w14:paraId="3E5F8E50" w14:textId="77777777" w:rsidR="00A502A7" w:rsidRPr="00D63F79" w:rsidRDefault="00A502A7" w:rsidP="00C05EBA">
      <w:pPr>
        <w:pStyle w:val="Heading3"/>
      </w:pPr>
      <w:r w:rsidRPr="00D63F79">
        <w:t>Laboratory suggestive evidence</w:t>
      </w:r>
    </w:p>
    <w:p w14:paraId="72E37930" w14:textId="77777777" w:rsidR="00AC63A4" w:rsidRDefault="00A502A7" w:rsidP="00AC63A4">
      <w:pPr>
        <w:spacing w:after="0"/>
        <w:rPr>
          <w:rStyle w:val="Emphasis"/>
          <w:rFonts w:cs="Arial"/>
          <w:i w:val="0"/>
        </w:rPr>
      </w:pPr>
      <w:r w:rsidRPr="00D63F79">
        <w:lastRenderedPageBreak/>
        <w:t xml:space="preserve">Single high antibody titre to </w:t>
      </w:r>
      <w:r w:rsidRPr="00D63F79">
        <w:rPr>
          <w:rStyle w:val="Emphasis"/>
          <w:rFonts w:cs="Arial"/>
        </w:rPr>
        <w:t>Legionella</w:t>
      </w:r>
      <w:r w:rsidR="002A02AB" w:rsidRPr="00D63F79">
        <w:rPr>
          <w:rStyle w:val="Emphasis"/>
          <w:rFonts w:cs="Arial"/>
        </w:rPr>
        <w:t xml:space="preserve"> </w:t>
      </w:r>
      <w:r w:rsidRPr="00D63F79">
        <w:rPr>
          <w:rStyle w:val="Emphasis"/>
          <w:rFonts w:cs="Arial"/>
          <w:i w:val="0"/>
        </w:rPr>
        <w:t>as defined by the testing laboratory</w:t>
      </w:r>
    </w:p>
    <w:p w14:paraId="1BAD1662" w14:textId="77777777" w:rsidR="00AC63A4" w:rsidRDefault="00A502A7" w:rsidP="00AC63A4">
      <w:pPr>
        <w:spacing w:after="0"/>
      </w:pPr>
      <w:r w:rsidRPr="00D63F79">
        <w:rPr>
          <w:i/>
        </w:rPr>
        <w:br/>
      </w:r>
      <w:r w:rsidRPr="00D63F79">
        <w:t>OR</w:t>
      </w:r>
    </w:p>
    <w:p w14:paraId="5A406F76" w14:textId="77777777" w:rsidR="00AC63A4" w:rsidRDefault="00A502A7" w:rsidP="00AC63A4">
      <w:pPr>
        <w:spacing w:after="0"/>
      </w:pPr>
      <w:r w:rsidRPr="00D63F79">
        <w:br/>
        <w:t xml:space="preserve">Detection of </w:t>
      </w:r>
      <w:r w:rsidRPr="00D63F79">
        <w:rPr>
          <w:rStyle w:val="Emphasis"/>
          <w:rFonts w:cs="Arial"/>
        </w:rPr>
        <w:t>Legionella</w:t>
      </w:r>
      <w:r w:rsidRPr="00D63F79">
        <w:t xml:space="preserve"> by nucleic acid testing</w:t>
      </w:r>
    </w:p>
    <w:p w14:paraId="7500F51B" w14:textId="77777777" w:rsidR="00AC63A4" w:rsidRDefault="00A502A7" w:rsidP="00AC63A4">
      <w:pPr>
        <w:spacing w:after="0"/>
      </w:pPr>
      <w:r w:rsidRPr="00D63F79">
        <w:br/>
        <w:t>OR</w:t>
      </w:r>
    </w:p>
    <w:p w14:paraId="40C7F496" w14:textId="77777777" w:rsidR="00383C12" w:rsidRDefault="00A502A7" w:rsidP="00AC63A4">
      <w:pPr>
        <w:spacing w:after="0"/>
      </w:pPr>
      <w:r w:rsidRPr="00D63F79">
        <w:br/>
        <w:t xml:space="preserve">Detection of </w:t>
      </w:r>
      <w:r w:rsidRPr="00D63F79">
        <w:rPr>
          <w:rStyle w:val="Emphasis"/>
          <w:rFonts w:cs="Arial"/>
        </w:rPr>
        <w:t>Legionella</w:t>
      </w:r>
      <w:r w:rsidRPr="00D63F79">
        <w:t xml:space="preserve"> by direct fluorescence assay.</w:t>
      </w:r>
    </w:p>
    <w:p w14:paraId="51FEE7FF" w14:textId="77777777" w:rsidR="00AC63A4" w:rsidRPr="00D63F79" w:rsidRDefault="00AC63A4" w:rsidP="00AC63A4">
      <w:pPr>
        <w:spacing w:after="0"/>
      </w:pPr>
    </w:p>
    <w:p w14:paraId="3B1702BF" w14:textId="77777777" w:rsidR="001F2DEE" w:rsidRPr="00D63F79" w:rsidRDefault="00A502A7" w:rsidP="00C05EBA">
      <w:pPr>
        <w:pStyle w:val="Heading3"/>
      </w:pPr>
      <w:r w:rsidRPr="00D63F79">
        <w:t>Clinical evidence for probable cases</w:t>
      </w:r>
    </w:p>
    <w:p w14:paraId="7CD11C72" w14:textId="77777777" w:rsidR="00AC63A4" w:rsidRDefault="005B3905" w:rsidP="00AC63A4">
      <w:pPr>
        <w:spacing w:after="0"/>
        <w:rPr>
          <w:b/>
        </w:rPr>
      </w:pPr>
      <w:r w:rsidRPr="00AC63A4">
        <w:rPr>
          <w:b/>
        </w:rPr>
        <w:t>Fever and Cough</w:t>
      </w:r>
    </w:p>
    <w:p w14:paraId="7D3D310E" w14:textId="77777777" w:rsidR="00AC63A4" w:rsidRDefault="00A502A7" w:rsidP="00AC63A4">
      <w:pPr>
        <w:spacing w:after="0"/>
        <w:rPr>
          <w:b/>
        </w:rPr>
      </w:pPr>
      <w:r w:rsidRPr="00AC63A4">
        <w:rPr>
          <w:b/>
        </w:rPr>
        <w:br/>
        <w:t>OR</w:t>
      </w:r>
    </w:p>
    <w:p w14:paraId="2F8FD8CD" w14:textId="77777777" w:rsidR="00A502A7" w:rsidRDefault="00A502A7" w:rsidP="00AC63A4">
      <w:pPr>
        <w:spacing w:after="0"/>
        <w:rPr>
          <w:b/>
        </w:rPr>
      </w:pPr>
      <w:r w:rsidRPr="00AC63A4">
        <w:rPr>
          <w:b/>
        </w:rPr>
        <w:br/>
        <w:t>Pneumonia</w:t>
      </w:r>
    </w:p>
    <w:p w14:paraId="3C7D0DE9" w14:textId="77777777" w:rsidR="00AC63A4" w:rsidRPr="00AC63A4" w:rsidRDefault="00AC63A4" w:rsidP="00AC63A4">
      <w:pPr>
        <w:spacing w:after="0"/>
        <w:rPr>
          <w:b/>
        </w:rPr>
      </w:pPr>
    </w:p>
    <w:p w14:paraId="248B6A87" w14:textId="77777777" w:rsidR="00A502A7" w:rsidRPr="00D63F79" w:rsidRDefault="00A502A7" w:rsidP="00C05EBA">
      <w:pPr>
        <w:pStyle w:val="Heading1"/>
      </w:pPr>
      <w:bookmarkStart w:id="1" w:name="_8._Laboratory_testing"/>
      <w:bookmarkEnd w:id="1"/>
      <w:r w:rsidRPr="00D63F79">
        <w:t>8. Laboratory testing</w:t>
      </w:r>
    </w:p>
    <w:p w14:paraId="13829071" w14:textId="77777777" w:rsidR="00A502A7" w:rsidRPr="00D63F79" w:rsidRDefault="00A502A7" w:rsidP="00611073">
      <w:pPr>
        <w:pStyle w:val="Heading2"/>
        <w:spacing w:after="120"/>
      </w:pPr>
      <w:r w:rsidRPr="00D63F79">
        <w:t>Testing guidelines</w:t>
      </w:r>
    </w:p>
    <w:p w14:paraId="12EBF8E6" w14:textId="77777777" w:rsidR="00A502A7" w:rsidRPr="0073547A" w:rsidRDefault="00A502A7" w:rsidP="001E467A">
      <w:pPr>
        <w:pStyle w:val="bullet"/>
        <w:rPr>
          <w:rFonts w:ascii="Arial" w:hAnsi="Arial" w:cs="Arial"/>
        </w:rPr>
      </w:pPr>
      <w:r w:rsidRPr="0073547A">
        <w:rPr>
          <w:rFonts w:ascii="Arial" w:hAnsi="Arial" w:cs="Arial"/>
        </w:rPr>
        <w:t>For</w:t>
      </w:r>
      <w:r w:rsidR="002A02AB" w:rsidRPr="0073547A">
        <w:rPr>
          <w:rFonts w:ascii="Arial" w:hAnsi="Arial" w:cs="Arial"/>
        </w:rPr>
        <w:t xml:space="preserve"> </w:t>
      </w:r>
      <w:r w:rsidRPr="0073547A">
        <w:rPr>
          <w:rFonts w:ascii="Arial" w:hAnsi="Arial" w:cs="Arial"/>
          <w:i/>
          <w:iCs/>
        </w:rPr>
        <w:t>L. pneumophila</w:t>
      </w:r>
      <w:r w:rsidRPr="0073547A">
        <w:rPr>
          <w:rFonts w:ascii="Arial" w:hAnsi="Arial" w:cs="Arial"/>
        </w:rPr>
        <w:t xml:space="preserve"> infection:</w:t>
      </w:r>
    </w:p>
    <w:p w14:paraId="01B84BBA" w14:textId="77777777" w:rsidR="00A502A7" w:rsidRPr="0073547A" w:rsidRDefault="00A502A7" w:rsidP="001E467A">
      <w:pPr>
        <w:pStyle w:val="bullet"/>
        <w:numPr>
          <w:ilvl w:val="1"/>
          <w:numId w:val="16"/>
        </w:numPr>
        <w:rPr>
          <w:rFonts w:ascii="Arial" w:hAnsi="Arial" w:cs="Arial"/>
        </w:rPr>
      </w:pPr>
      <w:r w:rsidRPr="0073547A">
        <w:rPr>
          <w:rFonts w:ascii="Arial" w:hAnsi="Arial" w:cs="Arial"/>
        </w:rPr>
        <w:t xml:space="preserve">sputum (or, where available, bronchial washing, induced sputum or lung biopsy) culture to enable matching of any isolates with any available environmental samples (Note: cultures can take up to 14 days) and </w:t>
      </w:r>
    </w:p>
    <w:p w14:paraId="163DCC94" w14:textId="77777777" w:rsidR="00A502A7" w:rsidRPr="0073547A" w:rsidRDefault="00A502A7" w:rsidP="001E467A">
      <w:pPr>
        <w:pStyle w:val="bullet"/>
        <w:numPr>
          <w:ilvl w:val="1"/>
          <w:numId w:val="16"/>
        </w:numPr>
        <w:rPr>
          <w:rFonts w:ascii="Arial" w:hAnsi="Arial" w:cs="Arial"/>
        </w:rPr>
      </w:pPr>
      <w:r w:rsidRPr="0073547A">
        <w:rPr>
          <w:rFonts w:ascii="Arial" w:hAnsi="Arial" w:cs="Arial"/>
        </w:rPr>
        <w:t xml:space="preserve">urinary antigen testing of patients suspected to have Legionnaires’ disease because infection will be rapidly </w:t>
      </w:r>
      <w:proofErr w:type="gramStart"/>
      <w:r w:rsidRPr="0073547A">
        <w:rPr>
          <w:rFonts w:ascii="Arial" w:hAnsi="Arial" w:cs="Arial"/>
        </w:rPr>
        <w:t>diagnosed</w:t>
      </w:r>
      <w:proofErr w:type="gramEnd"/>
      <w:r w:rsidRPr="0073547A">
        <w:rPr>
          <w:rFonts w:ascii="Arial" w:hAnsi="Arial" w:cs="Arial"/>
        </w:rPr>
        <w:t xml:space="preserve"> and the test is specific. Most urinary antigen test kits are sensitive for </w:t>
      </w:r>
      <w:r w:rsidRPr="0073547A">
        <w:rPr>
          <w:rFonts w:ascii="Arial" w:hAnsi="Arial" w:cs="Arial"/>
          <w:i/>
          <w:iCs/>
        </w:rPr>
        <w:t>L. pneumophila</w:t>
      </w:r>
      <w:r w:rsidR="002A02AB" w:rsidRPr="0073547A">
        <w:rPr>
          <w:rFonts w:ascii="Arial" w:hAnsi="Arial" w:cs="Arial"/>
          <w:i/>
          <w:iCs/>
        </w:rPr>
        <w:t xml:space="preserve"> </w:t>
      </w:r>
      <w:r w:rsidRPr="0073547A">
        <w:rPr>
          <w:rFonts w:ascii="Arial" w:hAnsi="Arial" w:cs="Arial"/>
        </w:rPr>
        <w:t xml:space="preserve">type 1 but some may cover a broader range of </w:t>
      </w:r>
      <w:r w:rsidRPr="0073547A">
        <w:rPr>
          <w:rFonts w:ascii="Arial" w:hAnsi="Arial" w:cs="Arial"/>
          <w:i/>
          <w:iCs/>
        </w:rPr>
        <w:t xml:space="preserve">L. </w:t>
      </w:r>
      <w:proofErr w:type="gramStart"/>
      <w:r w:rsidRPr="0073547A">
        <w:rPr>
          <w:rFonts w:ascii="Arial" w:hAnsi="Arial" w:cs="Arial"/>
          <w:i/>
          <w:iCs/>
        </w:rPr>
        <w:t>pneumophila</w:t>
      </w:r>
      <w:r w:rsidRPr="0073547A">
        <w:rPr>
          <w:rFonts w:ascii="Arial" w:hAnsi="Arial" w:cs="Arial"/>
        </w:rPr>
        <w:t xml:space="preserve">  serogroups</w:t>
      </w:r>
      <w:proofErr w:type="gramEnd"/>
      <w:r w:rsidRPr="0073547A">
        <w:rPr>
          <w:rFonts w:ascii="Arial" w:hAnsi="Arial" w:cs="Arial"/>
        </w:rPr>
        <w:t xml:space="preserve"> and</w:t>
      </w:r>
      <w:r w:rsidR="006E7284" w:rsidRPr="0073547A">
        <w:rPr>
          <w:rFonts w:ascii="Arial" w:hAnsi="Arial" w:cs="Arial"/>
        </w:rPr>
        <w:t xml:space="preserve"> other</w:t>
      </w:r>
      <w:r w:rsidRPr="0073547A">
        <w:rPr>
          <w:rFonts w:ascii="Arial" w:hAnsi="Arial" w:cs="Arial"/>
        </w:rPr>
        <w:t xml:space="preserve"> </w:t>
      </w:r>
      <w:r w:rsidRPr="0073547A">
        <w:rPr>
          <w:rFonts w:ascii="Arial" w:hAnsi="Arial" w:cs="Arial"/>
          <w:i/>
          <w:iCs/>
        </w:rPr>
        <w:t>Legionella</w:t>
      </w:r>
      <w:r w:rsidRPr="0073547A">
        <w:rPr>
          <w:rFonts w:ascii="Arial" w:hAnsi="Arial" w:cs="Arial"/>
        </w:rPr>
        <w:t xml:space="preserve"> species. </w:t>
      </w:r>
    </w:p>
    <w:p w14:paraId="5BDE1179" w14:textId="77777777" w:rsidR="00A502A7" w:rsidRPr="0073547A" w:rsidRDefault="00A502A7" w:rsidP="001E467A">
      <w:pPr>
        <w:pStyle w:val="bullet"/>
        <w:rPr>
          <w:rFonts w:ascii="Arial" w:hAnsi="Arial" w:cs="Arial"/>
        </w:rPr>
      </w:pPr>
      <w:r w:rsidRPr="0073547A">
        <w:rPr>
          <w:rFonts w:ascii="Arial" w:hAnsi="Arial" w:cs="Arial"/>
        </w:rPr>
        <w:t>For other species:</w:t>
      </w:r>
    </w:p>
    <w:p w14:paraId="71513947" w14:textId="77777777" w:rsidR="00536525" w:rsidRPr="0073547A" w:rsidRDefault="00536525" w:rsidP="001E467A">
      <w:pPr>
        <w:pStyle w:val="bullet"/>
        <w:numPr>
          <w:ilvl w:val="1"/>
          <w:numId w:val="16"/>
        </w:numPr>
        <w:rPr>
          <w:rFonts w:ascii="Arial" w:hAnsi="Arial" w:cs="Arial"/>
        </w:rPr>
      </w:pPr>
      <w:r w:rsidRPr="0073547A">
        <w:rPr>
          <w:rFonts w:ascii="Arial" w:hAnsi="Arial" w:cs="Arial"/>
        </w:rPr>
        <w:t>culture is important</w:t>
      </w:r>
    </w:p>
    <w:p w14:paraId="540F4F54" w14:textId="77777777" w:rsidR="00A502A7" w:rsidRPr="0073547A" w:rsidRDefault="00A502A7" w:rsidP="001E467A">
      <w:pPr>
        <w:pStyle w:val="bullet"/>
        <w:numPr>
          <w:ilvl w:val="1"/>
          <w:numId w:val="16"/>
        </w:numPr>
        <w:rPr>
          <w:rFonts w:ascii="Arial" w:hAnsi="Arial" w:cs="Arial"/>
        </w:rPr>
      </w:pPr>
      <w:r w:rsidRPr="0073547A">
        <w:rPr>
          <w:rFonts w:ascii="Arial" w:hAnsi="Arial" w:cs="Arial"/>
        </w:rPr>
        <w:t xml:space="preserve">ensure that clinical isolates are sent to the </w:t>
      </w:r>
      <w:r w:rsidR="007D4BA9" w:rsidRPr="0073547A">
        <w:rPr>
          <w:rFonts w:ascii="Arial" w:hAnsi="Arial" w:cs="Arial"/>
        </w:rPr>
        <w:t xml:space="preserve">State or Territory </w:t>
      </w:r>
      <w:r w:rsidRPr="0073547A">
        <w:rPr>
          <w:rFonts w:ascii="Arial" w:hAnsi="Arial" w:cs="Arial"/>
        </w:rPr>
        <w:t>reference laboratory for typing and comparison with environmental isolates.</w:t>
      </w:r>
    </w:p>
    <w:p w14:paraId="6A633124" w14:textId="77777777" w:rsidR="0073547A" w:rsidRPr="00956B15" w:rsidRDefault="00536525" w:rsidP="00956B15">
      <w:pPr>
        <w:pStyle w:val="bullet"/>
        <w:numPr>
          <w:ilvl w:val="1"/>
          <w:numId w:val="16"/>
        </w:numPr>
        <w:rPr>
          <w:rFonts w:ascii="Arial" w:hAnsi="Arial" w:cs="Arial"/>
        </w:rPr>
      </w:pPr>
      <w:r w:rsidRPr="0073547A">
        <w:rPr>
          <w:rFonts w:ascii="Arial" w:hAnsi="Arial" w:cs="Arial"/>
        </w:rPr>
        <w:t>urinary antigen testing may or may not be appropriate depending on the species able to be identified with the type of kit used</w:t>
      </w:r>
      <w:r w:rsidR="00956B15">
        <w:rPr>
          <w:rFonts w:ascii="Arial" w:hAnsi="Arial" w:cs="Arial"/>
        </w:rPr>
        <w:t>.</w:t>
      </w:r>
    </w:p>
    <w:p w14:paraId="7A6113EE" w14:textId="77777777" w:rsidR="00E17718" w:rsidRPr="0073547A" w:rsidRDefault="00E17718" w:rsidP="001E467A">
      <w:pPr>
        <w:pStyle w:val="bullet"/>
        <w:rPr>
          <w:rFonts w:ascii="Arial" w:hAnsi="Arial" w:cs="Arial"/>
        </w:rPr>
      </w:pPr>
      <w:r w:rsidRPr="0073547A">
        <w:rPr>
          <w:rFonts w:ascii="Arial" w:hAnsi="Arial" w:cs="Arial"/>
        </w:rPr>
        <w:t>Serology:</w:t>
      </w:r>
    </w:p>
    <w:p w14:paraId="79469A34" w14:textId="77777777" w:rsidR="00A502A7" w:rsidRPr="0073547A" w:rsidRDefault="00E17718" w:rsidP="001E467A">
      <w:pPr>
        <w:pStyle w:val="bullet"/>
        <w:numPr>
          <w:ilvl w:val="1"/>
          <w:numId w:val="16"/>
        </w:numPr>
        <w:rPr>
          <w:rFonts w:ascii="Arial" w:hAnsi="Arial" w:cs="Arial"/>
        </w:rPr>
      </w:pPr>
      <w:r w:rsidRPr="0073547A">
        <w:rPr>
          <w:rFonts w:ascii="Arial" w:hAnsi="Arial" w:cs="Arial"/>
        </w:rPr>
        <w:t xml:space="preserve">many </w:t>
      </w:r>
      <w:r w:rsidR="00A502A7" w:rsidRPr="0073547A">
        <w:rPr>
          <w:rFonts w:ascii="Arial" w:hAnsi="Arial" w:cs="Arial"/>
        </w:rPr>
        <w:t xml:space="preserve">cases are diagnosed by serological </w:t>
      </w:r>
      <w:r w:rsidR="002A02AB" w:rsidRPr="0073547A">
        <w:rPr>
          <w:rFonts w:ascii="Arial" w:hAnsi="Arial" w:cs="Arial"/>
        </w:rPr>
        <w:t>tests;</w:t>
      </w:r>
      <w:r w:rsidR="00A502A7" w:rsidRPr="0073547A">
        <w:rPr>
          <w:rFonts w:ascii="Arial" w:hAnsi="Arial" w:cs="Arial"/>
        </w:rPr>
        <w:t xml:space="preserve"> hence the diagnosis is </w:t>
      </w:r>
      <w:r w:rsidRPr="0073547A">
        <w:rPr>
          <w:rFonts w:ascii="Arial" w:hAnsi="Arial" w:cs="Arial"/>
        </w:rPr>
        <w:t xml:space="preserve">often </w:t>
      </w:r>
      <w:r w:rsidR="00A502A7" w:rsidRPr="0073547A">
        <w:rPr>
          <w:rFonts w:ascii="Arial" w:hAnsi="Arial" w:cs="Arial"/>
        </w:rPr>
        <w:t xml:space="preserve">retrospective. </w:t>
      </w:r>
      <w:r w:rsidRPr="0073547A">
        <w:rPr>
          <w:rFonts w:ascii="Arial" w:hAnsi="Arial" w:cs="Arial"/>
        </w:rPr>
        <w:t xml:space="preserve">Interpretation of single high </w:t>
      </w:r>
      <w:proofErr w:type="spellStart"/>
      <w:r w:rsidRPr="0073547A">
        <w:rPr>
          <w:rFonts w:ascii="Arial" w:hAnsi="Arial" w:cs="Arial"/>
        </w:rPr>
        <w:t>titres</w:t>
      </w:r>
      <w:proofErr w:type="spellEnd"/>
      <w:r w:rsidRPr="0073547A">
        <w:rPr>
          <w:rFonts w:ascii="Arial" w:hAnsi="Arial" w:cs="Arial"/>
        </w:rPr>
        <w:t xml:space="preserve"> is difficult. </w:t>
      </w:r>
      <w:r w:rsidR="00A502A7" w:rsidRPr="0073547A">
        <w:rPr>
          <w:rFonts w:ascii="Arial" w:hAnsi="Arial" w:cs="Arial"/>
        </w:rPr>
        <w:t>Seroconversion may not occur until 3-6 weeks or even later after onset or not occur at all.</w:t>
      </w:r>
    </w:p>
    <w:p w14:paraId="2496A9C3" w14:textId="77777777" w:rsidR="00AC63A4" w:rsidRPr="001E467A" w:rsidRDefault="00A502A7" w:rsidP="001E467A">
      <w:pPr>
        <w:pStyle w:val="bullet"/>
        <w:rPr>
          <w:vertAlign w:val="superscript"/>
        </w:rPr>
      </w:pPr>
      <w:r w:rsidRPr="00D63F79">
        <w:t>PCR techniques and genome sequencing are increasingly being used.</w:t>
      </w:r>
    </w:p>
    <w:p w14:paraId="42FB74D5" w14:textId="77777777" w:rsidR="00A502A7" w:rsidRPr="00EE4ABB" w:rsidRDefault="00A502A7" w:rsidP="005B4013">
      <w:pPr>
        <w:pStyle w:val="Heading2"/>
        <w:spacing w:after="0"/>
      </w:pPr>
      <w:r w:rsidRPr="001E467A">
        <w:rPr>
          <w:rStyle w:val="IntenseReference"/>
        </w:rPr>
        <w:t xml:space="preserve">Table </w:t>
      </w:r>
      <w:r w:rsidR="005B4013" w:rsidRPr="001E467A">
        <w:rPr>
          <w:rStyle w:val="IntenseReference"/>
        </w:rPr>
        <w:t>1</w:t>
      </w:r>
      <w:r w:rsidRPr="001E467A">
        <w:rPr>
          <w:rStyle w:val="IntenseReference"/>
        </w:rPr>
        <w:t xml:space="preserve">. Legionellosis </w:t>
      </w:r>
      <w:r w:rsidR="00EE4ABB" w:rsidRPr="001E467A">
        <w:rPr>
          <w:rStyle w:val="IntenseReference"/>
        </w:rPr>
        <w:t>testing</w:t>
      </w:r>
      <w:r w:rsidR="0073547A">
        <w:rPr>
          <w:rStyle w:val="IntenseReference"/>
        </w:rPr>
        <w:t xml:space="preserve"> </w:t>
      </w:r>
      <w:r w:rsidR="00EE4ABB" w:rsidRPr="0073547A">
        <w:rPr>
          <w:b w:val="0"/>
          <w:i w:val="0"/>
          <w:vertAlign w:val="superscript"/>
        </w:rPr>
        <w:t>2</w:t>
      </w:r>
      <w:r w:rsidR="007F3BD9" w:rsidRPr="0073547A">
        <w:rPr>
          <w:b w:val="0"/>
          <w:i w:val="0"/>
          <w:vertAlign w:val="superscript"/>
        </w:rPr>
        <w:t>6</w:t>
      </w:r>
      <w:r w:rsidRPr="00EE4ABB">
        <w:rPr>
          <w:vertAlign w:val="superscript"/>
        </w:rPr>
        <w:t>,</w:t>
      </w:r>
      <w:r w:rsidR="00EE4ABB" w:rsidRPr="0073547A">
        <w:rPr>
          <w:b w:val="0"/>
          <w:i w:val="0"/>
          <w:vertAlign w:val="superscript"/>
        </w:rPr>
        <w:t>2</w:t>
      </w:r>
      <w:r w:rsidR="007F3BD9" w:rsidRPr="0073547A">
        <w:rPr>
          <w:b w:val="0"/>
          <w:i w:val="0"/>
          <w:vertAlign w:val="superscript"/>
        </w:rPr>
        <w:t>8</w:t>
      </w:r>
      <w:r w:rsidR="007D4BA9" w:rsidRPr="0073547A">
        <w:rPr>
          <w:b w:val="0"/>
          <w:i w:val="0"/>
          <w:vertAlign w:val="superscript"/>
        </w:rPr>
        <w:t>-</w:t>
      </w:r>
      <w:r w:rsidR="007F3BD9" w:rsidRPr="0073547A">
        <w:rPr>
          <w:b w:val="0"/>
          <w:i w:val="0"/>
          <w:vertAlign w:val="superscript"/>
        </w:rPr>
        <w:t>30</w:t>
      </w:r>
    </w:p>
    <w:p w14:paraId="43BDE4CC" w14:textId="77777777" w:rsidR="00234B43" w:rsidRDefault="00234B43" w:rsidP="005B4013">
      <w:pPr>
        <w:pStyle w:val="Caption"/>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2075"/>
        <w:gridCol w:w="2076"/>
        <w:gridCol w:w="2076"/>
      </w:tblGrid>
      <w:tr w:rsidR="00A502A7" w:rsidRPr="00D63F79" w14:paraId="17F0925F" w14:textId="77777777" w:rsidTr="00B379AF">
        <w:trPr>
          <w:trHeight w:val="108"/>
        </w:trPr>
        <w:tc>
          <w:tcPr>
            <w:tcW w:w="1250" w:type="pct"/>
          </w:tcPr>
          <w:p w14:paraId="66FF42A5" w14:textId="77777777" w:rsidR="00A502A7" w:rsidRPr="00D63F79" w:rsidRDefault="00A502A7" w:rsidP="00C05EBA">
            <w:r w:rsidRPr="00D63F79">
              <w:t xml:space="preserve">Test </w:t>
            </w:r>
          </w:p>
        </w:tc>
        <w:tc>
          <w:tcPr>
            <w:tcW w:w="1250" w:type="pct"/>
          </w:tcPr>
          <w:p w14:paraId="69AC9A4B" w14:textId="77777777" w:rsidR="00A502A7" w:rsidRPr="00D63F79" w:rsidRDefault="00A502A7" w:rsidP="00C05EBA">
            <w:r w:rsidRPr="00D63F79">
              <w:t>First test</w:t>
            </w:r>
          </w:p>
        </w:tc>
        <w:tc>
          <w:tcPr>
            <w:tcW w:w="1250" w:type="pct"/>
          </w:tcPr>
          <w:p w14:paraId="1DA80DBC" w14:textId="77777777" w:rsidR="00A502A7" w:rsidRPr="00D63F79" w:rsidRDefault="00A502A7" w:rsidP="00C05EBA">
            <w:r w:rsidRPr="00D63F79">
              <w:t>Second test</w:t>
            </w:r>
          </w:p>
        </w:tc>
        <w:tc>
          <w:tcPr>
            <w:tcW w:w="1250" w:type="pct"/>
          </w:tcPr>
          <w:p w14:paraId="53239AA5" w14:textId="77777777" w:rsidR="00A502A7" w:rsidRPr="00D63F79" w:rsidRDefault="00A502A7" w:rsidP="00C05EBA">
            <w:r w:rsidRPr="00D63F79">
              <w:t xml:space="preserve">Reasons for test </w:t>
            </w:r>
          </w:p>
        </w:tc>
      </w:tr>
      <w:tr w:rsidR="00A502A7" w:rsidRPr="00D63F79" w14:paraId="1790BB86" w14:textId="77777777" w:rsidTr="00B379AF">
        <w:trPr>
          <w:trHeight w:val="238"/>
        </w:trPr>
        <w:tc>
          <w:tcPr>
            <w:tcW w:w="1250" w:type="pct"/>
          </w:tcPr>
          <w:p w14:paraId="032C059B" w14:textId="77777777" w:rsidR="00A502A7" w:rsidRPr="00D63F79" w:rsidRDefault="00A502A7" w:rsidP="00C05EBA">
            <w:r w:rsidRPr="00D63F79">
              <w:lastRenderedPageBreak/>
              <w:t xml:space="preserve">Urine Ag (for LP1) </w:t>
            </w:r>
          </w:p>
        </w:tc>
        <w:tc>
          <w:tcPr>
            <w:tcW w:w="1250" w:type="pct"/>
          </w:tcPr>
          <w:p w14:paraId="4ADFBC89" w14:textId="77777777" w:rsidR="00A502A7" w:rsidRPr="00D63F79" w:rsidRDefault="00A502A7" w:rsidP="00C05EBA">
            <w:r w:rsidRPr="00D63F79">
              <w:t>ASAP</w:t>
            </w:r>
          </w:p>
        </w:tc>
        <w:tc>
          <w:tcPr>
            <w:tcW w:w="1250" w:type="pct"/>
          </w:tcPr>
          <w:p w14:paraId="0450BA94" w14:textId="77777777" w:rsidR="005B4013" w:rsidRDefault="00A502A7" w:rsidP="005B4013">
            <w:pPr>
              <w:spacing w:after="0"/>
            </w:pPr>
            <w:r w:rsidRPr="00D63F79">
              <w:t xml:space="preserve">If </w:t>
            </w:r>
            <w:r w:rsidR="00536525" w:rsidRPr="00D63F79">
              <w:t xml:space="preserve">the result of the </w:t>
            </w:r>
          </w:p>
          <w:p w14:paraId="28126BFA" w14:textId="77777777" w:rsidR="00573F4F" w:rsidRDefault="00536525" w:rsidP="005B4013">
            <w:pPr>
              <w:spacing w:after="0"/>
            </w:pPr>
            <w:r w:rsidRPr="00D63F79">
              <w:t xml:space="preserve">first test is </w:t>
            </w:r>
            <w:proofErr w:type="gramStart"/>
            <w:r w:rsidRPr="00D63F79">
              <w:t xml:space="preserve">negative, </w:t>
            </w:r>
            <w:r w:rsidR="00A502A7" w:rsidRPr="00D63F79">
              <w:t xml:space="preserve"> repeat</w:t>
            </w:r>
            <w:proofErr w:type="gramEnd"/>
            <w:r w:rsidRPr="00D63F79">
              <w:t xml:space="preserve"> the test</w:t>
            </w:r>
            <w:r w:rsidR="00A502A7" w:rsidRPr="00D63F79">
              <w:t xml:space="preserve"> </w:t>
            </w:r>
          </w:p>
          <w:p w14:paraId="65C50FBD" w14:textId="77777777" w:rsidR="00573F4F" w:rsidRDefault="00A502A7" w:rsidP="005B4013">
            <w:pPr>
              <w:spacing w:after="0"/>
            </w:pPr>
            <w:r w:rsidRPr="00D63F79">
              <w:t>4-5</w:t>
            </w:r>
            <w:r w:rsidR="00573F4F">
              <w:t> </w:t>
            </w:r>
            <w:r w:rsidRPr="00D63F79">
              <w:t xml:space="preserve">days post onset </w:t>
            </w:r>
          </w:p>
          <w:p w14:paraId="53F9AF29" w14:textId="77777777" w:rsidR="00A502A7" w:rsidRPr="00D63F79" w:rsidRDefault="00A502A7" w:rsidP="005B4013">
            <w:pPr>
              <w:spacing w:after="0"/>
            </w:pPr>
            <w:r w:rsidRPr="00D63F79">
              <w:t>of symptoms</w:t>
            </w:r>
          </w:p>
        </w:tc>
        <w:tc>
          <w:tcPr>
            <w:tcW w:w="1250" w:type="pct"/>
          </w:tcPr>
          <w:p w14:paraId="2CC18825" w14:textId="77777777" w:rsidR="00A502A7" w:rsidRPr="00D63F79" w:rsidRDefault="00A502A7" w:rsidP="00C05EBA">
            <w:r w:rsidRPr="00D63F79">
              <w:t xml:space="preserve">May remain positive for weeks to months. </w:t>
            </w:r>
          </w:p>
        </w:tc>
      </w:tr>
      <w:tr w:rsidR="00A502A7" w:rsidRPr="00D63F79" w14:paraId="5A539598" w14:textId="77777777" w:rsidTr="00B379AF">
        <w:trPr>
          <w:trHeight w:val="437"/>
        </w:trPr>
        <w:tc>
          <w:tcPr>
            <w:tcW w:w="1250" w:type="pct"/>
          </w:tcPr>
          <w:p w14:paraId="2676D37B" w14:textId="77777777" w:rsidR="005B4013" w:rsidRDefault="00A502A7" w:rsidP="005B4013">
            <w:pPr>
              <w:spacing w:after="0"/>
            </w:pPr>
            <w:r w:rsidRPr="00D63F79">
              <w:t>Serum Antibody</w:t>
            </w:r>
          </w:p>
          <w:p w14:paraId="379BDA52" w14:textId="77777777" w:rsidR="00A502A7" w:rsidRPr="00D63F79" w:rsidRDefault="00A502A7" w:rsidP="005B4013">
            <w:pPr>
              <w:spacing w:after="0"/>
            </w:pPr>
            <w:r w:rsidRPr="00D63F79">
              <w:t xml:space="preserve"> (Blood) </w:t>
            </w:r>
          </w:p>
        </w:tc>
        <w:tc>
          <w:tcPr>
            <w:tcW w:w="1250" w:type="pct"/>
          </w:tcPr>
          <w:p w14:paraId="71133DF3" w14:textId="77777777" w:rsidR="005B4013" w:rsidRDefault="00A502A7" w:rsidP="005B4013">
            <w:pPr>
              <w:spacing w:after="0"/>
            </w:pPr>
            <w:r w:rsidRPr="00D63F79">
              <w:t xml:space="preserve">Early acute phase </w:t>
            </w:r>
          </w:p>
          <w:p w14:paraId="0A3C7C08" w14:textId="77777777" w:rsidR="00A502A7" w:rsidRPr="00D63F79" w:rsidRDefault="00A502A7" w:rsidP="005B4013">
            <w:pPr>
              <w:spacing w:after="0"/>
            </w:pPr>
            <w:r w:rsidRPr="00D63F79">
              <w:t>(e.g. within 3-4 days after onset) as baseline</w:t>
            </w:r>
          </w:p>
        </w:tc>
        <w:tc>
          <w:tcPr>
            <w:tcW w:w="1250" w:type="pct"/>
          </w:tcPr>
          <w:p w14:paraId="4D6EEFFC" w14:textId="77777777" w:rsidR="005B4013" w:rsidRDefault="00A502A7" w:rsidP="005B4013">
            <w:pPr>
              <w:spacing w:after="0"/>
            </w:pPr>
            <w:r w:rsidRPr="00D63F79">
              <w:t xml:space="preserve">3-6 weeks after </w:t>
            </w:r>
          </w:p>
          <w:p w14:paraId="33F96F6A" w14:textId="77777777" w:rsidR="005B4013" w:rsidRDefault="00A502A7" w:rsidP="005B4013">
            <w:pPr>
              <w:spacing w:after="0"/>
            </w:pPr>
            <w:r w:rsidRPr="00D63F79">
              <w:t xml:space="preserve">onset. Test in </w:t>
            </w:r>
          </w:p>
          <w:p w14:paraId="0333F952" w14:textId="77777777" w:rsidR="00A502A7" w:rsidRPr="00D63F79" w:rsidRDefault="00A502A7" w:rsidP="005B4013">
            <w:pPr>
              <w:spacing w:after="0"/>
            </w:pPr>
            <w:r w:rsidRPr="00D63F79">
              <w:t xml:space="preserve">parallel with first specimen. </w:t>
            </w:r>
          </w:p>
        </w:tc>
        <w:tc>
          <w:tcPr>
            <w:tcW w:w="1250" w:type="pct"/>
          </w:tcPr>
          <w:p w14:paraId="7BF08106" w14:textId="77777777" w:rsidR="005B4013" w:rsidRDefault="00A502A7" w:rsidP="005B4013">
            <w:pPr>
              <w:spacing w:after="0"/>
            </w:pPr>
            <w:r w:rsidRPr="00D63F79">
              <w:t>Antibody levels rise</w:t>
            </w:r>
          </w:p>
          <w:p w14:paraId="5492B2E6" w14:textId="77777777" w:rsidR="005B4013" w:rsidRDefault="00A502A7" w:rsidP="005B4013">
            <w:pPr>
              <w:spacing w:after="0"/>
            </w:pPr>
            <w:r w:rsidRPr="00D63F79">
              <w:t xml:space="preserve">in response to </w:t>
            </w:r>
          </w:p>
          <w:p w14:paraId="1AE60BBB" w14:textId="77777777" w:rsidR="005B4013" w:rsidRDefault="00A502A7" w:rsidP="005B4013">
            <w:pPr>
              <w:spacing w:after="0"/>
            </w:pPr>
            <w:r w:rsidRPr="00D63F79">
              <w:t>infection and may</w:t>
            </w:r>
          </w:p>
          <w:p w14:paraId="065CC72D" w14:textId="77777777" w:rsidR="005B4013" w:rsidRDefault="00A502A7" w:rsidP="005B4013">
            <w:pPr>
              <w:spacing w:after="0"/>
            </w:pPr>
            <w:r w:rsidRPr="00D63F79">
              <w:t xml:space="preserve">remain high for </w:t>
            </w:r>
          </w:p>
          <w:p w14:paraId="3051AC57" w14:textId="77777777" w:rsidR="005B4013" w:rsidRDefault="00A502A7" w:rsidP="005B4013">
            <w:pPr>
              <w:spacing w:after="0"/>
            </w:pPr>
            <w:r w:rsidRPr="00D63F79">
              <w:t>many months or</w:t>
            </w:r>
          </w:p>
          <w:p w14:paraId="484D58C7" w14:textId="77777777" w:rsidR="00A502A7" w:rsidRPr="00D63F79" w:rsidRDefault="00A502A7" w:rsidP="005B4013">
            <w:pPr>
              <w:spacing w:after="0"/>
            </w:pPr>
            <w:r w:rsidRPr="00D63F79">
              <w:t xml:space="preserve">years </w:t>
            </w:r>
          </w:p>
        </w:tc>
      </w:tr>
      <w:tr w:rsidR="00A502A7" w:rsidRPr="00D63F79" w14:paraId="068D8908" w14:textId="77777777" w:rsidTr="00B379AF">
        <w:trPr>
          <w:trHeight w:val="247"/>
        </w:trPr>
        <w:tc>
          <w:tcPr>
            <w:tcW w:w="1250" w:type="pct"/>
          </w:tcPr>
          <w:p w14:paraId="539ED71D" w14:textId="77777777" w:rsidR="005B4013" w:rsidRDefault="00A502A7" w:rsidP="005B4013">
            <w:pPr>
              <w:spacing w:after="0"/>
            </w:pPr>
            <w:r w:rsidRPr="00D63F79">
              <w:t xml:space="preserve">Sputum Culture </w:t>
            </w:r>
          </w:p>
          <w:p w14:paraId="0FAF46C9" w14:textId="77777777" w:rsidR="00A502A7" w:rsidRPr="00D63F79" w:rsidRDefault="00A502A7" w:rsidP="005B4013">
            <w:pPr>
              <w:spacing w:after="0"/>
            </w:pPr>
            <w:r w:rsidRPr="00D63F79">
              <w:t>(induced specimen preferred)</w:t>
            </w:r>
          </w:p>
        </w:tc>
        <w:tc>
          <w:tcPr>
            <w:tcW w:w="1250" w:type="pct"/>
          </w:tcPr>
          <w:p w14:paraId="523B38ED" w14:textId="77777777" w:rsidR="00A502A7" w:rsidRPr="00D63F79" w:rsidRDefault="00A502A7" w:rsidP="005B4013">
            <w:pPr>
              <w:spacing w:after="0"/>
            </w:pPr>
            <w:r w:rsidRPr="00D63F79">
              <w:t xml:space="preserve">ASAP </w:t>
            </w:r>
          </w:p>
        </w:tc>
        <w:tc>
          <w:tcPr>
            <w:tcW w:w="1250" w:type="pct"/>
          </w:tcPr>
          <w:p w14:paraId="4503C6DF" w14:textId="77777777" w:rsidR="00A502A7" w:rsidRPr="00D63F79" w:rsidRDefault="00A502A7" w:rsidP="005B4013">
            <w:pPr>
              <w:spacing w:after="0"/>
            </w:pPr>
            <w:r w:rsidRPr="00D63F79">
              <w:t xml:space="preserve">Not required </w:t>
            </w:r>
          </w:p>
        </w:tc>
        <w:tc>
          <w:tcPr>
            <w:tcW w:w="1250" w:type="pct"/>
          </w:tcPr>
          <w:p w14:paraId="3CF12CA2" w14:textId="77777777" w:rsidR="005B4013" w:rsidRDefault="00A502A7" w:rsidP="005B4013">
            <w:pPr>
              <w:spacing w:after="0"/>
            </w:pPr>
            <w:r w:rsidRPr="00D63F79">
              <w:t>Often difficult to</w:t>
            </w:r>
          </w:p>
          <w:p w14:paraId="0B4A119B" w14:textId="77777777" w:rsidR="005B4013" w:rsidRDefault="00A502A7" w:rsidP="005B4013">
            <w:pPr>
              <w:spacing w:after="0"/>
            </w:pPr>
            <w:r w:rsidRPr="00D63F79">
              <w:t>collect as cough frequently</w:t>
            </w:r>
          </w:p>
          <w:p w14:paraId="3392171D" w14:textId="77777777" w:rsidR="00A502A7" w:rsidRPr="00D63F79" w:rsidRDefault="00A502A7" w:rsidP="005B4013">
            <w:pPr>
              <w:spacing w:after="0"/>
            </w:pPr>
            <w:r w:rsidRPr="00D63F79">
              <w:t xml:space="preserve">non-productive </w:t>
            </w:r>
          </w:p>
        </w:tc>
      </w:tr>
      <w:tr w:rsidR="00A502A7" w:rsidRPr="00D63F79" w14:paraId="35825B9F" w14:textId="77777777" w:rsidTr="00B379AF">
        <w:trPr>
          <w:trHeight w:val="357"/>
        </w:trPr>
        <w:tc>
          <w:tcPr>
            <w:tcW w:w="1250" w:type="pct"/>
          </w:tcPr>
          <w:p w14:paraId="7ECEB50B" w14:textId="77777777" w:rsidR="005B4013" w:rsidRDefault="00A502A7" w:rsidP="005B4013">
            <w:pPr>
              <w:spacing w:after="0"/>
            </w:pPr>
            <w:r w:rsidRPr="00D63F79">
              <w:t xml:space="preserve">PCR (Broncho </w:t>
            </w:r>
          </w:p>
          <w:p w14:paraId="5B046F97" w14:textId="77777777" w:rsidR="005B4013" w:rsidRDefault="00A502A7" w:rsidP="005B4013">
            <w:pPr>
              <w:spacing w:after="0"/>
            </w:pPr>
            <w:r w:rsidRPr="00D63F79">
              <w:t>alveolar lavage</w:t>
            </w:r>
          </w:p>
          <w:p w14:paraId="5439D2CA" w14:textId="77777777" w:rsidR="005B4013" w:rsidRDefault="00A502A7" w:rsidP="005B4013">
            <w:pPr>
              <w:spacing w:after="0"/>
            </w:pPr>
            <w:r w:rsidRPr="00D63F79">
              <w:t xml:space="preserve">(BAL) or induced </w:t>
            </w:r>
          </w:p>
          <w:p w14:paraId="49586E8B" w14:textId="77777777" w:rsidR="00A502A7" w:rsidRPr="00D63F79" w:rsidRDefault="00A502A7" w:rsidP="005B4013">
            <w:pPr>
              <w:spacing w:after="0"/>
            </w:pPr>
            <w:r w:rsidRPr="00D63F79">
              <w:t>sputum specimens)</w:t>
            </w:r>
          </w:p>
        </w:tc>
        <w:tc>
          <w:tcPr>
            <w:tcW w:w="1250" w:type="pct"/>
          </w:tcPr>
          <w:p w14:paraId="60959832" w14:textId="77777777" w:rsidR="00A502A7" w:rsidRPr="00D63F79" w:rsidRDefault="00A502A7" w:rsidP="005B4013">
            <w:pPr>
              <w:spacing w:after="0"/>
            </w:pPr>
            <w:r w:rsidRPr="00D63F79">
              <w:t xml:space="preserve">ASAP </w:t>
            </w:r>
          </w:p>
        </w:tc>
        <w:tc>
          <w:tcPr>
            <w:tcW w:w="1250" w:type="pct"/>
          </w:tcPr>
          <w:p w14:paraId="65FC9DDD" w14:textId="77777777" w:rsidR="00A502A7" w:rsidRPr="00D63F79" w:rsidRDefault="00A502A7" w:rsidP="005B4013">
            <w:pPr>
              <w:spacing w:after="0"/>
            </w:pPr>
            <w:r w:rsidRPr="00D63F79">
              <w:t xml:space="preserve">Not required </w:t>
            </w:r>
          </w:p>
        </w:tc>
        <w:tc>
          <w:tcPr>
            <w:tcW w:w="1250" w:type="pct"/>
          </w:tcPr>
          <w:p w14:paraId="2741101D" w14:textId="77777777" w:rsidR="005B4013" w:rsidRDefault="00A502A7" w:rsidP="005B4013">
            <w:pPr>
              <w:spacing w:after="0"/>
            </w:pPr>
            <w:r w:rsidRPr="00D63F79">
              <w:t xml:space="preserve">PCR may still be </w:t>
            </w:r>
          </w:p>
          <w:p w14:paraId="0613E06F" w14:textId="77777777" w:rsidR="005B4013" w:rsidRDefault="00A502A7" w:rsidP="005B4013">
            <w:pPr>
              <w:spacing w:after="0"/>
            </w:pPr>
            <w:r w:rsidRPr="00D63F79">
              <w:t xml:space="preserve">positive after </w:t>
            </w:r>
          </w:p>
          <w:p w14:paraId="4395C922" w14:textId="77777777" w:rsidR="005B4013" w:rsidRDefault="00A502A7" w:rsidP="005B4013">
            <w:pPr>
              <w:spacing w:after="0"/>
            </w:pPr>
            <w:r w:rsidRPr="00D63F79">
              <w:t xml:space="preserve">sputum culture </w:t>
            </w:r>
          </w:p>
          <w:p w14:paraId="6451E9C7" w14:textId="77777777" w:rsidR="00A502A7" w:rsidRPr="00D63F79" w:rsidRDefault="00A502A7" w:rsidP="005B4013">
            <w:pPr>
              <w:spacing w:after="0"/>
            </w:pPr>
            <w:r w:rsidRPr="00D63F79">
              <w:t xml:space="preserve">becomes negative </w:t>
            </w:r>
          </w:p>
        </w:tc>
      </w:tr>
    </w:tbl>
    <w:p w14:paraId="6501C4EA" w14:textId="77777777" w:rsidR="001E467A" w:rsidRDefault="001E467A" w:rsidP="001E467A">
      <w:pPr>
        <w:pStyle w:val="BodyText"/>
        <w:spacing w:after="120"/>
        <w:rPr>
          <w:rFonts w:ascii="Arial" w:hAnsi="Arial"/>
        </w:rPr>
      </w:pPr>
    </w:p>
    <w:p w14:paraId="0FEC4344" w14:textId="77777777" w:rsidR="00A502A7" w:rsidRPr="00D63F79" w:rsidRDefault="00A502A7" w:rsidP="001E467A">
      <w:pPr>
        <w:pStyle w:val="BodyText"/>
        <w:spacing w:after="120"/>
        <w:rPr>
          <w:rFonts w:ascii="Arial" w:hAnsi="Arial"/>
        </w:rPr>
      </w:pPr>
      <w:r w:rsidRPr="00D63F79">
        <w:rPr>
          <w:rFonts w:ascii="Arial" w:hAnsi="Arial"/>
        </w:rPr>
        <w:t>For further details regarding testing visit:</w:t>
      </w:r>
    </w:p>
    <w:p w14:paraId="75DD3DA6" w14:textId="77777777" w:rsidR="00A502A7" w:rsidRPr="00D63F79" w:rsidRDefault="00A502A7" w:rsidP="00C05EBA">
      <w:pPr>
        <w:pStyle w:val="BodyText"/>
        <w:numPr>
          <w:ilvl w:val="0"/>
          <w:numId w:val="22"/>
        </w:numPr>
        <w:rPr>
          <w:rFonts w:ascii="Arial" w:hAnsi="Arial"/>
          <w:szCs w:val="22"/>
        </w:rPr>
      </w:pPr>
      <w:r w:rsidRPr="00D63F79">
        <w:rPr>
          <w:rFonts w:ascii="Arial" w:hAnsi="Arial"/>
          <w:szCs w:val="22"/>
        </w:rPr>
        <w:t xml:space="preserve">The </w:t>
      </w:r>
      <w:hyperlink r:id="rId15" w:history="1">
        <w:r w:rsidRPr="00D63F79">
          <w:rPr>
            <w:rStyle w:val="Hyperlink"/>
            <w:rFonts w:cs="Arial"/>
            <w:szCs w:val="22"/>
          </w:rPr>
          <w:t>Public Health Laboratory Network (PHLN) laboratory case definitions website</w:t>
        </w:r>
      </w:hyperlink>
      <w:r w:rsidRPr="00D63F79">
        <w:rPr>
          <w:rFonts w:ascii="Arial" w:hAnsi="Arial"/>
          <w:szCs w:val="22"/>
        </w:rPr>
        <w:t>.</w:t>
      </w:r>
      <w:r w:rsidR="00EE4ABB" w:rsidRPr="00D63F79">
        <w:rPr>
          <w:rFonts w:ascii="Arial" w:hAnsi="Arial"/>
          <w:szCs w:val="22"/>
          <w:vertAlign w:val="superscript"/>
        </w:rPr>
        <w:t>2</w:t>
      </w:r>
      <w:r w:rsidR="007F3BD9">
        <w:rPr>
          <w:rFonts w:ascii="Arial" w:hAnsi="Arial"/>
          <w:szCs w:val="22"/>
          <w:vertAlign w:val="superscript"/>
        </w:rPr>
        <w:t>7</w:t>
      </w:r>
    </w:p>
    <w:p w14:paraId="4393011D" w14:textId="77777777" w:rsidR="00A502A7" w:rsidRPr="00D63F79" w:rsidRDefault="00A502A7" w:rsidP="00C05EBA">
      <w:pPr>
        <w:pStyle w:val="BodyText"/>
        <w:numPr>
          <w:ilvl w:val="0"/>
          <w:numId w:val="22"/>
        </w:numPr>
        <w:rPr>
          <w:rFonts w:ascii="Arial" w:hAnsi="Arial"/>
        </w:rPr>
      </w:pPr>
      <w:r w:rsidRPr="00D63F79">
        <w:rPr>
          <w:rFonts w:ascii="Arial" w:hAnsi="Arial"/>
        </w:rPr>
        <w:t xml:space="preserve">Mandell, Douglas, and Bennett's </w:t>
      </w:r>
      <w:r w:rsidRPr="00D63F79">
        <w:rPr>
          <w:rFonts w:ascii="Arial" w:hAnsi="Arial"/>
          <w:i/>
        </w:rPr>
        <w:t>Principles and Practice of Infectious Diseases</w:t>
      </w:r>
      <w:r w:rsidR="006F3CC0">
        <w:rPr>
          <w:rFonts w:ascii="Arial" w:hAnsi="Arial"/>
          <w:i/>
        </w:rPr>
        <w:t>.</w:t>
      </w:r>
      <w:r w:rsidR="007F3BD9">
        <w:rPr>
          <w:rFonts w:ascii="Arial" w:hAnsi="Arial"/>
          <w:vertAlign w:val="superscript"/>
        </w:rPr>
        <w:t>9</w:t>
      </w:r>
    </w:p>
    <w:p w14:paraId="799EA074" w14:textId="77777777" w:rsidR="00A502A7" w:rsidRPr="00D63F79" w:rsidRDefault="006E7284" w:rsidP="005B4013">
      <w:pPr>
        <w:pStyle w:val="ListParagraph"/>
        <w:numPr>
          <w:ilvl w:val="0"/>
          <w:numId w:val="22"/>
        </w:numPr>
      </w:pPr>
      <w:hyperlink r:id="rId16" w:history="1">
        <w:r w:rsidRPr="005B4013">
          <w:rPr>
            <w:rStyle w:val="Hyperlink"/>
          </w:rPr>
          <w:t xml:space="preserve">Centers </w:t>
        </w:r>
        <w:r w:rsidR="00A502A7" w:rsidRPr="005B4013">
          <w:rPr>
            <w:rStyle w:val="Hyperlink"/>
          </w:rPr>
          <w:t>for Disease Control and Prevention, Legionella, Diagnostic</w:t>
        </w:r>
        <w:r w:rsidR="00EB6026" w:rsidRPr="005B4013">
          <w:rPr>
            <w:rStyle w:val="Hyperlink"/>
          </w:rPr>
          <w:t xml:space="preserve"> </w:t>
        </w:r>
        <w:r w:rsidR="00EE4ABB" w:rsidRPr="005B4013">
          <w:rPr>
            <w:rStyle w:val="Hyperlink"/>
          </w:rPr>
          <w:t>Testing</w:t>
        </w:r>
      </w:hyperlink>
      <w:r w:rsidR="006F3CC0">
        <w:t>.</w:t>
      </w:r>
      <w:r w:rsidR="007F3BD9">
        <w:rPr>
          <w:vertAlign w:val="superscript"/>
        </w:rPr>
        <w:t>30</w:t>
      </w:r>
      <w:r w:rsidR="006F3CC0">
        <w:rPr>
          <w:vertAlign w:val="superscript"/>
        </w:rPr>
        <w:t xml:space="preserve"> </w:t>
      </w:r>
    </w:p>
    <w:p w14:paraId="557E8A0F" w14:textId="77777777" w:rsidR="00A502A7" w:rsidRPr="00D63F79" w:rsidRDefault="00A502A7" w:rsidP="00C05EBA">
      <w:pPr>
        <w:pStyle w:val="Heading1"/>
      </w:pPr>
      <w:r w:rsidRPr="00D63F79">
        <w:t>9. Case management</w:t>
      </w:r>
    </w:p>
    <w:p w14:paraId="72834E78" w14:textId="77777777" w:rsidR="00A502A7" w:rsidRPr="00D63F79" w:rsidRDefault="00A502A7" w:rsidP="00C05EBA">
      <w:pPr>
        <w:pStyle w:val="Heading2"/>
      </w:pPr>
      <w:r w:rsidRPr="00D63F79">
        <w:t>Response times</w:t>
      </w:r>
    </w:p>
    <w:p w14:paraId="32663673" w14:textId="77777777" w:rsidR="005B4013" w:rsidRDefault="00A502A7" w:rsidP="005B4013">
      <w:pPr>
        <w:spacing w:after="0"/>
        <w:rPr>
          <w:i/>
          <w:lang w:val="en-US"/>
        </w:rPr>
      </w:pPr>
      <w:r w:rsidRPr="00D63F79">
        <w:rPr>
          <w:lang w:val="en-US"/>
        </w:rPr>
        <w:t>Response</w:t>
      </w:r>
      <w:r w:rsidR="00D16B89" w:rsidRPr="00D63F79">
        <w:rPr>
          <w:lang w:val="en-US"/>
        </w:rPr>
        <w:t xml:space="preserve"> for</w:t>
      </w:r>
      <w:r w:rsidRPr="00D63F79">
        <w:rPr>
          <w:lang w:val="en-US"/>
        </w:rPr>
        <w:t xml:space="preserve"> </w:t>
      </w:r>
      <w:r w:rsidR="00D16B89" w:rsidRPr="00D63F79">
        <w:rPr>
          <w:i/>
          <w:lang w:eastAsia="en-US"/>
        </w:rPr>
        <w:t xml:space="preserve">L. pneumophila </w:t>
      </w:r>
      <w:r w:rsidR="00D16B89" w:rsidRPr="00D63F79">
        <w:rPr>
          <w:lang w:eastAsia="en-US"/>
        </w:rPr>
        <w:t xml:space="preserve">cases and clusters/outbreaks caused by other </w:t>
      </w:r>
      <w:r w:rsidR="00D16B89" w:rsidRPr="00D63F79">
        <w:rPr>
          <w:i/>
          <w:lang w:eastAsia="en-US"/>
        </w:rPr>
        <w:t xml:space="preserve">Legionella </w:t>
      </w:r>
      <w:r w:rsidR="00D16B89" w:rsidRPr="00D63F79">
        <w:rPr>
          <w:lang w:eastAsia="en-US"/>
        </w:rPr>
        <w:t>species</w:t>
      </w:r>
      <w:r w:rsidR="00D16B89" w:rsidRPr="00D63F79">
        <w:rPr>
          <w:lang w:val="en-US"/>
        </w:rPr>
        <w:t xml:space="preserve"> </w:t>
      </w:r>
      <w:r w:rsidRPr="00D63F79">
        <w:rPr>
          <w:lang w:val="en-US"/>
        </w:rPr>
        <w:t>should commence as soon as possible, generally within one working</w:t>
      </w:r>
      <w:r w:rsidR="00D16B89" w:rsidRPr="00D63F79">
        <w:rPr>
          <w:lang w:val="en-US"/>
        </w:rPr>
        <w:t xml:space="preserve"> </w:t>
      </w:r>
      <w:r w:rsidR="001E467A">
        <w:rPr>
          <w:lang w:val="en-US"/>
        </w:rPr>
        <w:t>day for</w:t>
      </w:r>
      <w:r w:rsidRPr="00D63F79">
        <w:rPr>
          <w:lang w:val="en-US"/>
        </w:rPr>
        <w:t xml:space="preserve"> probable or confirmed cases. Begin the follow-up investigation using the Legionnaires’ disease </w:t>
      </w:r>
      <w:r w:rsidR="007D4BA9">
        <w:rPr>
          <w:lang w:val="en-US"/>
        </w:rPr>
        <w:t>i</w:t>
      </w:r>
      <w:r w:rsidR="007D4BA9" w:rsidRPr="00D63F79">
        <w:rPr>
          <w:lang w:val="en-US"/>
        </w:rPr>
        <w:t xml:space="preserve">nvestigation </w:t>
      </w:r>
      <w:r w:rsidRPr="00D63F79">
        <w:rPr>
          <w:lang w:val="en-US"/>
        </w:rPr>
        <w:t>form (Appendix 1).</w:t>
      </w:r>
      <w:r w:rsidR="00EB6026">
        <w:rPr>
          <w:lang w:val="en-US"/>
        </w:rPr>
        <w:t xml:space="preserve"> </w:t>
      </w:r>
      <w:r w:rsidRPr="00D63F79">
        <w:rPr>
          <w:lang w:val="en-US"/>
        </w:rPr>
        <w:t xml:space="preserve">If case is </w:t>
      </w:r>
      <w:r w:rsidR="001B49FF" w:rsidRPr="00D63F79">
        <w:rPr>
          <w:lang w:val="en-US"/>
        </w:rPr>
        <w:t xml:space="preserve">sporadic </w:t>
      </w:r>
      <w:r w:rsidRPr="00D63F79">
        <w:rPr>
          <w:i/>
          <w:lang w:val="en-US"/>
        </w:rPr>
        <w:t>L</w:t>
      </w:r>
      <w:r w:rsidR="001B49FF" w:rsidRPr="00D63F79">
        <w:rPr>
          <w:i/>
          <w:lang w:val="en-US"/>
        </w:rPr>
        <w:t>.</w:t>
      </w:r>
      <w:r w:rsidRPr="00D63F79">
        <w:rPr>
          <w:i/>
          <w:lang w:val="en-US"/>
        </w:rPr>
        <w:t xml:space="preserve"> </w:t>
      </w:r>
      <w:proofErr w:type="spellStart"/>
      <w:r w:rsidRPr="00D63F79">
        <w:rPr>
          <w:i/>
          <w:lang w:val="en-US"/>
        </w:rPr>
        <w:t>longbeachae</w:t>
      </w:r>
      <w:proofErr w:type="spellEnd"/>
      <w:r w:rsidR="00D16B89" w:rsidRPr="00D63F79">
        <w:rPr>
          <w:i/>
          <w:lang w:val="en-US"/>
        </w:rPr>
        <w:t xml:space="preserve"> and other </w:t>
      </w:r>
    </w:p>
    <w:p w14:paraId="1643A023" w14:textId="77777777" w:rsidR="00047FD4" w:rsidRPr="00047FD4" w:rsidRDefault="00D16B89" w:rsidP="00047FD4">
      <w:pPr>
        <w:rPr>
          <w:lang w:val="en-US"/>
        </w:rPr>
      </w:pPr>
      <w:r w:rsidRPr="00956B15">
        <w:rPr>
          <w:lang w:val="en-US"/>
        </w:rPr>
        <w:t>non</w:t>
      </w:r>
      <w:r w:rsidRPr="00D63F79">
        <w:rPr>
          <w:i/>
          <w:lang w:val="en-US"/>
        </w:rPr>
        <w:t xml:space="preserve">-L. pneumophila </w:t>
      </w:r>
      <w:r w:rsidRPr="00EB278D">
        <w:rPr>
          <w:lang w:val="en-US"/>
        </w:rPr>
        <w:t>species</w:t>
      </w:r>
      <w:r w:rsidR="00A502A7" w:rsidRPr="00EB278D">
        <w:rPr>
          <w:lang w:val="en-US"/>
        </w:rPr>
        <w:t xml:space="preserve">, follow-up </w:t>
      </w:r>
      <w:r w:rsidR="00D7571F" w:rsidRPr="00EB278D">
        <w:rPr>
          <w:lang w:val="en-US"/>
        </w:rPr>
        <w:t>should be carried out as part of routine duties</w:t>
      </w:r>
      <w:r w:rsidR="00D7571F" w:rsidRPr="00EB6026">
        <w:rPr>
          <w:rStyle w:val="CommentReference"/>
          <w:rFonts w:cs="Arial"/>
          <w:szCs w:val="20"/>
        </w:rPr>
        <w:t>.</w:t>
      </w:r>
      <w:r w:rsidR="00BC10C2" w:rsidRPr="00047FD4">
        <w:rPr>
          <w:lang w:val="en-US"/>
        </w:rPr>
        <w:t xml:space="preserve"> </w:t>
      </w:r>
    </w:p>
    <w:p w14:paraId="3B6327B2" w14:textId="77777777" w:rsidR="00BC10C2" w:rsidRDefault="00BC10C2">
      <w:pPr>
        <w:autoSpaceDE/>
        <w:autoSpaceDN/>
        <w:adjustRightInd/>
        <w:spacing w:after="200" w:line="276" w:lineRule="auto"/>
        <w:ind w:right="0"/>
        <w:rPr>
          <w:rFonts w:cs="Arial"/>
          <w:b/>
          <w:i/>
          <w:iCs/>
          <w:sz w:val="24"/>
          <w:lang w:val="en-US"/>
        </w:rPr>
      </w:pPr>
      <w:r>
        <w:br w:type="page"/>
      </w:r>
    </w:p>
    <w:p w14:paraId="65F6AE5B" w14:textId="77777777" w:rsidR="00A502A7" w:rsidRPr="00D63F79" w:rsidRDefault="00A502A7" w:rsidP="00AC63A4">
      <w:pPr>
        <w:pStyle w:val="Heading2"/>
      </w:pPr>
      <w:r w:rsidRPr="00D63F79">
        <w:lastRenderedPageBreak/>
        <w:t>Response procedure</w:t>
      </w:r>
    </w:p>
    <w:p w14:paraId="438BB8F8" w14:textId="77777777" w:rsidR="00A502A7" w:rsidRPr="00D63F79" w:rsidRDefault="00A502A7" w:rsidP="005B4013">
      <w:pPr>
        <w:pStyle w:val="Heading3"/>
      </w:pPr>
      <w:r w:rsidRPr="00D63F79">
        <w:t>Case investigation</w:t>
      </w:r>
    </w:p>
    <w:p w14:paraId="6243C8C0" w14:textId="77777777" w:rsidR="00A502A7" w:rsidRPr="00D63F79" w:rsidRDefault="00A502A7" w:rsidP="00C05EBA">
      <w:pPr>
        <w:rPr>
          <w:lang w:val="en-US"/>
        </w:rPr>
      </w:pPr>
      <w:r w:rsidRPr="00D63F79">
        <w:rPr>
          <w:lang w:val="en-US"/>
        </w:rPr>
        <w:t>The response to a notification will normally be carried out in collaboration with the case’s healthcar</w:t>
      </w:r>
      <w:r w:rsidR="00D16B89" w:rsidRPr="00D63F79">
        <w:rPr>
          <w:lang w:val="en-US"/>
        </w:rPr>
        <w:t>e providers</w:t>
      </w:r>
      <w:r w:rsidRPr="00D63F79">
        <w:rPr>
          <w:lang w:val="en-US"/>
        </w:rPr>
        <w:t>. PHU staff should ensure that action has been taken to:</w:t>
      </w:r>
    </w:p>
    <w:p w14:paraId="5D79529A" w14:textId="77777777" w:rsidR="00A502A7" w:rsidRPr="00D63F79" w:rsidRDefault="00A502A7" w:rsidP="00C05EBA">
      <w:pPr>
        <w:pStyle w:val="ListParagraph"/>
        <w:numPr>
          <w:ilvl w:val="0"/>
          <w:numId w:val="3"/>
        </w:numPr>
      </w:pPr>
      <w:r w:rsidRPr="00D63F79">
        <w:t>seek, where practicable, the doctor’s permission to co</w:t>
      </w:r>
      <w:r w:rsidR="001E467A">
        <w:t xml:space="preserve">ntact the case or relevant </w:t>
      </w:r>
      <w:proofErr w:type="gramStart"/>
      <w:r w:rsidR="001E467A">
        <w:t>care-</w:t>
      </w:r>
      <w:r w:rsidRPr="00D63F79">
        <w:t>giver</w:t>
      </w:r>
      <w:proofErr w:type="gramEnd"/>
      <w:r w:rsidRPr="00D63F79">
        <w:t xml:space="preserve"> </w:t>
      </w:r>
    </w:p>
    <w:p w14:paraId="1262CA85" w14:textId="77777777" w:rsidR="00A502A7" w:rsidRPr="00D63F79" w:rsidRDefault="00A502A7" w:rsidP="00C05EBA">
      <w:pPr>
        <w:pStyle w:val="ListParagraph"/>
        <w:numPr>
          <w:ilvl w:val="0"/>
          <w:numId w:val="3"/>
        </w:numPr>
      </w:pPr>
      <w:r w:rsidRPr="00D63F79">
        <w:t xml:space="preserve">find out if the case or relevant </w:t>
      </w:r>
      <w:proofErr w:type="gramStart"/>
      <w:r w:rsidRPr="00D63F79">
        <w:t>care-giver</w:t>
      </w:r>
      <w:proofErr w:type="gramEnd"/>
      <w:r w:rsidRPr="00D63F79">
        <w:t xml:space="preserve"> has been told what the diagnosis is before beginning the interview</w:t>
      </w:r>
    </w:p>
    <w:p w14:paraId="73000B5B" w14:textId="77777777" w:rsidR="00A502A7" w:rsidRPr="00D63F79" w:rsidRDefault="00A502A7" w:rsidP="00C05EBA">
      <w:pPr>
        <w:pStyle w:val="ListParagraph"/>
        <w:numPr>
          <w:ilvl w:val="0"/>
          <w:numId w:val="3"/>
        </w:numPr>
      </w:pPr>
      <w:r w:rsidRPr="00D63F79">
        <w:t xml:space="preserve">confirm the date </w:t>
      </w:r>
      <w:r w:rsidR="00D16B89" w:rsidRPr="00D63F79">
        <w:t xml:space="preserve">of onset, signs </w:t>
      </w:r>
      <w:r w:rsidRPr="00D63F79">
        <w:t>and symptoms of the illness</w:t>
      </w:r>
    </w:p>
    <w:p w14:paraId="63C0A75B" w14:textId="77777777" w:rsidR="00A502A7" w:rsidRPr="00D63F79" w:rsidRDefault="00A502A7" w:rsidP="00C05EBA">
      <w:pPr>
        <w:pStyle w:val="ListParagraph"/>
        <w:numPr>
          <w:ilvl w:val="0"/>
          <w:numId w:val="3"/>
        </w:numPr>
      </w:pPr>
      <w:r w:rsidRPr="00D63F79">
        <w:t>confirm results of relevant pathology tests, or r</w:t>
      </w:r>
      <w:r w:rsidR="001E467A">
        <w:t>ecommend the tests be done (see </w:t>
      </w:r>
      <w:hyperlink w:anchor="_8._Laboratory_testing" w:history="1">
        <w:r w:rsidRPr="00354D7F">
          <w:rPr>
            <w:rStyle w:val="Hyperlink"/>
          </w:rPr>
          <w:t>Section 8</w:t>
        </w:r>
      </w:hyperlink>
      <w:r w:rsidR="001E467A">
        <w:t xml:space="preserve"> Laboratory testing</w:t>
      </w:r>
      <w:r w:rsidRPr="00D63F79">
        <w:t>)</w:t>
      </w:r>
    </w:p>
    <w:p w14:paraId="70E12D4A" w14:textId="77777777" w:rsidR="00A502A7" w:rsidRPr="00D63F79" w:rsidRDefault="00A502A7" w:rsidP="00C05EBA">
      <w:pPr>
        <w:pStyle w:val="ListParagraph"/>
        <w:numPr>
          <w:ilvl w:val="0"/>
          <w:numId w:val="3"/>
        </w:numPr>
      </w:pPr>
      <w:r w:rsidRPr="00D63F79">
        <w:t>identify likely source(s)</w:t>
      </w:r>
      <w:r w:rsidR="006E7284" w:rsidRPr="00D63F79">
        <w:t xml:space="preserve"> </w:t>
      </w:r>
      <w:r w:rsidRPr="00D63F79">
        <w:t>of a cluster or outbreak.</w:t>
      </w:r>
    </w:p>
    <w:p w14:paraId="09936AEB" w14:textId="77777777" w:rsidR="00A502A7" w:rsidRPr="005B4013" w:rsidRDefault="00A502A7" w:rsidP="005B4013">
      <w:pPr>
        <w:pStyle w:val="ListParagraph"/>
        <w:numPr>
          <w:ilvl w:val="0"/>
          <w:numId w:val="3"/>
        </w:numPr>
      </w:pPr>
      <w:r w:rsidRPr="00D63F79">
        <w:t xml:space="preserve">inform the appropriate PHU, State or Territory CDB, see </w:t>
      </w:r>
      <w:hyperlink w:anchor="_6._Communications" w:history="1">
        <w:r w:rsidRPr="00354D7F">
          <w:rPr>
            <w:rStyle w:val="Hyperlink"/>
          </w:rPr>
          <w:t>Section 6</w:t>
        </w:r>
      </w:hyperlink>
      <w:r w:rsidRPr="00D63F79">
        <w:t xml:space="preserve"> Communications.</w:t>
      </w:r>
    </w:p>
    <w:p w14:paraId="777976BC" w14:textId="77777777" w:rsidR="00A502A7" w:rsidRPr="005B4013" w:rsidRDefault="00A502A7" w:rsidP="005B4013">
      <w:pPr>
        <w:pStyle w:val="Heading3"/>
      </w:pPr>
      <w:r w:rsidRPr="00D63F79">
        <w:t>Exposure history</w:t>
      </w:r>
    </w:p>
    <w:p w14:paraId="09CD0170" w14:textId="77777777" w:rsidR="00A502A7" w:rsidRPr="00D63F79" w:rsidRDefault="00A502A7" w:rsidP="00C05EBA">
      <w:r w:rsidRPr="00D63F79">
        <w:rPr>
          <w:u w:val="single"/>
        </w:rPr>
        <w:t>For</w:t>
      </w:r>
      <w:r w:rsidR="002A02AB" w:rsidRPr="00D63F79">
        <w:rPr>
          <w:u w:val="single"/>
        </w:rPr>
        <w:t xml:space="preserve"> </w:t>
      </w:r>
      <w:r w:rsidRPr="00D63F79">
        <w:rPr>
          <w:u w:val="single"/>
        </w:rPr>
        <w:t xml:space="preserve">a </w:t>
      </w:r>
      <w:r w:rsidRPr="00D63F79">
        <w:rPr>
          <w:i/>
          <w:u w:val="single"/>
        </w:rPr>
        <w:t>L. pneumophila</w:t>
      </w:r>
      <w:r w:rsidRPr="00D63F79">
        <w:rPr>
          <w:u w:val="single"/>
        </w:rPr>
        <w:t xml:space="preserve"> case</w:t>
      </w:r>
      <w:r w:rsidRPr="00D63F79">
        <w:t>:</w:t>
      </w:r>
    </w:p>
    <w:p w14:paraId="18BCD1F9" w14:textId="77777777" w:rsidR="00A502A7" w:rsidRPr="00D63F79" w:rsidRDefault="00A502A7" w:rsidP="00C05EBA">
      <w:pPr>
        <w:rPr>
          <w:lang w:val="en-US"/>
        </w:rPr>
      </w:pPr>
      <w:r w:rsidRPr="00D63F79">
        <w:rPr>
          <w:lang w:val="en-US"/>
        </w:rPr>
        <w:t xml:space="preserve">Identify all movements and higher-risk activities undertaken by the case during the </w:t>
      </w:r>
      <w:r w:rsidR="005B3905" w:rsidRPr="00D63F79">
        <w:rPr>
          <w:lang w:val="en-US"/>
        </w:rPr>
        <w:t xml:space="preserve">exposure </w:t>
      </w:r>
      <w:r w:rsidRPr="00D63F79">
        <w:rPr>
          <w:lang w:val="en-US"/>
        </w:rPr>
        <w:t xml:space="preserve">period. Ask about exposures during the </w:t>
      </w:r>
      <w:r w:rsidR="005B3905" w:rsidRPr="00D63F79">
        <w:rPr>
          <w:lang w:val="en-US"/>
        </w:rPr>
        <w:t xml:space="preserve">exposure </w:t>
      </w:r>
      <w:r w:rsidRPr="00D63F79">
        <w:rPr>
          <w:lang w:val="en-US"/>
        </w:rPr>
        <w:t>period including potential workplace, social, sporting, travel</w:t>
      </w:r>
      <w:r w:rsidR="00D16B89" w:rsidRPr="00D63F79">
        <w:rPr>
          <w:lang w:val="en-US"/>
        </w:rPr>
        <w:t xml:space="preserve">, </w:t>
      </w:r>
      <w:r w:rsidR="00EB6026" w:rsidRPr="00D63F79">
        <w:rPr>
          <w:lang w:val="en-US"/>
        </w:rPr>
        <w:t>healthcare</w:t>
      </w:r>
      <w:r w:rsidRPr="00D63F79">
        <w:rPr>
          <w:lang w:val="en-US"/>
        </w:rPr>
        <w:t xml:space="preserve"> and domestic exposures in the two to ten days before onset. </w:t>
      </w:r>
    </w:p>
    <w:p w14:paraId="1ECFFE59" w14:textId="77777777" w:rsidR="00A502A7" w:rsidRPr="00D63F79" w:rsidRDefault="00A502A7" w:rsidP="00C05EBA">
      <w:pPr>
        <w:rPr>
          <w:lang w:val="en-US"/>
        </w:rPr>
      </w:pPr>
      <w:r w:rsidRPr="00D63F79">
        <w:rPr>
          <w:lang w:val="en-US"/>
        </w:rPr>
        <w:t>For</w:t>
      </w:r>
      <w:r w:rsidRPr="00D63F79">
        <w:rPr>
          <w:i/>
          <w:lang w:val="en-US"/>
        </w:rPr>
        <w:t xml:space="preserve"> L. pneumophila</w:t>
      </w:r>
      <w:r w:rsidRPr="00D63F79">
        <w:rPr>
          <w:lang w:val="en-US"/>
        </w:rPr>
        <w:t xml:space="preserve"> and species other than </w:t>
      </w:r>
      <w:r w:rsidRPr="00D63F79">
        <w:rPr>
          <w:i/>
          <w:lang w:val="en-US"/>
        </w:rPr>
        <w:t xml:space="preserve">L. </w:t>
      </w:r>
      <w:proofErr w:type="spellStart"/>
      <w:r w:rsidRPr="00D63F79">
        <w:rPr>
          <w:i/>
          <w:lang w:val="en-US"/>
        </w:rPr>
        <w:t>longbeachae</w:t>
      </w:r>
      <w:proofErr w:type="spellEnd"/>
      <w:r w:rsidRPr="00D63F79">
        <w:rPr>
          <w:lang w:val="en-US"/>
        </w:rPr>
        <w:t xml:space="preserve"> questions should be asked about the following exposures:</w:t>
      </w:r>
    </w:p>
    <w:p w14:paraId="2C5D5B59" w14:textId="77777777" w:rsidR="00A502A7" w:rsidRPr="00D63F79" w:rsidRDefault="00D16B89" w:rsidP="00C05EBA">
      <w:pPr>
        <w:pStyle w:val="ListParagraph"/>
        <w:numPr>
          <w:ilvl w:val="0"/>
          <w:numId w:val="2"/>
        </w:numPr>
      </w:pPr>
      <w:r w:rsidRPr="00D63F79">
        <w:t xml:space="preserve">potential exposures to mists from </w:t>
      </w:r>
      <w:r w:rsidR="00DA4A54">
        <w:t>CWS</w:t>
      </w:r>
      <w:r w:rsidRPr="00D63F79">
        <w:t xml:space="preserve"> (e.g. air-conditioning cooling towers) through working in or visiting areas with large buildings (e.g. city </w:t>
      </w:r>
      <w:proofErr w:type="spellStart"/>
      <w:r w:rsidRPr="00D63F79">
        <w:t>centres</w:t>
      </w:r>
      <w:proofErr w:type="spellEnd"/>
      <w:r w:rsidRPr="00D63F79">
        <w:t xml:space="preserve">, shopping </w:t>
      </w:r>
      <w:proofErr w:type="spellStart"/>
      <w:r w:rsidRPr="00D63F79">
        <w:t>centres</w:t>
      </w:r>
      <w:proofErr w:type="spellEnd"/>
      <w:r w:rsidRPr="00D63F79">
        <w:t>)</w:t>
      </w:r>
    </w:p>
    <w:p w14:paraId="148635F5" w14:textId="77777777" w:rsidR="007D4BA9" w:rsidRDefault="00D16B89" w:rsidP="00D16B89">
      <w:pPr>
        <w:pStyle w:val="ListParagraph"/>
        <w:numPr>
          <w:ilvl w:val="0"/>
          <w:numId w:val="2"/>
        </w:numPr>
      </w:pPr>
      <w:r w:rsidRPr="00D63F79">
        <w:t xml:space="preserve">hot and </w:t>
      </w:r>
      <w:r w:rsidR="00A502A7" w:rsidRPr="00D63F79">
        <w:t xml:space="preserve">warm water systems </w:t>
      </w:r>
    </w:p>
    <w:p w14:paraId="7BD0BC8F" w14:textId="77777777" w:rsidR="00A502A7" w:rsidRPr="00D63F79" w:rsidRDefault="00A502A7" w:rsidP="00D16B89">
      <w:pPr>
        <w:pStyle w:val="ListParagraph"/>
        <w:numPr>
          <w:ilvl w:val="0"/>
          <w:numId w:val="2"/>
        </w:numPr>
      </w:pPr>
      <w:r w:rsidRPr="00D63F79">
        <w:t>spa pools</w:t>
      </w:r>
    </w:p>
    <w:p w14:paraId="11DEC1DF" w14:textId="77777777" w:rsidR="00A502A7" w:rsidRPr="00D63F79" w:rsidRDefault="00A502A7" w:rsidP="00C05EBA">
      <w:pPr>
        <w:pStyle w:val="ListParagraph"/>
        <w:numPr>
          <w:ilvl w:val="0"/>
          <w:numId w:val="2"/>
        </w:numPr>
      </w:pPr>
      <w:r w:rsidRPr="00D63F79">
        <w:t xml:space="preserve">history of hospital admission (see </w:t>
      </w:r>
      <w:hyperlink w:anchor="_Active_case_finding" w:history="1">
        <w:r w:rsidR="00956B15" w:rsidRPr="00956B15">
          <w:rPr>
            <w:rStyle w:val="Hyperlink"/>
            <w:lang w:val="en-AU"/>
          </w:rPr>
          <w:t>active case finding</w:t>
        </w:r>
      </w:hyperlink>
      <w:r w:rsidR="00956B15">
        <w:t xml:space="preserve"> </w:t>
      </w:r>
      <w:r w:rsidR="007D4BA9">
        <w:t>section</w:t>
      </w:r>
      <w:r w:rsidRPr="00D63F79">
        <w:t>)</w:t>
      </w:r>
    </w:p>
    <w:p w14:paraId="29C04EAC" w14:textId="77777777" w:rsidR="00A502A7" w:rsidRPr="00D63F79" w:rsidRDefault="00A502A7" w:rsidP="00C05EBA">
      <w:pPr>
        <w:pStyle w:val="ListParagraph"/>
        <w:numPr>
          <w:ilvl w:val="0"/>
          <w:numId w:val="2"/>
        </w:numPr>
      </w:pPr>
      <w:r w:rsidRPr="00D63F79">
        <w:t xml:space="preserve">history of residence in a long-term care facility or other institution (see </w:t>
      </w:r>
      <w:hyperlink w:anchor="_Active_case_finding" w:history="1">
        <w:r w:rsidRPr="00354D7F">
          <w:rPr>
            <w:rStyle w:val="Hyperlink"/>
          </w:rPr>
          <w:t>active case finding</w:t>
        </w:r>
      </w:hyperlink>
      <w:r w:rsidR="00354D7F">
        <w:t xml:space="preserve"> section</w:t>
      </w:r>
      <w:r w:rsidRPr="00D63F79">
        <w:t>)</w:t>
      </w:r>
    </w:p>
    <w:p w14:paraId="5196DAF9" w14:textId="77777777" w:rsidR="00D16B89" w:rsidRPr="00D63F79" w:rsidRDefault="00A502A7" w:rsidP="005B3905">
      <w:pPr>
        <w:pStyle w:val="ListParagraph"/>
        <w:numPr>
          <w:ilvl w:val="0"/>
          <w:numId w:val="2"/>
        </w:numPr>
      </w:pPr>
      <w:r w:rsidRPr="00D63F79">
        <w:t xml:space="preserve">other sources of water aerosols, e.g. respiratory devices, </w:t>
      </w:r>
      <w:r w:rsidR="00D16B89" w:rsidRPr="00D63F79">
        <w:t xml:space="preserve">cooling mist spray systems in public areas, fountains, </w:t>
      </w:r>
      <w:r w:rsidRPr="00D63F79">
        <w:t>vegetable mist machines, gardening spray systems, car washes.</w:t>
      </w:r>
    </w:p>
    <w:p w14:paraId="235B6F08" w14:textId="77777777" w:rsidR="00D16B89" w:rsidRPr="00D63F79" w:rsidRDefault="00D16B89" w:rsidP="005B3905">
      <w:r w:rsidRPr="00D63F79">
        <w:t xml:space="preserve">For probable healthcare </w:t>
      </w:r>
      <w:r w:rsidR="007D4BA9">
        <w:t>associated</w:t>
      </w:r>
      <w:r w:rsidRPr="00D63F79">
        <w:t xml:space="preserve"> cases:</w:t>
      </w:r>
    </w:p>
    <w:p w14:paraId="05BF40F4" w14:textId="77777777" w:rsidR="005B3905" w:rsidRPr="00D63F79" w:rsidRDefault="005B3905" w:rsidP="005B3905">
      <w:r w:rsidRPr="00D63F79">
        <w:t xml:space="preserve">If a case has spent their entire exposure period in a healthcare </w:t>
      </w:r>
      <w:proofErr w:type="gramStart"/>
      <w:r w:rsidRPr="00D63F79">
        <w:t>facility</w:t>
      </w:r>
      <w:proofErr w:type="gramEnd"/>
      <w:r w:rsidR="00D16B89" w:rsidRPr="00D63F79">
        <w:t xml:space="preserve"> then</w:t>
      </w:r>
      <w:r w:rsidR="00EB6026">
        <w:t xml:space="preserve"> </w:t>
      </w:r>
      <w:r w:rsidRPr="00D63F79">
        <w:t xml:space="preserve">intensive investigations and management of identified problems must be undertaken. If a case has spent part of their exposure period in a healthcare facility or institution investigations should </w:t>
      </w:r>
      <w:r w:rsidR="00D16B89" w:rsidRPr="00D63F79">
        <w:t xml:space="preserve">still </w:t>
      </w:r>
      <w:r w:rsidRPr="00D63F79">
        <w:t>be undertaken to assess whether there is a significant risk in that facility. Factors to be considered are:</w:t>
      </w:r>
    </w:p>
    <w:p w14:paraId="152B8937" w14:textId="77777777" w:rsidR="005B3905" w:rsidRPr="00D63F79" w:rsidRDefault="005B3905" w:rsidP="005B3905">
      <w:pPr>
        <w:pStyle w:val="ListParagraph"/>
        <w:numPr>
          <w:ilvl w:val="0"/>
          <w:numId w:val="5"/>
        </w:numPr>
      </w:pPr>
      <w:r w:rsidRPr="00D63F79">
        <w:t>susceptibility of the case to legionellosis</w:t>
      </w:r>
    </w:p>
    <w:p w14:paraId="423BBBC7" w14:textId="77777777" w:rsidR="005B3905" w:rsidRPr="00D63F79" w:rsidRDefault="005B3905" w:rsidP="005B3905">
      <w:pPr>
        <w:pStyle w:val="ListParagraph"/>
        <w:numPr>
          <w:ilvl w:val="0"/>
          <w:numId w:val="5"/>
        </w:numPr>
      </w:pPr>
      <w:r w:rsidRPr="00D63F79">
        <w:t>presence of alternative sources of exposure outside the healthcare facility</w:t>
      </w:r>
    </w:p>
    <w:p w14:paraId="089F8EFF" w14:textId="77777777" w:rsidR="005B3905" w:rsidRPr="00D63F79" w:rsidRDefault="005B3905" w:rsidP="005B3905">
      <w:pPr>
        <w:pStyle w:val="ListParagraph"/>
        <w:numPr>
          <w:ilvl w:val="0"/>
          <w:numId w:val="5"/>
        </w:numPr>
      </w:pPr>
      <w:r w:rsidRPr="00D63F79">
        <w:t>prior history of a case/cases associated with the facility</w:t>
      </w:r>
    </w:p>
    <w:p w14:paraId="6C3D8DF9" w14:textId="77777777" w:rsidR="005B3905" w:rsidRPr="00D63F79" w:rsidRDefault="005B3905" w:rsidP="005B3905">
      <w:pPr>
        <w:pStyle w:val="ListParagraph"/>
        <w:numPr>
          <w:ilvl w:val="0"/>
          <w:numId w:val="5"/>
        </w:numPr>
      </w:pPr>
      <w:r w:rsidRPr="00D63F79">
        <w:t>recent plumbing work that has caused significant disturbance to biofilm to relevant parts of the healthcare facility</w:t>
      </w:r>
    </w:p>
    <w:p w14:paraId="107C7249" w14:textId="77777777" w:rsidR="005B3905" w:rsidRPr="00D63F79" w:rsidRDefault="005B3905" w:rsidP="005B3905">
      <w:pPr>
        <w:pStyle w:val="ListParagraph"/>
        <w:numPr>
          <w:ilvl w:val="0"/>
          <w:numId w:val="5"/>
        </w:numPr>
      </w:pPr>
      <w:r w:rsidRPr="00D63F79">
        <w:t>quality of the water safety plan for the facility including adequacy of plumbing plans for the facility, age of the plumbing, presence of dead-legs, and adequate temperature maintenance throughout the relevant system</w:t>
      </w:r>
      <w:r w:rsidR="007F3BD9">
        <w:rPr>
          <w:vertAlign w:val="superscript"/>
        </w:rPr>
        <w:t>8</w:t>
      </w:r>
      <w:r w:rsidRPr="00D63F79">
        <w:rPr>
          <w:vertAlign w:val="superscript"/>
        </w:rPr>
        <w:t>,3</w:t>
      </w:r>
      <w:r w:rsidR="007F3BD9">
        <w:rPr>
          <w:vertAlign w:val="superscript"/>
        </w:rPr>
        <w:t>1</w:t>
      </w:r>
    </w:p>
    <w:p w14:paraId="1139127F" w14:textId="77777777" w:rsidR="00A502A7" w:rsidRPr="005B4013" w:rsidRDefault="002C5571" w:rsidP="00C05EBA">
      <w:pPr>
        <w:pStyle w:val="ListParagraph"/>
        <w:numPr>
          <w:ilvl w:val="0"/>
          <w:numId w:val="5"/>
        </w:numPr>
      </w:pPr>
      <w:r w:rsidRPr="00D63F79">
        <w:lastRenderedPageBreak/>
        <w:t xml:space="preserve">previous </w:t>
      </w:r>
      <w:r w:rsidR="005B3905" w:rsidRPr="00D63F79">
        <w:t xml:space="preserve">results of testing </w:t>
      </w:r>
      <w:r w:rsidR="007D4BA9">
        <w:t xml:space="preserve">and </w:t>
      </w:r>
      <w:r w:rsidR="007D4BA9" w:rsidRPr="00D63F79">
        <w:t xml:space="preserve">implementation of the actions </w:t>
      </w:r>
      <w:r w:rsidR="005B3905" w:rsidRPr="00D63F79">
        <w:t xml:space="preserve">outlined in the water </w:t>
      </w:r>
      <w:r w:rsidRPr="00D63F79">
        <w:t>risk management</w:t>
      </w:r>
      <w:r w:rsidR="005B3905" w:rsidRPr="00D63F79">
        <w:t xml:space="preserve"> plan.</w:t>
      </w:r>
    </w:p>
    <w:p w14:paraId="5587398C" w14:textId="77777777" w:rsidR="00A502A7" w:rsidRPr="00D63F79" w:rsidRDefault="00A502A7" w:rsidP="00C05EBA">
      <w:pPr>
        <w:rPr>
          <w:lang w:val="en-US"/>
        </w:rPr>
      </w:pPr>
      <w:r w:rsidRPr="00D63F79">
        <w:rPr>
          <w:u w:val="single"/>
          <w:lang w:val="en-US"/>
        </w:rPr>
        <w:t xml:space="preserve">For a </w:t>
      </w:r>
      <w:r w:rsidRPr="00D63F79">
        <w:rPr>
          <w:i/>
          <w:u w:val="single"/>
          <w:lang w:val="en-US"/>
        </w:rPr>
        <w:t xml:space="preserve">L. </w:t>
      </w:r>
      <w:proofErr w:type="spellStart"/>
      <w:r w:rsidRPr="00D63F79">
        <w:rPr>
          <w:i/>
          <w:u w:val="single"/>
          <w:lang w:val="en-US"/>
        </w:rPr>
        <w:t>longbeachae</w:t>
      </w:r>
      <w:proofErr w:type="spellEnd"/>
      <w:r w:rsidRPr="00D63F79">
        <w:rPr>
          <w:u w:val="single"/>
          <w:lang w:val="en-US"/>
        </w:rPr>
        <w:t xml:space="preserve"> case</w:t>
      </w:r>
      <w:r w:rsidRPr="00D63F79">
        <w:rPr>
          <w:lang w:val="en-US"/>
        </w:rPr>
        <w:t xml:space="preserve">: </w:t>
      </w:r>
    </w:p>
    <w:p w14:paraId="3FB79E87" w14:textId="77777777" w:rsidR="00D16B89" w:rsidRPr="00D63F79" w:rsidRDefault="00A502A7" w:rsidP="00C05EBA">
      <w:pPr>
        <w:rPr>
          <w:lang w:val="en-US"/>
        </w:rPr>
      </w:pPr>
      <w:r w:rsidRPr="00D63F79">
        <w:rPr>
          <w:lang w:val="en-US"/>
        </w:rPr>
        <w:t>Questions should be asked about gardening activities including</w:t>
      </w:r>
      <w:r w:rsidR="00D16B89" w:rsidRPr="00D63F79">
        <w:rPr>
          <w:lang w:val="en-US"/>
        </w:rPr>
        <w:t>:</w:t>
      </w:r>
    </w:p>
    <w:p w14:paraId="024985C0" w14:textId="77777777" w:rsidR="00D16B89" w:rsidRPr="00D63F79" w:rsidRDefault="00A502A7" w:rsidP="00D16B89">
      <w:pPr>
        <w:pStyle w:val="ListParagraph"/>
        <w:numPr>
          <w:ilvl w:val="0"/>
          <w:numId w:val="30"/>
        </w:numPr>
      </w:pPr>
      <w:r w:rsidRPr="00D63F79">
        <w:t>hand washing practices</w:t>
      </w:r>
    </w:p>
    <w:p w14:paraId="599CCF05" w14:textId="77777777" w:rsidR="00D16B89" w:rsidRPr="00D63F79" w:rsidRDefault="00D16B89" w:rsidP="00D16B89">
      <w:pPr>
        <w:pStyle w:val="ListParagraph"/>
        <w:numPr>
          <w:ilvl w:val="0"/>
          <w:numId w:val="30"/>
        </w:numPr>
      </w:pPr>
      <w:r w:rsidRPr="00D63F79">
        <w:t>if a mask and/or gloves were used</w:t>
      </w:r>
      <w:r w:rsidR="00A502A7" w:rsidRPr="00D63F79">
        <w:t xml:space="preserve"> </w:t>
      </w:r>
    </w:p>
    <w:p w14:paraId="6FBEDC77" w14:textId="77777777" w:rsidR="00D16B89" w:rsidRPr="00D63F79" w:rsidRDefault="00A502A7" w:rsidP="00D16B89">
      <w:pPr>
        <w:pStyle w:val="ListParagraph"/>
        <w:numPr>
          <w:ilvl w:val="0"/>
          <w:numId w:val="30"/>
        </w:numPr>
      </w:pPr>
      <w:r w:rsidRPr="00D63F79">
        <w:t>if potting mix or compost mix was used</w:t>
      </w:r>
      <w:r w:rsidR="00D16B89" w:rsidRPr="00D63F79">
        <w:t>,</w:t>
      </w:r>
      <w:r w:rsidRPr="00D63F79">
        <w:t xml:space="preserve"> and if so what brand </w:t>
      </w:r>
      <w:r w:rsidR="00D16B89" w:rsidRPr="00D63F79">
        <w:t>and place of purchase</w:t>
      </w:r>
    </w:p>
    <w:p w14:paraId="081CB66C" w14:textId="77777777" w:rsidR="00A502A7" w:rsidRPr="00D63F79" w:rsidRDefault="00A502A7" w:rsidP="00C05EBA">
      <w:pPr>
        <w:pStyle w:val="ListParagraph"/>
        <w:numPr>
          <w:ilvl w:val="0"/>
          <w:numId w:val="30"/>
        </w:numPr>
      </w:pPr>
      <w:r w:rsidRPr="00D63F79">
        <w:t>types of pots and watering systems in use.</w:t>
      </w:r>
    </w:p>
    <w:p w14:paraId="508F0402" w14:textId="77777777" w:rsidR="00A502A7" w:rsidRPr="00D63F79" w:rsidRDefault="00A502A7" w:rsidP="00C05EBA">
      <w:pPr>
        <w:pStyle w:val="Heading3"/>
      </w:pPr>
      <w:r w:rsidRPr="00D63F79">
        <w:t>Case treatment</w:t>
      </w:r>
    </w:p>
    <w:p w14:paraId="1999921A" w14:textId="77777777" w:rsidR="00A502A7" w:rsidRPr="00D63F79" w:rsidRDefault="00A502A7" w:rsidP="00C05EBA">
      <w:pPr>
        <w:pStyle w:val="BodyText"/>
        <w:rPr>
          <w:rFonts w:ascii="Arial" w:hAnsi="Arial"/>
        </w:rPr>
      </w:pPr>
      <w:r w:rsidRPr="00D63F79">
        <w:rPr>
          <w:rFonts w:ascii="Arial" w:hAnsi="Arial"/>
        </w:rPr>
        <w:t xml:space="preserve">Refer to the current </w:t>
      </w:r>
      <w:hyperlink r:id="rId17" w:anchor="Employee-its_timesheet" w:history="1">
        <w:r w:rsidRPr="005B4013">
          <w:rPr>
            <w:rStyle w:val="Hyperlink"/>
            <w:i/>
          </w:rPr>
          <w:t>Therapeutic Guidelines</w:t>
        </w:r>
        <w:r w:rsidR="00497215" w:rsidRPr="005B4013">
          <w:rPr>
            <w:rStyle w:val="Hyperlink"/>
            <w:i/>
          </w:rPr>
          <w:t>,</w:t>
        </w:r>
        <w:r w:rsidRPr="005B4013">
          <w:rPr>
            <w:rStyle w:val="Hyperlink"/>
            <w:i/>
          </w:rPr>
          <w:t xml:space="preserve"> Antibiotic</w:t>
        </w:r>
      </w:hyperlink>
      <w:r w:rsidRPr="00D63F79">
        <w:rPr>
          <w:rFonts w:ascii="Arial" w:hAnsi="Arial"/>
        </w:rPr>
        <w:t>.</w:t>
      </w:r>
      <w:r w:rsidR="00EE4ABB" w:rsidRPr="00D63F79">
        <w:rPr>
          <w:rFonts w:ascii="Arial" w:hAnsi="Arial"/>
          <w:vertAlign w:val="superscript"/>
        </w:rPr>
        <w:t>3</w:t>
      </w:r>
      <w:r w:rsidR="007F3BD9">
        <w:rPr>
          <w:rFonts w:ascii="Arial" w:hAnsi="Arial"/>
          <w:vertAlign w:val="superscript"/>
        </w:rPr>
        <w:t>2</w:t>
      </w:r>
    </w:p>
    <w:p w14:paraId="3386ACF6" w14:textId="77777777" w:rsidR="00A502A7" w:rsidRPr="00D63F79" w:rsidRDefault="00A502A7" w:rsidP="00C05EBA">
      <w:pPr>
        <w:pStyle w:val="Heading3"/>
      </w:pPr>
      <w:r w:rsidRPr="00D63F79">
        <w:t>Education</w:t>
      </w:r>
    </w:p>
    <w:p w14:paraId="50A63813" w14:textId="77777777" w:rsidR="00A502A7" w:rsidRPr="00D63F79" w:rsidRDefault="00A502A7" w:rsidP="00C05EBA">
      <w:pPr>
        <w:pStyle w:val="BodyText"/>
        <w:rPr>
          <w:rFonts w:ascii="Arial" w:hAnsi="Arial"/>
        </w:rPr>
      </w:pPr>
      <w:r w:rsidRPr="00D63F79">
        <w:rPr>
          <w:rFonts w:ascii="Arial" w:hAnsi="Arial"/>
        </w:rPr>
        <w:t>The case or relevant care-giver should be informed about the nature of the infection and the mode of transmission</w:t>
      </w:r>
      <w:r w:rsidR="001E467A">
        <w:rPr>
          <w:rFonts w:ascii="Arial" w:hAnsi="Arial"/>
        </w:rPr>
        <w:t>, see</w:t>
      </w:r>
      <w:r w:rsidR="00956B15">
        <w:rPr>
          <w:rFonts w:ascii="Arial" w:hAnsi="Arial"/>
        </w:rPr>
        <w:t xml:space="preserve"> </w:t>
      </w:r>
      <w:hyperlink r:id="rId18" w:history="1">
        <w:r w:rsidR="00956B15" w:rsidRPr="00956B15">
          <w:rPr>
            <w:rStyle w:val="Hyperlink"/>
            <w:i/>
          </w:rPr>
          <w:t>Legionella</w:t>
        </w:r>
        <w:r w:rsidR="00956B15" w:rsidRPr="00956B15">
          <w:rPr>
            <w:rStyle w:val="Hyperlink"/>
          </w:rPr>
          <w:t xml:space="preserve"> and legionellosis </w:t>
        </w:r>
        <w:proofErr w:type="spellStart"/>
        <w:r w:rsidR="00956B15" w:rsidRPr="00956B15">
          <w:rPr>
            <w:rStyle w:val="Hyperlink"/>
          </w:rPr>
          <w:t>SoNG</w:t>
        </w:r>
        <w:proofErr w:type="spellEnd"/>
        <w:r w:rsidR="00956B15" w:rsidRPr="00956B15">
          <w:rPr>
            <w:rStyle w:val="Hyperlink"/>
          </w:rPr>
          <w:t xml:space="preserve"> fact sheet</w:t>
        </w:r>
      </w:hyperlink>
      <w:r w:rsidR="00956B15">
        <w:rPr>
          <w:rFonts w:ascii="Arial" w:hAnsi="Arial"/>
        </w:rPr>
        <w:t xml:space="preserve"> </w:t>
      </w:r>
      <w:r w:rsidRPr="00D63F79">
        <w:rPr>
          <w:rFonts w:ascii="Arial" w:hAnsi="Arial"/>
        </w:rPr>
        <w:t>.</w:t>
      </w:r>
    </w:p>
    <w:p w14:paraId="13C22186" w14:textId="77777777" w:rsidR="00A502A7" w:rsidRPr="00D63F79" w:rsidRDefault="00A502A7" w:rsidP="00C05EBA">
      <w:pPr>
        <w:pStyle w:val="Heading3"/>
      </w:pPr>
      <w:r w:rsidRPr="00D63F79">
        <w:t xml:space="preserve">Isolation and restriction </w:t>
      </w:r>
    </w:p>
    <w:p w14:paraId="198CC562" w14:textId="77777777" w:rsidR="00A502A7" w:rsidRPr="00D63F79" w:rsidRDefault="00A502A7" w:rsidP="00C05EBA">
      <w:pPr>
        <w:pStyle w:val="BodyText"/>
        <w:rPr>
          <w:rFonts w:ascii="Arial" w:hAnsi="Arial"/>
        </w:rPr>
      </w:pPr>
      <w:r w:rsidRPr="00D63F79">
        <w:rPr>
          <w:rFonts w:ascii="Arial" w:hAnsi="Arial"/>
        </w:rPr>
        <w:t>None</w:t>
      </w:r>
    </w:p>
    <w:p w14:paraId="487D00D1" w14:textId="77777777" w:rsidR="00A502A7" w:rsidRPr="00D63F79" w:rsidRDefault="00A502A7" w:rsidP="00C05EBA">
      <w:pPr>
        <w:pStyle w:val="Heading3"/>
      </w:pPr>
      <w:bookmarkStart w:id="2" w:name="_Active_case_finding"/>
      <w:bookmarkEnd w:id="2"/>
      <w:r w:rsidRPr="00D63F79">
        <w:t>Active case finding</w:t>
      </w:r>
    </w:p>
    <w:p w14:paraId="7E951EF3" w14:textId="77777777" w:rsidR="00A502A7" w:rsidRPr="00D63F79" w:rsidRDefault="00A502A7" w:rsidP="00C05EBA">
      <w:r w:rsidRPr="00D63F79">
        <w:t>Active case</w:t>
      </w:r>
      <w:r w:rsidR="005B3905" w:rsidRPr="00D63F79">
        <w:t xml:space="preserve"> finding</w:t>
      </w:r>
      <w:r w:rsidRPr="00D63F79">
        <w:t xml:space="preserve"> is not usually required except in the following circumstances:</w:t>
      </w:r>
    </w:p>
    <w:p w14:paraId="39D145FE" w14:textId="77777777" w:rsidR="00A502A7" w:rsidRPr="00D63F79" w:rsidRDefault="00A502A7" w:rsidP="00950F6C">
      <w:pPr>
        <w:pStyle w:val="ListParagraph"/>
        <w:numPr>
          <w:ilvl w:val="0"/>
          <w:numId w:val="23"/>
        </w:numPr>
        <w:spacing w:after="0"/>
      </w:pPr>
      <w:r w:rsidRPr="00D63F79">
        <w:t>a confirmed case’s workplace is suspected to be the source of infection</w:t>
      </w:r>
    </w:p>
    <w:p w14:paraId="2C76E28A" w14:textId="77777777" w:rsidR="00A502A7" w:rsidRPr="00D63F79" w:rsidRDefault="00A502A7" w:rsidP="00950F6C">
      <w:pPr>
        <w:pStyle w:val="ListParagraph"/>
        <w:numPr>
          <w:ilvl w:val="0"/>
          <w:numId w:val="23"/>
        </w:numPr>
        <w:spacing w:after="0"/>
      </w:pPr>
      <w:r w:rsidRPr="00D63F79">
        <w:t xml:space="preserve">a (single) case has spent some or </w:t>
      </w:r>
      <w:proofErr w:type="gramStart"/>
      <w:r w:rsidRPr="00D63F79">
        <w:t>all of</w:t>
      </w:r>
      <w:proofErr w:type="gramEnd"/>
      <w:r w:rsidRPr="00D63F79">
        <w:t xml:space="preserve"> his/her incubation period in a setting such as a hospital, residential aged care facility or other institution where there are people at increased risk of legionellosis</w:t>
      </w:r>
      <w:r w:rsidR="00D16B89" w:rsidRPr="00D63F79">
        <w:t>.</w:t>
      </w:r>
    </w:p>
    <w:p w14:paraId="67DD83A0" w14:textId="77777777" w:rsidR="00A502A7" w:rsidRPr="00D63F79" w:rsidRDefault="00A502A7" w:rsidP="00950F6C">
      <w:pPr>
        <w:pStyle w:val="ListParagraph"/>
        <w:numPr>
          <w:ilvl w:val="0"/>
          <w:numId w:val="23"/>
        </w:numPr>
        <w:spacing w:after="0"/>
      </w:pPr>
      <w:r w:rsidRPr="00D63F79">
        <w:t>a cluster or outbreak is identified in the community</w:t>
      </w:r>
    </w:p>
    <w:p w14:paraId="380F7382" w14:textId="77777777" w:rsidR="00A502A7" w:rsidRDefault="00A502A7" w:rsidP="00950F6C">
      <w:pPr>
        <w:pStyle w:val="CommentText"/>
        <w:numPr>
          <w:ilvl w:val="0"/>
          <w:numId w:val="23"/>
        </w:numPr>
        <w:spacing w:after="0"/>
        <w:rPr>
          <w:sz w:val="22"/>
          <w:szCs w:val="22"/>
        </w:rPr>
      </w:pPr>
      <w:r w:rsidRPr="00D63F79">
        <w:rPr>
          <w:sz w:val="22"/>
          <w:szCs w:val="22"/>
        </w:rPr>
        <w:t xml:space="preserve">a </w:t>
      </w:r>
      <w:proofErr w:type="gramStart"/>
      <w:r w:rsidRPr="00D63F79">
        <w:rPr>
          <w:sz w:val="22"/>
          <w:szCs w:val="22"/>
        </w:rPr>
        <w:t>high risk</w:t>
      </w:r>
      <w:proofErr w:type="gramEnd"/>
      <w:r w:rsidR="00D16B89" w:rsidRPr="00D63F79">
        <w:rPr>
          <w:sz w:val="22"/>
          <w:szCs w:val="22"/>
        </w:rPr>
        <w:t xml:space="preserve"> potential</w:t>
      </w:r>
      <w:r w:rsidRPr="00D63F79">
        <w:rPr>
          <w:sz w:val="22"/>
          <w:szCs w:val="22"/>
        </w:rPr>
        <w:t xml:space="preserve"> source is identified e.g. </w:t>
      </w:r>
      <w:r w:rsidR="00D16B89" w:rsidRPr="00D63F79">
        <w:rPr>
          <w:sz w:val="22"/>
          <w:szCs w:val="22"/>
        </w:rPr>
        <w:t>air-conditioning cooling towers</w:t>
      </w:r>
      <w:r w:rsidRPr="00D63F79">
        <w:rPr>
          <w:sz w:val="22"/>
          <w:szCs w:val="22"/>
        </w:rPr>
        <w:t>, spa pool, WWS/HWS, fountain,</w:t>
      </w:r>
      <w:r w:rsidR="00D16B89" w:rsidRPr="00D63F79">
        <w:rPr>
          <w:sz w:val="22"/>
          <w:szCs w:val="22"/>
        </w:rPr>
        <w:t xml:space="preserve"> misting system or</w:t>
      </w:r>
      <w:r w:rsidRPr="00D63F79">
        <w:rPr>
          <w:sz w:val="22"/>
          <w:szCs w:val="22"/>
        </w:rPr>
        <w:t xml:space="preserve"> car wash, </w:t>
      </w:r>
      <w:r w:rsidR="00D16B89" w:rsidRPr="00D63F79">
        <w:rPr>
          <w:sz w:val="22"/>
          <w:szCs w:val="22"/>
        </w:rPr>
        <w:t xml:space="preserve">or for </w:t>
      </w:r>
      <w:r w:rsidR="00D16B89" w:rsidRPr="00EB278D">
        <w:rPr>
          <w:i/>
          <w:sz w:val="22"/>
          <w:szCs w:val="22"/>
        </w:rPr>
        <w:t xml:space="preserve">L. </w:t>
      </w:r>
      <w:proofErr w:type="spellStart"/>
      <w:r w:rsidR="00D16B89" w:rsidRPr="00EB278D">
        <w:rPr>
          <w:i/>
          <w:sz w:val="22"/>
          <w:szCs w:val="22"/>
        </w:rPr>
        <w:t>longbeachae</w:t>
      </w:r>
      <w:proofErr w:type="spellEnd"/>
      <w:r w:rsidR="00D16B89" w:rsidRPr="00D63F79">
        <w:rPr>
          <w:sz w:val="22"/>
          <w:szCs w:val="22"/>
        </w:rPr>
        <w:t xml:space="preserve">, apparent clusters of cases associated with particular brands of </w:t>
      </w:r>
      <w:r w:rsidRPr="00D63F79">
        <w:rPr>
          <w:sz w:val="22"/>
          <w:szCs w:val="22"/>
        </w:rPr>
        <w:t xml:space="preserve">potting mix or </w:t>
      </w:r>
      <w:r w:rsidR="00D16B89" w:rsidRPr="00D63F79">
        <w:rPr>
          <w:sz w:val="22"/>
          <w:szCs w:val="22"/>
        </w:rPr>
        <w:t>other gardening soils</w:t>
      </w:r>
      <w:r w:rsidRPr="00D63F79">
        <w:rPr>
          <w:sz w:val="22"/>
          <w:szCs w:val="22"/>
        </w:rPr>
        <w:t>.</w:t>
      </w:r>
    </w:p>
    <w:p w14:paraId="43CF08A9" w14:textId="77777777" w:rsidR="00354D7F" w:rsidRPr="005B4013" w:rsidRDefault="00354D7F" w:rsidP="00354D7F">
      <w:pPr>
        <w:pStyle w:val="CommentText"/>
        <w:spacing w:after="0"/>
        <w:ind w:left="720"/>
        <w:rPr>
          <w:sz w:val="22"/>
          <w:szCs w:val="22"/>
        </w:rPr>
      </w:pPr>
    </w:p>
    <w:p w14:paraId="788C0B57" w14:textId="77777777" w:rsidR="00A407FA" w:rsidRPr="00D63F79" w:rsidRDefault="00A407FA" w:rsidP="00C05EBA">
      <w:r w:rsidRPr="00D63F79">
        <w:t xml:space="preserve">Note, if it is a travel related case, please refer to </w:t>
      </w:r>
      <w:hyperlink w:anchor="_6._Communications" w:history="1">
        <w:r w:rsidRPr="00007C1D">
          <w:rPr>
            <w:rStyle w:val="Hyperlink"/>
          </w:rPr>
          <w:t>Section 6</w:t>
        </w:r>
      </w:hyperlink>
      <w:r w:rsidRPr="00D63F79">
        <w:t>. Communications.</w:t>
      </w:r>
    </w:p>
    <w:p w14:paraId="2F9C018B" w14:textId="77777777" w:rsidR="00A502A7" w:rsidRPr="00D63F79" w:rsidRDefault="00A502A7" w:rsidP="00C05EBA">
      <w:r w:rsidRPr="00D63F79">
        <w:t>Depending on the context</w:t>
      </w:r>
      <w:r w:rsidR="00536525" w:rsidRPr="00D63F79">
        <w:t>,</w:t>
      </w:r>
      <w:r w:rsidRPr="00D63F79">
        <w:t xml:space="preserve"> active case finding should include a review of all notified cases from the past three to six months seeking to identify common exposures. In an institutional setting it may need to extend to review of medical records to identify previously undiagnosed cases.</w:t>
      </w:r>
    </w:p>
    <w:p w14:paraId="0EF3EB92" w14:textId="77777777" w:rsidR="00A502A7" w:rsidRPr="00D63F79" w:rsidRDefault="00A502A7" w:rsidP="00C05EBA">
      <w:pPr>
        <w:pStyle w:val="NormalWeb"/>
      </w:pPr>
      <w:r w:rsidRPr="00D63F79">
        <w:t>Where there is a high index of suspicion that the case’s workplace is the source of infection consider:</w:t>
      </w:r>
    </w:p>
    <w:p w14:paraId="3EA0EAC0" w14:textId="77777777" w:rsidR="00A502A7" w:rsidRPr="00D63F79" w:rsidRDefault="00A502A7" w:rsidP="00950F6C">
      <w:pPr>
        <w:pStyle w:val="NormalWeb"/>
        <w:numPr>
          <w:ilvl w:val="0"/>
          <w:numId w:val="25"/>
        </w:numPr>
      </w:pPr>
      <w:r w:rsidRPr="00D63F79">
        <w:t xml:space="preserve">informing the State or Territory workplace health and safety agency </w:t>
      </w:r>
      <w:r w:rsidR="00950F6C">
        <w:t xml:space="preserve">at </w:t>
      </w:r>
      <w:hyperlink r:id="rId19" w:history="1">
        <w:r w:rsidR="00354D7F">
          <w:rPr>
            <w:rStyle w:val="Hyperlink"/>
          </w:rPr>
          <w:t>Safe Work Australia</w:t>
        </w:r>
      </w:hyperlink>
      <w:r w:rsidR="00950F6C">
        <w:t xml:space="preserve"> </w:t>
      </w:r>
    </w:p>
    <w:p w14:paraId="3E5A8FC2" w14:textId="77777777" w:rsidR="00A502A7" w:rsidRPr="00D63F79" w:rsidRDefault="00A502A7" w:rsidP="004B1A41">
      <w:pPr>
        <w:pStyle w:val="NormalWeb"/>
        <w:numPr>
          <w:ilvl w:val="0"/>
          <w:numId w:val="25"/>
        </w:numPr>
        <w:spacing w:before="0" w:beforeAutospacing="0" w:after="0" w:afterAutospacing="0"/>
      </w:pPr>
      <w:r w:rsidRPr="00D63F79">
        <w:t>sending an alert to all staff to communicate</w:t>
      </w:r>
    </w:p>
    <w:p w14:paraId="3349CE4F" w14:textId="77777777" w:rsidR="00A502A7" w:rsidRPr="00D63F79" w:rsidRDefault="00A502A7" w:rsidP="004B1A41">
      <w:pPr>
        <w:pStyle w:val="NormalWeb"/>
        <w:numPr>
          <w:ilvl w:val="0"/>
          <w:numId w:val="26"/>
        </w:numPr>
        <w:spacing w:before="0" w:beforeAutospacing="0"/>
      </w:pPr>
      <w:r w:rsidRPr="00D63F79">
        <w:t>information about the risk</w:t>
      </w:r>
    </w:p>
    <w:p w14:paraId="317C7575" w14:textId="77777777" w:rsidR="00A502A7" w:rsidRPr="00D63F79" w:rsidRDefault="00A502A7" w:rsidP="00C05EBA">
      <w:pPr>
        <w:pStyle w:val="NormalWeb"/>
        <w:numPr>
          <w:ilvl w:val="0"/>
          <w:numId w:val="26"/>
        </w:numPr>
      </w:pPr>
      <w:r w:rsidRPr="00D63F79">
        <w:t>early signs and symptoms for which they should seek medical attention</w:t>
      </w:r>
    </w:p>
    <w:p w14:paraId="0EB2CB4B" w14:textId="77777777" w:rsidR="00A502A7" w:rsidRPr="00D63F79" w:rsidRDefault="00A502A7" w:rsidP="00C05EBA">
      <w:pPr>
        <w:pStyle w:val="NormalWeb"/>
        <w:numPr>
          <w:ilvl w:val="0"/>
          <w:numId w:val="26"/>
        </w:numPr>
      </w:pPr>
      <w:r w:rsidRPr="00D63F79">
        <w:t>the need to contact the PHU if they develop symptoms.</w:t>
      </w:r>
    </w:p>
    <w:p w14:paraId="7C2DC227" w14:textId="77777777" w:rsidR="00A502A7" w:rsidRPr="00D63F79" w:rsidRDefault="00D16B89" w:rsidP="00C05EBA">
      <w:r w:rsidRPr="00D63F79">
        <w:lastRenderedPageBreak/>
        <w:t>C</w:t>
      </w:r>
      <w:r w:rsidR="00A502A7" w:rsidRPr="00D63F79">
        <w:t xml:space="preserve">ase finding </w:t>
      </w:r>
      <w:r w:rsidRPr="00D63F79">
        <w:t>in implicated healthcare settings:</w:t>
      </w:r>
      <w:r w:rsidR="006F6454" w:rsidRPr="00D63F79">
        <w:t xml:space="preserve"> </w:t>
      </w:r>
      <w:r w:rsidR="00A502A7" w:rsidRPr="00D63F79">
        <w:t>contact the manager or the person responsible for infection control (as appropriate) and request that active surveillance for pneumonia in other residents</w:t>
      </w:r>
      <w:r w:rsidR="00B0081F" w:rsidRPr="00D63F79">
        <w:t xml:space="preserve"> and staff</w:t>
      </w:r>
      <w:r w:rsidR="00A502A7" w:rsidRPr="00D63F79">
        <w:t xml:space="preserve"> be conducted for </w:t>
      </w:r>
      <w:r w:rsidRPr="00D63F79">
        <w:t xml:space="preserve">at least </w:t>
      </w:r>
      <w:r w:rsidR="00A502A7" w:rsidRPr="00D63F79">
        <w:t>ten days (</w:t>
      </w:r>
      <w:r w:rsidR="004B1A41" w:rsidRPr="00D63F79">
        <w:t>maximum</w:t>
      </w:r>
      <w:r w:rsidR="00871098" w:rsidRPr="00D63F79">
        <w:t xml:space="preserve"> </w:t>
      </w:r>
      <w:r w:rsidR="00A502A7" w:rsidRPr="00D63F79">
        <w:t>incubation period) after the risk is</w:t>
      </w:r>
      <w:r w:rsidRPr="00D63F79">
        <w:t xml:space="preserve"> believed to have been</w:t>
      </w:r>
      <w:r w:rsidR="00A502A7" w:rsidRPr="00D63F79">
        <w:t xml:space="preserve"> controlled</w:t>
      </w:r>
      <w:r w:rsidR="005666D3" w:rsidRPr="00D63F79">
        <w:t>. This may</w:t>
      </w:r>
      <w:r w:rsidR="00497215">
        <w:t xml:space="preserve"> </w:t>
      </w:r>
      <w:r w:rsidR="005666D3" w:rsidRPr="00D63F79">
        <w:t xml:space="preserve">be </w:t>
      </w:r>
      <w:r w:rsidR="00A502A7" w:rsidRPr="00D63F79">
        <w:t xml:space="preserve">demonstrated by no detection of </w:t>
      </w:r>
      <w:r w:rsidR="006E7284" w:rsidRPr="00D63F79">
        <w:rPr>
          <w:i/>
        </w:rPr>
        <w:t>Legionella</w:t>
      </w:r>
      <w:r w:rsidR="006E7284" w:rsidRPr="00D63F79">
        <w:t xml:space="preserve"> </w:t>
      </w:r>
      <w:r w:rsidR="00A502A7" w:rsidRPr="00D63F79">
        <w:t xml:space="preserve">by a laboratory accredited by NATA for </w:t>
      </w:r>
      <w:r w:rsidR="006E7284" w:rsidRPr="00D63F79">
        <w:rPr>
          <w:i/>
        </w:rPr>
        <w:t>Legionella</w:t>
      </w:r>
      <w:r w:rsidR="006E7284" w:rsidRPr="00D63F79">
        <w:t xml:space="preserve"> </w:t>
      </w:r>
      <w:r w:rsidR="00A502A7" w:rsidRPr="00D63F79">
        <w:t xml:space="preserve">testing using an appropriate sampling regimen and level of detection. </w:t>
      </w:r>
    </w:p>
    <w:p w14:paraId="027E3E12" w14:textId="77777777" w:rsidR="00AC63A4" w:rsidRPr="00047FD4" w:rsidRDefault="00A502A7" w:rsidP="00C05EBA">
      <w:pPr>
        <w:rPr>
          <w:vertAlign w:val="superscript"/>
        </w:rPr>
      </w:pPr>
      <w:r w:rsidRPr="00D63F79">
        <w:t>Even when an outbreak has been controlled in a healthcare facility there should be ongoing surveillance because</w:t>
      </w:r>
      <w:r w:rsidR="00497215">
        <w:t>;</w:t>
      </w:r>
      <w:r w:rsidR="00497215" w:rsidRPr="00D63F79">
        <w:t xml:space="preserve"> </w:t>
      </w:r>
      <w:r w:rsidRPr="00D63F79">
        <w:t>while risks can be substantially reduced the source of infection cannot usually be eliminated.</w:t>
      </w:r>
      <w:r w:rsidR="007F3BD9">
        <w:rPr>
          <w:vertAlign w:val="superscript"/>
        </w:rPr>
        <w:t>7</w:t>
      </w:r>
    </w:p>
    <w:p w14:paraId="401FDB3B" w14:textId="77777777" w:rsidR="00A502A7" w:rsidRPr="00D63F79" w:rsidRDefault="00A502A7" w:rsidP="00C05EBA">
      <w:pPr>
        <w:pStyle w:val="Heading1"/>
      </w:pPr>
      <w:r w:rsidRPr="00D63F79">
        <w:t xml:space="preserve">10. Environmental evaluation </w:t>
      </w:r>
    </w:p>
    <w:p w14:paraId="212A4419" w14:textId="77777777" w:rsidR="00A502A7" w:rsidRPr="00D63F79" w:rsidRDefault="00A502A7" w:rsidP="00C05EBA">
      <w:pPr>
        <w:pStyle w:val="CommentText"/>
        <w:rPr>
          <w:sz w:val="22"/>
          <w:szCs w:val="22"/>
        </w:rPr>
      </w:pPr>
      <w:r w:rsidRPr="00D63F79">
        <w:rPr>
          <w:sz w:val="22"/>
          <w:szCs w:val="22"/>
        </w:rPr>
        <w:t>An environmental evaluation of possible sources should be undertaken</w:t>
      </w:r>
      <w:r w:rsidR="002A02AB" w:rsidRPr="00D63F79">
        <w:rPr>
          <w:sz w:val="22"/>
          <w:szCs w:val="22"/>
        </w:rPr>
        <w:t xml:space="preserve"> </w:t>
      </w:r>
      <w:r w:rsidRPr="00D63F79">
        <w:rPr>
          <w:sz w:val="22"/>
          <w:szCs w:val="22"/>
        </w:rPr>
        <w:t xml:space="preserve">for all notifications, especially if the case spent some or </w:t>
      </w:r>
      <w:proofErr w:type="gramStart"/>
      <w:r w:rsidRPr="00D63F79">
        <w:rPr>
          <w:sz w:val="22"/>
          <w:szCs w:val="22"/>
        </w:rPr>
        <w:t>all of</w:t>
      </w:r>
      <w:proofErr w:type="gramEnd"/>
      <w:r w:rsidRPr="00D63F79">
        <w:rPr>
          <w:sz w:val="22"/>
          <w:szCs w:val="22"/>
        </w:rPr>
        <w:t xml:space="preserve"> his/her incubation period in a setting such as a hospital or other institutional setting with people at increased risk of disease. The breadth of the investigation will be decided at the individual PHU level, taking</w:t>
      </w:r>
      <w:r w:rsidR="00D16B89" w:rsidRPr="00D63F79">
        <w:rPr>
          <w:sz w:val="22"/>
          <w:szCs w:val="22"/>
        </w:rPr>
        <w:t xml:space="preserve"> the species of </w:t>
      </w:r>
      <w:r w:rsidR="00D16B89" w:rsidRPr="00D63F79">
        <w:rPr>
          <w:i/>
          <w:sz w:val="22"/>
          <w:szCs w:val="22"/>
        </w:rPr>
        <w:t xml:space="preserve">Legionella </w:t>
      </w:r>
      <w:r w:rsidR="00D16B89" w:rsidRPr="00D63F79">
        <w:rPr>
          <w:sz w:val="22"/>
          <w:szCs w:val="22"/>
        </w:rPr>
        <w:t>and</w:t>
      </w:r>
      <w:r w:rsidRPr="00D63F79">
        <w:rPr>
          <w:sz w:val="22"/>
          <w:szCs w:val="22"/>
        </w:rPr>
        <w:t xml:space="preserve"> local factors into consideration. For example, a noti</w:t>
      </w:r>
      <w:r w:rsidR="00354D7F">
        <w:rPr>
          <w:sz w:val="22"/>
          <w:szCs w:val="22"/>
        </w:rPr>
        <w:t>fication may give Environmental </w:t>
      </w:r>
      <w:r w:rsidRPr="00D63F79">
        <w:rPr>
          <w:sz w:val="22"/>
          <w:szCs w:val="22"/>
        </w:rPr>
        <w:t xml:space="preserve">Health Officers (EHOs), or those with appropriate expertise, an opportunity to check registers of </w:t>
      </w:r>
      <w:r w:rsidR="00D16B89" w:rsidRPr="00D63F79">
        <w:rPr>
          <w:sz w:val="22"/>
          <w:szCs w:val="22"/>
        </w:rPr>
        <w:t>air-conditioning cooling towers</w:t>
      </w:r>
      <w:r w:rsidRPr="00D63F79">
        <w:rPr>
          <w:sz w:val="22"/>
          <w:szCs w:val="22"/>
        </w:rPr>
        <w:t xml:space="preserve"> held by </w:t>
      </w:r>
      <w:r w:rsidR="00497215">
        <w:rPr>
          <w:sz w:val="22"/>
          <w:szCs w:val="22"/>
        </w:rPr>
        <w:t xml:space="preserve">a </w:t>
      </w:r>
      <w:proofErr w:type="gramStart"/>
      <w:r w:rsidR="00497215">
        <w:rPr>
          <w:sz w:val="22"/>
          <w:szCs w:val="22"/>
        </w:rPr>
        <w:t>jurisdiction</w:t>
      </w:r>
      <w:r w:rsidRPr="00D63F79">
        <w:rPr>
          <w:sz w:val="22"/>
          <w:szCs w:val="22"/>
        </w:rPr>
        <w:t>, and</w:t>
      </w:r>
      <w:proofErr w:type="gramEnd"/>
      <w:r w:rsidRPr="00D63F79">
        <w:rPr>
          <w:sz w:val="22"/>
          <w:szCs w:val="22"/>
        </w:rPr>
        <w:t xml:space="preserve"> provide information to managers of premises while testing any suspected </w:t>
      </w:r>
      <w:r w:rsidR="00D16B89" w:rsidRPr="00D63F79">
        <w:rPr>
          <w:sz w:val="22"/>
          <w:szCs w:val="22"/>
        </w:rPr>
        <w:t>cooling towers</w:t>
      </w:r>
      <w:r w:rsidRPr="00D63F79">
        <w:rPr>
          <w:sz w:val="22"/>
          <w:szCs w:val="22"/>
        </w:rPr>
        <w:t>. The holding and use of registers may vary across jurisdictions.</w:t>
      </w:r>
      <w:r w:rsidRPr="00D63F79">
        <w:rPr>
          <w:sz w:val="22"/>
          <w:szCs w:val="22"/>
        </w:rPr>
        <w:br/>
      </w:r>
      <w:r w:rsidRPr="00D63F79">
        <w:br/>
      </w:r>
      <w:r w:rsidRPr="00D63F79">
        <w:rPr>
          <w:sz w:val="22"/>
          <w:szCs w:val="22"/>
        </w:rPr>
        <w:t>Identify all potential sources</w:t>
      </w:r>
      <w:r w:rsidR="00D16B89" w:rsidRPr="00D63F79">
        <w:rPr>
          <w:sz w:val="22"/>
          <w:szCs w:val="22"/>
        </w:rPr>
        <w:t xml:space="preserve"> relevant to the species of </w:t>
      </w:r>
      <w:r w:rsidR="00D16B89" w:rsidRPr="00D63F79">
        <w:rPr>
          <w:i/>
          <w:sz w:val="22"/>
          <w:szCs w:val="22"/>
        </w:rPr>
        <w:t>Legionella</w:t>
      </w:r>
      <w:r w:rsidRPr="00D63F79">
        <w:rPr>
          <w:sz w:val="22"/>
          <w:szCs w:val="22"/>
        </w:rPr>
        <w:t xml:space="preserve"> including cooling</w:t>
      </w:r>
      <w:r w:rsidR="00D16B89" w:rsidRPr="00D63F79">
        <w:rPr>
          <w:sz w:val="22"/>
          <w:szCs w:val="22"/>
        </w:rPr>
        <w:t xml:space="preserve"> towers</w:t>
      </w:r>
      <w:r w:rsidRPr="00D63F79">
        <w:rPr>
          <w:sz w:val="22"/>
          <w:szCs w:val="22"/>
        </w:rPr>
        <w:t xml:space="preserve"> and </w:t>
      </w:r>
      <w:r w:rsidR="00EB6026">
        <w:rPr>
          <w:sz w:val="22"/>
          <w:szCs w:val="22"/>
        </w:rPr>
        <w:t>WWS/HWS</w:t>
      </w:r>
      <w:r w:rsidRPr="00D63F79">
        <w:rPr>
          <w:sz w:val="22"/>
          <w:szCs w:val="22"/>
        </w:rPr>
        <w:t xml:space="preserve">, as well as potting mix or </w:t>
      </w:r>
      <w:r w:rsidR="00D16B89" w:rsidRPr="00D63F79">
        <w:rPr>
          <w:sz w:val="22"/>
          <w:szCs w:val="22"/>
        </w:rPr>
        <w:t>other gardening soils</w:t>
      </w:r>
      <w:r w:rsidRPr="00D63F79">
        <w:rPr>
          <w:sz w:val="22"/>
          <w:szCs w:val="22"/>
        </w:rPr>
        <w:t xml:space="preserve">. </w:t>
      </w:r>
    </w:p>
    <w:p w14:paraId="6D833F82" w14:textId="77777777" w:rsidR="00A502A7" w:rsidRPr="00950F6C" w:rsidRDefault="00A502A7" w:rsidP="00C05EBA">
      <w:pPr>
        <w:pStyle w:val="CommentText"/>
        <w:rPr>
          <w:sz w:val="22"/>
          <w:szCs w:val="22"/>
        </w:rPr>
      </w:pPr>
      <w:r w:rsidRPr="00D63F79">
        <w:rPr>
          <w:sz w:val="22"/>
          <w:szCs w:val="22"/>
        </w:rPr>
        <w:t xml:space="preserve">Obtain samples for analysis as appropriate. Positive samples should be held and matched against any human isolates. </w:t>
      </w:r>
      <w:r w:rsidR="00D16B89" w:rsidRPr="00D63F79">
        <w:rPr>
          <w:sz w:val="22"/>
          <w:szCs w:val="22"/>
        </w:rPr>
        <w:t>Sampling of potting</w:t>
      </w:r>
      <w:r w:rsidR="00EB6026">
        <w:rPr>
          <w:sz w:val="22"/>
          <w:szCs w:val="22"/>
        </w:rPr>
        <w:t xml:space="preserve"> mix an</w:t>
      </w:r>
      <w:r w:rsidR="00D16B89" w:rsidRPr="00D63F79">
        <w:rPr>
          <w:sz w:val="22"/>
          <w:szCs w:val="22"/>
        </w:rPr>
        <w:t>d</w:t>
      </w:r>
      <w:r w:rsidR="00EB6026">
        <w:rPr>
          <w:sz w:val="22"/>
          <w:szCs w:val="22"/>
        </w:rPr>
        <w:t xml:space="preserve"> </w:t>
      </w:r>
      <w:r w:rsidR="00D16B89" w:rsidRPr="00D63F79">
        <w:rPr>
          <w:sz w:val="22"/>
          <w:szCs w:val="22"/>
        </w:rPr>
        <w:t xml:space="preserve">gardening soils is not normally indicated for </w:t>
      </w:r>
      <w:r w:rsidR="00EB6026" w:rsidRPr="00D63F79">
        <w:rPr>
          <w:sz w:val="22"/>
          <w:szCs w:val="22"/>
        </w:rPr>
        <w:t>sporadic</w:t>
      </w:r>
      <w:r w:rsidR="00D16B89" w:rsidRPr="00D63F79">
        <w:rPr>
          <w:sz w:val="22"/>
          <w:szCs w:val="22"/>
        </w:rPr>
        <w:t xml:space="preserve"> cases of </w:t>
      </w:r>
      <w:r w:rsidR="00D16B89" w:rsidRPr="00D63F79">
        <w:rPr>
          <w:i/>
          <w:sz w:val="22"/>
          <w:szCs w:val="22"/>
        </w:rPr>
        <w:t xml:space="preserve">L. </w:t>
      </w:r>
      <w:proofErr w:type="spellStart"/>
      <w:r w:rsidR="00D16B89" w:rsidRPr="00D63F79">
        <w:rPr>
          <w:i/>
          <w:sz w:val="22"/>
          <w:szCs w:val="22"/>
        </w:rPr>
        <w:t>longbeachae</w:t>
      </w:r>
      <w:proofErr w:type="spellEnd"/>
      <w:r w:rsidR="00D16B89" w:rsidRPr="00D63F79">
        <w:rPr>
          <w:sz w:val="22"/>
          <w:szCs w:val="22"/>
        </w:rPr>
        <w:t xml:space="preserve"> infection.</w:t>
      </w:r>
    </w:p>
    <w:p w14:paraId="5F28428E" w14:textId="77777777" w:rsidR="00A502A7" w:rsidRPr="00D63F79" w:rsidRDefault="00A502A7" w:rsidP="00C05EBA">
      <w:pPr>
        <w:pStyle w:val="Heading1"/>
      </w:pPr>
      <w:r w:rsidRPr="00D63F79">
        <w:t>11. Contact management</w:t>
      </w:r>
    </w:p>
    <w:p w14:paraId="268E23D2" w14:textId="77777777" w:rsidR="00A502A7" w:rsidRPr="00950F6C" w:rsidRDefault="00A502A7" w:rsidP="00950F6C">
      <w:pPr>
        <w:pStyle w:val="Heading2"/>
      </w:pPr>
      <w:r w:rsidRPr="00950F6C">
        <w:t>Identification of contacts</w:t>
      </w:r>
    </w:p>
    <w:p w14:paraId="3600E7C9" w14:textId="77777777" w:rsidR="00A502A7" w:rsidRPr="00950F6C" w:rsidRDefault="00A502A7" w:rsidP="00950F6C">
      <w:pPr>
        <w:rPr>
          <w:lang w:val="en-US"/>
        </w:rPr>
      </w:pPr>
      <w:r w:rsidRPr="00D63F79">
        <w:rPr>
          <w:lang w:val="en-US"/>
        </w:rPr>
        <w:t>Contacts of cases are not at risk of disease, unless they share the same environmental exposure.</w:t>
      </w:r>
    </w:p>
    <w:p w14:paraId="5BC8E235" w14:textId="77777777" w:rsidR="00A502A7" w:rsidRPr="00D63F79" w:rsidRDefault="00A502A7" w:rsidP="00950F6C">
      <w:pPr>
        <w:pStyle w:val="Heading2"/>
        <w:spacing w:after="120"/>
      </w:pPr>
      <w:r w:rsidRPr="00D63F79">
        <w:t xml:space="preserve">Contact definition </w:t>
      </w:r>
    </w:p>
    <w:p w14:paraId="449B0370" w14:textId="77777777" w:rsidR="00A502A7" w:rsidRPr="00D63F79" w:rsidRDefault="00A502A7" w:rsidP="00950F6C">
      <w:pPr>
        <w:pStyle w:val="BodyText"/>
        <w:spacing w:after="120"/>
        <w:rPr>
          <w:rFonts w:ascii="Arial" w:hAnsi="Arial"/>
        </w:rPr>
      </w:pPr>
      <w:r w:rsidRPr="00D63F79">
        <w:rPr>
          <w:rFonts w:ascii="Arial" w:hAnsi="Arial"/>
        </w:rPr>
        <w:t>Not applicable</w:t>
      </w:r>
    </w:p>
    <w:p w14:paraId="09DFC704" w14:textId="77777777" w:rsidR="00A502A7" w:rsidRPr="00D63F79" w:rsidRDefault="00A502A7" w:rsidP="00950F6C">
      <w:pPr>
        <w:pStyle w:val="Heading2"/>
        <w:spacing w:after="120"/>
      </w:pPr>
      <w:r w:rsidRPr="00D63F79">
        <w:t>Prophylaxis</w:t>
      </w:r>
    </w:p>
    <w:p w14:paraId="68E2AA6F" w14:textId="77777777" w:rsidR="00A502A7" w:rsidRPr="00D63F79" w:rsidRDefault="00A502A7" w:rsidP="00950F6C">
      <w:pPr>
        <w:pStyle w:val="BodyText"/>
        <w:spacing w:after="120"/>
        <w:rPr>
          <w:rFonts w:ascii="Arial" w:hAnsi="Arial"/>
        </w:rPr>
      </w:pPr>
      <w:r w:rsidRPr="00D63F79">
        <w:rPr>
          <w:rFonts w:ascii="Arial" w:hAnsi="Arial"/>
        </w:rPr>
        <w:t>Not applicable</w:t>
      </w:r>
    </w:p>
    <w:p w14:paraId="5AB15730" w14:textId="77777777" w:rsidR="00A502A7" w:rsidRPr="00D63F79" w:rsidRDefault="00A502A7" w:rsidP="00950F6C">
      <w:pPr>
        <w:pStyle w:val="Heading2"/>
        <w:spacing w:after="120"/>
        <w:rPr>
          <w:i w:val="0"/>
          <w:iCs w:val="0"/>
        </w:rPr>
      </w:pPr>
      <w:r w:rsidRPr="00D63F79">
        <w:t>Education</w:t>
      </w:r>
    </w:p>
    <w:p w14:paraId="606AB7BC" w14:textId="77777777" w:rsidR="00A502A7" w:rsidRPr="00D63F79" w:rsidRDefault="00A502A7" w:rsidP="00950F6C">
      <w:pPr>
        <w:pStyle w:val="BodyText"/>
        <w:spacing w:after="120"/>
        <w:rPr>
          <w:rFonts w:ascii="Arial" w:hAnsi="Arial"/>
        </w:rPr>
      </w:pPr>
      <w:r w:rsidRPr="00D63F79">
        <w:rPr>
          <w:rFonts w:ascii="Arial" w:hAnsi="Arial"/>
        </w:rPr>
        <w:t>Nil routine</w:t>
      </w:r>
    </w:p>
    <w:p w14:paraId="79178554" w14:textId="77777777" w:rsidR="00A502A7" w:rsidRPr="00D63F79" w:rsidRDefault="00A502A7" w:rsidP="00950F6C">
      <w:pPr>
        <w:pStyle w:val="Heading2"/>
        <w:spacing w:after="120"/>
        <w:rPr>
          <w:i w:val="0"/>
          <w:iCs w:val="0"/>
        </w:rPr>
      </w:pPr>
      <w:r w:rsidRPr="00D63F79">
        <w:t>Isolation and restriction</w:t>
      </w:r>
    </w:p>
    <w:p w14:paraId="1662E626" w14:textId="77777777" w:rsidR="004D292A" w:rsidRDefault="00AC63A4" w:rsidP="00AC63A4">
      <w:pPr>
        <w:pStyle w:val="BodyText"/>
        <w:rPr>
          <w:rFonts w:ascii="Arial" w:hAnsi="Arial"/>
        </w:rPr>
      </w:pPr>
      <w:r>
        <w:rPr>
          <w:rFonts w:ascii="Arial" w:hAnsi="Arial"/>
        </w:rPr>
        <w:t>Nil</w:t>
      </w:r>
    </w:p>
    <w:p w14:paraId="6B23F261" w14:textId="77777777" w:rsidR="004D292A" w:rsidRDefault="004D292A" w:rsidP="004D292A">
      <w:pPr>
        <w:rPr>
          <w:color w:val="000000"/>
          <w:szCs w:val="20"/>
          <w:lang w:val="en-US"/>
        </w:rPr>
      </w:pPr>
      <w:r>
        <w:br w:type="page"/>
      </w:r>
    </w:p>
    <w:p w14:paraId="5D166461" w14:textId="77777777" w:rsidR="00956B15" w:rsidRPr="00D63F79" w:rsidRDefault="00956B15" w:rsidP="00AC63A4">
      <w:pPr>
        <w:pStyle w:val="BodyText"/>
        <w:rPr>
          <w:rFonts w:ascii="Arial" w:hAnsi="Arial"/>
        </w:rPr>
      </w:pPr>
    </w:p>
    <w:p w14:paraId="3F15C1DE" w14:textId="77777777" w:rsidR="00A502A7" w:rsidRPr="00950F6C" w:rsidRDefault="00A502A7" w:rsidP="00950F6C">
      <w:pPr>
        <w:pStyle w:val="Heading1"/>
      </w:pPr>
      <w:r w:rsidRPr="00950F6C">
        <w:t>12. Special situations</w:t>
      </w:r>
    </w:p>
    <w:p w14:paraId="40BB3951" w14:textId="77777777" w:rsidR="00A502A7" w:rsidRPr="00950F6C" w:rsidRDefault="00A502A7" w:rsidP="00950F6C">
      <w:pPr>
        <w:pStyle w:val="Heading2"/>
      </w:pPr>
      <w:r w:rsidRPr="00950F6C">
        <w:t>Clusters</w:t>
      </w:r>
      <w:r w:rsidR="00497215" w:rsidRPr="00950F6C">
        <w:t>/Outbreaks</w:t>
      </w:r>
    </w:p>
    <w:p w14:paraId="69929FD5" w14:textId="77777777" w:rsidR="00A502A7" w:rsidRPr="00D63F79" w:rsidRDefault="00A502A7" w:rsidP="00C05EBA">
      <w:pPr>
        <w:rPr>
          <w:lang w:val="en-US"/>
        </w:rPr>
      </w:pPr>
      <w:r w:rsidRPr="00D63F79">
        <w:rPr>
          <w:lang w:val="en-US"/>
        </w:rPr>
        <w:t>Where more than one case of legionellosis reports a common exposure a cluster</w:t>
      </w:r>
      <w:r w:rsidR="00497215">
        <w:rPr>
          <w:lang w:val="en-US"/>
        </w:rPr>
        <w:t>/outbreak</w:t>
      </w:r>
      <w:r w:rsidRPr="00D63F79">
        <w:rPr>
          <w:lang w:val="en-US"/>
        </w:rPr>
        <w:t xml:space="preserve"> investigation should be initiated. A single nosocomial case should be regarded as an outbreak. This includes: </w:t>
      </w:r>
    </w:p>
    <w:p w14:paraId="390A8C31" w14:textId="77777777" w:rsidR="00A502A7" w:rsidRPr="00D63F79" w:rsidRDefault="00A502A7" w:rsidP="00C05EBA">
      <w:pPr>
        <w:pStyle w:val="ListParagraph"/>
        <w:numPr>
          <w:ilvl w:val="0"/>
          <w:numId w:val="13"/>
        </w:numPr>
      </w:pPr>
      <w:r w:rsidRPr="00D63F79">
        <w:t xml:space="preserve">interviewing cases/carers about all possible exposures </w:t>
      </w:r>
    </w:p>
    <w:p w14:paraId="64B0F729" w14:textId="77777777" w:rsidR="00A502A7" w:rsidRPr="00D63F79" w:rsidRDefault="00A502A7" w:rsidP="00C05EBA">
      <w:pPr>
        <w:pStyle w:val="ListParagraph"/>
        <w:numPr>
          <w:ilvl w:val="0"/>
          <w:numId w:val="13"/>
        </w:numPr>
      </w:pPr>
      <w:r w:rsidRPr="00D63F79">
        <w:t xml:space="preserve">mapping movements of cases during the exposure period </w:t>
      </w:r>
    </w:p>
    <w:p w14:paraId="7406C50B" w14:textId="77777777" w:rsidR="00A502A7" w:rsidRPr="00D63F79" w:rsidRDefault="00A502A7" w:rsidP="00C05EBA">
      <w:pPr>
        <w:pStyle w:val="ListParagraph"/>
        <w:numPr>
          <w:ilvl w:val="0"/>
          <w:numId w:val="13"/>
        </w:numPr>
      </w:pPr>
      <w:r w:rsidRPr="00D63F79">
        <w:t xml:space="preserve">an urgent environmental evaluation including a search for possible sources of aerosol generation that are likely to have travelled to the vicinity in which the cases were potentially exposed. </w:t>
      </w:r>
    </w:p>
    <w:p w14:paraId="42C23F71" w14:textId="77777777" w:rsidR="00A502A7" w:rsidRPr="00D63F79" w:rsidRDefault="00A502A7" w:rsidP="007727EB">
      <w:pPr>
        <w:pStyle w:val="ListParagraph"/>
        <w:numPr>
          <w:ilvl w:val="0"/>
          <w:numId w:val="13"/>
        </w:numPr>
      </w:pPr>
      <w:r w:rsidRPr="00D63F79">
        <w:t xml:space="preserve">it should be noted that a common exposure site shared over a </w:t>
      </w:r>
      <w:proofErr w:type="gramStart"/>
      <w:r w:rsidRPr="00D63F79">
        <w:t>three</w:t>
      </w:r>
      <w:r w:rsidR="007D62AC" w:rsidRPr="00D63F79">
        <w:t xml:space="preserve"> </w:t>
      </w:r>
      <w:r w:rsidRPr="00D63F79">
        <w:t>to six month</w:t>
      </w:r>
      <w:proofErr w:type="gramEnd"/>
      <w:r w:rsidRPr="00D63F79">
        <w:t xml:space="preserve"> period may be due to chance alone</w:t>
      </w:r>
    </w:p>
    <w:p w14:paraId="3108A30D" w14:textId="77777777" w:rsidR="00A502A7" w:rsidRPr="00D63F79" w:rsidRDefault="00A502A7" w:rsidP="00EB278D">
      <w:pPr>
        <w:pStyle w:val="ListParagraph"/>
        <w:numPr>
          <w:ilvl w:val="0"/>
          <w:numId w:val="15"/>
        </w:numPr>
      </w:pPr>
      <w:r w:rsidRPr="00D63F79">
        <w:t xml:space="preserve">the common exposure area of </w:t>
      </w:r>
      <w:r w:rsidR="00D16B89" w:rsidRPr="00D63F79">
        <w:t xml:space="preserve">an air-conditioning cooling tower </w:t>
      </w:r>
      <w:r w:rsidRPr="00D63F79">
        <w:t>source of aerosols is typically within a</w:t>
      </w:r>
      <w:r w:rsidR="007727EB" w:rsidRPr="00D63F79">
        <w:t xml:space="preserve"> </w:t>
      </w:r>
      <w:proofErr w:type="gramStart"/>
      <w:r w:rsidRPr="00D63F79">
        <w:t xml:space="preserve">500 </w:t>
      </w:r>
      <w:proofErr w:type="spellStart"/>
      <w:r w:rsidRPr="00D63F79">
        <w:t>metre</w:t>
      </w:r>
      <w:proofErr w:type="spellEnd"/>
      <w:proofErr w:type="gramEnd"/>
      <w:r w:rsidRPr="00D63F79">
        <w:t xml:space="preserve"> radius, but in determining the investigation area, consider: </w:t>
      </w:r>
    </w:p>
    <w:p w14:paraId="3363EAC3" w14:textId="77777777" w:rsidR="00A502A7" w:rsidRPr="00D63F79" w:rsidRDefault="00A502A7" w:rsidP="007727EB">
      <w:pPr>
        <w:pStyle w:val="NormalWeb"/>
        <w:numPr>
          <w:ilvl w:val="0"/>
          <w:numId w:val="26"/>
        </w:numPr>
        <w:spacing w:before="0" w:beforeAutospacing="0"/>
      </w:pPr>
      <w:r w:rsidRPr="00D63F79">
        <w:t xml:space="preserve">distances from the common point of exposure, building height, </w:t>
      </w:r>
      <w:r w:rsidR="00D16B89" w:rsidRPr="00D63F79">
        <w:t>cooling tower</w:t>
      </w:r>
      <w:r w:rsidRPr="00D63F79">
        <w:t xml:space="preserve"> height, direction of plume(s), wind direction, prevailing weather conditions at the time of likely exposure (temperature, inversion layers and relative humidity) and the number of </w:t>
      </w:r>
      <w:r w:rsidR="00D16B89" w:rsidRPr="00D63F79">
        <w:t xml:space="preserve">cooling towers </w:t>
      </w:r>
      <w:r w:rsidRPr="00D63F79">
        <w:t xml:space="preserve">potentially involved </w:t>
      </w:r>
    </w:p>
    <w:p w14:paraId="1B3207CB" w14:textId="77777777" w:rsidR="00A502A7" w:rsidRPr="00D63F79" w:rsidRDefault="00A502A7" w:rsidP="00C05EBA">
      <w:pPr>
        <w:pStyle w:val="NormalWeb"/>
        <w:numPr>
          <w:ilvl w:val="0"/>
          <w:numId w:val="26"/>
        </w:numPr>
      </w:pPr>
      <w:r w:rsidRPr="00D63F79">
        <w:t xml:space="preserve">the jurisdiction’s </w:t>
      </w:r>
      <w:r w:rsidR="002A02AB" w:rsidRPr="00D63F79">
        <w:t xml:space="preserve">register </w:t>
      </w:r>
      <w:r w:rsidRPr="00D63F79">
        <w:t xml:space="preserve">if available, but be aware of the likelihood for unregistered </w:t>
      </w:r>
      <w:r w:rsidR="00D16B89" w:rsidRPr="00D63F79">
        <w:t xml:space="preserve">cooling towers </w:t>
      </w:r>
      <w:r w:rsidRPr="00D63F79">
        <w:t>in buildings in the vicinity</w:t>
      </w:r>
    </w:p>
    <w:p w14:paraId="6961BF20" w14:textId="77777777" w:rsidR="00A502A7" w:rsidRPr="00D63F79" w:rsidRDefault="00A502A7" w:rsidP="00C05EBA">
      <w:pPr>
        <w:pStyle w:val="NormalWeb"/>
        <w:numPr>
          <w:ilvl w:val="0"/>
          <w:numId w:val="26"/>
        </w:numPr>
      </w:pPr>
      <w:r w:rsidRPr="00D63F79">
        <w:t xml:space="preserve">potential for higher health risk e.g., where many people at increased risk of disease could be exposed </w:t>
      </w:r>
    </w:p>
    <w:p w14:paraId="65EE1A4C" w14:textId="77777777" w:rsidR="00A502A7" w:rsidRPr="00D63F79" w:rsidRDefault="00A502A7" w:rsidP="00C05EBA">
      <w:pPr>
        <w:pStyle w:val="NormalWeb"/>
        <w:numPr>
          <w:ilvl w:val="0"/>
          <w:numId w:val="26"/>
        </w:numPr>
        <w:rPr>
          <w:lang w:val="en-US"/>
        </w:rPr>
      </w:pPr>
      <w:r w:rsidRPr="00D63F79">
        <w:t>known history</w:t>
      </w:r>
      <w:r w:rsidRPr="00D63F79">
        <w:rPr>
          <w:lang w:val="en-US"/>
        </w:rPr>
        <w:t xml:space="preserve"> of poor performance/compliance</w:t>
      </w:r>
    </w:p>
    <w:p w14:paraId="7A73B01F" w14:textId="77777777" w:rsidR="00A502A7" w:rsidRPr="00D63F79" w:rsidRDefault="00A502A7" w:rsidP="00C05EBA">
      <w:pPr>
        <w:pStyle w:val="NormalWeb"/>
        <w:numPr>
          <w:ilvl w:val="0"/>
          <w:numId w:val="26"/>
        </w:numPr>
        <w:rPr>
          <w:color w:val="000000"/>
          <w:lang w:val="en-US"/>
        </w:rPr>
      </w:pPr>
      <w:r w:rsidRPr="00D63F79">
        <w:t xml:space="preserve">within a central business </w:t>
      </w:r>
      <w:proofErr w:type="gramStart"/>
      <w:r w:rsidRPr="00D63F79">
        <w:t>district</w:t>
      </w:r>
      <w:proofErr w:type="gramEnd"/>
      <w:r w:rsidRPr="00D63F79">
        <w:t xml:space="preserve"> the distance covered by the investigation may differ</w:t>
      </w:r>
    </w:p>
    <w:p w14:paraId="43387F49" w14:textId="77777777" w:rsidR="00A502A7" w:rsidRPr="00D63F79" w:rsidRDefault="00A502A7" w:rsidP="00C05EBA">
      <w:pPr>
        <w:pStyle w:val="ListParagraph"/>
        <w:numPr>
          <w:ilvl w:val="0"/>
          <w:numId w:val="12"/>
        </w:numPr>
      </w:pPr>
      <w:r w:rsidRPr="00D63F79">
        <w:t>liaising</w:t>
      </w:r>
      <w:r w:rsidR="00D16B89" w:rsidRPr="00D63F79">
        <w:t xml:space="preserve">, as appropriate, </w:t>
      </w:r>
      <w:r w:rsidRPr="00D63F79">
        <w:t xml:space="preserve">with the environmental testing laboratory regarding samples. Samples with </w:t>
      </w:r>
      <w:r w:rsidR="007727EB" w:rsidRPr="00D63F79">
        <w:rPr>
          <w:i/>
        </w:rPr>
        <w:t>L</w:t>
      </w:r>
      <w:r w:rsidRPr="00956B15">
        <w:rPr>
          <w:i/>
        </w:rPr>
        <w:t>egionella</w:t>
      </w:r>
      <w:r w:rsidRPr="00D63F79">
        <w:t xml:space="preserve"> </w:t>
      </w:r>
      <w:r w:rsidR="00D16B89" w:rsidRPr="00D63F79">
        <w:t xml:space="preserve">species </w:t>
      </w:r>
      <w:r w:rsidRPr="00D63F79">
        <w:t>detected should be held and matched against isolates from linked cases</w:t>
      </w:r>
    </w:p>
    <w:p w14:paraId="6977EE41" w14:textId="77777777" w:rsidR="00A502A7" w:rsidRPr="00D63F79" w:rsidRDefault="00A502A7" w:rsidP="00C05EBA">
      <w:pPr>
        <w:pStyle w:val="ListParagraph"/>
        <w:numPr>
          <w:ilvl w:val="0"/>
          <w:numId w:val="12"/>
        </w:numPr>
      </w:pPr>
      <w:r w:rsidRPr="00D63F79">
        <w:t>notifying the public health media manager. Consider issuing a media release to encourage people with</w:t>
      </w:r>
      <w:r w:rsidR="00D16B89" w:rsidRPr="00D63F79">
        <w:t xml:space="preserve"> relevant</w:t>
      </w:r>
      <w:r w:rsidRPr="00D63F79">
        <w:t xml:space="preserve"> symptoms who may have been exposed to a likely source to seek medical care </w:t>
      </w:r>
    </w:p>
    <w:p w14:paraId="38FC328B" w14:textId="77777777" w:rsidR="00A502A7" w:rsidRPr="00D63F79" w:rsidRDefault="00A502A7" w:rsidP="00C05EBA">
      <w:pPr>
        <w:pStyle w:val="ListParagraph"/>
        <w:numPr>
          <w:ilvl w:val="0"/>
          <w:numId w:val="12"/>
        </w:numPr>
      </w:pPr>
      <w:r w:rsidRPr="00D63F79">
        <w:t>when there are cases clustered tightly in time or place initiate active surveillance</w:t>
      </w:r>
      <w:r w:rsidR="002C5571" w:rsidRPr="00D63F79">
        <w:t xml:space="preserve">. This may </w:t>
      </w:r>
      <w:proofErr w:type="gramStart"/>
      <w:r w:rsidR="002C5571" w:rsidRPr="00D63F79">
        <w:t>include</w:t>
      </w:r>
      <w:r w:rsidRPr="00D63F79">
        <w:t xml:space="preserve">  </w:t>
      </w:r>
      <w:r w:rsidR="002C5571" w:rsidRPr="00D63F79">
        <w:t>contacting</w:t>
      </w:r>
      <w:proofErr w:type="gramEnd"/>
      <w:r w:rsidR="002C5571" w:rsidRPr="00D63F79">
        <w:t xml:space="preserve"> </w:t>
      </w:r>
      <w:r w:rsidRPr="00D63F79">
        <w:t>GPs, and respiratory and infectious disease physicians to assist in case finding; reviewing Emergency Department data for cases of community-acquired pneumonia; and where well defined and readily contactable exposed groups can be identified (such as a workplace), issuing a fact sheet or letter to members of the group</w:t>
      </w:r>
    </w:p>
    <w:p w14:paraId="3E2BCCCC" w14:textId="77777777" w:rsidR="00A502A7" w:rsidRPr="00D63F79" w:rsidRDefault="00A502A7" w:rsidP="00C05EBA">
      <w:pPr>
        <w:pStyle w:val="ListParagraph"/>
        <w:numPr>
          <w:ilvl w:val="0"/>
          <w:numId w:val="12"/>
        </w:numPr>
      </w:pPr>
      <w:r w:rsidRPr="00D63F79">
        <w:t xml:space="preserve">communicating the findings of the investigation to health care workers and the community </w:t>
      </w:r>
    </w:p>
    <w:p w14:paraId="315C80D5" w14:textId="77777777" w:rsidR="00611073" w:rsidRDefault="00A502A7" w:rsidP="00950F6C">
      <w:pPr>
        <w:pStyle w:val="ListParagraph"/>
        <w:numPr>
          <w:ilvl w:val="0"/>
          <w:numId w:val="12"/>
        </w:numPr>
      </w:pPr>
      <w:r w:rsidRPr="00D63F79">
        <w:t xml:space="preserve">when the investigation identifies unregistered </w:t>
      </w:r>
      <w:r w:rsidR="00D16B89" w:rsidRPr="00D63F79">
        <w:t>cooling towers</w:t>
      </w:r>
      <w:r w:rsidRPr="00D63F79">
        <w:t xml:space="preserve"> provide feedback to</w:t>
      </w:r>
      <w:r w:rsidR="00D16B89" w:rsidRPr="00D63F79">
        <w:t xml:space="preserve"> the</w:t>
      </w:r>
      <w:r w:rsidRPr="00D63F79">
        <w:t xml:space="preserve"> building owner and </w:t>
      </w:r>
      <w:r w:rsidR="00D16B89" w:rsidRPr="00D63F79">
        <w:t xml:space="preserve">relevant </w:t>
      </w:r>
      <w:r w:rsidRPr="00D63F79">
        <w:t>authority.</w:t>
      </w:r>
      <w:r w:rsidR="00611073">
        <w:br w:type="page"/>
      </w:r>
    </w:p>
    <w:p w14:paraId="44C7333C" w14:textId="77777777" w:rsidR="00A502A7" w:rsidRPr="00950F6C" w:rsidRDefault="00A502A7" w:rsidP="00611073">
      <w:pPr>
        <w:pStyle w:val="ListParagraph"/>
        <w:ind w:firstLine="0"/>
      </w:pPr>
    </w:p>
    <w:p w14:paraId="2905660E" w14:textId="77777777" w:rsidR="00A502A7" w:rsidRPr="00D63F79" w:rsidRDefault="00A502A7" w:rsidP="00C05EBA">
      <w:pPr>
        <w:pStyle w:val="Heading1"/>
      </w:pPr>
      <w:r w:rsidRPr="00D63F79">
        <w:t>13. References and additional sources of information</w:t>
      </w:r>
    </w:p>
    <w:p w14:paraId="4F28F815" w14:textId="77777777" w:rsidR="00A502A7" w:rsidRPr="006C1EA7" w:rsidRDefault="00A502A7" w:rsidP="00950F6C">
      <w:pPr>
        <w:pStyle w:val="Heading2"/>
      </w:pPr>
      <w:r w:rsidRPr="00EB278D">
        <w:rPr>
          <w:szCs w:val="20"/>
        </w:rPr>
        <w:t>References</w:t>
      </w:r>
    </w:p>
    <w:p w14:paraId="71C22507" w14:textId="77777777" w:rsidR="00A502A7" w:rsidRPr="00AC63A4" w:rsidRDefault="00A502A7" w:rsidP="00AC63A4">
      <w:pPr>
        <w:pStyle w:val="EndnoteText"/>
        <w:numPr>
          <w:ilvl w:val="0"/>
          <w:numId w:val="27"/>
        </w:numPr>
        <w:spacing w:after="0"/>
        <w:rPr>
          <w:sz w:val="22"/>
          <w:szCs w:val="22"/>
        </w:rPr>
      </w:pPr>
      <w:r w:rsidRPr="00EB278D">
        <w:rPr>
          <w:sz w:val="22"/>
          <w:szCs w:val="22"/>
        </w:rPr>
        <w:t>Lam MC, Ang LW, Tan AL, James L, Goh KT</w:t>
      </w:r>
      <w:r w:rsidR="00F15958">
        <w:rPr>
          <w:sz w:val="22"/>
          <w:szCs w:val="22"/>
        </w:rPr>
        <w:t xml:space="preserve"> 2011,</w:t>
      </w:r>
      <w:r w:rsidRPr="00EB278D">
        <w:rPr>
          <w:sz w:val="22"/>
          <w:szCs w:val="22"/>
        </w:rPr>
        <w:t xml:space="preserve"> </w:t>
      </w:r>
      <w:r w:rsidR="00F15958">
        <w:rPr>
          <w:sz w:val="22"/>
          <w:szCs w:val="22"/>
        </w:rPr>
        <w:t>‘</w:t>
      </w:r>
      <w:r w:rsidRPr="00EB278D">
        <w:rPr>
          <w:sz w:val="22"/>
          <w:szCs w:val="22"/>
        </w:rPr>
        <w:t xml:space="preserve">Epidemiology and control of </w:t>
      </w:r>
      <w:proofErr w:type="gramStart"/>
      <w:r w:rsidRPr="00EB278D">
        <w:rPr>
          <w:sz w:val="22"/>
          <w:szCs w:val="22"/>
        </w:rPr>
        <w:t>Legionellosis ,</w:t>
      </w:r>
      <w:proofErr w:type="gramEnd"/>
      <w:r w:rsidRPr="00EB278D">
        <w:rPr>
          <w:sz w:val="22"/>
          <w:szCs w:val="22"/>
        </w:rPr>
        <w:t xml:space="preserve"> Singapore</w:t>
      </w:r>
      <w:r w:rsidR="00F15958">
        <w:rPr>
          <w:sz w:val="22"/>
          <w:szCs w:val="22"/>
        </w:rPr>
        <w:t xml:space="preserve">’, </w:t>
      </w:r>
      <w:r w:rsidRPr="00EB278D">
        <w:rPr>
          <w:i/>
          <w:sz w:val="22"/>
          <w:szCs w:val="22"/>
        </w:rPr>
        <w:t>Emerging Infectious Diseases</w:t>
      </w:r>
      <w:r w:rsidRPr="00EB278D">
        <w:rPr>
          <w:sz w:val="22"/>
          <w:szCs w:val="22"/>
        </w:rPr>
        <w:t>.</w:t>
      </w:r>
      <w:r w:rsidR="00F15958">
        <w:rPr>
          <w:sz w:val="22"/>
          <w:szCs w:val="22"/>
        </w:rPr>
        <w:t xml:space="preserve">, vol. </w:t>
      </w:r>
      <w:r w:rsidRPr="00EB278D">
        <w:rPr>
          <w:sz w:val="22"/>
          <w:szCs w:val="22"/>
        </w:rPr>
        <w:t>17</w:t>
      </w:r>
      <w:r w:rsidR="00F15958">
        <w:rPr>
          <w:sz w:val="22"/>
          <w:szCs w:val="22"/>
        </w:rPr>
        <w:t xml:space="preserve">, no. </w:t>
      </w:r>
      <w:r w:rsidRPr="00EB278D">
        <w:rPr>
          <w:sz w:val="22"/>
          <w:szCs w:val="22"/>
        </w:rPr>
        <w:t>7</w:t>
      </w:r>
      <w:r w:rsidR="00F15958">
        <w:rPr>
          <w:sz w:val="22"/>
          <w:szCs w:val="22"/>
        </w:rPr>
        <w:t>, pp. 1</w:t>
      </w:r>
      <w:r w:rsidRPr="00EB278D">
        <w:rPr>
          <w:sz w:val="22"/>
          <w:szCs w:val="22"/>
        </w:rPr>
        <w:t xml:space="preserve">209-1215. Available from: </w:t>
      </w:r>
      <w:r w:rsidRPr="00BC10C2">
        <w:rPr>
          <w:rFonts w:cs="Arial"/>
          <w:sz w:val="22"/>
          <w:szCs w:val="22"/>
        </w:rPr>
        <w:t>wwwnc.cdc.gov/</w:t>
      </w:r>
      <w:proofErr w:type="spellStart"/>
      <w:r w:rsidRPr="00BC10C2">
        <w:rPr>
          <w:rFonts w:cs="Arial"/>
          <w:sz w:val="22"/>
          <w:szCs w:val="22"/>
        </w:rPr>
        <w:t>eid</w:t>
      </w:r>
      <w:proofErr w:type="spellEnd"/>
      <w:r w:rsidRPr="00BC10C2">
        <w:rPr>
          <w:rFonts w:cs="Arial"/>
          <w:sz w:val="22"/>
          <w:szCs w:val="22"/>
        </w:rPr>
        <w:t>/article/17/7/pdfs/10-1509.pdf</w:t>
      </w:r>
    </w:p>
    <w:p w14:paraId="401370DC" w14:textId="77777777" w:rsidR="00C36B51" w:rsidRDefault="00A502A7" w:rsidP="00AC63A4">
      <w:pPr>
        <w:pStyle w:val="EndnoteText"/>
        <w:numPr>
          <w:ilvl w:val="0"/>
          <w:numId w:val="27"/>
        </w:numPr>
        <w:spacing w:after="0"/>
        <w:rPr>
          <w:sz w:val="22"/>
          <w:szCs w:val="22"/>
        </w:rPr>
      </w:pPr>
      <w:r w:rsidRPr="00C36B51">
        <w:rPr>
          <w:sz w:val="22"/>
          <w:szCs w:val="22"/>
        </w:rPr>
        <w:t>Special Pathogens Laboratory</w:t>
      </w:r>
      <w:r w:rsidR="00F15958" w:rsidRPr="00C36B51">
        <w:rPr>
          <w:sz w:val="22"/>
          <w:szCs w:val="22"/>
        </w:rPr>
        <w:t xml:space="preserve"> 2017,</w:t>
      </w:r>
      <w:r w:rsidRPr="00C36B51">
        <w:rPr>
          <w:sz w:val="22"/>
          <w:szCs w:val="22"/>
        </w:rPr>
        <w:t xml:space="preserve"> </w:t>
      </w:r>
      <w:r w:rsidRPr="00C36B51">
        <w:rPr>
          <w:i/>
          <w:sz w:val="22"/>
          <w:szCs w:val="22"/>
        </w:rPr>
        <w:t>Legionella Species</w:t>
      </w:r>
      <w:r w:rsidR="002A2D90" w:rsidRPr="00C36B51">
        <w:rPr>
          <w:sz w:val="22"/>
          <w:szCs w:val="22"/>
        </w:rPr>
        <w:t xml:space="preserve">. </w:t>
      </w:r>
      <w:r w:rsidRPr="00C36B51">
        <w:rPr>
          <w:sz w:val="22"/>
          <w:szCs w:val="22"/>
        </w:rPr>
        <w:t>Available from</w:t>
      </w:r>
      <w:r w:rsidR="009B4091" w:rsidRPr="00C36B51">
        <w:rPr>
          <w:sz w:val="22"/>
          <w:szCs w:val="22"/>
        </w:rPr>
        <w:t xml:space="preserve"> the </w:t>
      </w:r>
      <w:hyperlink r:id="rId20" w:anchor="Employee-its_timesheet" w:history="1">
        <w:r w:rsidR="009B4091" w:rsidRPr="00C36B51">
          <w:rPr>
            <w:rStyle w:val="Hyperlink"/>
            <w:szCs w:val="22"/>
          </w:rPr>
          <w:t>Special Pathogens Laboratory website</w:t>
        </w:r>
      </w:hyperlink>
    </w:p>
    <w:p w14:paraId="44DD7061" w14:textId="77777777" w:rsidR="00C84962" w:rsidRPr="00C36B51" w:rsidRDefault="00A502A7" w:rsidP="00AC63A4">
      <w:pPr>
        <w:pStyle w:val="EndnoteText"/>
        <w:numPr>
          <w:ilvl w:val="0"/>
          <w:numId w:val="27"/>
        </w:numPr>
        <w:spacing w:after="0"/>
        <w:rPr>
          <w:sz w:val="22"/>
          <w:szCs w:val="22"/>
        </w:rPr>
      </w:pPr>
      <w:proofErr w:type="spellStart"/>
      <w:r w:rsidRPr="00C36B51">
        <w:rPr>
          <w:rFonts w:cs="Arial"/>
          <w:color w:val="222222"/>
          <w:sz w:val="22"/>
          <w:szCs w:val="22"/>
        </w:rPr>
        <w:t>Centers</w:t>
      </w:r>
      <w:proofErr w:type="spellEnd"/>
      <w:r w:rsidRPr="00C36B51">
        <w:rPr>
          <w:rFonts w:cs="Arial"/>
          <w:color w:val="222222"/>
          <w:sz w:val="22"/>
          <w:szCs w:val="22"/>
        </w:rPr>
        <w:t xml:space="preserve"> for Disease Control and Prevention</w:t>
      </w:r>
      <w:r w:rsidR="00F15958" w:rsidRPr="00C36B51">
        <w:rPr>
          <w:sz w:val="22"/>
          <w:szCs w:val="22"/>
        </w:rPr>
        <w:t xml:space="preserve"> 2013, </w:t>
      </w:r>
      <w:r w:rsidRPr="00C36B51">
        <w:rPr>
          <w:i/>
          <w:sz w:val="22"/>
          <w:szCs w:val="22"/>
        </w:rPr>
        <w:t xml:space="preserve">Legionella (Legionnaires' Disease and Pontiac Fever), </w:t>
      </w:r>
      <w:r w:rsidR="00D16B89" w:rsidRPr="00C36B51">
        <w:rPr>
          <w:i/>
          <w:sz w:val="22"/>
          <w:szCs w:val="22"/>
        </w:rPr>
        <w:t>Top 10 things every clinician needs to know about legionellosis</w:t>
      </w:r>
      <w:r w:rsidR="00E02B0D" w:rsidRPr="00C36B51">
        <w:rPr>
          <w:sz w:val="22"/>
          <w:szCs w:val="22"/>
        </w:rPr>
        <w:t>.</w:t>
      </w:r>
      <w:r w:rsidRPr="00C36B51">
        <w:rPr>
          <w:sz w:val="22"/>
          <w:szCs w:val="22"/>
        </w:rPr>
        <w:t xml:space="preserve">  Available from</w:t>
      </w:r>
      <w:r w:rsidR="00C9683D" w:rsidRPr="00C36B51">
        <w:rPr>
          <w:sz w:val="22"/>
          <w:szCs w:val="22"/>
        </w:rPr>
        <w:t xml:space="preserve"> </w:t>
      </w:r>
      <w:hyperlink r:id="rId21" w:history="1">
        <w:r w:rsidR="00C9683D" w:rsidRPr="00C36B51">
          <w:rPr>
            <w:rStyle w:val="Hyperlink"/>
            <w:szCs w:val="22"/>
          </w:rPr>
          <w:t>ASHRAE</w:t>
        </w:r>
      </w:hyperlink>
      <w:r w:rsidR="00C9683D" w:rsidRPr="00C36B51">
        <w:rPr>
          <w:sz w:val="22"/>
          <w:szCs w:val="22"/>
        </w:rPr>
        <w:t xml:space="preserve"> </w:t>
      </w:r>
    </w:p>
    <w:p w14:paraId="7E2D0583" w14:textId="77777777" w:rsidR="00C84962" w:rsidRPr="00D156BA" w:rsidRDefault="00760E36" w:rsidP="00AC63A4">
      <w:pPr>
        <w:pStyle w:val="EndnoteText"/>
        <w:numPr>
          <w:ilvl w:val="0"/>
          <w:numId w:val="27"/>
        </w:numPr>
        <w:spacing w:after="0"/>
        <w:rPr>
          <w:sz w:val="22"/>
          <w:szCs w:val="22"/>
        </w:rPr>
      </w:pPr>
      <w:r w:rsidRPr="00EB278D">
        <w:rPr>
          <w:color w:val="222222"/>
          <w:sz w:val="22"/>
          <w:szCs w:val="22"/>
        </w:rPr>
        <w:t>Cunha</w:t>
      </w:r>
      <w:r w:rsidR="009D23B4" w:rsidRPr="00EB278D">
        <w:rPr>
          <w:color w:val="222222"/>
          <w:sz w:val="22"/>
          <w:szCs w:val="22"/>
        </w:rPr>
        <w:t xml:space="preserve"> AC</w:t>
      </w:r>
      <w:r w:rsidRPr="00EB278D">
        <w:rPr>
          <w:color w:val="222222"/>
          <w:sz w:val="22"/>
          <w:szCs w:val="22"/>
        </w:rPr>
        <w:t>, Bur</w:t>
      </w:r>
      <w:r w:rsidR="009D23B4" w:rsidRPr="00EB278D">
        <w:rPr>
          <w:color w:val="222222"/>
          <w:sz w:val="22"/>
          <w:szCs w:val="22"/>
        </w:rPr>
        <w:t>illo</w:t>
      </w:r>
      <w:r w:rsidRPr="00EB278D">
        <w:rPr>
          <w:color w:val="222222"/>
          <w:sz w:val="22"/>
          <w:szCs w:val="22"/>
        </w:rPr>
        <w:t xml:space="preserve"> A</w:t>
      </w:r>
      <w:r w:rsidR="009D23B4" w:rsidRPr="00EB278D">
        <w:rPr>
          <w:color w:val="222222"/>
          <w:sz w:val="22"/>
          <w:szCs w:val="22"/>
        </w:rPr>
        <w:t xml:space="preserve">, Bouza </w:t>
      </w:r>
      <w:proofErr w:type="gramStart"/>
      <w:r w:rsidR="009D23B4" w:rsidRPr="00EB278D">
        <w:rPr>
          <w:color w:val="222222"/>
          <w:sz w:val="22"/>
          <w:szCs w:val="22"/>
        </w:rPr>
        <w:t xml:space="preserve">A </w:t>
      </w:r>
      <w:r w:rsidRPr="00EB278D">
        <w:rPr>
          <w:color w:val="222222"/>
          <w:sz w:val="22"/>
          <w:szCs w:val="22"/>
        </w:rPr>
        <w:t xml:space="preserve"> </w:t>
      </w:r>
      <w:r w:rsidR="009D23B4" w:rsidRPr="00EB278D">
        <w:rPr>
          <w:color w:val="222222"/>
          <w:sz w:val="22"/>
          <w:szCs w:val="22"/>
        </w:rPr>
        <w:t>2016</w:t>
      </w:r>
      <w:proofErr w:type="gramEnd"/>
      <w:r w:rsidR="009D23B4" w:rsidRPr="00EB278D">
        <w:rPr>
          <w:color w:val="222222"/>
          <w:sz w:val="22"/>
          <w:szCs w:val="22"/>
        </w:rPr>
        <w:t xml:space="preserve">, </w:t>
      </w:r>
      <w:r w:rsidRPr="00EB278D">
        <w:rPr>
          <w:color w:val="222222"/>
          <w:sz w:val="22"/>
          <w:szCs w:val="22"/>
        </w:rPr>
        <w:t>‘</w:t>
      </w:r>
      <w:r w:rsidRPr="00EB278D">
        <w:rPr>
          <w:sz w:val="22"/>
          <w:szCs w:val="22"/>
        </w:rPr>
        <w:t>Legionnaires' disease</w:t>
      </w:r>
      <w:r w:rsidR="00D156BA">
        <w:rPr>
          <w:color w:val="222222"/>
          <w:sz w:val="22"/>
          <w:szCs w:val="22"/>
        </w:rPr>
        <w:t>’, The Lancet , vol. 387</w:t>
      </w:r>
      <w:r w:rsidRPr="00EB278D">
        <w:rPr>
          <w:color w:val="222222"/>
          <w:sz w:val="22"/>
          <w:szCs w:val="22"/>
        </w:rPr>
        <w:t>, no.10016, pp. 376 – 385.</w:t>
      </w:r>
      <w:r w:rsidR="009D23B4" w:rsidRPr="00EB278D">
        <w:rPr>
          <w:color w:val="222222"/>
          <w:sz w:val="22"/>
          <w:szCs w:val="22"/>
        </w:rPr>
        <w:t xml:space="preserve"> Available from: </w:t>
      </w:r>
      <w:r w:rsidR="009D23B4" w:rsidRPr="00D156BA">
        <w:t>http://www.thelancet.com/journals/lancet/article/PIIS0140-6736(15)60078-2/fulltext</w:t>
      </w:r>
      <w:r w:rsidR="009D23B4" w:rsidRPr="00D156BA">
        <w:rPr>
          <w:sz w:val="22"/>
          <w:szCs w:val="22"/>
        </w:rPr>
        <w:t xml:space="preserve"> </w:t>
      </w:r>
    </w:p>
    <w:p w14:paraId="20396F59" w14:textId="77777777" w:rsidR="006C1EA7" w:rsidRPr="00AC63A4" w:rsidRDefault="006C1EA7" w:rsidP="00AC63A4">
      <w:pPr>
        <w:pStyle w:val="EndnoteText"/>
        <w:numPr>
          <w:ilvl w:val="0"/>
          <w:numId w:val="27"/>
        </w:numPr>
        <w:spacing w:after="0"/>
        <w:rPr>
          <w:sz w:val="22"/>
          <w:szCs w:val="22"/>
        </w:rPr>
      </w:pPr>
      <w:r w:rsidRPr="00EB278D">
        <w:rPr>
          <w:noProof/>
          <w:sz w:val="22"/>
          <w:szCs w:val="22"/>
          <w:lang w:val="en-US"/>
        </w:rPr>
        <w:t>enHealth</w:t>
      </w:r>
      <w:r w:rsidR="00F15958">
        <w:rPr>
          <w:noProof/>
          <w:sz w:val="22"/>
          <w:szCs w:val="22"/>
          <w:lang w:val="en-US"/>
        </w:rPr>
        <w:t xml:space="preserve"> </w:t>
      </w:r>
      <w:r w:rsidR="002A2D90" w:rsidRPr="00C12A69">
        <w:rPr>
          <w:noProof/>
          <w:sz w:val="22"/>
          <w:szCs w:val="22"/>
          <w:lang w:val="en-US"/>
        </w:rPr>
        <w:t>2016</w:t>
      </w:r>
      <w:r w:rsidR="00F15958">
        <w:rPr>
          <w:noProof/>
          <w:sz w:val="22"/>
          <w:szCs w:val="22"/>
          <w:lang w:val="en-US"/>
        </w:rPr>
        <w:t>,</w:t>
      </w:r>
      <w:r w:rsidR="002A2D90" w:rsidRPr="00C12A69">
        <w:rPr>
          <w:noProof/>
          <w:sz w:val="22"/>
          <w:szCs w:val="22"/>
          <w:lang w:val="en-US"/>
        </w:rPr>
        <w:t xml:space="preserve"> </w:t>
      </w:r>
      <w:r w:rsidRPr="00EB278D">
        <w:rPr>
          <w:i/>
          <w:noProof/>
          <w:sz w:val="22"/>
          <w:szCs w:val="22"/>
          <w:lang w:val="en-US"/>
        </w:rPr>
        <w:t>Guidelines for Legionella Control in the operation and maintenance of water distribuiton systems in helath and aged care facilties</w:t>
      </w:r>
      <w:r w:rsidRPr="00EB278D">
        <w:rPr>
          <w:noProof/>
          <w:sz w:val="22"/>
          <w:szCs w:val="22"/>
          <w:lang w:val="en-US"/>
        </w:rPr>
        <w:t>.</w:t>
      </w:r>
      <w:r w:rsidR="00D156BA">
        <w:rPr>
          <w:noProof/>
          <w:sz w:val="22"/>
          <w:szCs w:val="22"/>
          <w:lang w:val="en-US"/>
        </w:rPr>
        <w:t xml:space="preserve"> Available from the</w:t>
      </w:r>
      <w:r w:rsidR="002A2D90">
        <w:rPr>
          <w:noProof/>
          <w:sz w:val="22"/>
          <w:szCs w:val="22"/>
          <w:lang w:val="en-US"/>
        </w:rPr>
        <w:t xml:space="preserve"> </w:t>
      </w:r>
      <w:hyperlink r:id="rId22" w:history="1">
        <w:r w:rsidR="00D156BA">
          <w:rPr>
            <w:rStyle w:val="Hyperlink"/>
            <w:noProof/>
            <w:szCs w:val="22"/>
            <w:lang w:val="en-US"/>
          </w:rPr>
          <w:t> SA Health website</w:t>
        </w:r>
      </w:hyperlink>
    </w:p>
    <w:p w14:paraId="56716D71" w14:textId="77777777" w:rsidR="00760E36" w:rsidRPr="00AC63A4" w:rsidRDefault="00760E36" w:rsidP="00AC63A4">
      <w:pPr>
        <w:pStyle w:val="FootnoteText"/>
        <w:numPr>
          <w:ilvl w:val="0"/>
          <w:numId w:val="27"/>
        </w:numPr>
        <w:spacing w:after="0"/>
        <w:rPr>
          <w:sz w:val="22"/>
          <w:szCs w:val="22"/>
        </w:rPr>
      </w:pPr>
      <w:r w:rsidRPr="00EB278D">
        <w:rPr>
          <w:sz w:val="22"/>
          <w:szCs w:val="22"/>
        </w:rPr>
        <w:t xml:space="preserve">Bartram J, Chartier Y, Lee JV, Pond K, Surman-Lee S </w:t>
      </w:r>
      <w:r w:rsidRPr="0043790F">
        <w:rPr>
          <w:sz w:val="22"/>
          <w:szCs w:val="22"/>
        </w:rPr>
        <w:t>2007</w:t>
      </w:r>
      <w:r>
        <w:rPr>
          <w:sz w:val="22"/>
          <w:szCs w:val="22"/>
        </w:rPr>
        <w:t xml:space="preserve">, </w:t>
      </w:r>
      <w:r w:rsidRPr="00EB278D">
        <w:rPr>
          <w:i/>
          <w:sz w:val="22"/>
          <w:szCs w:val="22"/>
        </w:rPr>
        <w:t>Legionella and the prevention of legionellosis</w:t>
      </w:r>
      <w:r w:rsidRPr="00EB278D">
        <w:rPr>
          <w:sz w:val="22"/>
          <w:szCs w:val="22"/>
        </w:rPr>
        <w:t>. World Health Organization</w:t>
      </w:r>
      <w:r>
        <w:rPr>
          <w:sz w:val="22"/>
          <w:szCs w:val="22"/>
        </w:rPr>
        <w:t>, Geneva.</w:t>
      </w:r>
    </w:p>
    <w:p w14:paraId="58806629" w14:textId="77777777" w:rsidR="00C84962" w:rsidRPr="00AC63A4" w:rsidRDefault="00A502A7" w:rsidP="00AC63A4">
      <w:pPr>
        <w:pStyle w:val="FootnoteText"/>
        <w:numPr>
          <w:ilvl w:val="0"/>
          <w:numId w:val="27"/>
        </w:numPr>
        <w:spacing w:after="0"/>
        <w:rPr>
          <w:sz w:val="22"/>
          <w:szCs w:val="22"/>
        </w:rPr>
      </w:pPr>
      <w:r w:rsidRPr="00EB278D">
        <w:rPr>
          <w:sz w:val="22"/>
          <w:szCs w:val="22"/>
        </w:rPr>
        <w:t>Fields BS, Benson RF, Besser RE</w:t>
      </w:r>
      <w:r w:rsidR="00E9412F">
        <w:rPr>
          <w:sz w:val="22"/>
          <w:szCs w:val="22"/>
        </w:rPr>
        <w:t xml:space="preserve"> 2002,</w:t>
      </w:r>
      <w:r w:rsidRPr="00EB278D">
        <w:rPr>
          <w:sz w:val="22"/>
          <w:szCs w:val="22"/>
        </w:rPr>
        <w:t xml:space="preserve"> </w:t>
      </w:r>
      <w:r w:rsidR="00E9412F">
        <w:rPr>
          <w:sz w:val="22"/>
          <w:szCs w:val="22"/>
        </w:rPr>
        <w:t>‘</w:t>
      </w:r>
      <w:r w:rsidRPr="00EB278D">
        <w:rPr>
          <w:sz w:val="22"/>
          <w:szCs w:val="22"/>
        </w:rPr>
        <w:t>Legionell</w:t>
      </w:r>
      <w:r w:rsidR="00030866">
        <w:rPr>
          <w:sz w:val="22"/>
          <w:szCs w:val="22"/>
        </w:rPr>
        <w:t>a and Legionnaires’ disease: 25 </w:t>
      </w:r>
      <w:r w:rsidRPr="00EB278D">
        <w:rPr>
          <w:sz w:val="22"/>
          <w:szCs w:val="22"/>
        </w:rPr>
        <w:t>years of investigation</w:t>
      </w:r>
      <w:r w:rsidR="00E9412F">
        <w:rPr>
          <w:sz w:val="22"/>
          <w:szCs w:val="22"/>
        </w:rPr>
        <w:t>’,</w:t>
      </w:r>
      <w:r w:rsidRPr="00EB278D">
        <w:rPr>
          <w:sz w:val="22"/>
          <w:szCs w:val="22"/>
        </w:rPr>
        <w:t xml:space="preserve"> </w:t>
      </w:r>
      <w:r w:rsidRPr="00EB278D">
        <w:rPr>
          <w:i/>
          <w:sz w:val="22"/>
          <w:szCs w:val="22"/>
        </w:rPr>
        <w:t xml:space="preserve">Clin </w:t>
      </w:r>
      <w:proofErr w:type="spellStart"/>
      <w:r w:rsidRPr="00EB278D">
        <w:rPr>
          <w:i/>
          <w:sz w:val="22"/>
          <w:szCs w:val="22"/>
        </w:rPr>
        <w:t>Microbiol</w:t>
      </w:r>
      <w:proofErr w:type="spellEnd"/>
      <w:r w:rsidRPr="00EB278D">
        <w:rPr>
          <w:i/>
          <w:sz w:val="22"/>
          <w:szCs w:val="22"/>
        </w:rPr>
        <w:t xml:space="preserve"> Rev</w:t>
      </w:r>
      <w:r w:rsidR="00E9412F">
        <w:rPr>
          <w:sz w:val="22"/>
          <w:szCs w:val="22"/>
        </w:rPr>
        <w:t xml:space="preserve">, vol. </w:t>
      </w:r>
      <w:r w:rsidRPr="00EB278D">
        <w:rPr>
          <w:sz w:val="22"/>
          <w:szCs w:val="22"/>
        </w:rPr>
        <w:t>15</w:t>
      </w:r>
      <w:r w:rsidR="00E9412F">
        <w:rPr>
          <w:sz w:val="22"/>
          <w:szCs w:val="22"/>
        </w:rPr>
        <w:t xml:space="preserve">, pp. </w:t>
      </w:r>
      <w:r w:rsidRPr="00EB278D">
        <w:rPr>
          <w:sz w:val="22"/>
          <w:szCs w:val="22"/>
        </w:rPr>
        <w:t xml:space="preserve">506–26. </w:t>
      </w:r>
    </w:p>
    <w:p w14:paraId="50DC1221" w14:textId="77777777" w:rsidR="00A502A7" w:rsidRPr="00AC63A4" w:rsidRDefault="00C84962" w:rsidP="00AC63A4">
      <w:pPr>
        <w:pStyle w:val="FootnoteText"/>
        <w:numPr>
          <w:ilvl w:val="0"/>
          <w:numId w:val="27"/>
        </w:numPr>
        <w:spacing w:after="0"/>
        <w:rPr>
          <w:sz w:val="22"/>
          <w:szCs w:val="22"/>
        </w:rPr>
      </w:pPr>
      <w:r w:rsidRPr="00EB278D">
        <w:rPr>
          <w:sz w:val="22"/>
          <w:szCs w:val="22"/>
        </w:rPr>
        <w:t>American Society of Heating</w:t>
      </w:r>
      <w:r w:rsidR="00E9412F">
        <w:rPr>
          <w:sz w:val="22"/>
          <w:szCs w:val="22"/>
        </w:rPr>
        <w:t xml:space="preserve"> 2000</w:t>
      </w:r>
      <w:r w:rsidRPr="00EB278D">
        <w:rPr>
          <w:sz w:val="22"/>
          <w:szCs w:val="22"/>
        </w:rPr>
        <w:t xml:space="preserve">, </w:t>
      </w:r>
      <w:r w:rsidRPr="00EB278D">
        <w:rPr>
          <w:i/>
          <w:sz w:val="22"/>
          <w:szCs w:val="22"/>
        </w:rPr>
        <w:t>Refrigerating and Air-conditioning Engineers. ASHRAE Guideline 12-2000. Minimising the risk of legionellosis associated with building water systems</w:t>
      </w:r>
      <w:r w:rsidRPr="00EB278D">
        <w:rPr>
          <w:sz w:val="22"/>
          <w:szCs w:val="22"/>
        </w:rPr>
        <w:t>. Available from</w:t>
      </w:r>
      <w:r w:rsidR="00C9683D">
        <w:rPr>
          <w:sz w:val="22"/>
          <w:szCs w:val="22"/>
        </w:rPr>
        <w:t xml:space="preserve"> </w:t>
      </w:r>
      <w:hyperlink r:id="rId23" w:history="1">
        <w:r w:rsidR="00C9683D" w:rsidRPr="00C9683D">
          <w:rPr>
            <w:rStyle w:val="Hyperlink"/>
            <w:szCs w:val="22"/>
          </w:rPr>
          <w:t>ASHRAE</w:t>
        </w:r>
      </w:hyperlink>
    </w:p>
    <w:p w14:paraId="25B050A9" w14:textId="77777777" w:rsidR="00A502A7" w:rsidRPr="00AC63A4" w:rsidRDefault="00C36B51" w:rsidP="00AC63A4">
      <w:pPr>
        <w:pStyle w:val="EndnoteText"/>
        <w:numPr>
          <w:ilvl w:val="0"/>
          <w:numId w:val="27"/>
        </w:numPr>
        <w:spacing w:after="0"/>
        <w:rPr>
          <w:sz w:val="22"/>
          <w:szCs w:val="22"/>
        </w:rPr>
      </w:pPr>
      <w:r>
        <w:rPr>
          <w:sz w:val="22"/>
          <w:szCs w:val="22"/>
        </w:rPr>
        <w:t>Bennett JE, Dolin R,</w:t>
      </w:r>
      <w:r w:rsidR="00A502A7" w:rsidRPr="00EB278D">
        <w:rPr>
          <w:sz w:val="22"/>
          <w:szCs w:val="22"/>
        </w:rPr>
        <w:t xml:space="preserve"> </w:t>
      </w:r>
      <w:proofErr w:type="gramStart"/>
      <w:r w:rsidR="00A502A7" w:rsidRPr="00EB278D">
        <w:rPr>
          <w:sz w:val="22"/>
          <w:szCs w:val="22"/>
        </w:rPr>
        <w:t>Blaser</w:t>
      </w:r>
      <w:r w:rsidR="00CF33E9" w:rsidRPr="00EB278D">
        <w:rPr>
          <w:sz w:val="22"/>
          <w:szCs w:val="22"/>
        </w:rPr>
        <w:t xml:space="preserve"> </w:t>
      </w:r>
      <w:r w:rsidR="00A502A7" w:rsidRPr="00EB278D">
        <w:rPr>
          <w:sz w:val="22"/>
          <w:szCs w:val="22"/>
        </w:rPr>
        <w:t xml:space="preserve"> MJ</w:t>
      </w:r>
      <w:proofErr w:type="gramEnd"/>
      <w:r w:rsidR="00F15958">
        <w:rPr>
          <w:sz w:val="22"/>
          <w:szCs w:val="22"/>
        </w:rPr>
        <w:t xml:space="preserve"> 2015</w:t>
      </w:r>
      <w:r w:rsidR="00E9412F">
        <w:rPr>
          <w:sz w:val="22"/>
          <w:szCs w:val="22"/>
        </w:rPr>
        <w:t>,</w:t>
      </w:r>
      <w:r w:rsidR="00A502A7" w:rsidRPr="00EB278D">
        <w:rPr>
          <w:sz w:val="22"/>
          <w:szCs w:val="22"/>
        </w:rPr>
        <w:t xml:space="preserve"> </w:t>
      </w:r>
      <w:r w:rsidR="00A502A7" w:rsidRPr="00EB278D">
        <w:rPr>
          <w:i/>
          <w:sz w:val="22"/>
          <w:szCs w:val="22"/>
        </w:rPr>
        <w:t xml:space="preserve">Mandell, Douglas, and Bennett's </w:t>
      </w:r>
      <w:r w:rsidR="006E7284" w:rsidRPr="00EB278D">
        <w:rPr>
          <w:i/>
          <w:sz w:val="22"/>
          <w:szCs w:val="22"/>
        </w:rPr>
        <w:t xml:space="preserve">Principles </w:t>
      </w:r>
      <w:r w:rsidR="00A502A7" w:rsidRPr="00EB278D">
        <w:rPr>
          <w:i/>
          <w:sz w:val="22"/>
          <w:szCs w:val="22"/>
        </w:rPr>
        <w:t>and practice of infectious diseases. Eighth ed.</w:t>
      </w:r>
      <w:r w:rsidR="00A502A7" w:rsidRPr="00EB278D">
        <w:rPr>
          <w:sz w:val="22"/>
          <w:szCs w:val="22"/>
        </w:rPr>
        <w:t xml:space="preserve"> Elsevier/Saunders</w:t>
      </w:r>
      <w:r w:rsidR="00F15958">
        <w:rPr>
          <w:sz w:val="22"/>
          <w:szCs w:val="22"/>
        </w:rPr>
        <w:t xml:space="preserve">, </w:t>
      </w:r>
      <w:r w:rsidR="00F15958" w:rsidRPr="00400757">
        <w:rPr>
          <w:sz w:val="22"/>
          <w:szCs w:val="22"/>
        </w:rPr>
        <w:t>Philadelphia, PA</w:t>
      </w:r>
      <w:r w:rsidR="00A502A7" w:rsidRPr="00EB278D">
        <w:rPr>
          <w:sz w:val="22"/>
          <w:szCs w:val="22"/>
        </w:rPr>
        <w:t xml:space="preserve">. </w:t>
      </w:r>
    </w:p>
    <w:p w14:paraId="7813209C" w14:textId="77777777" w:rsidR="00A502A7" w:rsidRPr="00AC63A4" w:rsidRDefault="00A502A7" w:rsidP="00AC63A4">
      <w:pPr>
        <w:pStyle w:val="FootnoteText"/>
        <w:numPr>
          <w:ilvl w:val="0"/>
          <w:numId w:val="27"/>
        </w:numPr>
        <w:spacing w:after="0"/>
        <w:rPr>
          <w:rFonts w:cs="Arial"/>
          <w:sz w:val="22"/>
          <w:szCs w:val="22"/>
        </w:rPr>
      </w:pPr>
      <w:proofErr w:type="spellStart"/>
      <w:r w:rsidRPr="006C1EA7">
        <w:rPr>
          <w:rStyle w:val="surname"/>
          <w:rFonts w:cs="Arial"/>
          <w:sz w:val="22"/>
          <w:szCs w:val="22"/>
        </w:rPr>
        <w:t>Marrie</w:t>
      </w:r>
      <w:r w:rsidRPr="006C1EA7">
        <w:rPr>
          <w:rStyle w:val="given-name"/>
          <w:rFonts w:cs="Arial"/>
          <w:sz w:val="22"/>
          <w:szCs w:val="22"/>
        </w:rPr>
        <w:t>TJ</w:t>
      </w:r>
      <w:proofErr w:type="spellEnd"/>
      <w:r w:rsidRPr="006C1EA7">
        <w:rPr>
          <w:rStyle w:val="authors"/>
          <w:rFonts w:cs="Arial"/>
          <w:sz w:val="22"/>
          <w:szCs w:val="22"/>
        </w:rPr>
        <w:t xml:space="preserve">, </w:t>
      </w:r>
      <w:r w:rsidRPr="006C1EA7">
        <w:rPr>
          <w:rStyle w:val="surname"/>
          <w:rFonts w:cs="Arial"/>
          <w:sz w:val="22"/>
          <w:szCs w:val="22"/>
        </w:rPr>
        <w:t>Haldane</w:t>
      </w:r>
      <w:r w:rsidR="006E7284" w:rsidRPr="006C1EA7">
        <w:rPr>
          <w:rStyle w:val="surname"/>
          <w:rFonts w:cs="Arial"/>
          <w:sz w:val="22"/>
          <w:szCs w:val="22"/>
        </w:rPr>
        <w:t xml:space="preserve"> </w:t>
      </w:r>
      <w:r w:rsidRPr="006C1EA7">
        <w:rPr>
          <w:rStyle w:val="given-name"/>
          <w:rFonts w:cs="Arial"/>
          <w:sz w:val="22"/>
          <w:szCs w:val="22"/>
        </w:rPr>
        <w:t>D</w:t>
      </w:r>
      <w:r w:rsidRPr="006C1EA7">
        <w:rPr>
          <w:rStyle w:val="authors"/>
          <w:rFonts w:cs="Arial"/>
          <w:sz w:val="22"/>
          <w:szCs w:val="22"/>
        </w:rPr>
        <w:t xml:space="preserve">, </w:t>
      </w:r>
      <w:r w:rsidRPr="006C1EA7">
        <w:rPr>
          <w:rStyle w:val="surname"/>
          <w:rFonts w:cs="Arial"/>
          <w:sz w:val="22"/>
          <w:szCs w:val="22"/>
        </w:rPr>
        <w:t>MacDonald</w:t>
      </w:r>
      <w:r w:rsidR="00CF33E9" w:rsidRPr="006C1EA7">
        <w:rPr>
          <w:rStyle w:val="surname"/>
          <w:rFonts w:cs="Arial"/>
          <w:sz w:val="22"/>
          <w:szCs w:val="22"/>
        </w:rPr>
        <w:t xml:space="preserve"> </w:t>
      </w:r>
      <w:r w:rsidRPr="006C1EA7">
        <w:rPr>
          <w:rStyle w:val="given-name"/>
          <w:rFonts w:cs="Arial"/>
          <w:sz w:val="22"/>
          <w:szCs w:val="22"/>
        </w:rPr>
        <w:t>S</w:t>
      </w:r>
      <w:r w:rsidRPr="006C1EA7">
        <w:rPr>
          <w:rStyle w:val="authors"/>
          <w:rFonts w:cs="Arial"/>
          <w:sz w:val="22"/>
          <w:szCs w:val="22"/>
        </w:rPr>
        <w:t>, et al</w:t>
      </w:r>
      <w:r w:rsidR="00497215">
        <w:rPr>
          <w:rStyle w:val="authors"/>
          <w:rFonts w:cs="Arial"/>
          <w:sz w:val="22"/>
          <w:szCs w:val="22"/>
        </w:rPr>
        <w:t>.</w:t>
      </w:r>
      <w:r w:rsidR="00E9412F">
        <w:rPr>
          <w:rStyle w:val="authors"/>
          <w:rFonts w:cs="Arial"/>
          <w:sz w:val="22"/>
          <w:szCs w:val="22"/>
        </w:rPr>
        <w:t xml:space="preserve"> 1991,</w:t>
      </w:r>
      <w:r w:rsidRPr="006C1EA7">
        <w:rPr>
          <w:rStyle w:val="contribution"/>
          <w:rFonts w:cs="Arial"/>
          <w:sz w:val="22"/>
          <w:szCs w:val="22"/>
        </w:rPr>
        <w:t xml:space="preserve"> </w:t>
      </w:r>
      <w:r w:rsidR="00E9412F">
        <w:rPr>
          <w:rStyle w:val="contribution"/>
          <w:rFonts w:cs="Arial"/>
          <w:sz w:val="22"/>
          <w:szCs w:val="22"/>
        </w:rPr>
        <w:t>‘</w:t>
      </w:r>
      <w:r w:rsidRPr="006C1EA7">
        <w:rPr>
          <w:rStyle w:val="maintitle"/>
          <w:rFonts w:cs="Arial"/>
          <w:sz w:val="22"/>
          <w:szCs w:val="22"/>
        </w:rPr>
        <w:t xml:space="preserve">Control of endemic nosocomial legionnaires’ disease by using sterile potable water for </w:t>
      </w:r>
      <w:proofErr w:type="gramStart"/>
      <w:r w:rsidRPr="006C1EA7">
        <w:rPr>
          <w:rStyle w:val="maintitle"/>
          <w:rFonts w:cs="Arial"/>
          <w:sz w:val="22"/>
          <w:szCs w:val="22"/>
        </w:rPr>
        <w:t>high risk</w:t>
      </w:r>
      <w:proofErr w:type="gramEnd"/>
      <w:r w:rsidRPr="006C1EA7">
        <w:rPr>
          <w:rStyle w:val="maintitle"/>
          <w:rFonts w:cs="Arial"/>
          <w:sz w:val="22"/>
          <w:szCs w:val="22"/>
        </w:rPr>
        <w:t xml:space="preserve"> patients</w:t>
      </w:r>
      <w:r w:rsidR="00E9412F">
        <w:rPr>
          <w:rStyle w:val="maintitle"/>
          <w:rFonts w:cs="Arial"/>
          <w:sz w:val="22"/>
          <w:szCs w:val="22"/>
        </w:rPr>
        <w:t xml:space="preserve">’, </w:t>
      </w:r>
      <w:r w:rsidRPr="006C1EA7">
        <w:rPr>
          <w:rStyle w:val="maintitle"/>
          <w:rFonts w:cs="Arial"/>
          <w:i/>
          <w:sz w:val="22"/>
          <w:szCs w:val="22"/>
        </w:rPr>
        <w:t>Epidemiol Infect</w:t>
      </w:r>
      <w:r w:rsidR="00E9412F">
        <w:rPr>
          <w:rStyle w:val="maintitle"/>
          <w:rFonts w:cs="Arial"/>
          <w:i/>
          <w:sz w:val="22"/>
          <w:szCs w:val="22"/>
        </w:rPr>
        <w:t>,</w:t>
      </w:r>
      <w:r w:rsidR="00E9412F">
        <w:rPr>
          <w:rStyle w:val="Date1"/>
          <w:rFonts w:cs="Arial"/>
          <w:sz w:val="22"/>
          <w:szCs w:val="22"/>
        </w:rPr>
        <w:t xml:space="preserve"> vol.</w:t>
      </w:r>
      <w:r w:rsidRPr="006C1EA7">
        <w:rPr>
          <w:rStyle w:val="volume-nr"/>
          <w:rFonts w:cs="Arial"/>
          <w:sz w:val="22"/>
          <w:szCs w:val="22"/>
        </w:rPr>
        <w:t>107</w:t>
      </w:r>
      <w:r w:rsidR="00E9412F">
        <w:rPr>
          <w:rStyle w:val="volume-nr"/>
          <w:rFonts w:cs="Arial"/>
          <w:sz w:val="22"/>
          <w:szCs w:val="22"/>
        </w:rPr>
        <w:t>, pp.</w:t>
      </w:r>
      <w:r w:rsidR="00E9412F">
        <w:rPr>
          <w:rStyle w:val="series"/>
          <w:rFonts w:cs="Arial"/>
          <w:sz w:val="22"/>
          <w:szCs w:val="22"/>
        </w:rPr>
        <w:t xml:space="preserve"> </w:t>
      </w:r>
      <w:r w:rsidRPr="006C1EA7">
        <w:rPr>
          <w:rStyle w:val="first-page"/>
          <w:rFonts w:cs="Arial"/>
          <w:sz w:val="22"/>
          <w:szCs w:val="22"/>
        </w:rPr>
        <w:t>591</w:t>
      </w:r>
      <w:r w:rsidRPr="006C1EA7">
        <w:rPr>
          <w:rStyle w:val="pages"/>
          <w:rFonts w:cs="Arial"/>
          <w:sz w:val="22"/>
          <w:szCs w:val="22"/>
        </w:rPr>
        <w:t>-</w:t>
      </w:r>
      <w:r w:rsidRPr="006C1EA7">
        <w:rPr>
          <w:rStyle w:val="last-page"/>
          <w:rFonts w:cs="Arial"/>
          <w:sz w:val="22"/>
          <w:szCs w:val="22"/>
        </w:rPr>
        <w:t>605.</w:t>
      </w:r>
    </w:p>
    <w:p w14:paraId="10D6E9E0" w14:textId="77777777" w:rsidR="00A502A7" w:rsidRPr="00AC63A4" w:rsidRDefault="00A502A7" w:rsidP="00AC63A4">
      <w:pPr>
        <w:pStyle w:val="EndnoteText"/>
        <w:numPr>
          <w:ilvl w:val="0"/>
          <w:numId w:val="27"/>
        </w:numPr>
        <w:spacing w:after="0"/>
        <w:rPr>
          <w:rFonts w:cs="Arial"/>
          <w:sz w:val="22"/>
          <w:szCs w:val="22"/>
        </w:rPr>
      </w:pPr>
      <w:r w:rsidRPr="006C1EA7">
        <w:rPr>
          <w:rStyle w:val="surname"/>
          <w:rFonts w:cs="Arial"/>
          <w:sz w:val="22"/>
          <w:szCs w:val="22"/>
        </w:rPr>
        <w:t>Blatt</w:t>
      </w:r>
      <w:r w:rsidR="006E7284" w:rsidRPr="006C1EA7">
        <w:rPr>
          <w:rStyle w:val="surname"/>
          <w:rFonts w:cs="Arial"/>
          <w:sz w:val="22"/>
          <w:szCs w:val="22"/>
        </w:rPr>
        <w:t xml:space="preserve"> </w:t>
      </w:r>
      <w:r w:rsidRPr="006C1EA7">
        <w:rPr>
          <w:rStyle w:val="given-name"/>
          <w:rFonts w:cs="Arial"/>
          <w:sz w:val="22"/>
          <w:szCs w:val="22"/>
        </w:rPr>
        <w:t>SP</w:t>
      </w:r>
      <w:r w:rsidRPr="006C1EA7">
        <w:rPr>
          <w:rStyle w:val="authors"/>
          <w:rFonts w:cs="Arial"/>
          <w:sz w:val="22"/>
          <w:szCs w:val="22"/>
        </w:rPr>
        <w:t xml:space="preserve">, </w:t>
      </w:r>
      <w:r w:rsidRPr="006C1EA7">
        <w:rPr>
          <w:rStyle w:val="surname"/>
          <w:rFonts w:cs="Arial"/>
          <w:sz w:val="22"/>
          <w:szCs w:val="22"/>
        </w:rPr>
        <w:t>Parkinson</w:t>
      </w:r>
      <w:r w:rsidR="006E7284" w:rsidRPr="006C1EA7">
        <w:rPr>
          <w:rStyle w:val="surname"/>
          <w:rFonts w:cs="Arial"/>
          <w:sz w:val="22"/>
          <w:szCs w:val="22"/>
        </w:rPr>
        <w:t xml:space="preserve"> </w:t>
      </w:r>
      <w:r w:rsidRPr="006C1EA7">
        <w:rPr>
          <w:rStyle w:val="given-name"/>
          <w:rFonts w:cs="Arial"/>
          <w:sz w:val="22"/>
          <w:szCs w:val="22"/>
        </w:rPr>
        <w:t>MD</w:t>
      </w:r>
      <w:r w:rsidRPr="006C1EA7">
        <w:rPr>
          <w:rStyle w:val="authors"/>
          <w:rFonts w:cs="Arial"/>
          <w:sz w:val="22"/>
          <w:szCs w:val="22"/>
        </w:rPr>
        <w:t xml:space="preserve">, </w:t>
      </w:r>
      <w:r w:rsidRPr="006C1EA7">
        <w:rPr>
          <w:rStyle w:val="surname"/>
          <w:rFonts w:cs="Arial"/>
          <w:sz w:val="22"/>
          <w:szCs w:val="22"/>
        </w:rPr>
        <w:t>Pace</w:t>
      </w:r>
      <w:r w:rsidR="006E7284" w:rsidRPr="006C1EA7">
        <w:rPr>
          <w:rStyle w:val="surname"/>
          <w:rFonts w:cs="Arial"/>
          <w:sz w:val="22"/>
          <w:szCs w:val="22"/>
        </w:rPr>
        <w:t xml:space="preserve"> </w:t>
      </w:r>
      <w:r w:rsidRPr="006C1EA7">
        <w:rPr>
          <w:rStyle w:val="given-name"/>
          <w:rFonts w:cs="Arial"/>
          <w:sz w:val="22"/>
          <w:szCs w:val="22"/>
        </w:rPr>
        <w:t>E</w:t>
      </w:r>
      <w:r w:rsidRPr="006C1EA7">
        <w:rPr>
          <w:rStyle w:val="authors"/>
          <w:rFonts w:cs="Arial"/>
          <w:sz w:val="22"/>
          <w:szCs w:val="22"/>
        </w:rPr>
        <w:t>, et al</w:t>
      </w:r>
      <w:r w:rsidR="00497215">
        <w:rPr>
          <w:rStyle w:val="authors"/>
          <w:rFonts w:cs="Arial"/>
          <w:sz w:val="22"/>
          <w:szCs w:val="22"/>
        </w:rPr>
        <w:t>.</w:t>
      </w:r>
      <w:r w:rsidR="00E9412F">
        <w:rPr>
          <w:rStyle w:val="authors"/>
          <w:rFonts w:cs="Arial"/>
          <w:sz w:val="22"/>
          <w:szCs w:val="22"/>
        </w:rPr>
        <w:t xml:space="preserve"> 1993,</w:t>
      </w:r>
      <w:r w:rsidRPr="006C1EA7">
        <w:rPr>
          <w:rStyle w:val="contribution"/>
          <w:rFonts w:cs="Arial"/>
          <w:sz w:val="22"/>
          <w:szCs w:val="22"/>
        </w:rPr>
        <w:t xml:space="preserve"> </w:t>
      </w:r>
      <w:r w:rsidR="00E9412F">
        <w:rPr>
          <w:rStyle w:val="contribution"/>
          <w:rFonts w:cs="Arial"/>
          <w:sz w:val="22"/>
          <w:szCs w:val="22"/>
        </w:rPr>
        <w:t>‘</w:t>
      </w:r>
      <w:r w:rsidRPr="006C1EA7">
        <w:rPr>
          <w:rStyle w:val="maintitle"/>
          <w:rFonts w:cs="Arial"/>
          <w:sz w:val="22"/>
          <w:szCs w:val="22"/>
        </w:rPr>
        <w:t>Nosocomial legionnaires’ disease: aspiration as a primary mode of disease acquisition</w:t>
      </w:r>
      <w:r w:rsidR="00E9412F">
        <w:rPr>
          <w:rStyle w:val="maintitle"/>
          <w:rFonts w:cs="Arial"/>
          <w:sz w:val="22"/>
          <w:szCs w:val="22"/>
        </w:rPr>
        <w:t xml:space="preserve">’, </w:t>
      </w:r>
      <w:r w:rsidRPr="006C1EA7">
        <w:rPr>
          <w:rStyle w:val="maintitle"/>
          <w:rFonts w:cs="Arial"/>
          <w:i/>
          <w:sz w:val="22"/>
          <w:szCs w:val="22"/>
        </w:rPr>
        <w:t>Am J Med</w:t>
      </w:r>
      <w:r w:rsidR="00E9412F">
        <w:rPr>
          <w:rStyle w:val="maintitle"/>
          <w:rFonts w:cs="Arial"/>
          <w:i/>
          <w:sz w:val="22"/>
          <w:szCs w:val="22"/>
        </w:rPr>
        <w:t>,</w:t>
      </w:r>
      <w:r w:rsidR="00E9412F">
        <w:rPr>
          <w:rStyle w:val="Date1"/>
          <w:rFonts w:cs="Arial"/>
          <w:sz w:val="22"/>
          <w:szCs w:val="22"/>
        </w:rPr>
        <w:t xml:space="preserve"> vol.</w:t>
      </w:r>
      <w:r w:rsidRPr="006C1EA7">
        <w:rPr>
          <w:rStyle w:val="Date1"/>
          <w:rFonts w:cs="Arial"/>
          <w:sz w:val="22"/>
          <w:szCs w:val="22"/>
        </w:rPr>
        <w:t xml:space="preserve"> </w:t>
      </w:r>
      <w:r w:rsidRPr="006C1EA7">
        <w:rPr>
          <w:rStyle w:val="volume-nr"/>
          <w:rFonts w:cs="Arial"/>
          <w:sz w:val="22"/>
          <w:szCs w:val="22"/>
        </w:rPr>
        <w:t>95</w:t>
      </w:r>
      <w:r w:rsidR="00E9412F">
        <w:rPr>
          <w:rStyle w:val="volume-nr"/>
          <w:rFonts w:cs="Arial"/>
          <w:sz w:val="22"/>
          <w:szCs w:val="22"/>
        </w:rPr>
        <w:t>, pp.</w:t>
      </w:r>
      <w:r w:rsidR="00E9412F">
        <w:rPr>
          <w:rStyle w:val="series"/>
          <w:rFonts w:cs="Arial"/>
          <w:sz w:val="22"/>
          <w:szCs w:val="22"/>
        </w:rPr>
        <w:t xml:space="preserve"> </w:t>
      </w:r>
      <w:r w:rsidRPr="006C1EA7">
        <w:rPr>
          <w:rStyle w:val="first-page"/>
          <w:rFonts w:cs="Arial"/>
          <w:sz w:val="22"/>
          <w:szCs w:val="22"/>
        </w:rPr>
        <w:t>16</w:t>
      </w:r>
      <w:r w:rsidRPr="006C1EA7">
        <w:rPr>
          <w:rStyle w:val="pages"/>
          <w:rFonts w:cs="Arial"/>
          <w:sz w:val="22"/>
          <w:szCs w:val="22"/>
        </w:rPr>
        <w:t>-</w:t>
      </w:r>
      <w:r w:rsidRPr="006C1EA7">
        <w:rPr>
          <w:rStyle w:val="last-page"/>
          <w:rFonts w:cs="Arial"/>
          <w:sz w:val="22"/>
          <w:szCs w:val="22"/>
        </w:rPr>
        <w:t>22.</w:t>
      </w:r>
    </w:p>
    <w:p w14:paraId="1FD6EAC1" w14:textId="77777777" w:rsidR="00A502A7" w:rsidRPr="00AC63A4" w:rsidRDefault="00A502A7" w:rsidP="00AC63A4">
      <w:pPr>
        <w:pStyle w:val="FootnoteText"/>
        <w:numPr>
          <w:ilvl w:val="0"/>
          <w:numId w:val="27"/>
        </w:numPr>
        <w:spacing w:after="0"/>
        <w:rPr>
          <w:rFonts w:cs="Arial"/>
          <w:sz w:val="22"/>
          <w:szCs w:val="22"/>
        </w:rPr>
      </w:pPr>
      <w:proofErr w:type="spellStart"/>
      <w:r w:rsidRPr="006C1EA7">
        <w:rPr>
          <w:rStyle w:val="surname"/>
          <w:rFonts w:cs="Arial"/>
          <w:sz w:val="22"/>
          <w:szCs w:val="22"/>
        </w:rPr>
        <w:t>Dournon</w:t>
      </w:r>
      <w:proofErr w:type="spellEnd"/>
      <w:r w:rsidR="006E7284" w:rsidRPr="006C1EA7">
        <w:rPr>
          <w:rStyle w:val="surname"/>
          <w:rFonts w:cs="Arial"/>
          <w:sz w:val="22"/>
          <w:szCs w:val="22"/>
        </w:rPr>
        <w:t xml:space="preserve"> </w:t>
      </w:r>
      <w:r w:rsidRPr="006C1EA7">
        <w:rPr>
          <w:rStyle w:val="given-name"/>
          <w:rFonts w:cs="Arial"/>
          <w:sz w:val="22"/>
          <w:szCs w:val="22"/>
        </w:rPr>
        <w:t>E</w:t>
      </w:r>
      <w:r w:rsidRPr="006C1EA7">
        <w:rPr>
          <w:rStyle w:val="authors"/>
          <w:rFonts w:cs="Arial"/>
          <w:sz w:val="22"/>
          <w:szCs w:val="22"/>
        </w:rPr>
        <w:t xml:space="preserve">, </w:t>
      </w:r>
      <w:r w:rsidRPr="006C1EA7">
        <w:rPr>
          <w:rStyle w:val="surname"/>
          <w:rFonts w:cs="Arial"/>
          <w:sz w:val="22"/>
          <w:szCs w:val="22"/>
        </w:rPr>
        <w:t>Bure</w:t>
      </w:r>
      <w:r w:rsidR="006E7284" w:rsidRPr="006C1EA7">
        <w:rPr>
          <w:rStyle w:val="surname"/>
          <w:rFonts w:cs="Arial"/>
          <w:sz w:val="22"/>
          <w:szCs w:val="22"/>
        </w:rPr>
        <w:t xml:space="preserve"> </w:t>
      </w:r>
      <w:r w:rsidRPr="006C1EA7">
        <w:rPr>
          <w:rStyle w:val="given-name"/>
          <w:rFonts w:cs="Arial"/>
          <w:sz w:val="22"/>
          <w:szCs w:val="22"/>
        </w:rPr>
        <w:t>A</w:t>
      </w:r>
      <w:r w:rsidRPr="006C1EA7">
        <w:rPr>
          <w:rStyle w:val="authors"/>
          <w:rFonts w:cs="Arial"/>
          <w:sz w:val="22"/>
          <w:szCs w:val="22"/>
        </w:rPr>
        <w:t xml:space="preserve">, </w:t>
      </w:r>
      <w:proofErr w:type="spellStart"/>
      <w:r w:rsidRPr="006C1EA7">
        <w:rPr>
          <w:rStyle w:val="surname"/>
          <w:rFonts w:cs="Arial"/>
          <w:sz w:val="22"/>
          <w:szCs w:val="22"/>
        </w:rPr>
        <w:t>Desplaces</w:t>
      </w:r>
      <w:proofErr w:type="spellEnd"/>
      <w:r w:rsidR="006E7284" w:rsidRPr="006C1EA7">
        <w:rPr>
          <w:rStyle w:val="surname"/>
          <w:rFonts w:cs="Arial"/>
          <w:sz w:val="22"/>
          <w:szCs w:val="22"/>
        </w:rPr>
        <w:t xml:space="preserve"> </w:t>
      </w:r>
      <w:r w:rsidRPr="006C1EA7">
        <w:rPr>
          <w:rStyle w:val="given-name"/>
          <w:rFonts w:cs="Arial"/>
          <w:sz w:val="22"/>
          <w:szCs w:val="22"/>
        </w:rPr>
        <w:t>N</w:t>
      </w:r>
      <w:r w:rsidRPr="006C1EA7">
        <w:rPr>
          <w:rStyle w:val="authors"/>
          <w:rFonts w:cs="Arial"/>
          <w:sz w:val="22"/>
          <w:szCs w:val="22"/>
        </w:rPr>
        <w:t>, et al.</w:t>
      </w:r>
      <w:r w:rsidR="006E7284" w:rsidRPr="006C1EA7">
        <w:rPr>
          <w:rStyle w:val="authors"/>
          <w:rFonts w:cs="Arial"/>
          <w:sz w:val="22"/>
          <w:szCs w:val="22"/>
        </w:rPr>
        <w:t xml:space="preserve"> </w:t>
      </w:r>
      <w:r w:rsidRPr="006C1EA7">
        <w:rPr>
          <w:rStyle w:val="maintitle"/>
          <w:rFonts w:cs="Arial"/>
          <w:sz w:val="22"/>
          <w:szCs w:val="22"/>
        </w:rPr>
        <w:t xml:space="preserve">Legionnaires’ disease related to gastric lavage with tap </w:t>
      </w:r>
      <w:proofErr w:type="gramStart"/>
      <w:r w:rsidRPr="006C1EA7">
        <w:rPr>
          <w:rStyle w:val="maintitle"/>
          <w:rFonts w:cs="Arial"/>
          <w:sz w:val="22"/>
          <w:szCs w:val="22"/>
        </w:rPr>
        <w:t>water.</w:t>
      </w:r>
      <w:r w:rsidRPr="006C1EA7">
        <w:rPr>
          <w:rStyle w:val="maintitle"/>
          <w:rFonts w:cs="Arial"/>
          <w:i/>
          <w:sz w:val="22"/>
          <w:szCs w:val="22"/>
        </w:rPr>
        <w:t>Lancet</w:t>
      </w:r>
      <w:proofErr w:type="gramEnd"/>
      <w:r w:rsidRPr="006C1EA7">
        <w:rPr>
          <w:rStyle w:val="maintitle"/>
          <w:rFonts w:cs="Arial"/>
          <w:sz w:val="22"/>
          <w:szCs w:val="22"/>
        </w:rPr>
        <w:t>.</w:t>
      </w:r>
      <w:r w:rsidRPr="006C1EA7">
        <w:rPr>
          <w:rStyle w:val="Date1"/>
          <w:rFonts w:cs="Arial"/>
          <w:sz w:val="22"/>
          <w:szCs w:val="22"/>
        </w:rPr>
        <w:t xml:space="preserve">1982; </w:t>
      </w:r>
      <w:r w:rsidRPr="006C1EA7">
        <w:rPr>
          <w:rStyle w:val="volume-nr"/>
          <w:rFonts w:cs="Arial"/>
          <w:sz w:val="22"/>
          <w:szCs w:val="22"/>
        </w:rPr>
        <w:t>1</w:t>
      </w:r>
      <w:r w:rsidRPr="006C1EA7">
        <w:rPr>
          <w:rStyle w:val="series"/>
          <w:rFonts w:cs="Arial"/>
          <w:sz w:val="22"/>
          <w:szCs w:val="22"/>
        </w:rPr>
        <w:t>:</w:t>
      </w:r>
      <w:r w:rsidRPr="006C1EA7">
        <w:rPr>
          <w:rStyle w:val="first-page"/>
          <w:rFonts w:cs="Arial"/>
          <w:sz w:val="22"/>
          <w:szCs w:val="22"/>
        </w:rPr>
        <w:t>797</w:t>
      </w:r>
      <w:r w:rsidRPr="006C1EA7">
        <w:rPr>
          <w:rStyle w:val="pages"/>
          <w:rFonts w:cs="Arial"/>
          <w:sz w:val="22"/>
          <w:szCs w:val="22"/>
        </w:rPr>
        <w:t>-</w:t>
      </w:r>
      <w:r w:rsidRPr="006C1EA7">
        <w:rPr>
          <w:rStyle w:val="last-page"/>
          <w:rFonts w:cs="Arial"/>
          <w:sz w:val="22"/>
          <w:szCs w:val="22"/>
        </w:rPr>
        <w:t>798.</w:t>
      </w:r>
    </w:p>
    <w:p w14:paraId="12F8A051" w14:textId="77777777" w:rsidR="00A502A7" w:rsidRPr="00AC63A4" w:rsidRDefault="00A502A7" w:rsidP="00AC63A4">
      <w:pPr>
        <w:pStyle w:val="FootnoteText"/>
        <w:numPr>
          <w:ilvl w:val="0"/>
          <w:numId w:val="27"/>
        </w:numPr>
        <w:spacing w:after="0"/>
        <w:rPr>
          <w:sz w:val="22"/>
          <w:szCs w:val="22"/>
        </w:rPr>
      </w:pPr>
      <w:proofErr w:type="gramStart"/>
      <w:r w:rsidRPr="00EB278D">
        <w:rPr>
          <w:sz w:val="22"/>
          <w:szCs w:val="22"/>
        </w:rPr>
        <w:t>O’Connor</w:t>
      </w:r>
      <w:r w:rsidR="006E7284" w:rsidRPr="00EB278D">
        <w:rPr>
          <w:sz w:val="22"/>
          <w:szCs w:val="22"/>
        </w:rPr>
        <w:t xml:space="preserve"> </w:t>
      </w:r>
      <w:r w:rsidRPr="00EB278D">
        <w:rPr>
          <w:sz w:val="22"/>
          <w:szCs w:val="22"/>
        </w:rPr>
        <w:t xml:space="preserve"> BA</w:t>
      </w:r>
      <w:proofErr w:type="gramEnd"/>
      <w:r w:rsidRPr="00EB278D">
        <w:rPr>
          <w:sz w:val="22"/>
          <w:szCs w:val="22"/>
        </w:rPr>
        <w:t xml:space="preserve">, Carman J, Eckert K, Tucker G, </w:t>
      </w:r>
      <w:proofErr w:type="spellStart"/>
      <w:r w:rsidRPr="00EB278D">
        <w:rPr>
          <w:sz w:val="22"/>
          <w:szCs w:val="22"/>
        </w:rPr>
        <w:t>Givney</w:t>
      </w:r>
      <w:proofErr w:type="spellEnd"/>
      <w:r w:rsidRPr="00EB278D">
        <w:rPr>
          <w:sz w:val="22"/>
          <w:szCs w:val="22"/>
        </w:rPr>
        <w:t xml:space="preserve"> R, Cameron S</w:t>
      </w:r>
      <w:r w:rsidR="00E9412F">
        <w:rPr>
          <w:sz w:val="22"/>
          <w:szCs w:val="22"/>
        </w:rPr>
        <w:t xml:space="preserve"> 2007,</w:t>
      </w:r>
      <w:r w:rsidRPr="00EB278D">
        <w:rPr>
          <w:sz w:val="22"/>
          <w:szCs w:val="22"/>
        </w:rPr>
        <w:t xml:space="preserve"> </w:t>
      </w:r>
      <w:r w:rsidR="00E9412F">
        <w:rPr>
          <w:sz w:val="22"/>
          <w:szCs w:val="22"/>
        </w:rPr>
        <w:t>‘</w:t>
      </w:r>
      <w:r w:rsidRPr="00EB278D">
        <w:rPr>
          <w:sz w:val="22"/>
          <w:szCs w:val="22"/>
        </w:rPr>
        <w:t xml:space="preserve">Does using potting mix make you sick? Results from a </w:t>
      </w:r>
      <w:r w:rsidRPr="00EB278D">
        <w:rPr>
          <w:iCs/>
          <w:sz w:val="22"/>
          <w:szCs w:val="22"/>
        </w:rPr>
        <w:t xml:space="preserve">Legionella </w:t>
      </w:r>
      <w:proofErr w:type="spellStart"/>
      <w:r w:rsidRPr="00EB278D">
        <w:rPr>
          <w:iCs/>
          <w:sz w:val="22"/>
          <w:szCs w:val="22"/>
        </w:rPr>
        <w:t>longbeachae</w:t>
      </w:r>
      <w:proofErr w:type="spellEnd"/>
      <w:r w:rsidRPr="00EB278D">
        <w:rPr>
          <w:sz w:val="22"/>
          <w:szCs w:val="22"/>
        </w:rPr>
        <w:t xml:space="preserve"> case-control study in South Australia</w:t>
      </w:r>
      <w:r w:rsidR="00E9412F">
        <w:rPr>
          <w:sz w:val="22"/>
          <w:szCs w:val="22"/>
        </w:rPr>
        <w:t>’,</w:t>
      </w:r>
      <w:r w:rsidRPr="00EB278D">
        <w:rPr>
          <w:sz w:val="22"/>
          <w:szCs w:val="22"/>
        </w:rPr>
        <w:t xml:space="preserve"> </w:t>
      </w:r>
      <w:r w:rsidRPr="00EB278D">
        <w:rPr>
          <w:i/>
          <w:iCs/>
          <w:sz w:val="22"/>
          <w:szCs w:val="22"/>
        </w:rPr>
        <w:t>Epidemiology and Infection</w:t>
      </w:r>
      <w:r w:rsidR="00E9412F">
        <w:rPr>
          <w:i/>
          <w:iCs/>
          <w:sz w:val="22"/>
          <w:szCs w:val="22"/>
        </w:rPr>
        <w:t xml:space="preserve">, </w:t>
      </w:r>
      <w:r w:rsidR="00E9412F">
        <w:rPr>
          <w:sz w:val="22"/>
          <w:szCs w:val="22"/>
        </w:rPr>
        <w:t xml:space="preserve">vol. </w:t>
      </w:r>
      <w:r w:rsidRPr="00EB278D">
        <w:rPr>
          <w:iCs/>
          <w:sz w:val="22"/>
          <w:szCs w:val="22"/>
        </w:rPr>
        <w:t>135</w:t>
      </w:r>
      <w:r w:rsidR="00E9412F">
        <w:rPr>
          <w:iCs/>
          <w:sz w:val="22"/>
          <w:szCs w:val="22"/>
        </w:rPr>
        <w:t xml:space="preserve">, no. </w:t>
      </w:r>
      <w:r w:rsidRPr="00EB278D">
        <w:rPr>
          <w:sz w:val="22"/>
          <w:szCs w:val="22"/>
        </w:rPr>
        <w:t>1</w:t>
      </w:r>
      <w:r w:rsidR="00E9412F">
        <w:rPr>
          <w:sz w:val="22"/>
          <w:szCs w:val="22"/>
        </w:rPr>
        <w:t xml:space="preserve">, pp. </w:t>
      </w:r>
      <w:r w:rsidRPr="00EB278D">
        <w:rPr>
          <w:sz w:val="22"/>
          <w:szCs w:val="22"/>
        </w:rPr>
        <w:t xml:space="preserve">34–39. </w:t>
      </w:r>
    </w:p>
    <w:p w14:paraId="672B11B9" w14:textId="77777777" w:rsidR="00A502A7" w:rsidRPr="00AC63A4" w:rsidRDefault="00A502A7" w:rsidP="00AC63A4">
      <w:pPr>
        <w:pStyle w:val="FootnoteText"/>
        <w:numPr>
          <w:ilvl w:val="0"/>
          <w:numId w:val="27"/>
        </w:numPr>
        <w:spacing w:after="0"/>
        <w:rPr>
          <w:rStyle w:val="surname"/>
          <w:rFonts w:cs="Arial"/>
          <w:sz w:val="22"/>
          <w:szCs w:val="22"/>
        </w:rPr>
      </w:pPr>
      <w:r w:rsidRPr="006C1EA7">
        <w:rPr>
          <w:rStyle w:val="surname"/>
          <w:rFonts w:cs="Arial"/>
          <w:sz w:val="22"/>
          <w:szCs w:val="22"/>
        </w:rPr>
        <w:t>Correia AM, Ferreira JS, Borges, V, Nunes A, Gomes</w:t>
      </w:r>
      <w:r w:rsidR="00E9412F">
        <w:rPr>
          <w:rStyle w:val="surname"/>
          <w:rFonts w:cs="Arial"/>
          <w:sz w:val="22"/>
          <w:szCs w:val="22"/>
        </w:rPr>
        <w:t xml:space="preserve"> </w:t>
      </w:r>
      <w:r w:rsidRPr="006C1EA7">
        <w:rPr>
          <w:rStyle w:val="surname"/>
          <w:rFonts w:cs="Arial"/>
          <w:sz w:val="22"/>
          <w:szCs w:val="22"/>
        </w:rPr>
        <w:t>B, Capucho R, Gonçalves J, Antunes DM, Almeida S, Mendes</w:t>
      </w:r>
      <w:r w:rsidR="00E9412F">
        <w:rPr>
          <w:rStyle w:val="surname"/>
          <w:rFonts w:cs="Arial"/>
          <w:sz w:val="22"/>
          <w:szCs w:val="22"/>
        </w:rPr>
        <w:t xml:space="preserve"> </w:t>
      </w:r>
      <w:r w:rsidRPr="006C1EA7">
        <w:rPr>
          <w:rStyle w:val="surname"/>
          <w:rFonts w:cs="Arial"/>
          <w:sz w:val="22"/>
          <w:szCs w:val="22"/>
        </w:rPr>
        <w:t>A</w:t>
      </w:r>
      <w:r w:rsidR="00E9412F">
        <w:rPr>
          <w:rStyle w:val="surname"/>
          <w:rFonts w:cs="Arial"/>
          <w:sz w:val="22"/>
          <w:szCs w:val="22"/>
        </w:rPr>
        <w:t xml:space="preserve"> &amp;</w:t>
      </w:r>
      <w:r w:rsidRPr="006C1EA7">
        <w:rPr>
          <w:rStyle w:val="surname"/>
          <w:rFonts w:cs="Arial"/>
          <w:sz w:val="22"/>
          <w:szCs w:val="22"/>
        </w:rPr>
        <w:t xml:space="preserve"> Guerreiro M</w:t>
      </w:r>
      <w:r w:rsidR="00E9412F">
        <w:rPr>
          <w:rStyle w:val="surname"/>
          <w:rFonts w:cs="Arial"/>
          <w:sz w:val="22"/>
          <w:szCs w:val="22"/>
        </w:rPr>
        <w:t xml:space="preserve"> 2016,</w:t>
      </w:r>
      <w:r w:rsidRPr="006C1EA7">
        <w:rPr>
          <w:rStyle w:val="surname"/>
          <w:rFonts w:cs="Arial"/>
          <w:sz w:val="22"/>
          <w:szCs w:val="22"/>
        </w:rPr>
        <w:t xml:space="preserve"> </w:t>
      </w:r>
      <w:r w:rsidR="00E9412F">
        <w:rPr>
          <w:rStyle w:val="surname"/>
          <w:rFonts w:cs="Arial"/>
          <w:sz w:val="22"/>
          <w:szCs w:val="22"/>
        </w:rPr>
        <w:t>‘</w:t>
      </w:r>
      <w:r w:rsidRPr="006C1EA7">
        <w:rPr>
          <w:rStyle w:val="surname"/>
          <w:rFonts w:cs="Arial"/>
          <w:sz w:val="22"/>
          <w:szCs w:val="22"/>
        </w:rPr>
        <w:t>Probable person-to-person transmission of Legionnaires’ disease</w:t>
      </w:r>
      <w:r w:rsidR="00E9412F">
        <w:rPr>
          <w:rStyle w:val="surname"/>
          <w:rFonts w:cs="Arial"/>
          <w:sz w:val="22"/>
          <w:szCs w:val="22"/>
        </w:rPr>
        <w:t>’,</w:t>
      </w:r>
      <w:r w:rsidRPr="006C1EA7">
        <w:rPr>
          <w:rStyle w:val="surname"/>
          <w:rFonts w:cs="Arial"/>
          <w:sz w:val="22"/>
          <w:szCs w:val="22"/>
        </w:rPr>
        <w:t xml:space="preserve"> </w:t>
      </w:r>
      <w:r w:rsidRPr="006C1EA7">
        <w:rPr>
          <w:rStyle w:val="surname"/>
          <w:rFonts w:cs="Arial"/>
          <w:i/>
          <w:sz w:val="22"/>
          <w:szCs w:val="22"/>
        </w:rPr>
        <w:t>New England Journal of Medicine</w:t>
      </w:r>
      <w:r w:rsidR="00E9412F">
        <w:rPr>
          <w:rStyle w:val="surname"/>
          <w:rFonts w:cs="Arial"/>
          <w:i/>
          <w:sz w:val="22"/>
          <w:szCs w:val="22"/>
        </w:rPr>
        <w:t>,</w:t>
      </w:r>
      <w:r w:rsidRPr="006C1EA7">
        <w:rPr>
          <w:rStyle w:val="surname"/>
          <w:rFonts w:cs="Arial"/>
          <w:sz w:val="22"/>
          <w:szCs w:val="22"/>
        </w:rPr>
        <w:t xml:space="preserve"> </w:t>
      </w:r>
      <w:r w:rsidR="00E9412F">
        <w:rPr>
          <w:rStyle w:val="surname"/>
          <w:rFonts w:cs="Arial"/>
          <w:sz w:val="22"/>
          <w:szCs w:val="22"/>
        </w:rPr>
        <w:t xml:space="preserve">vol. </w:t>
      </w:r>
      <w:r w:rsidRPr="006C1EA7">
        <w:rPr>
          <w:rStyle w:val="surname"/>
          <w:rFonts w:cs="Arial"/>
          <w:sz w:val="22"/>
          <w:szCs w:val="22"/>
        </w:rPr>
        <w:t>374</w:t>
      </w:r>
      <w:r w:rsidR="00030866">
        <w:rPr>
          <w:rStyle w:val="surname"/>
          <w:rFonts w:cs="Arial"/>
          <w:sz w:val="22"/>
          <w:szCs w:val="22"/>
        </w:rPr>
        <w:t>, no. </w:t>
      </w:r>
      <w:r w:rsidRPr="006C1EA7">
        <w:rPr>
          <w:rStyle w:val="surname"/>
          <w:rFonts w:cs="Arial"/>
          <w:sz w:val="22"/>
          <w:szCs w:val="22"/>
        </w:rPr>
        <w:t>5</w:t>
      </w:r>
      <w:r w:rsidR="00E9412F">
        <w:rPr>
          <w:rStyle w:val="surname"/>
          <w:rFonts w:cs="Arial"/>
          <w:sz w:val="22"/>
          <w:szCs w:val="22"/>
        </w:rPr>
        <w:t>, pp.</w:t>
      </w:r>
      <w:r w:rsidRPr="006C1EA7">
        <w:rPr>
          <w:rStyle w:val="surname"/>
          <w:rFonts w:cs="Arial"/>
          <w:sz w:val="22"/>
          <w:szCs w:val="22"/>
        </w:rPr>
        <w:t xml:space="preserve"> 497-498.</w:t>
      </w:r>
    </w:p>
    <w:p w14:paraId="7A53DF4A" w14:textId="77777777" w:rsidR="00A502A7" w:rsidRPr="00AC63A4" w:rsidRDefault="00A502A7" w:rsidP="00AC63A4">
      <w:pPr>
        <w:pStyle w:val="EndnoteText"/>
        <w:numPr>
          <w:ilvl w:val="0"/>
          <w:numId w:val="27"/>
        </w:numPr>
        <w:spacing w:after="0"/>
        <w:rPr>
          <w:rFonts w:cs="Arial"/>
          <w:sz w:val="22"/>
          <w:szCs w:val="22"/>
        </w:rPr>
      </w:pPr>
      <w:r w:rsidRPr="006C1EA7">
        <w:rPr>
          <w:rStyle w:val="surname"/>
          <w:rFonts w:cs="Arial"/>
          <w:sz w:val="22"/>
          <w:szCs w:val="22"/>
        </w:rPr>
        <w:t>Marrie</w:t>
      </w:r>
      <w:r w:rsidR="006E7284" w:rsidRPr="006C1EA7">
        <w:rPr>
          <w:rStyle w:val="surname"/>
          <w:rFonts w:cs="Arial"/>
          <w:sz w:val="22"/>
          <w:szCs w:val="22"/>
        </w:rPr>
        <w:t xml:space="preserve"> </w:t>
      </w:r>
      <w:r w:rsidRPr="006C1EA7">
        <w:rPr>
          <w:rStyle w:val="given-name"/>
          <w:rFonts w:cs="Arial"/>
          <w:sz w:val="22"/>
          <w:szCs w:val="22"/>
        </w:rPr>
        <w:t>TJ</w:t>
      </w:r>
      <w:r w:rsidRPr="006C1EA7">
        <w:rPr>
          <w:rStyle w:val="authors"/>
          <w:rFonts w:cs="Arial"/>
          <w:sz w:val="22"/>
          <w:szCs w:val="22"/>
        </w:rPr>
        <w:t xml:space="preserve">, </w:t>
      </w:r>
      <w:r w:rsidRPr="006C1EA7">
        <w:rPr>
          <w:rStyle w:val="surname"/>
          <w:rFonts w:cs="Arial"/>
          <w:sz w:val="22"/>
          <w:szCs w:val="22"/>
        </w:rPr>
        <w:t>Bezanson</w:t>
      </w:r>
      <w:r w:rsidR="006E7284" w:rsidRPr="006C1EA7">
        <w:rPr>
          <w:rStyle w:val="surname"/>
          <w:rFonts w:cs="Arial"/>
          <w:sz w:val="22"/>
          <w:szCs w:val="22"/>
        </w:rPr>
        <w:t xml:space="preserve"> </w:t>
      </w:r>
      <w:r w:rsidRPr="006C1EA7">
        <w:rPr>
          <w:rStyle w:val="given-name"/>
          <w:rFonts w:cs="Arial"/>
          <w:sz w:val="22"/>
          <w:szCs w:val="22"/>
        </w:rPr>
        <w:t>G</w:t>
      </w:r>
      <w:r w:rsidRPr="006C1EA7">
        <w:rPr>
          <w:rStyle w:val="authors"/>
          <w:rFonts w:cs="Arial"/>
          <w:sz w:val="22"/>
          <w:szCs w:val="22"/>
        </w:rPr>
        <w:t xml:space="preserve">, </w:t>
      </w:r>
      <w:r w:rsidRPr="006C1EA7">
        <w:rPr>
          <w:rStyle w:val="surname"/>
          <w:rFonts w:cs="Arial"/>
          <w:sz w:val="22"/>
          <w:szCs w:val="22"/>
        </w:rPr>
        <w:t>Haldane</w:t>
      </w:r>
      <w:r w:rsidR="006E7284" w:rsidRPr="006C1EA7">
        <w:rPr>
          <w:rStyle w:val="surname"/>
          <w:rFonts w:cs="Arial"/>
          <w:sz w:val="22"/>
          <w:szCs w:val="22"/>
        </w:rPr>
        <w:t xml:space="preserve"> </w:t>
      </w:r>
      <w:r w:rsidRPr="006C1EA7">
        <w:rPr>
          <w:rStyle w:val="given-name"/>
          <w:rFonts w:cs="Arial"/>
          <w:sz w:val="22"/>
          <w:szCs w:val="22"/>
        </w:rPr>
        <w:t>DJ</w:t>
      </w:r>
      <w:r w:rsidRPr="006C1EA7">
        <w:rPr>
          <w:rStyle w:val="authors"/>
          <w:rFonts w:cs="Arial"/>
          <w:sz w:val="22"/>
          <w:szCs w:val="22"/>
        </w:rPr>
        <w:t xml:space="preserve">, </w:t>
      </w:r>
      <w:r w:rsidRPr="006C1EA7">
        <w:rPr>
          <w:rStyle w:val="surname"/>
          <w:rFonts w:cs="Arial"/>
          <w:sz w:val="22"/>
          <w:szCs w:val="22"/>
        </w:rPr>
        <w:t>Burbridge</w:t>
      </w:r>
      <w:r w:rsidR="006E7284" w:rsidRPr="006C1EA7">
        <w:rPr>
          <w:rStyle w:val="surname"/>
          <w:rFonts w:cs="Arial"/>
          <w:sz w:val="22"/>
          <w:szCs w:val="22"/>
        </w:rPr>
        <w:t xml:space="preserve"> </w:t>
      </w:r>
      <w:r w:rsidRPr="006C1EA7">
        <w:rPr>
          <w:rStyle w:val="given-name"/>
          <w:rFonts w:cs="Arial"/>
          <w:sz w:val="22"/>
          <w:szCs w:val="22"/>
        </w:rPr>
        <w:t>S</w:t>
      </w:r>
      <w:r w:rsidR="00E9412F">
        <w:rPr>
          <w:rStyle w:val="contribution"/>
          <w:rFonts w:cs="Arial"/>
          <w:sz w:val="22"/>
          <w:szCs w:val="22"/>
        </w:rPr>
        <w:t xml:space="preserve"> 1992,</w:t>
      </w:r>
      <w:r w:rsidRPr="006C1EA7">
        <w:rPr>
          <w:rStyle w:val="contribution"/>
          <w:rFonts w:cs="Arial"/>
          <w:sz w:val="22"/>
          <w:szCs w:val="22"/>
        </w:rPr>
        <w:t xml:space="preserve"> </w:t>
      </w:r>
      <w:r w:rsidR="00E9412F">
        <w:rPr>
          <w:rStyle w:val="contribution"/>
          <w:rFonts w:cs="Arial"/>
          <w:sz w:val="22"/>
          <w:szCs w:val="22"/>
        </w:rPr>
        <w:t>‘</w:t>
      </w:r>
      <w:r w:rsidRPr="006C1EA7">
        <w:rPr>
          <w:rStyle w:val="maintitle"/>
          <w:rFonts w:cs="Arial"/>
          <w:sz w:val="22"/>
          <w:szCs w:val="22"/>
        </w:rPr>
        <w:t xml:space="preserve">Colonisation of the respiratory tract with </w:t>
      </w:r>
      <w:r w:rsidRPr="006C1EA7">
        <w:rPr>
          <w:rStyle w:val="italic"/>
          <w:rFonts w:cs="Arial"/>
          <w:sz w:val="22"/>
          <w:szCs w:val="22"/>
        </w:rPr>
        <w:t>Legionella pneumophila</w:t>
      </w:r>
      <w:r w:rsidRPr="006C1EA7">
        <w:rPr>
          <w:rStyle w:val="maintitle"/>
          <w:rFonts w:cs="Arial"/>
          <w:sz w:val="22"/>
          <w:szCs w:val="22"/>
        </w:rPr>
        <w:t xml:space="preserve"> for 63 days before the onset of pneumonia</w:t>
      </w:r>
      <w:r w:rsidR="00E9412F">
        <w:rPr>
          <w:rStyle w:val="maintitle"/>
          <w:rFonts w:cs="Arial"/>
          <w:sz w:val="22"/>
          <w:szCs w:val="22"/>
        </w:rPr>
        <w:t>’,</w:t>
      </w:r>
      <w:r w:rsidR="006E7284" w:rsidRPr="006C1EA7">
        <w:rPr>
          <w:rStyle w:val="maintitle"/>
          <w:rFonts w:cs="Arial"/>
          <w:sz w:val="22"/>
          <w:szCs w:val="22"/>
        </w:rPr>
        <w:t xml:space="preserve"> </w:t>
      </w:r>
      <w:r w:rsidRPr="006C1EA7">
        <w:rPr>
          <w:rStyle w:val="maintitle"/>
          <w:rFonts w:cs="Arial"/>
          <w:i/>
          <w:sz w:val="22"/>
          <w:szCs w:val="22"/>
        </w:rPr>
        <w:t>J Infect</w:t>
      </w:r>
      <w:r w:rsidR="00E9412F">
        <w:rPr>
          <w:rStyle w:val="maintitle"/>
          <w:rFonts w:cs="Arial"/>
          <w:sz w:val="22"/>
          <w:szCs w:val="22"/>
        </w:rPr>
        <w:t>,</w:t>
      </w:r>
      <w:r w:rsidR="00E9412F">
        <w:rPr>
          <w:rStyle w:val="series"/>
          <w:rFonts w:cs="Arial"/>
          <w:sz w:val="22"/>
          <w:szCs w:val="22"/>
        </w:rPr>
        <w:t xml:space="preserve"> vol.</w:t>
      </w:r>
      <w:r w:rsidRPr="006C1EA7">
        <w:rPr>
          <w:rStyle w:val="series"/>
          <w:rFonts w:cs="Arial"/>
          <w:sz w:val="22"/>
          <w:szCs w:val="22"/>
        </w:rPr>
        <w:t xml:space="preserve"> </w:t>
      </w:r>
      <w:r w:rsidRPr="006C1EA7">
        <w:rPr>
          <w:rStyle w:val="volume-nr"/>
          <w:rFonts w:cs="Arial"/>
          <w:sz w:val="22"/>
          <w:szCs w:val="22"/>
        </w:rPr>
        <w:t>24</w:t>
      </w:r>
      <w:r w:rsidR="00E9412F">
        <w:rPr>
          <w:rStyle w:val="volume-nr"/>
          <w:rFonts w:cs="Arial"/>
          <w:sz w:val="22"/>
          <w:szCs w:val="22"/>
        </w:rPr>
        <w:t>, pp.</w:t>
      </w:r>
      <w:r w:rsidR="00E9412F">
        <w:rPr>
          <w:rStyle w:val="series"/>
          <w:rFonts w:cs="Arial"/>
          <w:sz w:val="22"/>
          <w:szCs w:val="22"/>
        </w:rPr>
        <w:t xml:space="preserve"> </w:t>
      </w:r>
      <w:r w:rsidRPr="006C1EA7">
        <w:rPr>
          <w:rStyle w:val="first-page"/>
          <w:rFonts w:cs="Arial"/>
          <w:sz w:val="22"/>
          <w:szCs w:val="22"/>
        </w:rPr>
        <w:t>81</w:t>
      </w:r>
      <w:r w:rsidRPr="006C1EA7">
        <w:rPr>
          <w:rStyle w:val="pages"/>
          <w:rFonts w:cs="Arial"/>
          <w:sz w:val="22"/>
          <w:szCs w:val="22"/>
        </w:rPr>
        <w:t>-</w:t>
      </w:r>
      <w:r w:rsidRPr="006C1EA7">
        <w:rPr>
          <w:rStyle w:val="last-page"/>
          <w:rFonts w:cs="Arial"/>
          <w:sz w:val="22"/>
          <w:szCs w:val="22"/>
        </w:rPr>
        <w:t>86</w:t>
      </w:r>
      <w:r w:rsidRPr="006C1EA7">
        <w:rPr>
          <w:rStyle w:val="issue"/>
          <w:rFonts w:cs="Arial"/>
          <w:sz w:val="22"/>
          <w:szCs w:val="22"/>
        </w:rPr>
        <w:t>.</w:t>
      </w:r>
    </w:p>
    <w:p w14:paraId="7EAA0819" w14:textId="77777777" w:rsidR="00A502A7" w:rsidRPr="00AC63A4" w:rsidRDefault="00A502A7" w:rsidP="00AC63A4">
      <w:pPr>
        <w:pStyle w:val="EndnoteText"/>
        <w:numPr>
          <w:ilvl w:val="0"/>
          <w:numId w:val="27"/>
        </w:numPr>
        <w:spacing w:after="0"/>
        <w:rPr>
          <w:sz w:val="22"/>
          <w:szCs w:val="22"/>
        </w:rPr>
      </w:pPr>
      <w:r w:rsidRPr="00EB278D">
        <w:rPr>
          <w:sz w:val="22"/>
          <w:szCs w:val="22"/>
        </w:rPr>
        <w:t>Public Health England</w:t>
      </w:r>
      <w:r w:rsidR="00E9412F">
        <w:rPr>
          <w:sz w:val="22"/>
          <w:szCs w:val="22"/>
        </w:rPr>
        <w:t xml:space="preserve"> 2015,</w:t>
      </w:r>
      <w:r w:rsidRPr="00EB278D">
        <w:rPr>
          <w:sz w:val="22"/>
          <w:szCs w:val="22"/>
        </w:rPr>
        <w:t xml:space="preserve"> </w:t>
      </w:r>
      <w:r w:rsidRPr="00EB278D">
        <w:rPr>
          <w:i/>
          <w:sz w:val="22"/>
          <w:szCs w:val="22"/>
        </w:rPr>
        <w:t>Legionnaires’ Disease in England and Wales 2014</w:t>
      </w:r>
      <w:r w:rsidR="00E9412F">
        <w:rPr>
          <w:i/>
          <w:sz w:val="22"/>
          <w:szCs w:val="22"/>
        </w:rPr>
        <w:t>,</w:t>
      </w:r>
      <w:r w:rsidRPr="00EB278D">
        <w:rPr>
          <w:sz w:val="22"/>
          <w:szCs w:val="22"/>
        </w:rPr>
        <w:t xml:space="preserve"> Public Health England</w:t>
      </w:r>
      <w:r w:rsidR="00E9412F">
        <w:rPr>
          <w:sz w:val="22"/>
          <w:szCs w:val="22"/>
        </w:rPr>
        <w:t>,</w:t>
      </w:r>
      <w:r w:rsidRPr="00EB278D">
        <w:rPr>
          <w:sz w:val="22"/>
          <w:szCs w:val="22"/>
        </w:rPr>
        <w:t xml:space="preserve"> </w:t>
      </w:r>
      <w:r w:rsidR="00E9412F" w:rsidRPr="00C3536E">
        <w:rPr>
          <w:sz w:val="22"/>
          <w:szCs w:val="22"/>
        </w:rPr>
        <w:t>London</w:t>
      </w:r>
      <w:r w:rsidR="00E9412F">
        <w:rPr>
          <w:sz w:val="22"/>
          <w:szCs w:val="22"/>
        </w:rPr>
        <w:t>.</w:t>
      </w:r>
    </w:p>
    <w:p w14:paraId="5C05AEC7" w14:textId="77777777" w:rsidR="00A502A7" w:rsidRPr="00AC63A4" w:rsidRDefault="00A502A7" w:rsidP="00AC63A4">
      <w:pPr>
        <w:pStyle w:val="FootnoteText"/>
        <w:numPr>
          <w:ilvl w:val="0"/>
          <w:numId w:val="27"/>
        </w:numPr>
        <w:spacing w:after="0"/>
        <w:rPr>
          <w:sz w:val="22"/>
          <w:szCs w:val="22"/>
        </w:rPr>
      </w:pPr>
      <w:r w:rsidRPr="00EB278D">
        <w:rPr>
          <w:sz w:val="22"/>
          <w:szCs w:val="22"/>
        </w:rPr>
        <w:t xml:space="preserve">Stout JE </w:t>
      </w:r>
      <w:r w:rsidR="00E9412F">
        <w:rPr>
          <w:sz w:val="22"/>
          <w:szCs w:val="22"/>
        </w:rPr>
        <w:t>&amp;</w:t>
      </w:r>
      <w:r w:rsidR="00E9412F" w:rsidRPr="00EB278D">
        <w:rPr>
          <w:sz w:val="22"/>
          <w:szCs w:val="22"/>
        </w:rPr>
        <w:t xml:space="preserve"> </w:t>
      </w:r>
      <w:r w:rsidRPr="00EB278D">
        <w:rPr>
          <w:sz w:val="22"/>
          <w:szCs w:val="22"/>
        </w:rPr>
        <w:t>Yu VL</w:t>
      </w:r>
      <w:r w:rsidR="00E9412F">
        <w:rPr>
          <w:sz w:val="22"/>
          <w:szCs w:val="22"/>
        </w:rPr>
        <w:t xml:space="preserve"> 1997,</w:t>
      </w:r>
      <w:r w:rsidRPr="00EB278D">
        <w:rPr>
          <w:sz w:val="22"/>
          <w:szCs w:val="22"/>
        </w:rPr>
        <w:t xml:space="preserve"> </w:t>
      </w:r>
      <w:r w:rsidR="00E9412F">
        <w:rPr>
          <w:sz w:val="22"/>
          <w:szCs w:val="22"/>
        </w:rPr>
        <w:t>‘</w:t>
      </w:r>
      <w:r w:rsidRPr="00EB278D">
        <w:rPr>
          <w:sz w:val="22"/>
          <w:szCs w:val="22"/>
        </w:rPr>
        <w:t>Legionellosis</w:t>
      </w:r>
      <w:r w:rsidR="00E9412F">
        <w:rPr>
          <w:sz w:val="22"/>
          <w:szCs w:val="22"/>
        </w:rPr>
        <w:t>’,</w:t>
      </w:r>
      <w:r w:rsidRPr="00EB278D">
        <w:rPr>
          <w:sz w:val="22"/>
          <w:szCs w:val="22"/>
        </w:rPr>
        <w:t xml:space="preserve"> </w:t>
      </w:r>
      <w:r w:rsidRPr="00EB278D">
        <w:rPr>
          <w:i/>
          <w:sz w:val="22"/>
          <w:szCs w:val="22"/>
        </w:rPr>
        <w:t>New England Journal of Medicine</w:t>
      </w:r>
      <w:r w:rsidR="00E9412F">
        <w:rPr>
          <w:i/>
          <w:sz w:val="22"/>
          <w:szCs w:val="22"/>
        </w:rPr>
        <w:t>,</w:t>
      </w:r>
      <w:r w:rsidR="00E9412F">
        <w:rPr>
          <w:sz w:val="22"/>
          <w:szCs w:val="22"/>
        </w:rPr>
        <w:t xml:space="preserve"> vol. </w:t>
      </w:r>
      <w:r w:rsidRPr="00EB278D">
        <w:rPr>
          <w:sz w:val="22"/>
          <w:szCs w:val="22"/>
        </w:rPr>
        <w:t>337</w:t>
      </w:r>
      <w:r w:rsidR="00030866">
        <w:rPr>
          <w:sz w:val="22"/>
          <w:szCs w:val="22"/>
        </w:rPr>
        <w:t>, no.</w:t>
      </w:r>
      <w:r w:rsidRPr="00EB278D">
        <w:rPr>
          <w:sz w:val="22"/>
          <w:szCs w:val="22"/>
        </w:rPr>
        <w:t>10</w:t>
      </w:r>
      <w:r w:rsidR="00E9412F">
        <w:rPr>
          <w:sz w:val="22"/>
          <w:szCs w:val="22"/>
        </w:rPr>
        <w:t>, pp.</w:t>
      </w:r>
      <w:r w:rsidRPr="00EB278D">
        <w:rPr>
          <w:sz w:val="22"/>
          <w:szCs w:val="22"/>
        </w:rPr>
        <w:t xml:space="preserve"> 682-687.</w:t>
      </w:r>
    </w:p>
    <w:p w14:paraId="610EE055" w14:textId="77777777" w:rsidR="00A502A7" w:rsidRPr="00AC63A4" w:rsidRDefault="00A502A7" w:rsidP="00AC63A4">
      <w:pPr>
        <w:pStyle w:val="EndnoteText"/>
        <w:numPr>
          <w:ilvl w:val="0"/>
          <w:numId w:val="27"/>
        </w:numPr>
        <w:spacing w:after="0"/>
        <w:rPr>
          <w:sz w:val="22"/>
          <w:szCs w:val="22"/>
        </w:rPr>
      </w:pPr>
      <w:r w:rsidRPr="00EB278D">
        <w:rPr>
          <w:sz w:val="22"/>
          <w:szCs w:val="22"/>
        </w:rPr>
        <w:t>World Health Organization</w:t>
      </w:r>
      <w:r w:rsidR="00E9412F">
        <w:rPr>
          <w:sz w:val="22"/>
          <w:szCs w:val="22"/>
        </w:rPr>
        <w:t xml:space="preserve"> 2014, </w:t>
      </w:r>
      <w:r w:rsidRPr="00EB278D">
        <w:rPr>
          <w:i/>
          <w:sz w:val="22"/>
          <w:szCs w:val="22"/>
        </w:rPr>
        <w:t>Legionellosis Fact Sheet No 285</w:t>
      </w:r>
      <w:r w:rsidR="00E02B0D">
        <w:rPr>
          <w:i/>
          <w:sz w:val="22"/>
          <w:szCs w:val="22"/>
        </w:rPr>
        <w:t xml:space="preserve">. </w:t>
      </w:r>
      <w:r w:rsidR="009B4091">
        <w:rPr>
          <w:sz w:val="22"/>
          <w:szCs w:val="22"/>
        </w:rPr>
        <w:t xml:space="preserve">Available from the </w:t>
      </w:r>
      <w:hyperlink r:id="rId24" w:history="1">
        <w:r w:rsidR="009B4091" w:rsidRPr="009B4091">
          <w:rPr>
            <w:rStyle w:val="Hyperlink"/>
            <w:szCs w:val="22"/>
          </w:rPr>
          <w:t xml:space="preserve">World Health </w:t>
        </w:r>
        <w:proofErr w:type="spellStart"/>
        <w:r w:rsidR="009B4091" w:rsidRPr="009B4091">
          <w:rPr>
            <w:rStyle w:val="Hyperlink"/>
            <w:szCs w:val="22"/>
          </w:rPr>
          <w:t>Ogranization</w:t>
        </w:r>
        <w:proofErr w:type="spellEnd"/>
        <w:r w:rsidR="009B4091" w:rsidRPr="009B4091">
          <w:rPr>
            <w:rStyle w:val="Hyperlink"/>
            <w:szCs w:val="22"/>
          </w:rPr>
          <w:t xml:space="preserve"> website</w:t>
        </w:r>
        <w:r w:rsidRPr="009B4091">
          <w:rPr>
            <w:rStyle w:val="Hyperlink"/>
            <w:szCs w:val="22"/>
          </w:rPr>
          <w:t xml:space="preserve"> </w:t>
        </w:r>
      </w:hyperlink>
      <w:r w:rsidRPr="00EB278D">
        <w:rPr>
          <w:sz w:val="22"/>
          <w:szCs w:val="22"/>
        </w:rPr>
        <w:t xml:space="preserve"> </w:t>
      </w:r>
    </w:p>
    <w:p w14:paraId="12C10721" w14:textId="77777777" w:rsidR="00EE4ABB" w:rsidRPr="00AC63A4" w:rsidRDefault="00A502A7" w:rsidP="00AC63A4">
      <w:pPr>
        <w:pStyle w:val="Bibliography"/>
        <w:numPr>
          <w:ilvl w:val="0"/>
          <w:numId w:val="27"/>
        </w:numPr>
        <w:spacing w:after="0"/>
        <w:rPr>
          <w:noProof/>
          <w:lang w:val="en-US"/>
        </w:rPr>
      </w:pPr>
      <w:r w:rsidRPr="00D63F79">
        <w:t xml:space="preserve">Queensland Health, </w:t>
      </w:r>
      <w:r w:rsidRPr="00D63F79">
        <w:rPr>
          <w:noProof/>
          <w:lang w:val="en-US"/>
        </w:rPr>
        <w:t>Chief Health Officer Branch</w:t>
      </w:r>
      <w:r w:rsidR="00E02B0D">
        <w:t xml:space="preserve"> 2013, </w:t>
      </w:r>
      <w:r w:rsidRPr="00EB278D">
        <w:rPr>
          <w:i/>
          <w:noProof/>
          <w:lang w:val="en-US"/>
        </w:rPr>
        <w:t xml:space="preserve">Review of the prevention and control of </w:t>
      </w:r>
      <w:r w:rsidR="006E7284" w:rsidRPr="00E02B0D">
        <w:rPr>
          <w:i/>
          <w:noProof/>
          <w:lang w:val="en-US"/>
        </w:rPr>
        <w:t xml:space="preserve">Legionella </w:t>
      </w:r>
      <w:r w:rsidRPr="00E02B0D">
        <w:rPr>
          <w:i/>
          <w:noProof/>
          <w:lang w:val="en-US"/>
        </w:rPr>
        <w:t>pneumophila infection in Queensland</w:t>
      </w:r>
      <w:r w:rsidR="00E02B0D">
        <w:rPr>
          <w:noProof/>
          <w:lang w:val="en-US"/>
        </w:rPr>
        <w:t xml:space="preserve">, </w:t>
      </w:r>
      <w:r w:rsidR="00E02B0D" w:rsidRPr="00D63F79">
        <w:rPr>
          <w:noProof/>
          <w:lang w:val="en-US"/>
        </w:rPr>
        <w:t>Queensland Health</w:t>
      </w:r>
      <w:r w:rsidR="00E02B0D">
        <w:rPr>
          <w:noProof/>
          <w:lang w:val="en-US"/>
        </w:rPr>
        <w:t xml:space="preserve">, </w:t>
      </w:r>
      <w:r w:rsidRPr="00D63F79">
        <w:rPr>
          <w:noProof/>
          <w:lang w:val="en-US"/>
        </w:rPr>
        <w:t>Brisbane.</w:t>
      </w:r>
    </w:p>
    <w:p w14:paraId="123B4632" w14:textId="77777777" w:rsidR="00A502A7" w:rsidRPr="00AC63A4" w:rsidRDefault="006C1EA7" w:rsidP="00AC63A4">
      <w:pPr>
        <w:pStyle w:val="EndnoteText"/>
        <w:numPr>
          <w:ilvl w:val="0"/>
          <w:numId w:val="27"/>
        </w:numPr>
        <w:spacing w:after="0"/>
        <w:rPr>
          <w:sz w:val="22"/>
          <w:szCs w:val="22"/>
        </w:rPr>
      </w:pPr>
      <w:r w:rsidRPr="00EB278D">
        <w:rPr>
          <w:sz w:val="22"/>
          <w:szCs w:val="22"/>
        </w:rPr>
        <w:lastRenderedPageBreak/>
        <w:t xml:space="preserve">Flannery B, Gelling LB, </w:t>
      </w:r>
      <w:proofErr w:type="spellStart"/>
      <w:r w:rsidRPr="00EB278D">
        <w:rPr>
          <w:sz w:val="22"/>
          <w:szCs w:val="22"/>
        </w:rPr>
        <w:t>Vugia</w:t>
      </w:r>
      <w:proofErr w:type="spellEnd"/>
      <w:r w:rsidRPr="00EB278D">
        <w:rPr>
          <w:sz w:val="22"/>
          <w:szCs w:val="22"/>
        </w:rPr>
        <w:t xml:space="preserve"> DJ, Weintraub JM, Salerno JJ, Conroy M</w:t>
      </w:r>
      <w:r w:rsidR="00EE4ABB" w:rsidRPr="00EB278D">
        <w:rPr>
          <w:sz w:val="22"/>
          <w:szCs w:val="22"/>
        </w:rPr>
        <w:t>J</w:t>
      </w:r>
      <w:r w:rsidRPr="00EB278D">
        <w:rPr>
          <w:sz w:val="22"/>
          <w:szCs w:val="22"/>
        </w:rPr>
        <w:t>, Besser R</w:t>
      </w:r>
      <w:r w:rsidR="00E02B0D">
        <w:rPr>
          <w:sz w:val="22"/>
          <w:szCs w:val="22"/>
        </w:rPr>
        <w:t>E</w:t>
      </w:r>
      <w:r w:rsidRPr="00EB278D">
        <w:rPr>
          <w:sz w:val="22"/>
          <w:szCs w:val="22"/>
        </w:rPr>
        <w:t xml:space="preserve"> </w:t>
      </w:r>
      <w:r w:rsidR="00EE4ABB" w:rsidRPr="00EB278D">
        <w:rPr>
          <w:sz w:val="22"/>
          <w:szCs w:val="22"/>
        </w:rPr>
        <w:t>2006</w:t>
      </w:r>
      <w:r w:rsidR="00E02B0D">
        <w:rPr>
          <w:sz w:val="22"/>
          <w:szCs w:val="22"/>
        </w:rPr>
        <w:t>,</w:t>
      </w:r>
      <w:r w:rsidR="00EE4ABB" w:rsidRPr="00EB278D">
        <w:rPr>
          <w:sz w:val="22"/>
          <w:szCs w:val="22"/>
        </w:rPr>
        <w:t xml:space="preserve"> </w:t>
      </w:r>
      <w:r w:rsidR="00E02B0D">
        <w:rPr>
          <w:sz w:val="22"/>
          <w:szCs w:val="22"/>
        </w:rPr>
        <w:t>‘</w:t>
      </w:r>
      <w:r w:rsidR="00EE4ABB" w:rsidRPr="00EB278D">
        <w:rPr>
          <w:sz w:val="22"/>
          <w:szCs w:val="22"/>
        </w:rPr>
        <w:t>Reducing Legionella Colonization of Water Systems with Monochloramine</w:t>
      </w:r>
      <w:r w:rsidR="00E02B0D">
        <w:rPr>
          <w:sz w:val="22"/>
          <w:szCs w:val="22"/>
        </w:rPr>
        <w:t>’,</w:t>
      </w:r>
      <w:r w:rsidR="00EE4ABB" w:rsidRPr="00EB278D">
        <w:rPr>
          <w:sz w:val="22"/>
          <w:szCs w:val="22"/>
        </w:rPr>
        <w:t xml:space="preserve"> </w:t>
      </w:r>
      <w:r w:rsidR="00EE4ABB" w:rsidRPr="00EB278D">
        <w:rPr>
          <w:i/>
          <w:sz w:val="22"/>
          <w:szCs w:val="22"/>
        </w:rPr>
        <w:t>Emerging Infectious Diseases</w:t>
      </w:r>
      <w:r w:rsidR="00EE4ABB" w:rsidRPr="00EB278D">
        <w:rPr>
          <w:sz w:val="22"/>
          <w:szCs w:val="22"/>
        </w:rPr>
        <w:t xml:space="preserve">, </w:t>
      </w:r>
      <w:r w:rsidR="00E02B0D">
        <w:rPr>
          <w:sz w:val="22"/>
          <w:szCs w:val="22"/>
        </w:rPr>
        <w:t>vol.</w:t>
      </w:r>
      <w:r>
        <w:rPr>
          <w:sz w:val="22"/>
          <w:szCs w:val="22"/>
        </w:rPr>
        <w:t xml:space="preserve"> 12</w:t>
      </w:r>
      <w:r w:rsidR="00E02B0D">
        <w:rPr>
          <w:sz w:val="22"/>
          <w:szCs w:val="22"/>
        </w:rPr>
        <w:t xml:space="preserve">, no. </w:t>
      </w:r>
      <w:r>
        <w:rPr>
          <w:sz w:val="22"/>
          <w:szCs w:val="22"/>
        </w:rPr>
        <w:t>4</w:t>
      </w:r>
      <w:r w:rsidR="00E02B0D">
        <w:rPr>
          <w:sz w:val="22"/>
          <w:szCs w:val="22"/>
        </w:rPr>
        <w:t>, pp.</w:t>
      </w:r>
      <w:r w:rsidR="00EE4ABB" w:rsidRPr="00EB278D">
        <w:rPr>
          <w:sz w:val="22"/>
          <w:szCs w:val="22"/>
        </w:rPr>
        <w:t xml:space="preserve"> 588-596. </w:t>
      </w:r>
    </w:p>
    <w:p w14:paraId="0700B167" w14:textId="77777777" w:rsidR="00A502A7" w:rsidRPr="00D63F79" w:rsidRDefault="00A502A7" w:rsidP="00AC63A4">
      <w:pPr>
        <w:pStyle w:val="ListParagraph"/>
        <w:numPr>
          <w:ilvl w:val="0"/>
          <w:numId w:val="27"/>
        </w:numPr>
        <w:spacing w:after="0"/>
      </w:pPr>
      <w:r w:rsidRPr="00D63F79">
        <w:t>European Centre for Disease Prevention and Control</w:t>
      </w:r>
      <w:r w:rsidR="00E02B0D">
        <w:t xml:space="preserve"> 2013,</w:t>
      </w:r>
      <w:r w:rsidRPr="00D63F79">
        <w:t xml:space="preserve"> </w:t>
      </w:r>
      <w:r w:rsidRPr="00EB278D">
        <w:rPr>
          <w:i/>
        </w:rPr>
        <w:t>Legionnaires’ disease in Europe</w:t>
      </w:r>
      <w:r w:rsidR="006C1EA7">
        <w:t xml:space="preserve">. </w:t>
      </w:r>
      <w:r w:rsidRPr="00D63F79">
        <w:t xml:space="preserve">Available from: </w:t>
      </w:r>
      <w:r w:rsidR="000679F1" w:rsidRPr="00BC10C2">
        <w:t>https://ecdc.europa.eu/sites/portal/files/media/en/publications/Publications/legionnaires-disease-2015.pdf</w:t>
      </w:r>
      <w:r w:rsidR="000679F1">
        <w:t xml:space="preserve"> </w:t>
      </w:r>
    </w:p>
    <w:p w14:paraId="40A2699A" w14:textId="77777777" w:rsidR="00A502A7" w:rsidRPr="00AC63A4" w:rsidRDefault="00A502A7" w:rsidP="00AC63A4">
      <w:pPr>
        <w:pStyle w:val="FootnoteText"/>
        <w:numPr>
          <w:ilvl w:val="0"/>
          <w:numId w:val="27"/>
        </w:numPr>
        <w:spacing w:after="0"/>
        <w:rPr>
          <w:sz w:val="22"/>
          <w:szCs w:val="22"/>
        </w:rPr>
      </w:pPr>
      <w:r w:rsidRPr="00EB278D">
        <w:rPr>
          <w:sz w:val="22"/>
          <w:szCs w:val="22"/>
        </w:rPr>
        <w:t xml:space="preserve">Phin N, Parry-Ford F, Harrison T, Stagg H, Zhang N, Kumar K, </w:t>
      </w:r>
      <w:proofErr w:type="spellStart"/>
      <w:r w:rsidRPr="00EB278D">
        <w:rPr>
          <w:sz w:val="22"/>
          <w:szCs w:val="22"/>
        </w:rPr>
        <w:t>Lortholary</w:t>
      </w:r>
      <w:proofErr w:type="spellEnd"/>
      <w:r w:rsidRPr="00EB278D">
        <w:rPr>
          <w:sz w:val="22"/>
          <w:szCs w:val="22"/>
        </w:rPr>
        <w:t xml:space="preserve"> O, </w:t>
      </w:r>
      <w:proofErr w:type="spellStart"/>
      <w:r w:rsidRPr="00EB278D">
        <w:rPr>
          <w:sz w:val="22"/>
          <w:szCs w:val="22"/>
        </w:rPr>
        <w:t>Zumala</w:t>
      </w:r>
      <w:proofErr w:type="spellEnd"/>
      <w:r w:rsidRPr="00EB278D">
        <w:rPr>
          <w:sz w:val="22"/>
          <w:szCs w:val="22"/>
        </w:rPr>
        <w:t xml:space="preserve"> A, Abubaker I</w:t>
      </w:r>
      <w:r w:rsidR="00664FCB">
        <w:rPr>
          <w:sz w:val="22"/>
          <w:szCs w:val="22"/>
        </w:rPr>
        <w:t xml:space="preserve"> 2014,</w:t>
      </w:r>
      <w:r w:rsidRPr="00EB278D">
        <w:rPr>
          <w:sz w:val="22"/>
          <w:szCs w:val="22"/>
        </w:rPr>
        <w:t xml:space="preserve"> </w:t>
      </w:r>
      <w:r w:rsidR="00664FCB">
        <w:rPr>
          <w:sz w:val="22"/>
          <w:szCs w:val="22"/>
        </w:rPr>
        <w:t>‘</w:t>
      </w:r>
      <w:r w:rsidRPr="00EB278D">
        <w:rPr>
          <w:sz w:val="22"/>
          <w:szCs w:val="22"/>
        </w:rPr>
        <w:t>Epidemiology and clinical management of Legionnaires' disease</w:t>
      </w:r>
      <w:r w:rsidR="00664FCB">
        <w:rPr>
          <w:sz w:val="22"/>
          <w:szCs w:val="22"/>
        </w:rPr>
        <w:t>’,</w:t>
      </w:r>
      <w:r w:rsidRPr="00EB278D">
        <w:rPr>
          <w:sz w:val="22"/>
          <w:szCs w:val="22"/>
        </w:rPr>
        <w:t xml:space="preserve"> </w:t>
      </w:r>
      <w:r w:rsidRPr="00EB278D">
        <w:rPr>
          <w:i/>
          <w:sz w:val="22"/>
          <w:szCs w:val="22"/>
        </w:rPr>
        <w:t>The Lancet Infectious Diseases</w:t>
      </w:r>
      <w:r w:rsidR="00664FCB">
        <w:rPr>
          <w:sz w:val="22"/>
          <w:szCs w:val="22"/>
        </w:rPr>
        <w:t xml:space="preserve">, vol. </w:t>
      </w:r>
      <w:r w:rsidRPr="00EB278D">
        <w:rPr>
          <w:sz w:val="22"/>
          <w:szCs w:val="22"/>
        </w:rPr>
        <w:t>14</w:t>
      </w:r>
      <w:r w:rsidR="00664FCB">
        <w:rPr>
          <w:sz w:val="22"/>
          <w:szCs w:val="22"/>
        </w:rPr>
        <w:t>, no.</w:t>
      </w:r>
      <w:r w:rsidRPr="00EB278D">
        <w:rPr>
          <w:sz w:val="22"/>
          <w:szCs w:val="22"/>
        </w:rPr>
        <w:t>10</w:t>
      </w:r>
      <w:r w:rsidR="00664FCB">
        <w:rPr>
          <w:sz w:val="22"/>
          <w:szCs w:val="22"/>
        </w:rPr>
        <w:t xml:space="preserve">, pp. </w:t>
      </w:r>
      <w:r w:rsidRPr="00EB278D">
        <w:rPr>
          <w:sz w:val="22"/>
          <w:szCs w:val="22"/>
        </w:rPr>
        <w:t>1011-1021.</w:t>
      </w:r>
    </w:p>
    <w:p w14:paraId="31BA00BA" w14:textId="77777777" w:rsidR="00A502A7" w:rsidRPr="00AC63A4" w:rsidRDefault="00A502A7" w:rsidP="00AC63A4">
      <w:pPr>
        <w:pStyle w:val="FootnoteText"/>
        <w:numPr>
          <w:ilvl w:val="0"/>
          <w:numId w:val="27"/>
        </w:numPr>
        <w:spacing w:after="0"/>
        <w:rPr>
          <w:sz w:val="22"/>
          <w:szCs w:val="22"/>
        </w:rPr>
      </w:pPr>
      <w:r w:rsidRPr="00EB278D">
        <w:rPr>
          <w:noProof/>
          <w:sz w:val="22"/>
          <w:szCs w:val="22"/>
          <w:lang w:val="en-US"/>
        </w:rPr>
        <w:t>NNDSS</w:t>
      </w:r>
      <w:r w:rsidR="00D16B89" w:rsidRPr="00EB278D">
        <w:rPr>
          <w:noProof/>
          <w:sz w:val="22"/>
          <w:szCs w:val="22"/>
          <w:lang w:val="en-US"/>
        </w:rPr>
        <w:t xml:space="preserve"> 2015. </w:t>
      </w:r>
      <w:r w:rsidR="00D16B89" w:rsidRPr="00EB278D">
        <w:rPr>
          <w:i/>
          <w:noProof/>
          <w:sz w:val="22"/>
          <w:szCs w:val="22"/>
          <w:lang w:val="en-US"/>
        </w:rPr>
        <w:t>Legionellosis cases  2009 – 2012</w:t>
      </w:r>
      <w:r w:rsidR="00D16B89" w:rsidRPr="00EB278D">
        <w:rPr>
          <w:noProof/>
          <w:sz w:val="22"/>
          <w:szCs w:val="22"/>
          <w:lang w:val="en-US"/>
        </w:rPr>
        <w:t xml:space="preserve"> [data file]. Unpublished aggregated data.</w:t>
      </w:r>
    </w:p>
    <w:p w14:paraId="47BAB9DC" w14:textId="77777777" w:rsidR="00A502A7" w:rsidRPr="00AC63A4" w:rsidRDefault="00A502A7" w:rsidP="00AC63A4">
      <w:pPr>
        <w:pStyle w:val="EndnoteText"/>
        <w:numPr>
          <w:ilvl w:val="0"/>
          <w:numId w:val="27"/>
        </w:numPr>
        <w:spacing w:after="0"/>
        <w:rPr>
          <w:sz w:val="22"/>
          <w:szCs w:val="22"/>
        </w:rPr>
      </w:pPr>
      <w:proofErr w:type="spellStart"/>
      <w:r w:rsidRPr="00EB278D">
        <w:rPr>
          <w:sz w:val="22"/>
          <w:szCs w:val="22"/>
        </w:rPr>
        <w:t>Centers</w:t>
      </w:r>
      <w:proofErr w:type="spellEnd"/>
      <w:r w:rsidRPr="00EB278D">
        <w:rPr>
          <w:sz w:val="22"/>
          <w:szCs w:val="22"/>
        </w:rPr>
        <w:t xml:space="preserve"> for Disease Control and Prevention</w:t>
      </w:r>
      <w:r w:rsidR="00664FCB">
        <w:rPr>
          <w:sz w:val="22"/>
          <w:szCs w:val="22"/>
        </w:rPr>
        <w:t xml:space="preserve"> 2011, ‘</w:t>
      </w:r>
      <w:hyperlink r:id="rId25" w:history="1">
        <w:r w:rsidRPr="00EB278D">
          <w:rPr>
            <w:sz w:val="22"/>
            <w:szCs w:val="22"/>
          </w:rPr>
          <w:t>Increasing incidence of Legionellosis in the United States, 2000-2009</w:t>
        </w:r>
      </w:hyperlink>
      <w:r w:rsidR="00664FCB">
        <w:rPr>
          <w:sz w:val="22"/>
          <w:szCs w:val="22"/>
        </w:rPr>
        <w:t>’</w:t>
      </w:r>
      <w:r w:rsidRPr="00EB278D">
        <w:rPr>
          <w:sz w:val="22"/>
          <w:szCs w:val="22"/>
        </w:rPr>
        <w:t xml:space="preserve">  </w:t>
      </w:r>
      <w:r w:rsidRPr="006C1EA7">
        <w:rPr>
          <w:rStyle w:val="Emphasis"/>
          <w:rFonts w:cs="Arial"/>
          <w:sz w:val="22"/>
          <w:szCs w:val="22"/>
        </w:rPr>
        <w:t>MMWR</w:t>
      </w:r>
      <w:r w:rsidR="00664FCB">
        <w:rPr>
          <w:sz w:val="22"/>
          <w:szCs w:val="22"/>
        </w:rPr>
        <w:t xml:space="preserve">, vol. </w:t>
      </w:r>
      <w:r w:rsidRPr="00EB278D">
        <w:rPr>
          <w:sz w:val="22"/>
          <w:szCs w:val="22"/>
        </w:rPr>
        <w:t>60</w:t>
      </w:r>
      <w:r w:rsidR="00664FCB">
        <w:rPr>
          <w:sz w:val="22"/>
          <w:szCs w:val="22"/>
        </w:rPr>
        <w:t xml:space="preserve">, pp. </w:t>
      </w:r>
      <w:r w:rsidRPr="00EB278D">
        <w:rPr>
          <w:sz w:val="22"/>
          <w:szCs w:val="22"/>
        </w:rPr>
        <w:t>1083-1086.</w:t>
      </w:r>
    </w:p>
    <w:p w14:paraId="6179020A" w14:textId="77777777" w:rsidR="006C1EA7" w:rsidRPr="00942CCB" w:rsidRDefault="006C1EA7" w:rsidP="00AC63A4">
      <w:pPr>
        <w:pStyle w:val="Heading1"/>
        <w:numPr>
          <w:ilvl w:val="0"/>
          <w:numId w:val="27"/>
        </w:numPr>
        <w:spacing w:after="0"/>
        <w:rPr>
          <w:bCs/>
          <w:noProof/>
          <w:sz w:val="22"/>
        </w:rPr>
      </w:pPr>
      <w:r w:rsidRPr="00942CCB">
        <w:rPr>
          <w:b w:val="0"/>
          <w:bCs/>
          <w:sz w:val="22"/>
        </w:rPr>
        <w:t>Standards Australia</w:t>
      </w:r>
      <w:r w:rsidR="00664FCB">
        <w:rPr>
          <w:b w:val="0"/>
          <w:bCs/>
          <w:sz w:val="22"/>
        </w:rPr>
        <w:t xml:space="preserve"> 2012</w:t>
      </w:r>
      <w:r w:rsidRPr="00942CCB">
        <w:rPr>
          <w:b w:val="0"/>
          <w:bCs/>
          <w:sz w:val="22"/>
        </w:rPr>
        <w:t xml:space="preserve">. </w:t>
      </w:r>
      <w:r w:rsidRPr="00EB278D">
        <w:rPr>
          <w:b w:val="0"/>
          <w:bCs/>
          <w:i/>
          <w:sz w:val="22"/>
        </w:rPr>
        <w:t>AS/NZS 3666.1Air-handling and water systems of buildings - Microbial control - Part 1: Design, installation and commissioning</w:t>
      </w:r>
      <w:r>
        <w:rPr>
          <w:b w:val="0"/>
          <w:bCs/>
          <w:sz w:val="22"/>
        </w:rPr>
        <w:t xml:space="preserve">. </w:t>
      </w:r>
      <w:r w:rsidRPr="00942CCB">
        <w:rPr>
          <w:b w:val="0"/>
          <w:bCs/>
          <w:sz w:val="22"/>
        </w:rPr>
        <w:t>Available from</w:t>
      </w:r>
      <w:r w:rsidR="009B4091">
        <w:rPr>
          <w:b w:val="0"/>
          <w:bCs/>
          <w:sz w:val="22"/>
        </w:rPr>
        <w:t xml:space="preserve"> </w:t>
      </w:r>
      <w:hyperlink r:id="rId26" w:anchor="Employee-its_timesheet" w:history="1">
        <w:r w:rsidR="009B4091" w:rsidRPr="009B4091">
          <w:rPr>
            <w:rStyle w:val="Hyperlink"/>
            <w:b w:val="0"/>
            <w:bCs/>
          </w:rPr>
          <w:t>Standards Australia</w:t>
        </w:r>
      </w:hyperlink>
      <w:r w:rsidR="009B4091">
        <w:rPr>
          <w:b w:val="0"/>
          <w:bCs/>
          <w:sz w:val="22"/>
        </w:rPr>
        <w:t xml:space="preserve"> </w:t>
      </w:r>
    </w:p>
    <w:p w14:paraId="7A5020A8" w14:textId="77777777" w:rsidR="00A502A7" w:rsidRPr="00AC63A4" w:rsidRDefault="00A502A7" w:rsidP="00AC63A4">
      <w:pPr>
        <w:pStyle w:val="FootnoteText"/>
        <w:numPr>
          <w:ilvl w:val="0"/>
          <w:numId w:val="27"/>
        </w:numPr>
        <w:spacing w:after="0"/>
        <w:rPr>
          <w:sz w:val="22"/>
          <w:szCs w:val="22"/>
        </w:rPr>
      </w:pPr>
      <w:r w:rsidRPr="00EB278D">
        <w:rPr>
          <w:sz w:val="22"/>
          <w:szCs w:val="22"/>
        </w:rPr>
        <w:t>Heyman D</w:t>
      </w:r>
      <w:r w:rsidR="00664FCB">
        <w:rPr>
          <w:sz w:val="22"/>
          <w:szCs w:val="22"/>
        </w:rPr>
        <w:t>,</w:t>
      </w:r>
      <w:r w:rsidRPr="00EB278D">
        <w:rPr>
          <w:sz w:val="22"/>
          <w:szCs w:val="22"/>
        </w:rPr>
        <w:t xml:space="preserve"> Editor</w:t>
      </w:r>
      <w:r w:rsidR="00664FCB">
        <w:rPr>
          <w:sz w:val="22"/>
          <w:szCs w:val="22"/>
        </w:rPr>
        <w:t xml:space="preserve"> 2015, </w:t>
      </w:r>
      <w:r w:rsidRPr="00EB278D">
        <w:rPr>
          <w:i/>
          <w:sz w:val="22"/>
          <w:szCs w:val="22"/>
        </w:rPr>
        <w:t>Control of Communicable Diseases Manual, 20</w:t>
      </w:r>
      <w:r w:rsidRPr="00EB278D">
        <w:rPr>
          <w:i/>
          <w:sz w:val="22"/>
          <w:szCs w:val="22"/>
          <w:vertAlign w:val="superscript"/>
        </w:rPr>
        <w:t>th</w:t>
      </w:r>
      <w:r w:rsidRPr="00EB278D">
        <w:rPr>
          <w:i/>
          <w:sz w:val="22"/>
          <w:szCs w:val="22"/>
        </w:rPr>
        <w:t xml:space="preserve"> ed.</w:t>
      </w:r>
      <w:r w:rsidRPr="00EB278D">
        <w:rPr>
          <w:sz w:val="22"/>
          <w:szCs w:val="22"/>
        </w:rPr>
        <w:t xml:space="preserve"> American Public Health Association</w:t>
      </w:r>
      <w:r w:rsidR="00664FCB">
        <w:rPr>
          <w:sz w:val="22"/>
          <w:szCs w:val="22"/>
        </w:rPr>
        <w:t>,</w:t>
      </w:r>
      <w:r w:rsidR="00664FCB" w:rsidRPr="00664FCB">
        <w:rPr>
          <w:sz w:val="22"/>
          <w:szCs w:val="22"/>
        </w:rPr>
        <w:t xml:space="preserve"> </w:t>
      </w:r>
      <w:r w:rsidR="00664FCB" w:rsidRPr="00683B73">
        <w:rPr>
          <w:sz w:val="22"/>
          <w:szCs w:val="22"/>
        </w:rPr>
        <w:t>Washington</w:t>
      </w:r>
      <w:r w:rsidR="00664FCB">
        <w:rPr>
          <w:sz w:val="22"/>
          <w:szCs w:val="22"/>
        </w:rPr>
        <w:t>.</w:t>
      </w:r>
    </w:p>
    <w:p w14:paraId="6F01C3DD" w14:textId="77777777" w:rsidR="00A502A7" w:rsidRPr="00AC63A4" w:rsidRDefault="00A502A7" w:rsidP="00AC63A4">
      <w:pPr>
        <w:pStyle w:val="EndnoteText"/>
        <w:numPr>
          <w:ilvl w:val="0"/>
          <w:numId w:val="27"/>
        </w:numPr>
        <w:spacing w:after="0"/>
        <w:rPr>
          <w:rFonts w:cs="Arial"/>
          <w:color w:val="0000FF"/>
          <w:sz w:val="22"/>
          <w:szCs w:val="22"/>
          <w:u w:val="single"/>
        </w:rPr>
      </w:pPr>
      <w:r w:rsidRPr="00EB278D">
        <w:rPr>
          <w:rFonts w:cs="Arial"/>
          <w:color w:val="222222"/>
          <w:sz w:val="22"/>
          <w:szCs w:val="22"/>
        </w:rPr>
        <w:t>Department of Health</w:t>
      </w:r>
      <w:r w:rsidR="00664FCB">
        <w:rPr>
          <w:sz w:val="22"/>
          <w:szCs w:val="22"/>
        </w:rPr>
        <w:t xml:space="preserve"> 2015,</w:t>
      </w:r>
      <w:r w:rsidRPr="00EB278D">
        <w:rPr>
          <w:sz w:val="22"/>
          <w:szCs w:val="22"/>
        </w:rPr>
        <w:t xml:space="preserve"> </w:t>
      </w:r>
      <w:r w:rsidRPr="00EB278D">
        <w:rPr>
          <w:i/>
          <w:sz w:val="22"/>
          <w:szCs w:val="22"/>
        </w:rPr>
        <w:t>Australian national notifiable diseases and case definitions</w:t>
      </w:r>
      <w:r w:rsidRPr="00EB278D">
        <w:rPr>
          <w:sz w:val="22"/>
          <w:szCs w:val="22"/>
        </w:rPr>
        <w:t>.  Available from</w:t>
      </w:r>
      <w:r w:rsidR="009B4091">
        <w:rPr>
          <w:sz w:val="22"/>
          <w:szCs w:val="22"/>
        </w:rPr>
        <w:t xml:space="preserve"> the </w:t>
      </w:r>
      <w:hyperlink r:id="rId27" w:history="1">
        <w:r w:rsidR="009B4091" w:rsidRPr="00D332DB">
          <w:rPr>
            <w:rStyle w:val="Hyperlink"/>
          </w:rPr>
          <w:t>Department of Health’s website</w:t>
        </w:r>
      </w:hyperlink>
      <w:r w:rsidR="009B4091" w:rsidRPr="006C1EA7">
        <w:rPr>
          <w:rStyle w:val="Hyperlink"/>
          <w:rFonts w:cs="Arial"/>
          <w:szCs w:val="22"/>
        </w:rPr>
        <w:t xml:space="preserve"> </w:t>
      </w:r>
    </w:p>
    <w:p w14:paraId="31C3F8C9" w14:textId="77777777" w:rsidR="00A502A7" w:rsidRPr="00AC63A4" w:rsidRDefault="00A502A7" w:rsidP="00AC63A4">
      <w:pPr>
        <w:pStyle w:val="FootnoteText"/>
        <w:numPr>
          <w:ilvl w:val="0"/>
          <w:numId w:val="27"/>
        </w:numPr>
        <w:spacing w:after="0"/>
        <w:rPr>
          <w:sz w:val="22"/>
          <w:szCs w:val="22"/>
        </w:rPr>
      </w:pPr>
      <w:r w:rsidRPr="00EB278D">
        <w:rPr>
          <w:sz w:val="22"/>
          <w:szCs w:val="22"/>
        </w:rPr>
        <w:t xml:space="preserve">Plouffe JF, File TM, </w:t>
      </w:r>
      <w:proofErr w:type="spellStart"/>
      <w:r w:rsidRPr="00EB278D">
        <w:rPr>
          <w:sz w:val="22"/>
          <w:szCs w:val="22"/>
        </w:rPr>
        <w:t>Breiman</w:t>
      </w:r>
      <w:proofErr w:type="spellEnd"/>
      <w:r w:rsidRPr="00EB278D">
        <w:rPr>
          <w:sz w:val="22"/>
          <w:szCs w:val="22"/>
        </w:rPr>
        <w:t xml:space="preserve"> RF, et al</w:t>
      </w:r>
      <w:r w:rsidR="00664FCB">
        <w:rPr>
          <w:sz w:val="22"/>
          <w:szCs w:val="22"/>
        </w:rPr>
        <w:t xml:space="preserve"> 1995, ‘</w:t>
      </w:r>
      <w:proofErr w:type="spellStart"/>
      <w:r w:rsidRPr="00EB278D">
        <w:rPr>
          <w:sz w:val="22"/>
          <w:szCs w:val="22"/>
        </w:rPr>
        <w:t>Reevaluation</w:t>
      </w:r>
      <w:proofErr w:type="spellEnd"/>
      <w:r w:rsidRPr="00EB278D">
        <w:rPr>
          <w:sz w:val="22"/>
          <w:szCs w:val="22"/>
        </w:rPr>
        <w:t xml:space="preserve"> of the definition of Legionnaires’ disease: use of the urinary antigen assay</w:t>
      </w:r>
      <w:r w:rsidR="00664FCB">
        <w:rPr>
          <w:sz w:val="22"/>
          <w:szCs w:val="22"/>
        </w:rPr>
        <w:t>’,</w:t>
      </w:r>
      <w:r w:rsidRPr="00EB278D">
        <w:rPr>
          <w:sz w:val="22"/>
          <w:szCs w:val="22"/>
        </w:rPr>
        <w:t xml:space="preserve"> </w:t>
      </w:r>
      <w:r w:rsidRPr="00EB278D">
        <w:rPr>
          <w:i/>
          <w:iCs/>
          <w:sz w:val="22"/>
          <w:szCs w:val="22"/>
        </w:rPr>
        <w:t>Clin Infect Dis</w:t>
      </w:r>
      <w:r w:rsidR="00664FCB">
        <w:rPr>
          <w:sz w:val="22"/>
          <w:szCs w:val="22"/>
        </w:rPr>
        <w:t xml:space="preserve">, vol. </w:t>
      </w:r>
      <w:r w:rsidRPr="00EB278D">
        <w:rPr>
          <w:sz w:val="22"/>
          <w:szCs w:val="22"/>
        </w:rPr>
        <w:t>20</w:t>
      </w:r>
      <w:r w:rsidR="00664FCB">
        <w:rPr>
          <w:sz w:val="22"/>
          <w:szCs w:val="22"/>
        </w:rPr>
        <w:t>, pp.</w:t>
      </w:r>
      <w:r w:rsidR="00030866">
        <w:rPr>
          <w:sz w:val="22"/>
          <w:szCs w:val="22"/>
        </w:rPr>
        <w:t>1286 </w:t>
      </w:r>
      <w:r w:rsidRPr="00EB278D">
        <w:rPr>
          <w:sz w:val="22"/>
          <w:szCs w:val="22"/>
        </w:rPr>
        <w:t>–1291.</w:t>
      </w:r>
    </w:p>
    <w:p w14:paraId="462C0877" w14:textId="77777777" w:rsidR="00A502A7" w:rsidRPr="00AC63A4" w:rsidRDefault="00A502A7" w:rsidP="00AC63A4">
      <w:pPr>
        <w:pStyle w:val="EndnoteText"/>
        <w:numPr>
          <w:ilvl w:val="0"/>
          <w:numId w:val="27"/>
        </w:numPr>
        <w:spacing w:after="0"/>
        <w:rPr>
          <w:sz w:val="22"/>
          <w:szCs w:val="22"/>
        </w:rPr>
      </w:pPr>
      <w:proofErr w:type="spellStart"/>
      <w:r w:rsidRPr="00EB278D">
        <w:rPr>
          <w:sz w:val="22"/>
          <w:szCs w:val="22"/>
        </w:rPr>
        <w:t>Zuravleff</w:t>
      </w:r>
      <w:proofErr w:type="spellEnd"/>
      <w:r w:rsidRPr="00EB278D">
        <w:rPr>
          <w:sz w:val="22"/>
          <w:szCs w:val="22"/>
        </w:rPr>
        <w:t xml:space="preserve"> JJ, Yu VL, </w:t>
      </w:r>
      <w:proofErr w:type="spellStart"/>
      <w:r w:rsidRPr="00EB278D">
        <w:rPr>
          <w:sz w:val="22"/>
          <w:szCs w:val="22"/>
        </w:rPr>
        <w:t>Shonnard</w:t>
      </w:r>
      <w:proofErr w:type="spellEnd"/>
      <w:r w:rsidRPr="00EB278D">
        <w:rPr>
          <w:sz w:val="22"/>
          <w:szCs w:val="22"/>
        </w:rPr>
        <w:t xml:space="preserve"> JW, et al</w:t>
      </w:r>
      <w:r w:rsidR="00664FCB">
        <w:rPr>
          <w:sz w:val="22"/>
          <w:szCs w:val="22"/>
        </w:rPr>
        <w:t xml:space="preserve"> 1983, ‘</w:t>
      </w:r>
      <w:r w:rsidRPr="00EB278D">
        <w:rPr>
          <w:sz w:val="22"/>
          <w:szCs w:val="22"/>
        </w:rPr>
        <w:t>Diagnosis of Legionnaires’ disease. An update of laboratory methods with new emphasis on isolation by culture</w:t>
      </w:r>
      <w:r w:rsidR="00664FCB">
        <w:rPr>
          <w:sz w:val="22"/>
          <w:szCs w:val="22"/>
        </w:rPr>
        <w:t>’,</w:t>
      </w:r>
      <w:r w:rsidRPr="00EB278D">
        <w:rPr>
          <w:sz w:val="22"/>
          <w:szCs w:val="22"/>
        </w:rPr>
        <w:t xml:space="preserve"> </w:t>
      </w:r>
      <w:r w:rsidRPr="00EB278D">
        <w:rPr>
          <w:i/>
          <w:iCs/>
          <w:sz w:val="22"/>
          <w:szCs w:val="22"/>
        </w:rPr>
        <w:t>JAMA</w:t>
      </w:r>
      <w:r w:rsidR="00664FCB">
        <w:rPr>
          <w:sz w:val="22"/>
          <w:szCs w:val="22"/>
        </w:rPr>
        <w:t>,</w:t>
      </w:r>
      <w:r w:rsidRPr="00EB278D">
        <w:rPr>
          <w:sz w:val="22"/>
          <w:szCs w:val="22"/>
        </w:rPr>
        <w:t xml:space="preserve"> </w:t>
      </w:r>
      <w:r w:rsidR="00664FCB">
        <w:rPr>
          <w:sz w:val="22"/>
          <w:szCs w:val="22"/>
        </w:rPr>
        <w:t xml:space="preserve">vol. </w:t>
      </w:r>
      <w:r w:rsidRPr="00EB278D">
        <w:rPr>
          <w:sz w:val="22"/>
          <w:szCs w:val="22"/>
        </w:rPr>
        <w:t>250</w:t>
      </w:r>
      <w:r w:rsidR="00664FCB">
        <w:rPr>
          <w:sz w:val="22"/>
          <w:szCs w:val="22"/>
        </w:rPr>
        <w:t>, pp.</w:t>
      </w:r>
      <w:r w:rsidRPr="00EB278D">
        <w:rPr>
          <w:sz w:val="22"/>
          <w:szCs w:val="22"/>
        </w:rPr>
        <w:t>1981–1985.</w:t>
      </w:r>
    </w:p>
    <w:p w14:paraId="224DA815" w14:textId="77777777" w:rsidR="00A502A7" w:rsidRPr="00AC63A4" w:rsidRDefault="00A502A7" w:rsidP="00AC63A4">
      <w:pPr>
        <w:pStyle w:val="EndnoteText"/>
        <w:numPr>
          <w:ilvl w:val="0"/>
          <w:numId w:val="27"/>
        </w:numPr>
        <w:spacing w:after="0"/>
        <w:rPr>
          <w:sz w:val="22"/>
          <w:szCs w:val="22"/>
        </w:rPr>
      </w:pPr>
      <w:r w:rsidRPr="00EB278D">
        <w:rPr>
          <w:noProof/>
          <w:sz w:val="22"/>
          <w:szCs w:val="22"/>
          <w:lang w:val="en-US"/>
        </w:rPr>
        <w:t>Centers for Disease Control and Prevention</w:t>
      </w:r>
      <w:r w:rsidR="00664FCB">
        <w:rPr>
          <w:noProof/>
          <w:sz w:val="22"/>
          <w:szCs w:val="22"/>
          <w:lang w:val="en-US"/>
        </w:rPr>
        <w:t xml:space="preserve"> 2013,</w:t>
      </w:r>
      <w:r w:rsidRPr="00EB278D">
        <w:rPr>
          <w:noProof/>
          <w:sz w:val="22"/>
          <w:szCs w:val="22"/>
          <w:lang w:val="en-US"/>
        </w:rPr>
        <w:t xml:space="preserve"> </w:t>
      </w:r>
      <w:r w:rsidRPr="00EB278D">
        <w:rPr>
          <w:i/>
          <w:iCs/>
          <w:noProof/>
          <w:sz w:val="22"/>
          <w:szCs w:val="22"/>
          <w:lang w:val="en-US"/>
        </w:rPr>
        <w:t>Legionella (Legionnaires' Disease and Pontiac Fever), Diagnostic Testing</w:t>
      </w:r>
      <w:r w:rsidR="00220E31">
        <w:rPr>
          <w:noProof/>
          <w:sz w:val="22"/>
          <w:szCs w:val="22"/>
          <w:lang w:val="en-US"/>
        </w:rPr>
        <w:t xml:space="preserve">. Available from </w:t>
      </w:r>
      <w:hyperlink r:id="rId28" w:history="1">
        <w:r w:rsidR="00220E31" w:rsidRPr="00220E31">
          <w:rPr>
            <w:rStyle w:val="Hyperlink"/>
            <w:noProof/>
            <w:szCs w:val="22"/>
            <w:lang w:val="en-US"/>
          </w:rPr>
          <w:t>Centers for Disease Control and Prevention</w:t>
        </w:r>
      </w:hyperlink>
      <w:r w:rsidRPr="00EB278D">
        <w:rPr>
          <w:noProof/>
          <w:sz w:val="22"/>
          <w:szCs w:val="22"/>
          <w:lang w:val="en-US"/>
        </w:rPr>
        <w:t xml:space="preserve"> </w:t>
      </w:r>
    </w:p>
    <w:p w14:paraId="1835E1DB" w14:textId="77777777" w:rsidR="00A502A7" w:rsidRPr="00AC63A4" w:rsidRDefault="00A502A7" w:rsidP="00AC63A4">
      <w:pPr>
        <w:pStyle w:val="EndnoteText"/>
        <w:numPr>
          <w:ilvl w:val="0"/>
          <w:numId w:val="27"/>
        </w:numPr>
        <w:spacing w:after="0"/>
        <w:rPr>
          <w:sz w:val="22"/>
          <w:szCs w:val="22"/>
        </w:rPr>
      </w:pPr>
      <w:r w:rsidRPr="00EB278D">
        <w:rPr>
          <w:sz w:val="22"/>
          <w:szCs w:val="22"/>
        </w:rPr>
        <w:t>Mayhall CG, editor</w:t>
      </w:r>
      <w:r w:rsidR="00664FCB">
        <w:rPr>
          <w:sz w:val="22"/>
          <w:szCs w:val="22"/>
        </w:rPr>
        <w:t xml:space="preserve"> 2012,</w:t>
      </w:r>
      <w:r w:rsidRPr="00EB278D">
        <w:rPr>
          <w:sz w:val="22"/>
          <w:szCs w:val="22"/>
        </w:rPr>
        <w:t xml:space="preserve"> </w:t>
      </w:r>
      <w:r w:rsidRPr="00EB278D">
        <w:rPr>
          <w:i/>
          <w:iCs/>
          <w:sz w:val="22"/>
          <w:szCs w:val="22"/>
        </w:rPr>
        <w:t>Hospital Epidemiology and Infection Control</w:t>
      </w:r>
      <w:r w:rsidR="00497215">
        <w:rPr>
          <w:sz w:val="22"/>
          <w:szCs w:val="22"/>
        </w:rPr>
        <w:t>,</w:t>
      </w:r>
      <w:r w:rsidRPr="00EB278D">
        <w:rPr>
          <w:sz w:val="22"/>
          <w:szCs w:val="22"/>
        </w:rPr>
        <w:t xml:space="preserve"> </w:t>
      </w:r>
      <w:r w:rsidRPr="00EB278D">
        <w:rPr>
          <w:i/>
          <w:sz w:val="22"/>
          <w:szCs w:val="22"/>
        </w:rPr>
        <w:t>4th ed.</w:t>
      </w:r>
      <w:r w:rsidRPr="00EB278D">
        <w:rPr>
          <w:sz w:val="22"/>
          <w:szCs w:val="22"/>
        </w:rPr>
        <w:t xml:space="preserve"> Lippincott Williams &amp; Wilkins</w:t>
      </w:r>
      <w:r w:rsidR="00664FCB">
        <w:rPr>
          <w:sz w:val="22"/>
          <w:szCs w:val="22"/>
        </w:rPr>
        <w:t>,</w:t>
      </w:r>
      <w:r w:rsidR="00664FCB" w:rsidRPr="00664FCB">
        <w:rPr>
          <w:sz w:val="22"/>
          <w:szCs w:val="22"/>
        </w:rPr>
        <w:t xml:space="preserve"> </w:t>
      </w:r>
      <w:r w:rsidR="00664FCB" w:rsidRPr="004839B7">
        <w:rPr>
          <w:sz w:val="22"/>
          <w:szCs w:val="22"/>
        </w:rPr>
        <w:t>Philadelphia</w:t>
      </w:r>
      <w:r w:rsidR="00664FCB">
        <w:rPr>
          <w:sz w:val="22"/>
          <w:szCs w:val="22"/>
        </w:rPr>
        <w:t>.</w:t>
      </w:r>
    </w:p>
    <w:p w14:paraId="6626592F" w14:textId="77777777" w:rsidR="00A502A7" w:rsidRDefault="00A502A7" w:rsidP="00AC63A4">
      <w:pPr>
        <w:pStyle w:val="EndnoteText"/>
        <w:numPr>
          <w:ilvl w:val="0"/>
          <w:numId w:val="27"/>
        </w:numPr>
        <w:spacing w:after="0"/>
        <w:rPr>
          <w:sz w:val="22"/>
          <w:szCs w:val="22"/>
        </w:rPr>
      </w:pPr>
      <w:proofErr w:type="spellStart"/>
      <w:r w:rsidRPr="00EB278D">
        <w:rPr>
          <w:sz w:val="22"/>
          <w:szCs w:val="22"/>
        </w:rPr>
        <w:t>eTG</w:t>
      </w:r>
      <w:proofErr w:type="spellEnd"/>
      <w:r w:rsidRPr="00EB278D">
        <w:rPr>
          <w:sz w:val="22"/>
          <w:szCs w:val="22"/>
        </w:rPr>
        <w:t xml:space="preserve"> Complete July 2015</w:t>
      </w:r>
      <w:r w:rsidR="001F151F">
        <w:rPr>
          <w:sz w:val="22"/>
          <w:szCs w:val="22"/>
        </w:rPr>
        <w:t>,</w:t>
      </w:r>
      <w:r w:rsidRPr="00EB278D">
        <w:rPr>
          <w:sz w:val="22"/>
          <w:szCs w:val="22"/>
        </w:rPr>
        <w:t xml:space="preserve"> </w:t>
      </w:r>
      <w:r w:rsidRPr="00EB278D">
        <w:rPr>
          <w:i/>
          <w:sz w:val="22"/>
          <w:szCs w:val="22"/>
        </w:rPr>
        <w:t>Therapeutic Guidelines</w:t>
      </w:r>
      <w:r w:rsidR="00A16FC1">
        <w:rPr>
          <w:sz w:val="22"/>
          <w:szCs w:val="22"/>
        </w:rPr>
        <w:t>.</w:t>
      </w:r>
      <w:r w:rsidRPr="00EB278D">
        <w:rPr>
          <w:sz w:val="22"/>
          <w:szCs w:val="22"/>
        </w:rPr>
        <w:t xml:space="preserve"> Available from</w:t>
      </w:r>
      <w:r w:rsidR="00220E31">
        <w:rPr>
          <w:sz w:val="22"/>
          <w:szCs w:val="22"/>
        </w:rPr>
        <w:t xml:space="preserve"> the </w:t>
      </w:r>
      <w:hyperlink r:id="rId29" w:history="1">
        <w:proofErr w:type="spellStart"/>
        <w:r w:rsidR="00030866">
          <w:rPr>
            <w:rStyle w:val="Hyperlink"/>
            <w:szCs w:val="22"/>
          </w:rPr>
          <w:t>eTG</w:t>
        </w:r>
        <w:proofErr w:type="spellEnd"/>
        <w:r w:rsidR="00030866">
          <w:rPr>
            <w:rStyle w:val="Hyperlink"/>
            <w:szCs w:val="22"/>
          </w:rPr>
          <w:t> complete </w:t>
        </w:r>
        <w:r w:rsidR="00220E31" w:rsidRPr="00220E31">
          <w:rPr>
            <w:rStyle w:val="Hyperlink"/>
            <w:szCs w:val="22"/>
          </w:rPr>
          <w:t>website</w:t>
        </w:r>
      </w:hyperlink>
      <w:r w:rsidR="00220E31">
        <w:rPr>
          <w:sz w:val="22"/>
          <w:szCs w:val="22"/>
        </w:rPr>
        <w:t xml:space="preserve"> </w:t>
      </w:r>
    </w:p>
    <w:p w14:paraId="68385CFA" w14:textId="77777777" w:rsidR="00030866" w:rsidRPr="00030866" w:rsidRDefault="00030866" w:rsidP="00030866">
      <w:pPr>
        <w:pStyle w:val="EndnoteText"/>
        <w:spacing w:after="0"/>
        <w:ind w:left="360"/>
        <w:rPr>
          <w:sz w:val="22"/>
          <w:szCs w:val="22"/>
        </w:rPr>
      </w:pPr>
    </w:p>
    <w:p w14:paraId="5553DB27" w14:textId="77777777" w:rsidR="00A502A7" w:rsidRPr="006C1EA7" w:rsidRDefault="00A502A7" w:rsidP="00AC63A4">
      <w:pPr>
        <w:pStyle w:val="EndnoteText"/>
        <w:spacing w:after="0"/>
        <w:rPr>
          <w:b/>
          <w:sz w:val="22"/>
          <w:szCs w:val="22"/>
        </w:rPr>
      </w:pPr>
      <w:r w:rsidRPr="00EB278D">
        <w:rPr>
          <w:b/>
          <w:sz w:val="22"/>
          <w:szCs w:val="22"/>
        </w:rPr>
        <w:t>Additional sources of information</w:t>
      </w:r>
    </w:p>
    <w:p w14:paraId="0D0B5C6F" w14:textId="77777777" w:rsidR="00A502A7" w:rsidRPr="006C1EA7" w:rsidRDefault="00A502A7" w:rsidP="00AC63A4">
      <w:pPr>
        <w:pStyle w:val="ListParagraph"/>
        <w:spacing w:after="0"/>
        <w:rPr>
          <w:noProof/>
        </w:rPr>
      </w:pPr>
    </w:p>
    <w:p w14:paraId="15D2756E" w14:textId="1E6C816B" w:rsidR="00220E31" w:rsidRPr="00A563BD" w:rsidRDefault="00A502A7" w:rsidP="003505A6">
      <w:pPr>
        <w:pStyle w:val="EndnoteText"/>
        <w:numPr>
          <w:ilvl w:val="0"/>
          <w:numId w:val="27"/>
        </w:numPr>
        <w:spacing w:after="0"/>
        <w:ind w:left="357" w:hanging="357"/>
        <w:rPr>
          <w:sz w:val="22"/>
          <w:szCs w:val="22"/>
        </w:rPr>
      </w:pPr>
      <w:r w:rsidRPr="00EB278D">
        <w:rPr>
          <w:noProof/>
          <w:sz w:val="22"/>
          <w:szCs w:val="22"/>
          <w:lang w:val="en-US"/>
        </w:rPr>
        <w:t>Centers for Disease Control and Prevention</w:t>
      </w:r>
      <w:r w:rsidR="001F151F">
        <w:rPr>
          <w:noProof/>
          <w:sz w:val="22"/>
          <w:szCs w:val="22"/>
          <w:lang w:val="en-US"/>
        </w:rPr>
        <w:t xml:space="preserve"> 2016, </w:t>
      </w:r>
      <w:r w:rsidR="001F151F" w:rsidRPr="00EB278D">
        <w:rPr>
          <w:i/>
          <w:sz w:val="22"/>
          <w:szCs w:val="22"/>
        </w:rPr>
        <w:t>D</w:t>
      </w:r>
      <w:r w:rsidRPr="00EB278D">
        <w:rPr>
          <w:i/>
          <w:sz w:val="22"/>
          <w:szCs w:val="22"/>
        </w:rPr>
        <w:t>eveloping a Water Management Program to Reduce Legionella Growth &amp; Spread in Buildings. A Practical Guide to Implementing Industry Standards</w:t>
      </w:r>
      <w:r w:rsidRPr="00EB278D">
        <w:rPr>
          <w:noProof/>
          <w:sz w:val="22"/>
          <w:szCs w:val="22"/>
          <w:lang w:val="en-US"/>
        </w:rPr>
        <w:t xml:space="preserve">. Available from </w:t>
      </w:r>
      <w:hyperlink r:id="rId30" w:history="1">
        <w:r w:rsidR="00220E31" w:rsidRPr="00220E31">
          <w:rPr>
            <w:rStyle w:val="Hyperlink"/>
            <w:noProof/>
            <w:szCs w:val="22"/>
            <w:lang w:val="en-US"/>
          </w:rPr>
          <w:t>Centers for Disease Control and Prevention</w:t>
        </w:r>
      </w:hyperlink>
      <w:r w:rsidR="00220E31">
        <w:rPr>
          <w:noProof/>
          <w:sz w:val="22"/>
          <w:szCs w:val="22"/>
          <w:lang w:val="en-US"/>
        </w:rPr>
        <w:t xml:space="preserve"> </w:t>
      </w:r>
    </w:p>
    <w:p w14:paraId="4780F7B9" w14:textId="43A1D895" w:rsidR="00A563BD" w:rsidRPr="003505A6" w:rsidRDefault="00A563BD" w:rsidP="00A563BD">
      <w:pPr>
        <w:pStyle w:val="EndnoteText"/>
        <w:spacing w:after="0"/>
        <w:ind w:left="357"/>
        <w:rPr>
          <w:sz w:val="22"/>
          <w:szCs w:val="22"/>
        </w:rPr>
      </w:pPr>
    </w:p>
    <w:p w14:paraId="45EFBADA" w14:textId="77777777" w:rsidR="00A502A7" w:rsidRPr="00D63F79" w:rsidRDefault="00A502A7" w:rsidP="00C05EBA">
      <w:pPr>
        <w:pStyle w:val="Heading1"/>
      </w:pPr>
      <w:r w:rsidRPr="00D63F79">
        <w:t>15. Appendices</w:t>
      </w:r>
    </w:p>
    <w:p w14:paraId="1292E09D" w14:textId="77777777" w:rsidR="005E6C28" w:rsidRPr="005E6C28" w:rsidRDefault="005E6C28" w:rsidP="005E6C28">
      <w:pPr>
        <w:pStyle w:val="BodyText"/>
        <w:ind w:left="720"/>
        <w:rPr>
          <w:lang w:val="en-AU"/>
        </w:rPr>
      </w:pPr>
      <w:r w:rsidRPr="005E6C28">
        <w:t xml:space="preserve">Appendix 1 </w:t>
      </w:r>
      <w:r w:rsidRPr="005E6C28">
        <w:rPr>
          <w:lang w:val="en-AU"/>
        </w:rPr>
        <w:t>Legionellosis investigation form</w:t>
      </w:r>
    </w:p>
    <w:p w14:paraId="6C72B9F8" w14:textId="3AD14A17" w:rsidR="00C9683D" w:rsidRPr="00D63F79" w:rsidRDefault="005E6C28" w:rsidP="003505A6">
      <w:pPr>
        <w:pStyle w:val="BodyText"/>
        <w:ind w:left="720"/>
        <w:rPr>
          <w:rFonts w:ascii="Arial" w:hAnsi="Arial"/>
        </w:rPr>
      </w:pPr>
      <w:r w:rsidRPr="005E6C28">
        <w:rPr>
          <w:rFonts w:ascii="Arial" w:hAnsi="Arial"/>
          <w:lang w:val="en-AU"/>
        </w:rPr>
        <w:t>Appendix 2 Legionella and legionellosis CDNA fact sheet</w:t>
      </w:r>
    </w:p>
    <w:sectPr w:rsidR="00C9683D" w:rsidRPr="00D63F79" w:rsidSect="00874EBB">
      <w:headerReference w:type="even" r:id="rId31"/>
      <w:footerReference w:type="even" r:id="rId32"/>
      <w:footerReference w:type="default" r:id="rId33"/>
      <w:headerReference w:type="first" r:id="rId34"/>
      <w:footnotePr>
        <w:numFmt w:val="chicago"/>
      </w:footnotePr>
      <w:endnotePr>
        <w:numFmt w:val="decimal"/>
      </w:endnotePr>
      <w:type w:val="continuous"/>
      <w:pgSz w:w="11906" w:h="16838" w:code="9"/>
      <w:pgMar w:top="1165" w:right="1797" w:bottom="993" w:left="1797" w:header="397"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FC7E" w14:textId="77777777" w:rsidR="00065699" w:rsidRDefault="00065699" w:rsidP="00C05EBA">
      <w:r>
        <w:separator/>
      </w:r>
    </w:p>
    <w:p w14:paraId="52EF4237" w14:textId="77777777" w:rsidR="00065699" w:rsidRDefault="00065699" w:rsidP="00C05EBA"/>
  </w:endnote>
  <w:endnote w:type="continuationSeparator" w:id="0">
    <w:p w14:paraId="16E7E805" w14:textId="77777777" w:rsidR="00065699" w:rsidRDefault="00065699" w:rsidP="00C05EBA">
      <w:r>
        <w:continuationSeparator/>
      </w:r>
    </w:p>
    <w:p w14:paraId="59BCBB11" w14:textId="77777777" w:rsidR="00065699" w:rsidRDefault="00065699" w:rsidP="00C05EBA"/>
  </w:endnote>
  <w:endnote w:type="continuationNotice" w:id="1">
    <w:p w14:paraId="0A6BBC18" w14:textId="77777777" w:rsidR="00065699" w:rsidRDefault="00065699" w:rsidP="00C05EBA"/>
    <w:p w14:paraId="621B8B74" w14:textId="77777777" w:rsidR="00065699" w:rsidRDefault="00065699" w:rsidP="00C05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St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8E64" w14:textId="77777777" w:rsidR="00EB278D" w:rsidRDefault="00EB278D" w:rsidP="00C05EB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38D5BAF" w14:textId="77777777" w:rsidR="00EB278D" w:rsidRDefault="00EB278D" w:rsidP="00C05EBA">
    <w:pPr>
      <w:pStyle w:val="Footer"/>
    </w:pPr>
    <w:r>
      <w:t>17 December 1999</w:t>
    </w:r>
  </w:p>
  <w:p w14:paraId="51031BBE" w14:textId="77777777" w:rsidR="00EB278D" w:rsidRDefault="00EB278D" w:rsidP="00C05E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03D5" w14:textId="77777777" w:rsidR="00EB278D" w:rsidRDefault="00EB278D" w:rsidP="00C05EBA">
    <w:pPr>
      <w:pStyle w:val="Footer"/>
    </w:pPr>
    <w:r>
      <w:rPr>
        <w:rStyle w:val="PageNumber"/>
        <w:rFonts w:cs="Arial"/>
        <w:sz w:val="16"/>
      </w:rPr>
      <w:t xml:space="preserve">Legionellosis </w:t>
    </w:r>
    <w:proofErr w:type="spellStart"/>
    <w:r>
      <w:rPr>
        <w:rStyle w:val="PageNumber"/>
        <w:rFonts w:cs="Arial"/>
        <w:sz w:val="16"/>
      </w:rPr>
      <w:t>SoNG</w:t>
    </w:r>
    <w:proofErr w:type="spellEnd"/>
    <w:r>
      <w:rPr>
        <w:rStyle w:val="PageNumber"/>
        <w:rFonts w:cs="Arial"/>
        <w:sz w:val="16"/>
      </w:rPr>
      <w:t xml:space="preserve"> Version 17</w:t>
    </w:r>
    <w:r>
      <w:rPr>
        <w:rStyle w:val="PageNumber"/>
        <w:rFonts w:cs="Arial"/>
        <w:sz w:val="16"/>
      </w:rPr>
      <w:tab/>
    </w:r>
    <w:r>
      <w:rPr>
        <w:rStyle w:val="PageNumber"/>
        <w:rFonts w:cs="Arial"/>
        <w:sz w:val="16"/>
      </w:rPr>
      <w:tab/>
      <w:t xml:space="preserve">Page </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7D7F3C">
      <w:rPr>
        <w:rStyle w:val="PageNumber"/>
        <w:rFonts w:cs="Arial"/>
        <w:noProof/>
        <w:sz w:val="16"/>
      </w:rPr>
      <w:t>15</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sidR="007D7F3C">
      <w:rPr>
        <w:rStyle w:val="PageNumber"/>
        <w:rFonts w:cs="Arial"/>
        <w:noProof/>
        <w:sz w:val="16"/>
      </w:rPr>
      <w:t>15</w:t>
    </w:r>
    <w:r>
      <w:rPr>
        <w:rStyle w:val="PageNumber"/>
        <w:rFonts w:cs="Arial"/>
        <w:sz w:val="16"/>
      </w:rPr>
      <w:fldChar w:fldCharType="end"/>
    </w:r>
  </w:p>
  <w:p w14:paraId="0DF5D5A1" w14:textId="77777777" w:rsidR="00EB278D" w:rsidRDefault="00EB278D" w:rsidP="00C05E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DA47F" w14:textId="77777777" w:rsidR="00065699" w:rsidRDefault="00065699" w:rsidP="00C05EBA">
      <w:r>
        <w:separator/>
      </w:r>
    </w:p>
    <w:p w14:paraId="4B7C7CDE" w14:textId="77777777" w:rsidR="00065699" w:rsidRDefault="00065699" w:rsidP="00C05EBA"/>
  </w:footnote>
  <w:footnote w:type="continuationSeparator" w:id="0">
    <w:p w14:paraId="067ACE1C" w14:textId="77777777" w:rsidR="00065699" w:rsidRDefault="00065699" w:rsidP="00C05EBA">
      <w:r>
        <w:continuationSeparator/>
      </w:r>
    </w:p>
    <w:p w14:paraId="3041AC24" w14:textId="77777777" w:rsidR="00065699" w:rsidRDefault="00065699" w:rsidP="00C05EBA"/>
  </w:footnote>
  <w:footnote w:type="continuationNotice" w:id="1">
    <w:p w14:paraId="5856ED2A" w14:textId="77777777" w:rsidR="00065699" w:rsidRDefault="00065699" w:rsidP="00C05EBA"/>
    <w:p w14:paraId="19D54704" w14:textId="77777777" w:rsidR="00065699" w:rsidRDefault="00065699" w:rsidP="00C05EBA"/>
  </w:footnote>
  <w:footnote w:id="2">
    <w:p w14:paraId="5A9AF515" w14:textId="77777777" w:rsidR="00EB278D" w:rsidRPr="00EB278D" w:rsidRDefault="00EB278D" w:rsidP="001E467A">
      <w:pPr>
        <w:pStyle w:val="bullet"/>
        <w:numPr>
          <w:ilvl w:val="0"/>
          <w:numId w:val="0"/>
        </w:numPr>
      </w:pPr>
      <w:r w:rsidRPr="00EB278D">
        <w:t>*Definitions:</w:t>
      </w:r>
    </w:p>
    <w:p w14:paraId="05B8FC20" w14:textId="77777777" w:rsidR="00EB278D" w:rsidRPr="00EB278D" w:rsidRDefault="00EB278D" w:rsidP="001E467A">
      <w:pPr>
        <w:pStyle w:val="bullet"/>
      </w:pPr>
      <w:r w:rsidRPr="00EB278D">
        <w:rPr>
          <w:b/>
        </w:rPr>
        <w:t>Cluster</w:t>
      </w:r>
      <w:r w:rsidRPr="00EB278D">
        <w:t>: Two or more cases that initially appear to be linked by area of residence or work, including a healthcare or other type of community setting and which have sufficient proximity in dates of onset of illness (e.g. six months) to warrant further investigation.</w:t>
      </w:r>
      <w:r w:rsidRPr="00EB278D">
        <w:rPr>
          <w:vertAlign w:val="superscript"/>
        </w:rPr>
        <w:t>15</w:t>
      </w:r>
    </w:p>
    <w:p w14:paraId="24AD14C5" w14:textId="77777777" w:rsidR="00EB278D" w:rsidRDefault="00EB278D" w:rsidP="001E467A">
      <w:pPr>
        <w:pStyle w:val="bullet"/>
      </w:pPr>
      <w:r w:rsidRPr="00EB278D">
        <w:rPr>
          <w:b/>
        </w:rPr>
        <w:t>Outbreak</w:t>
      </w:r>
      <w:r w:rsidRPr="00EB278D">
        <w:t>: An outbreak is defined as two or more cases where the onset of illness is closely linked in time (weeks rather than months) and where there is epidemiological evidence of a common source of infection, with or without microbiological evidence.</w:t>
      </w:r>
      <w:r w:rsidRPr="00EB278D">
        <w:rPr>
          <w:vertAlign w:val="superscript"/>
        </w:rPr>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E685" w14:textId="77777777" w:rsidR="00EB278D" w:rsidRDefault="00EB278D" w:rsidP="00C05EBA">
    <w:pPr>
      <w:pStyle w:val="Header"/>
    </w:pPr>
    <w:r>
      <w:t>Arboviral diseases</w:t>
    </w:r>
  </w:p>
  <w:p w14:paraId="42F57C5E" w14:textId="77777777" w:rsidR="00EB278D" w:rsidRDefault="00EB278D" w:rsidP="00C05E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6677" w14:textId="77777777" w:rsidR="00EB278D" w:rsidRDefault="00EB278D" w:rsidP="00C05EB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21C"/>
    <w:multiLevelType w:val="multilevel"/>
    <w:tmpl w:val="9D900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9AB08AF"/>
    <w:multiLevelType w:val="hybridMultilevel"/>
    <w:tmpl w:val="ADBC90CE"/>
    <w:lvl w:ilvl="0" w:tplc="60F62D1A">
      <w:start w:val="1"/>
      <w:numFmt w:val="bullet"/>
      <w:lvlText w:val=""/>
      <w:lvlJc w:val="left"/>
      <w:pPr>
        <w:ind w:left="720" w:hanging="360"/>
      </w:pPr>
      <w:rPr>
        <w:rFonts w:ascii="Symbol" w:hAnsi="Symbol" w:hint="default"/>
      </w:rPr>
    </w:lvl>
    <w:lvl w:ilvl="1" w:tplc="D6A4DC36">
      <w:numFmt w:val="bullet"/>
      <w:lvlText w:val="-"/>
      <w:lvlJc w:val="left"/>
      <w:pPr>
        <w:ind w:left="1440" w:hanging="360"/>
      </w:pPr>
      <w:rPr>
        <w:rFonts w:ascii="Microsoft Sans Serif" w:eastAsia="Times New Roman" w:hAnsi="Microsoft Sans Serif"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25529"/>
    <w:multiLevelType w:val="hybridMultilevel"/>
    <w:tmpl w:val="A3E06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33AF8"/>
    <w:multiLevelType w:val="hybridMultilevel"/>
    <w:tmpl w:val="442CC02C"/>
    <w:lvl w:ilvl="0" w:tplc="021C53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A2E8C"/>
    <w:multiLevelType w:val="hybridMultilevel"/>
    <w:tmpl w:val="0E400934"/>
    <w:lvl w:ilvl="0" w:tplc="4DE4928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E2679"/>
    <w:multiLevelType w:val="hybridMultilevel"/>
    <w:tmpl w:val="6C126A78"/>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F6E53"/>
    <w:multiLevelType w:val="hybridMultilevel"/>
    <w:tmpl w:val="86A02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437437"/>
    <w:multiLevelType w:val="hybridMultilevel"/>
    <w:tmpl w:val="53C07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150D5"/>
    <w:multiLevelType w:val="hybridMultilevel"/>
    <w:tmpl w:val="A274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B715FA"/>
    <w:multiLevelType w:val="hybridMultilevel"/>
    <w:tmpl w:val="AEAC7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57321A"/>
    <w:multiLevelType w:val="hybridMultilevel"/>
    <w:tmpl w:val="F27E7A92"/>
    <w:lvl w:ilvl="0" w:tplc="5622D2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831107"/>
    <w:multiLevelType w:val="multilevel"/>
    <w:tmpl w:val="C44E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B2B93"/>
    <w:multiLevelType w:val="hybridMultilevel"/>
    <w:tmpl w:val="E370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96236D"/>
    <w:multiLevelType w:val="hybridMultilevel"/>
    <w:tmpl w:val="A402835A"/>
    <w:lvl w:ilvl="0" w:tplc="B00A068A">
      <w:start w:val="1"/>
      <w:numFmt w:val="bullet"/>
      <w:pStyle w:val="bullet"/>
      <w:lvlText w:val=""/>
      <w:lvlJc w:val="left"/>
      <w:pPr>
        <w:ind w:left="720" w:hanging="360"/>
      </w:pPr>
      <w:rPr>
        <w:rFonts w:ascii="Symbol" w:hAnsi="Symbol" w:hint="default"/>
      </w:rPr>
    </w:lvl>
    <w:lvl w:ilvl="1" w:tplc="2802217E">
      <w:start w:val="1"/>
      <w:numFmt w:val="bullet"/>
      <w:lvlText w:val="o"/>
      <w:lvlJc w:val="left"/>
      <w:pPr>
        <w:ind w:left="1495"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61A89"/>
    <w:multiLevelType w:val="hybridMultilevel"/>
    <w:tmpl w:val="5F4EAB7E"/>
    <w:lvl w:ilvl="0" w:tplc="D6A4DC36">
      <w:numFmt w:val="bullet"/>
      <w:lvlText w:val="-"/>
      <w:lvlJc w:val="left"/>
      <w:pPr>
        <w:ind w:left="1080" w:hanging="360"/>
      </w:pPr>
      <w:rPr>
        <w:rFonts w:ascii="Microsoft Sans Serif" w:eastAsia="Times New Roman" w:hAnsi="Microsoft Sans Serif"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2958BE"/>
    <w:multiLevelType w:val="multilevel"/>
    <w:tmpl w:val="70921E2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A06A1"/>
    <w:multiLevelType w:val="hybridMultilevel"/>
    <w:tmpl w:val="06DC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0245E1"/>
    <w:multiLevelType w:val="hybridMultilevel"/>
    <w:tmpl w:val="083658E2"/>
    <w:lvl w:ilvl="0" w:tplc="60F62D1A">
      <w:start w:val="1"/>
      <w:numFmt w:val="bullet"/>
      <w:lvlText w:val=""/>
      <w:lvlJc w:val="left"/>
      <w:pPr>
        <w:ind w:left="720" w:hanging="360"/>
      </w:pPr>
      <w:rPr>
        <w:rFonts w:ascii="Symbol" w:hAnsi="Symbol" w:hint="default"/>
      </w:rPr>
    </w:lvl>
    <w:lvl w:ilvl="1" w:tplc="27400AA0">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A0239"/>
    <w:multiLevelType w:val="multilevel"/>
    <w:tmpl w:val="D9CAB52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4B5D6E82"/>
    <w:multiLevelType w:val="multilevel"/>
    <w:tmpl w:val="6A32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1F786B"/>
    <w:multiLevelType w:val="multilevel"/>
    <w:tmpl w:val="07523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EC77D27"/>
    <w:multiLevelType w:val="multilevel"/>
    <w:tmpl w:val="373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43776A"/>
    <w:multiLevelType w:val="hybridMultilevel"/>
    <w:tmpl w:val="EE3AA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54CC9"/>
    <w:multiLevelType w:val="hybridMultilevel"/>
    <w:tmpl w:val="CAFA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4F0F63"/>
    <w:multiLevelType w:val="hybridMultilevel"/>
    <w:tmpl w:val="EC366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076F47"/>
    <w:multiLevelType w:val="multilevel"/>
    <w:tmpl w:val="9D900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C766BBC"/>
    <w:multiLevelType w:val="hybridMultilevel"/>
    <w:tmpl w:val="5DE0CCB8"/>
    <w:lvl w:ilvl="0" w:tplc="57421116">
      <w:start w:val="1"/>
      <w:numFmt w:val="decimal"/>
      <w:lvlText w:val="%1."/>
      <w:lvlJc w:val="left"/>
      <w:pPr>
        <w:ind w:left="360" w:hanging="360"/>
      </w:pPr>
      <w:rPr>
        <w:rFonts w:ascii="Arial" w:hAnsi="Arial" w:cs="Arial" w:hint="default"/>
        <w:b w:val="0"/>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C9016FF"/>
    <w:multiLevelType w:val="hybridMultilevel"/>
    <w:tmpl w:val="C12E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8689A"/>
    <w:multiLevelType w:val="multilevel"/>
    <w:tmpl w:val="9D900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F570AFF"/>
    <w:multiLevelType w:val="hybridMultilevel"/>
    <w:tmpl w:val="71A091BA"/>
    <w:lvl w:ilvl="0" w:tplc="0C090019">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839007900">
    <w:abstractNumId w:val="23"/>
  </w:num>
  <w:num w:numId="2" w16cid:durableId="1010834185">
    <w:abstractNumId w:val="10"/>
  </w:num>
  <w:num w:numId="3" w16cid:durableId="1895460743">
    <w:abstractNumId w:val="17"/>
  </w:num>
  <w:num w:numId="4" w16cid:durableId="303852104">
    <w:abstractNumId w:val="22"/>
  </w:num>
  <w:num w:numId="5" w16cid:durableId="1713380855">
    <w:abstractNumId w:val="27"/>
  </w:num>
  <w:num w:numId="6" w16cid:durableId="39138735">
    <w:abstractNumId w:val="9"/>
  </w:num>
  <w:num w:numId="7" w16cid:durableId="1511992226">
    <w:abstractNumId w:val="3"/>
  </w:num>
  <w:num w:numId="8" w16cid:durableId="793597327">
    <w:abstractNumId w:val="24"/>
  </w:num>
  <w:num w:numId="9" w16cid:durableId="1612398291">
    <w:abstractNumId w:val="6"/>
  </w:num>
  <w:num w:numId="10" w16cid:durableId="104010737">
    <w:abstractNumId w:val="21"/>
  </w:num>
  <w:num w:numId="11" w16cid:durableId="599874949">
    <w:abstractNumId w:val="11"/>
  </w:num>
  <w:num w:numId="12" w16cid:durableId="214321952">
    <w:abstractNumId w:val="25"/>
  </w:num>
  <w:num w:numId="13" w16cid:durableId="1700933838">
    <w:abstractNumId w:val="20"/>
  </w:num>
  <w:num w:numId="14" w16cid:durableId="447092353">
    <w:abstractNumId w:val="28"/>
  </w:num>
  <w:num w:numId="15" w16cid:durableId="1100296712">
    <w:abstractNumId w:val="0"/>
  </w:num>
  <w:num w:numId="16" w16cid:durableId="480854765">
    <w:abstractNumId w:val="1"/>
  </w:num>
  <w:num w:numId="17" w16cid:durableId="1216770722">
    <w:abstractNumId w:val="15"/>
  </w:num>
  <w:num w:numId="18" w16cid:durableId="1674917609">
    <w:abstractNumId w:val="18"/>
  </w:num>
  <w:num w:numId="19" w16cid:durableId="1215897520">
    <w:abstractNumId w:val="29"/>
  </w:num>
  <w:num w:numId="20" w16cid:durableId="1414549488">
    <w:abstractNumId w:val="4"/>
  </w:num>
  <w:num w:numId="21" w16cid:durableId="1879202039">
    <w:abstractNumId w:val="12"/>
  </w:num>
  <w:num w:numId="22" w16cid:durableId="2126807001">
    <w:abstractNumId w:val="2"/>
  </w:num>
  <w:num w:numId="23" w16cid:durableId="2074348427">
    <w:abstractNumId w:val="5"/>
  </w:num>
  <w:num w:numId="24" w16cid:durableId="928780723">
    <w:abstractNumId w:val="16"/>
  </w:num>
  <w:num w:numId="25" w16cid:durableId="1962764595">
    <w:abstractNumId w:val="8"/>
  </w:num>
  <w:num w:numId="26" w16cid:durableId="1310742822">
    <w:abstractNumId w:val="14"/>
  </w:num>
  <w:num w:numId="27" w16cid:durableId="1744987721">
    <w:abstractNumId w:val="26"/>
  </w:num>
  <w:num w:numId="28" w16cid:durableId="474373473">
    <w:abstractNumId w:val="13"/>
  </w:num>
  <w:num w:numId="29" w16cid:durableId="772215181">
    <w:abstractNumId w:val="13"/>
  </w:num>
  <w:num w:numId="30" w16cid:durableId="1333920467">
    <w:abstractNumId w:val="7"/>
  </w:num>
  <w:num w:numId="31" w16cid:durableId="128045695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Annotated&lt;/Style&gt;&lt;LeftDelim&gt;{&lt;/LeftDelim&gt;&lt;RightDelim&gt;}&lt;/RightDelim&gt;&lt;FontName&gt;Tahoma&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frxzarmesx0oewewwvf02zfxrsazeaw050&quot;&gt;My EndNote Library&lt;record-ids&gt;&lt;item&gt;1&lt;/item&gt;&lt;/record-ids&gt;&lt;/item&gt;&lt;/Libraries&gt;"/>
  </w:docVars>
  <w:rsids>
    <w:rsidRoot w:val="002A4B69"/>
    <w:rsid w:val="00007C1D"/>
    <w:rsid w:val="00007E8C"/>
    <w:rsid w:val="0001036A"/>
    <w:rsid w:val="0001052D"/>
    <w:rsid w:val="00010A12"/>
    <w:rsid w:val="00020760"/>
    <w:rsid w:val="00023E52"/>
    <w:rsid w:val="000258C9"/>
    <w:rsid w:val="00030866"/>
    <w:rsid w:val="000366C9"/>
    <w:rsid w:val="000418CC"/>
    <w:rsid w:val="00042AFC"/>
    <w:rsid w:val="00046B43"/>
    <w:rsid w:val="00046C84"/>
    <w:rsid w:val="00047FD4"/>
    <w:rsid w:val="00050B89"/>
    <w:rsid w:val="00056B42"/>
    <w:rsid w:val="0006051D"/>
    <w:rsid w:val="00060D4F"/>
    <w:rsid w:val="000623D4"/>
    <w:rsid w:val="0006287F"/>
    <w:rsid w:val="00065699"/>
    <w:rsid w:val="000679F1"/>
    <w:rsid w:val="00072886"/>
    <w:rsid w:val="000821EA"/>
    <w:rsid w:val="00087481"/>
    <w:rsid w:val="00087D94"/>
    <w:rsid w:val="000929CE"/>
    <w:rsid w:val="000A073D"/>
    <w:rsid w:val="000A2197"/>
    <w:rsid w:val="000A2925"/>
    <w:rsid w:val="000B5628"/>
    <w:rsid w:val="000C39D1"/>
    <w:rsid w:val="000C4B34"/>
    <w:rsid w:val="000C565A"/>
    <w:rsid w:val="000C6670"/>
    <w:rsid w:val="000D366D"/>
    <w:rsid w:val="000D4542"/>
    <w:rsid w:val="000D5D60"/>
    <w:rsid w:val="000D690A"/>
    <w:rsid w:val="000E6CA0"/>
    <w:rsid w:val="000E6E8B"/>
    <w:rsid w:val="000F074D"/>
    <w:rsid w:val="000F54B5"/>
    <w:rsid w:val="00103A18"/>
    <w:rsid w:val="00111020"/>
    <w:rsid w:val="0011110F"/>
    <w:rsid w:val="00115F95"/>
    <w:rsid w:val="00134DCC"/>
    <w:rsid w:val="00142DEB"/>
    <w:rsid w:val="00151A17"/>
    <w:rsid w:val="001540EC"/>
    <w:rsid w:val="001644A3"/>
    <w:rsid w:val="00165C37"/>
    <w:rsid w:val="001743FD"/>
    <w:rsid w:val="00174B97"/>
    <w:rsid w:val="00177244"/>
    <w:rsid w:val="00183FB9"/>
    <w:rsid w:val="0018421E"/>
    <w:rsid w:val="00185ADE"/>
    <w:rsid w:val="00197D03"/>
    <w:rsid w:val="001A10DC"/>
    <w:rsid w:val="001A3115"/>
    <w:rsid w:val="001A3BA6"/>
    <w:rsid w:val="001A79B3"/>
    <w:rsid w:val="001B3B09"/>
    <w:rsid w:val="001B49FF"/>
    <w:rsid w:val="001B7BFE"/>
    <w:rsid w:val="001C5BF5"/>
    <w:rsid w:val="001D259C"/>
    <w:rsid w:val="001E467A"/>
    <w:rsid w:val="001E4F21"/>
    <w:rsid w:val="001E5A1D"/>
    <w:rsid w:val="001E665F"/>
    <w:rsid w:val="001F151F"/>
    <w:rsid w:val="001F1BE0"/>
    <w:rsid w:val="001F2DEE"/>
    <w:rsid w:val="001F4C41"/>
    <w:rsid w:val="00203F51"/>
    <w:rsid w:val="002052DE"/>
    <w:rsid w:val="002079AF"/>
    <w:rsid w:val="00220E31"/>
    <w:rsid w:val="00223702"/>
    <w:rsid w:val="002247B4"/>
    <w:rsid w:val="00227AB7"/>
    <w:rsid w:val="002330DA"/>
    <w:rsid w:val="00234B43"/>
    <w:rsid w:val="00237569"/>
    <w:rsid w:val="00241B51"/>
    <w:rsid w:val="00247D4C"/>
    <w:rsid w:val="0025213A"/>
    <w:rsid w:val="002552B0"/>
    <w:rsid w:val="00256EBE"/>
    <w:rsid w:val="00273C7C"/>
    <w:rsid w:val="00276B04"/>
    <w:rsid w:val="002856A8"/>
    <w:rsid w:val="0029272E"/>
    <w:rsid w:val="00293BE8"/>
    <w:rsid w:val="00296CAF"/>
    <w:rsid w:val="00297CB9"/>
    <w:rsid w:val="002A02AB"/>
    <w:rsid w:val="002A0F41"/>
    <w:rsid w:val="002A2D90"/>
    <w:rsid w:val="002A4B69"/>
    <w:rsid w:val="002B54D8"/>
    <w:rsid w:val="002C07C5"/>
    <w:rsid w:val="002C5571"/>
    <w:rsid w:val="002D0AAB"/>
    <w:rsid w:val="002D30C3"/>
    <w:rsid w:val="002D3CCE"/>
    <w:rsid w:val="002E145C"/>
    <w:rsid w:val="002E5F2B"/>
    <w:rsid w:val="002E6799"/>
    <w:rsid w:val="002F3EB7"/>
    <w:rsid w:val="002F4E7E"/>
    <w:rsid w:val="00303B96"/>
    <w:rsid w:val="00313561"/>
    <w:rsid w:val="00320694"/>
    <w:rsid w:val="00320BE1"/>
    <w:rsid w:val="00332B9E"/>
    <w:rsid w:val="00334AB0"/>
    <w:rsid w:val="003373E6"/>
    <w:rsid w:val="0034124C"/>
    <w:rsid w:val="003416BE"/>
    <w:rsid w:val="003505A6"/>
    <w:rsid w:val="00351689"/>
    <w:rsid w:val="0035354D"/>
    <w:rsid w:val="00354B4E"/>
    <w:rsid w:val="00354D7F"/>
    <w:rsid w:val="003721CC"/>
    <w:rsid w:val="003733EC"/>
    <w:rsid w:val="00373B7D"/>
    <w:rsid w:val="00374A18"/>
    <w:rsid w:val="0037615D"/>
    <w:rsid w:val="00383C12"/>
    <w:rsid w:val="003950A2"/>
    <w:rsid w:val="003A01CB"/>
    <w:rsid w:val="003A4A1A"/>
    <w:rsid w:val="003A687E"/>
    <w:rsid w:val="003A7908"/>
    <w:rsid w:val="003B34E9"/>
    <w:rsid w:val="003B493E"/>
    <w:rsid w:val="003C0567"/>
    <w:rsid w:val="003C263E"/>
    <w:rsid w:val="003C3CFA"/>
    <w:rsid w:val="003C5AE0"/>
    <w:rsid w:val="003C6B81"/>
    <w:rsid w:val="003C740B"/>
    <w:rsid w:val="003D4AA2"/>
    <w:rsid w:val="003D5459"/>
    <w:rsid w:val="003E2020"/>
    <w:rsid w:val="003E38CB"/>
    <w:rsid w:val="003E77DD"/>
    <w:rsid w:val="004025DC"/>
    <w:rsid w:val="00405625"/>
    <w:rsid w:val="00407353"/>
    <w:rsid w:val="0042370B"/>
    <w:rsid w:val="00424E2C"/>
    <w:rsid w:val="0042774D"/>
    <w:rsid w:val="004318F0"/>
    <w:rsid w:val="00434B7A"/>
    <w:rsid w:val="00440718"/>
    <w:rsid w:val="00444DC0"/>
    <w:rsid w:val="00446E04"/>
    <w:rsid w:val="004604F8"/>
    <w:rsid w:val="0046369E"/>
    <w:rsid w:val="0046687E"/>
    <w:rsid w:val="004708C0"/>
    <w:rsid w:val="0047657B"/>
    <w:rsid w:val="0048037B"/>
    <w:rsid w:val="00481A15"/>
    <w:rsid w:val="00482D8A"/>
    <w:rsid w:val="004940DC"/>
    <w:rsid w:val="0049642F"/>
    <w:rsid w:val="00497215"/>
    <w:rsid w:val="004A7A09"/>
    <w:rsid w:val="004B1A41"/>
    <w:rsid w:val="004B287F"/>
    <w:rsid w:val="004C0329"/>
    <w:rsid w:val="004C0740"/>
    <w:rsid w:val="004C7123"/>
    <w:rsid w:val="004D292A"/>
    <w:rsid w:val="004D2B13"/>
    <w:rsid w:val="004D3303"/>
    <w:rsid w:val="004D404D"/>
    <w:rsid w:val="004D78F5"/>
    <w:rsid w:val="004E1123"/>
    <w:rsid w:val="004E3455"/>
    <w:rsid w:val="004E5753"/>
    <w:rsid w:val="004F1F8F"/>
    <w:rsid w:val="004F51C5"/>
    <w:rsid w:val="0050060B"/>
    <w:rsid w:val="005038D1"/>
    <w:rsid w:val="00506B17"/>
    <w:rsid w:val="005119FA"/>
    <w:rsid w:val="00512A91"/>
    <w:rsid w:val="00514BB9"/>
    <w:rsid w:val="005165E4"/>
    <w:rsid w:val="005166DA"/>
    <w:rsid w:val="00524389"/>
    <w:rsid w:val="00526901"/>
    <w:rsid w:val="00526FF6"/>
    <w:rsid w:val="0053641C"/>
    <w:rsid w:val="00536525"/>
    <w:rsid w:val="005411AE"/>
    <w:rsid w:val="00546D23"/>
    <w:rsid w:val="00553DAB"/>
    <w:rsid w:val="00556A03"/>
    <w:rsid w:val="0055710B"/>
    <w:rsid w:val="00565494"/>
    <w:rsid w:val="005666D3"/>
    <w:rsid w:val="005711DC"/>
    <w:rsid w:val="00573F4F"/>
    <w:rsid w:val="00577DD3"/>
    <w:rsid w:val="0058622A"/>
    <w:rsid w:val="005A20EE"/>
    <w:rsid w:val="005A3439"/>
    <w:rsid w:val="005A42E5"/>
    <w:rsid w:val="005A5169"/>
    <w:rsid w:val="005B03DB"/>
    <w:rsid w:val="005B1DCF"/>
    <w:rsid w:val="005B3905"/>
    <w:rsid w:val="005B4013"/>
    <w:rsid w:val="005B427D"/>
    <w:rsid w:val="005B46ED"/>
    <w:rsid w:val="005B5382"/>
    <w:rsid w:val="005C44D0"/>
    <w:rsid w:val="005C69BE"/>
    <w:rsid w:val="005D5AD4"/>
    <w:rsid w:val="005D7989"/>
    <w:rsid w:val="005E63F4"/>
    <w:rsid w:val="005E6C28"/>
    <w:rsid w:val="005F1FC7"/>
    <w:rsid w:val="005F3771"/>
    <w:rsid w:val="005F3800"/>
    <w:rsid w:val="005F3C0F"/>
    <w:rsid w:val="005F5F29"/>
    <w:rsid w:val="005F7EB5"/>
    <w:rsid w:val="00603135"/>
    <w:rsid w:val="00605155"/>
    <w:rsid w:val="0060753B"/>
    <w:rsid w:val="00611073"/>
    <w:rsid w:val="00611333"/>
    <w:rsid w:val="00613518"/>
    <w:rsid w:val="00616E73"/>
    <w:rsid w:val="00625734"/>
    <w:rsid w:val="0063234A"/>
    <w:rsid w:val="0064076A"/>
    <w:rsid w:val="006455DB"/>
    <w:rsid w:val="00652A15"/>
    <w:rsid w:val="00656EE9"/>
    <w:rsid w:val="0065768E"/>
    <w:rsid w:val="00657FEF"/>
    <w:rsid w:val="00664FCB"/>
    <w:rsid w:val="00667062"/>
    <w:rsid w:val="006674D0"/>
    <w:rsid w:val="00667AA5"/>
    <w:rsid w:val="0067075D"/>
    <w:rsid w:val="00676CC5"/>
    <w:rsid w:val="00681307"/>
    <w:rsid w:val="00681383"/>
    <w:rsid w:val="00683D3F"/>
    <w:rsid w:val="0068533A"/>
    <w:rsid w:val="00687C51"/>
    <w:rsid w:val="006945E9"/>
    <w:rsid w:val="006A0086"/>
    <w:rsid w:val="006A069C"/>
    <w:rsid w:val="006A1DCF"/>
    <w:rsid w:val="006A1E92"/>
    <w:rsid w:val="006A41E3"/>
    <w:rsid w:val="006A6333"/>
    <w:rsid w:val="006A786A"/>
    <w:rsid w:val="006A7A3A"/>
    <w:rsid w:val="006B6898"/>
    <w:rsid w:val="006C1EA7"/>
    <w:rsid w:val="006C2CC6"/>
    <w:rsid w:val="006C6534"/>
    <w:rsid w:val="006E7284"/>
    <w:rsid w:val="006F3CC0"/>
    <w:rsid w:val="006F6440"/>
    <w:rsid w:val="006F6454"/>
    <w:rsid w:val="006F7B4B"/>
    <w:rsid w:val="0070261F"/>
    <w:rsid w:val="00702BBB"/>
    <w:rsid w:val="00707143"/>
    <w:rsid w:val="00710896"/>
    <w:rsid w:val="00720000"/>
    <w:rsid w:val="007250DC"/>
    <w:rsid w:val="0073547A"/>
    <w:rsid w:val="0073602C"/>
    <w:rsid w:val="0074445D"/>
    <w:rsid w:val="00753677"/>
    <w:rsid w:val="00754E86"/>
    <w:rsid w:val="007604E9"/>
    <w:rsid w:val="00760E36"/>
    <w:rsid w:val="00770048"/>
    <w:rsid w:val="007701F7"/>
    <w:rsid w:val="007708C5"/>
    <w:rsid w:val="007727EB"/>
    <w:rsid w:val="00777094"/>
    <w:rsid w:val="00781160"/>
    <w:rsid w:val="007830C6"/>
    <w:rsid w:val="00791684"/>
    <w:rsid w:val="00792732"/>
    <w:rsid w:val="0079400F"/>
    <w:rsid w:val="00797B66"/>
    <w:rsid w:val="007A1EFE"/>
    <w:rsid w:val="007A3FFB"/>
    <w:rsid w:val="007B0E07"/>
    <w:rsid w:val="007B125A"/>
    <w:rsid w:val="007B4912"/>
    <w:rsid w:val="007C0F2C"/>
    <w:rsid w:val="007C3DA7"/>
    <w:rsid w:val="007D4BA9"/>
    <w:rsid w:val="007D62AC"/>
    <w:rsid w:val="007D7A53"/>
    <w:rsid w:val="007D7F3C"/>
    <w:rsid w:val="007E4653"/>
    <w:rsid w:val="007E714C"/>
    <w:rsid w:val="007F3BD9"/>
    <w:rsid w:val="007F4E20"/>
    <w:rsid w:val="008029CA"/>
    <w:rsid w:val="00803A6A"/>
    <w:rsid w:val="008118B3"/>
    <w:rsid w:val="00812688"/>
    <w:rsid w:val="008140F8"/>
    <w:rsid w:val="008176CF"/>
    <w:rsid w:val="00822EE7"/>
    <w:rsid w:val="00825D52"/>
    <w:rsid w:val="00830189"/>
    <w:rsid w:val="00831AEE"/>
    <w:rsid w:val="00832658"/>
    <w:rsid w:val="008332D7"/>
    <w:rsid w:val="00837186"/>
    <w:rsid w:val="00852396"/>
    <w:rsid w:val="00856F95"/>
    <w:rsid w:val="0086019F"/>
    <w:rsid w:val="00865F13"/>
    <w:rsid w:val="0086783B"/>
    <w:rsid w:val="0087101D"/>
    <w:rsid w:val="00871098"/>
    <w:rsid w:val="00874EBB"/>
    <w:rsid w:val="008808CE"/>
    <w:rsid w:val="008879BC"/>
    <w:rsid w:val="00892180"/>
    <w:rsid w:val="00897FF2"/>
    <w:rsid w:val="008A64AC"/>
    <w:rsid w:val="008B200A"/>
    <w:rsid w:val="008B353A"/>
    <w:rsid w:val="008B51A4"/>
    <w:rsid w:val="008C217A"/>
    <w:rsid w:val="008D20B6"/>
    <w:rsid w:val="008D56D9"/>
    <w:rsid w:val="008D7093"/>
    <w:rsid w:val="008E074D"/>
    <w:rsid w:val="008E24D8"/>
    <w:rsid w:val="008E676C"/>
    <w:rsid w:val="00905317"/>
    <w:rsid w:val="00924153"/>
    <w:rsid w:val="00924267"/>
    <w:rsid w:val="009248F6"/>
    <w:rsid w:val="0092728B"/>
    <w:rsid w:val="00930D9E"/>
    <w:rsid w:val="0093712D"/>
    <w:rsid w:val="00937B3E"/>
    <w:rsid w:val="009453FD"/>
    <w:rsid w:val="00950F6C"/>
    <w:rsid w:val="00952981"/>
    <w:rsid w:val="009560CF"/>
    <w:rsid w:val="00956B15"/>
    <w:rsid w:val="00960491"/>
    <w:rsid w:val="0096500C"/>
    <w:rsid w:val="0096617F"/>
    <w:rsid w:val="00971072"/>
    <w:rsid w:val="00974304"/>
    <w:rsid w:val="0098310B"/>
    <w:rsid w:val="00983B76"/>
    <w:rsid w:val="0099412F"/>
    <w:rsid w:val="00994CE6"/>
    <w:rsid w:val="009970BB"/>
    <w:rsid w:val="009975B2"/>
    <w:rsid w:val="009A12E9"/>
    <w:rsid w:val="009A1750"/>
    <w:rsid w:val="009A221F"/>
    <w:rsid w:val="009A6C16"/>
    <w:rsid w:val="009B4091"/>
    <w:rsid w:val="009C14B2"/>
    <w:rsid w:val="009C45DC"/>
    <w:rsid w:val="009C5B46"/>
    <w:rsid w:val="009C7AD5"/>
    <w:rsid w:val="009C7FDA"/>
    <w:rsid w:val="009D03D3"/>
    <w:rsid w:val="009D23B4"/>
    <w:rsid w:val="009D5EE5"/>
    <w:rsid w:val="009E3027"/>
    <w:rsid w:val="009F6120"/>
    <w:rsid w:val="00A014B9"/>
    <w:rsid w:val="00A042CA"/>
    <w:rsid w:val="00A11EF7"/>
    <w:rsid w:val="00A152BC"/>
    <w:rsid w:val="00A16FC1"/>
    <w:rsid w:val="00A22557"/>
    <w:rsid w:val="00A2544D"/>
    <w:rsid w:val="00A27B96"/>
    <w:rsid w:val="00A3025C"/>
    <w:rsid w:val="00A32527"/>
    <w:rsid w:val="00A33557"/>
    <w:rsid w:val="00A35878"/>
    <w:rsid w:val="00A407FA"/>
    <w:rsid w:val="00A502A7"/>
    <w:rsid w:val="00A52FD5"/>
    <w:rsid w:val="00A55257"/>
    <w:rsid w:val="00A563BD"/>
    <w:rsid w:val="00A57A19"/>
    <w:rsid w:val="00A57DF9"/>
    <w:rsid w:val="00A67B94"/>
    <w:rsid w:val="00A73703"/>
    <w:rsid w:val="00A74A1C"/>
    <w:rsid w:val="00A7533E"/>
    <w:rsid w:val="00A766B5"/>
    <w:rsid w:val="00A921C8"/>
    <w:rsid w:val="00A97313"/>
    <w:rsid w:val="00AA6F34"/>
    <w:rsid w:val="00AB0C79"/>
    <w:rsid w:val="00AB4479"/>
    <w:rsid w:val="00AC35E0"/>
    <w:rsid w:val="00AC63A4"/>
    <w:rsid w:val="00AC64C6"/>
    <w:rsid w:val="00AC7E8E"/>
    <w:rsid w:val="00AD1500"/>
    <w:rsid w:val="00AE00F7"/>
    <w:rsid w:val="00AE3107"/>
    <w:rsid w:val="00AE79A8"/>
    <w:rsid w:val="00AF0595"/>
    <w:rsid w:val="00AF266A"/>
    <w:rsid w:val="00AF70B9"/>
    <w:rsid w:val="00AF7845"/>
    <w:rsid w:val="00B0081F"/>
    <w:rsid w:val="00B02447"/>
    <w:rsid w:val="00B04ECF"/>
    <w:rsid w:val="00B11517"/>
    <w:rsid w:val="00B14CCB"/>
    <w:rsid w:val="00B20DD8"/>
    <w:rsid w:val="00B23D43"/>
    <w:rsid w:val="00B329BF"/>
    <w:rsid w:val="00B379AF"/>
    <w:rsid w:val="00B400DA"/>
    <w:rsid w:val="00B42159"/>
    <w:rsid w:val="00B44D2A"/>
    <w:rsid w:val="00B46B27"/>
    <w:rsid w:val="00B50605"/>
    <w:rsid w:val="00B56E0C"/>
    <w:rsid w:val="00B603F3"/>
    <w:rsid w:val="00B62184"/>
    <w:rsid w:val="00B6241E"/>
    <w:rsid w:val="00B627C8"/>
    <w:rsid w:val="00B7354A"/>
    <w:rsid w:val="00B73B2E"/>
    <w:rsid w:val="00B745C7"/>
    <w:rsid w:val="00B766B1"/>
    <w:rsid w:val="00B82C2D"/>
    <w:rsid w:val="00B84A08"/>
    <w:rsid w:val="00B90B51"/>
    <w:rsid w:val="00BA1B39"/>
    <w:rsid w:val="00BB76B4"/>
    <w:rsid w:val="00BC10C2"/>
    <w:rsid w:val="00BC5B4F"/>
    <w:rsid w:val="00BC7F7D"/>
    <w:rsid w:val="00BD5463"/>
    <w:rsid w:val="00BD7270"/>
    <w:rsid w:val="00BE1ABF"/>
    <w:rsid w:val="00BF2716"/>
    <w:rsid w:val="00BF2890"/>
    <w:rsid w:val="00BF2903"/>
    <w:rsid w:val="00C05EBA"/>
    <w:rsid w:val="00C05F0B"/>
    <w:rsid w:val="00C140A3"/>
    <w:rsid w:val="00C16723"/>
    <w:rsid w:val="00C16803"/>
    <w:rsid w:val="00C26036"/>
    <w:rsid w:val="00C27ABA"/>
    <w:rsid w:val="00C322AF"/>
    <w:rsid w:val="00C32D7A"/>
    <w:rsid w:val="00C3653E"/>
    <w:rsid w:val="00C36B51"/>
    <w:rsid w:val="00C44C95"/>
    <w:rsid w:val="00C53CBA"/>
    <w:rsid w:val="00C6007C"/>
    <w:rsid w:val="00C6114D"/>
    <w:rsid w:val="00C64EDA"/>
    <w:rsid w:val="00C6683B"/>
    <w:rsid w:val="00C670B6"/>
    <w:rsid w:val="00C71918"/>
    <w:rsid w:val="00C71D42"/>
    <w:rsid w:val="00C73C14"/>
    <w:rsid w:val="00C753B8"/>
    <w:rsid w:val="00C75ABA"/>
    <w:rsid w:val="00C776A5"/>
    <w:rsid w:val="00C80704"/>
    <w:rsid w:val="00C810CA"/>
    <w:rsid w:val="00C810D1"/>
    <w:rsid w:val="00C84962"/>
    <w:rsid w:val="00C86A20"/>
    <w:rsid w:val="00C87748"/>
    <w:rsid w:val="00C9683D"/>
    <w:rsid w:val="00CA2A2F"/>
    <w:rsid w:val="00CA7AF0"/>
    <w:rsid w:val="00CB027F"/>
    <w:rsid w:val="00CB06E4"/>
    <w:rsid w:val="00CB4352"/>
    <w:rsid w:val="00CC0D4A"/>
    <w:rsid w:val="00CC2879"/>
    <w:rsid w:val="00CC2A3F"/>
    <w:rsid w:val="00CC2A98"/>
    <w:rsid w:val="00CC519A"/>
    <w:rsid w:val="00CC5903"/>
    <w:rsid w:val="00CD3752"/>
    <w:rsid w:val="00CD491F"/>
    <w:rsid w:val="00CE3689"/>
    <w:rsid w:val="00CE5C1C"/>
    <w:rsid w:val="00CF33E9"/>
    <w:rsid w:val="00CF4C27"/>
    <w:rsid w:val="00CF643D"/>
    <w:rsid w:val="00D00D1E"/>
    <w:rsid w:val="00D07046"/>
    <w:rsid w:val="00D11EAA"/>
    <w:rsid w:val="00D156BA"/>
    <w:rsid w:val="00D16B89"/>
    <w:rsid w:val="00D23901"/>
    <w:rsid w:val="00D332DB"/>
    <w:rsid w:val="00D33A5B"/>
    <w:rsid w:val="00D33F23"/>
    <w:rsid w:val="00D363A5"/>
    <w:rsid w:val="00D368B0"/>
    <w:rsid w:val="00D43414"/>
    <w:rsid w:val="00D4416F"/>
    <w:rsid w:val="00D46958"/>
    <w:rsid w:val="00D506A4"/>
    <w:rsid w:val="00D5155B"/>
    <w:rsid w:val="00D6178E"/>
    <w:rsid w:val="00D63F79"/>
    <w:rsid w:val="00D6431F"/>
    <w:rsid w:val="00D71169"/>
    <w:rsid w:val="00D7158D"/>
    <w:rsid w:val="00D7565A"/>
    <w:rsid w:val="00D7571F"/>
    <w:rsid w:val="00D75C0B"/>
    <w:rsid w:val="00D867AF"/>
    <w:rsid w:val="00D93809"/>
    <w:rsid w:val="00D94211"/>
    <w:rsid w:val="00DA2FE7"/>
    <w:rsid w:val="00DA4A54"/>
    <w:rsid w:val="00DB1E99"/>
    <w:rsid w:val="00DB214D"/>
    <w:rsid w:val="00DB2FD2"/>
    <w:rsid w:val="00DC0CD5"/>
    <w:rsid w:val="00DC6D08"/>
    <w:rsid w:val="00DD1B0B"/>
    <w:rsid w:val="00DE1CE2"/>
    <w:rsid w:val="00DF539C"/>
    <w:rsid w:val="00DF596A"/>
    <w:rsid w:val="00E01E95"/>
    <w:rsid w:val="00E02B0D"/>
    <w:rsid w:val="00E03F77"/>
    <w:rsid w:val="00E07E3F"/>
    <w:rsid w:val="00E15B16"/>
    <w:rsid w:val="00E17718"/>
    <w:rsid w:val="00E24B14"/>
    <w:rsid w:val="00E25C18"/>
    <w:rsid w:val="00E2660C"/>
    <w:rsid w:val="00E268EB"/>
    <w:rsid w:val="00E52419"/>
    <w:rsid w:val="00E55ADE"/>
    <w:rsid w:val="00E55B33"/>
    <w:rsid w:val="00E66D40"/>
    <w:rsid w:val="00E67413"/>
    <w:rsid w:val="00E7417B"/>
    <w:rsid w:val="00E74A04"/>
    <w:rsid w:val="00E84D93"/>
    <w:rsid w:val="00E9138A"/>
    <w:rsid w:val="00E9412F"/>
    <w:rsid w:val="00E94C05"/>
    <w:rsid w:val="00E95827"/>
    <w:rsid w:val="00EB278D"/>
    <w:rsid w:val="00EB2A95"/>
    <w:rsid w:val="00EB6026"/>
    <w:rsid w:val="00EB6231"/>
    <w:rsid w:val="00EB6E8A"/>
    <w:rsid w:val="00EC53B6"/>
    <w:rsid w:val="00EC59B7"/>
    <w:rsid w:val="00ED0A36"/>
    <w:rsid w:val="00ED0ECF"/>
    <w:rsid w:val="00ED3352"/>
    <w:rsid w:val="00EE2751"/>
    <w:rsid w:val="00EE4ABB"/>
    <w:rsid w:val="00EE6422"/>
    <w:rsid w:val="00EF21D2"/>
    <w:rsid w:val="00EF2537"/>
    <w:rsid w:val="00EF518D"/>
    <w:rsid w:val="00EF6233"/>
    <w:rsid w:val="00F03956"/>
    <w:rsid w:val="00F058F0"/>
    <w:rsid w:val="00F06C3F"/>
    <w:rsid w:val="00F079C5"/>
    <w:rsid w:val="00F108F1"/>
    <w:rsid w:val="00F15958"/>
    <w:rsid w:val="00F17770"/>
    <w:rsid w:val="00F22882"/>
    <w:rsid w:val="00F242ED"/>
    <w:rsid w:val="00F30130"/>
    <w:rsid w:val="00F52CEE"/>
    <w:rsid w:val="00F54613"/>
    <w:rsid w:val="00F614C5"/>
    <w:rsid w:val="00F65C15"/>
    <w:rsid w:val="00F65EE4"/>
    <w:rsid w:val="00F6699B"/>
    <w:rsid w:val="00F771AB"/>
    <w:rsid w:val="00F8124C"/>
    <w:rsid w:val="00F82529"/>
    <w:rsid w:val="00F97536"/>
    <w:rsid w:val="00FA0EDC"/>
    <w:rsid w:val="00FB1D5E"/>
    <w:rsid w:val="00FC0B85"/>
    <w:rsid w:val="00FC6AFC"/>
    <w:rsid w:val="00FD6B16"/>
    <w:rsid w:val="00FF3A5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61D2D44"/>
  <w15:docId w15:val="{D11CB559-F57F-4ECE-84A1-14F2C8E5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0"/>
    <w:lsdException w:name="heading 7" w:locked="1" w:semiHidden="1" w:uiPriority="0"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qFormat="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A1A"/>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rsid w:val="003A4A1A"/>
    <w:pPr>
      <w:ind w:left="360" w:hanging="360"/>
      <w:outlineLvl w:val="0"/>
    </w:pPr>
    <w:rPr>
      <w:rFonts w:cs="Arial"/>
      <w:b/>
      <w:sz w:val="28"/>
      <w:lang w:val="en-US"/>
    </w:rPr>
  </w:style>
  <w:style w:type="paragraph" w:styleId="Heading2">
    <w:name w:val="heading 2"/>
    <w:basedOn w:val="Heading1"/>
    <w:next w:val="Normal"/>
    <w:link w:val="Heading2Char"/>
    <w:uiPriority w:val="9"/>
    <w:unhideWhenUsed/>
    <w:qFormat/>
    <w:rsid w:val="003A4A1A"/>
    <w:pPr>
      <w:ind w:left="0" w:firstLine="0"/>
      <w:outlineLvl w:val="1"/>
    </w:pPr>
    <w:rPr>
      <w:i/>
      <w:iCs/>
      <w:sz w:val="24"/>
    </w:rPr>
  </w:style>
  <w:style w:type="paragraph" w:styleId="Heading3">
    <w:name w:val="heading 3"/>
    <w:basedOn w:val="Heading2"/>
    <w:next w:val="Normal"/>
    <w:link w:val="Heading3Char"/>
    <w:unhideWhenUsed/>
    <w:qFormat/>
    <w:rsid w:val="003A4A1A"/>
    <w:pPr>
      <w:outlineLvl w:val="2"/>
    </w:pPr>
    <w:rPr>
      <w:sz w:val="22"/>
    </w:rPr>
  </w:style>
  <w:style w:type="paragraph" w:styleId="Heading4">
    <w:name w:val="heading 4"/>
    <w:basedOn w:val="Heading3"/>
    <w:next w:val="Normal"/>
    <w:link w:val="Heading4Char"/>
    <w:unhideWhenUsed/>
    <w:qFormat/>
    <w:rsid w:val="003A4A1A"/>
    <w:pPr>
      <w:outlineLvl w:val="3"/>
    </w:pPr>
    <w:rPr>
      <w:b w:val="0"/>
    </w:rPr>
  </w:style>
  <w:style w:type="paragraph" w:styleId="Heading5">
    <w:name w:val="heading 5"/>
    <w:basedOn w:val="Heading4"/>
    <w:next w:val="Normal"/>
    <w:link w:val="Heading5Char"/>
    <w:uiPriority w:val="9"/>
    <w:unhideWhenUsed/>
    <w:qFormat/>
    <w:rsid w:val="003A4A1A"/>
    <w:pPr>
      <w:outlineLvl w:val="4"/>
    </w:pPr>
    <w:rPr>
      <w:i w:val="0"/>
      <w:lang w:val="en-GB"/>
    </w:rPr>
  </w:style>
  <w:style w:type="paragraph" w:styleId="Heading6">
    <w:name w:val="heading 6"/>
    <w:basedOn w:val="Normal"/>
    <w:next w:val="Normal"/>
    <w:link w:val="Heading6Char"/>
    <w:uiPriority w:val="99"/>
    <w:rsid w:val="002A4B69"/>
    <w:pPr>
      <w:outlineLvl w:val="5"/>
    </w:pPr>
    <w:rPr>
      <w:b/>
      <w:bCs/>
      <w:sz w:val="28"/>
    </w:rPr>
  </w:style>
  <w:style w:type="paragraph" w:styleId="Heading7">
    <w:name w:val="heading 7"/>
    <w:basedOn w:val="Normal"/>
    <w:next w:val="Normal"/>
    <w:link w:val="Heading7Char"/>
    <w:uiPriority w:val="99"/>
    <w:rsid w:val="002A4B69"/>
    <w:pPr>
      <w:outlineLvl w:val="6"/>
    </w:pPr>
    <w:rPr>
      <w:rFonts w:ascii="Tahoma" w:hAnsi="Tahoma"/>
      <w:b/>
      <w:bCs/>
      <w:i/>
      <w:iCs/>
    </w:rPr>
  </w:style>
  <w:style w:type="paragraph" w:styleId="Heading8">
    <w:name w:val="heading 8"/>
    <w:aliases w:val="Numbered list paragraph"/>
    <w:basedOn w:val="ListParagraph"/>
    <w:next w:val="Normal"/>
    <w:link w:val="Heading8Char"/>
    <w:uiPriority w:val="9"/>
    <w:semiHidden/>
    <w:unhideWhenUsed/>
    <w:qFormat/>
    <w:locked/>
    <w:rsid w:val="003A4A1A"/>
    <w:pPr>
      <w:outlineLvl w:val="7"/>
    </w:pPr>
  </w:style>
  <w:style w:type="paragraph" w:styleId="Heading9">
    <w:name w:val="heading 9"/>
    <w:aliases w:val="Appendicies heading"/>
    <w:basedOn w:val="Normal"/>
    <w:next w:val="Normal"/>
    <w:link w:val="Heading9Char"/>
    <w:uiPriority w:val="9"/>
    <w:semiHidden/>
    <w:unhideWhenUsed/>
    <w:qFormat/>
    <w:locked/>
    <w:rsid w:val="003A4A1A"/>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A4A1A"/>
    <w:rPr>
      <w:rFonts w:cs="Arial"/>
      <w:b/>
      <w:sz w:val="28"/>
      <w:lang w:val="en-US"/>
    </w:rPr>
  </w:style>
  <w:style w:type="character" w:customStyle="1" w:styleId="Heading2Char">
    <w:name w:val="Heading 2 Char"/>
    <w:basedOn w:val="DefaultParagraphFont"/>
    <w:link w:val="Heading2"/>
    <w:uiPriority w:val="9"/>
    <w:locked/>
    <w:rsid w:val="003A4A1A"/>
    <w:rPr>
      <w:rFonts w:cs="Arial"/>
      <w:b/>
      <w:i/>
      <w:iCs/>
      <w:sz w:val="24"/>
      <w:lang w:val="en-US"/>
    </w:rPr>
  </w:style>
  <w:style w:type="character" w:customStyle="1" w:styleId="Heading3Char">
    <w:name w:val="Heading 3 Char"/>
    <w:basedOn w:val="DefaultParagraphFont"/>
    <w:link w:val="Heading3"/>
    <w:locked/>
    <w:rsid w:val="003A4A1A"/>
    <w:rPr>
      <w:rFonts w:cs="Arial"/>
      <w:b/>
      <w:i/>
      <w:iCs/>
      <w:lang w:val="en-US"/>
    </w:rPr>
  </w:style>
  <w:style w:type="character" w:customStyle="1" w:styleId="Heading4Char">
    <w:name w:val="Heading 4 Char"/>
    <w:basedOn w:val="DefaultParagraphFont"/>
    <w:link w:val="Heading4"/>
    <w:locked/>
    <w:rsid w:val="003A4A1A"/>
    <w:rPr>
      <w:rFonts w:cs="Arial"/>
      <w:i/>
      <w:iCs/>
      <w:lang w:val="en-US"/>
    </w:rPr>
  </w:style>
  <w:style w:type="character" w:customStyle="1" w:styleId="Heading5Char">
    <w:name w:val="Heading 5 Char"/>
    <w:basedOn w:val="DefaultParagraphFont"/>
    <w:link w:val="Heading5"/>
    <w:uiPriority w:val="9"/>
    <w:locked/>
    <w:rsid w:val="003A4A1A"/>
    <w:rPr>
      <w:rFonts w:cs="Arial"/>
      <w:iCs/>
      <w:lang w:val="en-GB"/>
    </w:rPr>
  </w:style>
  <w:style w:type="character" w:customStyle="1" w:styleId="Heading6Char">
    <w:name w:val="Heading 6 Char"/>
    <w:basedOn w:val="DefaultParagraphFont"/>
    <w:link w:val="Heading6"/>
    <w:uiPriority w:val="99"/>
    <w:locked/>
    <w:rsid w:val="002A4B69"/>
    <w:rPr>
      <w:rFonts w:ascii="Arial" w:hAnsi="Arial"/>
      <w:b/>
      <w:sz w:val="24"/>
    </w:rPr>
  </w:style>
  <w:style w:type="character" w:customStyle="1" w:styleId="Heading7Char">
    <w:name w:val="Heading 7 Char"/>
    <w:basedOn w:val="DefaultParagraphFont"/>
    <w:link w:val="Heading7"/>
    <w:uiPriority w:val="99"/>
    <w:locked/>
    <w:rsid w:val="002A4B69"/>
    <w:rPr>
      <w:rFonts w:ascii="Tahoma" w:hAnsi="Tahoma"/>
      <w:b/>
      <w:i/>
      <w:sz w:val="24"/>
    </w:rPr>
  </w:style>
  <w:style w:type="paragraph" w:styleId="Header">
    <w:name w:val="header"/>
    <w:basedOn w:val="Normal"/>
    <w:link w:val="HeaderChar"/>
    <w:uiPriority w:val="99"/>
    <w:rsid w:val="002A4B69"/>
    <w:pPr>
      <w:tabs>
        <w:tab w:val="center" w:pos="4320"/>
        <w:tab w:val="right" w:pos="8640"/>
      </w:tabs>
      <w:jc w:val="both"/>
    </w:pPr>
    <w:rPr>
      <w:sz w:val="20"/>
      <w:szCs w:val="20"/>
    </w:rPr>
  </w:style>
  <w:style w:type="character" w:customStyle="1" w:styleId="HeaderChar">
    <w:name w:val="Header Char"/>
    <w:basedOn w:val="DefaultParagraphFont"/>
    <w:link w:val="Header"/>
    <w:uiPriority w:val="99"/>
    <w:locked/>
    <w:rsid w:val="002A4B69"/>
    <w:rPr>
      <w:rFonts w:eastAsia="Times New Roman"/>
      <w:sz w:val="20"/>
    </w:rPr>
  </w:style>
  <w:style w:type="character" w:styleId="PageNumber">
    <w:name w:val="page number"/>
    <w:basedOn w:val="DefaultParagraphFont"/>
    <w:uiPriority w:val="99"/>
    <w:rsid w:val="002A4B69"/>
    <w:rPr>
      <w:rFonts w:cs="Times New Roman"/>
    </w:rPr>
  </w:style>
  <w:style w:type="paragraph" w:styleId="Footer">
    <w:name w:val="footer"/>
    <w:basedOn w:val="Normal"/>
    <w:link w:val="FooterChar"/>
    <w:uiPriority w:val="99"/>
    <w:rsid w:val="002A4B69"/>
    <w:pPr>
      <w:tabs>
        <w:tab w:val="center" w:pos="4153"/>
        <w:tab w:val="right" w:pos="8306"/>
      </w:tabs>
    </w:pPr>
    <w:rPr>
      <w:sz w:val="20"/>
      <w:szCs w:val="20"/>
      <w:lang w:val="en-US"/>
    </w:rPr>
  </w:style>
  <w:style w:type="character" w:customStyle="1" w:styleId="FooterChar">
    <w:name w:val="Footer Char"/>
    <w:basedOn w:val="DefaultParagraphFont"/>
    <w:link w:val="Footer"/>
    <w:uiPriority w:val="99"/>
    <w:locked/>
    <w:rsid w:val="002A4B69"/>
    <w:rPr>
      <w:rFonts w:eastAsia="Times New Roman"/>
      <w:sz w:val="20"/>
      <w:lang w:val="en-US"/>
    </w:rPr>
  </w:style>
  <w:style w:type="paragraph" w:customStyle="1" w:styleId="bullet">
    <w:name w:val="bullet"/>
    <w:basedOn w:val="Normal"/>
    <w:autoRedefine/>
    <w:uiPriority w:val="99"/>
    <w:rsid w:val="001E467A"/>
    <w:pPr>
      <w:numPr>
        <w:numId w:val="28"/>
      </w:numPr>
    </w:pPr>
    <w:rPr>
      <w:rFonts w:ascii="Tahoma" w:hAnsi="Tahoma"/>
      <w:lang w:val="en-US"/>
    </w:rPr>
  </w:style>
  <w:style w:type="paragraph" w:customStyle="1" w:styleId="head2">
    <w:name w:val="head2"/>
    <w:basedOn w:val="Normal"/>
    <w:uiPriority w:val="99"/>
    <w:rsid w:val="002A4B69"/>
    <w:pPr>
      <w:spacing w:before="200"/>
    </w:pPr>
    <w:rPr>
      <w:b/>
    </w:rPr>
  </w:style>
  <w:style w:type="character" w:styleId="Hyperlink">
    <w:name w:val="Hyperlink"/>
    <w:aliases w:val="Hyperlinks"/>
    <w:qFormat/>
    <w:rsid w:val="003A4A1A"/>
    <w:rPr>
      <w:rFonts w:ascii="Arial" w:hAnsi="Arial"/>
      <w:color w:val="0000FF"/>
      <w:sz w:val="22"/>
      <w:u w:val="single"/>
    </w:rPr>
  </w:style>
  <w:style w:type="paragraph" w:customStyle="1" w:styleId="Head1">
    <w:name w:val="Head 1"/>
    <w:basedOn w:val="Normal"/>
    <w:uiPriority w:val="99"/>
    <w:rsid w:val="002A4B69"/>
    <w:pPr>
      <w:jc w:val="center"/>
    </w:pPr>
    <w:rPr>
      <w:rFonts w:ascii="Tahoma" w:hAnsi="Tahoma"/>
      <w:b/>
      <w:bCs/>
      <w:sz w:val="32"/>
      <w:szCs w:val="20"/>
    </w:rPr>
  </w:style>
  <w:style w:type="paragraph" w:customStyle="1" w:styleId="Head20">
    <w:name w:val="Head 2"/>
    <w:basedOn w:val="Normal"/>
    <w:uiPriority w:val="99"/>
    <w:rsid w:val="002A4B69"/>
    <w:pPr>
      <w:jc w:val="center"/>
    </w:pPr>
    <w:rPr>
      <w:rFonts w:ascii="Tahoma" w:hAnsi="Tahoma"/>
      <w:sz w:val="32"/>
      <w:szCs w:val="20"/>
    </w:rPr>
  </w:style>
  <w:style w:type="paragraph" w:styleId="Title">
    <w:name w:val="Title"/>
    <w:basedOn w:val="Normal"/>
    <w:next w:val="Normal"/>
    <w:link w:val="TitleChar"/>
    <w:uiPriority w:val="10"/>
    <w:qFormat/>
    <w:rsid w:val="003A4A1A"/>
    <w:pPr>
      <w:spacing w:after="0"/>
      <w:jc w:val="center"/>
    </w:pPr>
    <w:rPr>
      <w:rFonts w:cs="Arial"/>
      <w:b/>
      <w:sz w:val="32"/>
      <w:szCs w:val="32"/>
      <w:lang w:val="en-US"/>
    </w:rPr>
  </w:style>
  <w:style w:type="character" w:customStyle="1" w:styleId="TitleChar">
    <w:name w:val="Title Char"/>
    <w:basedOn w:val="DefaultParagraphFont"/>
    <w:link w:val="Title"/>
    <w:uiPriority w:val="10"/>
    <w:locked/>
    <w:rsid w:val="003A4A1A"/>
    <w:rPr>
      <w:rFonts w:cs="Arial"/>
      <w:b/>
      <w:sz w:val="32"/>
      <w:szCs w:val="32"/>
      <w:lang w:val="en-US"/>
    </w:rPr>
  </w:style>
  <w:style w:type="paragraph" w:styleId="BodyText">
    <w:name w:val="Body Text"/>
    <w:basedOn w:val="Normal"/>
    <w:link w:val="BodyTextChar"/>
    <w:uiPriority w:val="99"/>
    <w:rsid w:val="0092728B"/>
    <w:rPr>
      <w:rFonts w:ascii="Tahoma" w:hAnsi="Tahoma"/>
      <w:color w:val="000000"/>
      <w:szCs w:val="20"/>
      <w:lang w:val="en-US"/>
    </w:rPr>
  </w:style>
  <w:style w:type="character" w:customStyle="1" w:styleId="BodyTextChar">
    <w:name w:val="Body Text Char"/>
    <w:basedOn w:val="DefaultParagraphFont"/>
    <w:link w:val="BodyText"/>
    <w:uiPriority w:val="99"/>
    <w:locked/>
    <w:rsid w:val="0092728B"/>
    <w:rPr>
      <w:rFonts w:ascii="Tahoma" w:hAnsi="Tahoma"/>
      <w:color w:val="000000"/>
      <w:sz w:val="22"/>
      <w:lang w:val="en-US"/>
    </w:rPr>
  </w:style>
  <w:style w:type="paragraph" w:styleId="BodyText2">
    <w:name w:val="Body Text 2"/>
    <w:basedOn w:val="Normal"/>
    <w:link w:val="BodyText2Char"/>
    <w:uiPriority w:val="99"/>
    <w:semiHidden/>
    <w:rsid w:val="00791684"/>
    <w:pPr>
      <w:spacing w:line="480" w:lineRule="auto"/>
    </w:pPr>
  </w:style>
  <w:style w:type="character" w:customStyle="1" w:styleId="BodyText2Char">
    <w:name w:val="Body Text 2 Char"/>
    <w:basedOn w:val="DefaultParagraphFont"/>
    <w:link w:val="BodyText2"/>
    <w:uiPriority w:val="99"/>
    <w:semiHidden/>
    <w:locked/>
    <w:rsid w:val="00791684"/>
    <w:rPr>
      <w:rFonts w:cs="Times New Roman"/>
    </w:rPr>
  </w:style>
  <w:style w:type="paragraph" w:customStyle="1" w:styleId="StyleBodyTextItalic">
    <w:name w:val="Style Body Text + Italic"/>
    <w:basedOn w:val="BodyText"/>
    <w:uiPriority w:val="99"/>
    <w:rsid w:val="00B627C8"/>
    <w:pPr>
      <w:spacing w:after="120"/>
    </w:pPr>
    <w:rPr>
      <w:i/>
      <w:iCs/>
    </w:rPr>
  </w:style>
  <w:style w:type="character" w:styleId="FollowedHyperlink">
    <w:name w:val="FollowedHyperlink"/>
    <w:basedOn w:val="DefaultParagraphFont"/>
    <w:uiPriority w:val="99"/>
    <w:rsid w:val="00852396"/>
    <w:rPr>
      <w:rFonts w:cs="Times New Roman"/>
      <w:color w:val="800080"/>
      <w:u w:val="single"/>
    </w:rPr>
  </w:style>
  <w:style w:type="paragraph" w:styleId="BalloonText">
    <w:name w:val="Balloon Text"/>
    <w:basedOn w:val="Normal"/>
    <w:link w:val="BalloonTextChar"/>
    <w:uiPriority w:val="99"/>
    <w:semiHidden/>
    <w:rsid w:val="00313561"/>
    <w:rPr>
      <w:rFonts w:ascii="Tahoma" w:hAnsi="Tahoma"/>
      <w:sz w:val="16"/>
      <w:szCs w:val="16"/>
    </w:rPr>
  </w:style>
  <w:style w:type="character" w:customStyle="1" w:styleId="BalloonTextChar">
    <w:name w:val="Balloon Text Char"/>
    <w:basedOn w:val="DefaultParagraphFont"/>
    <w:link w:val="BalloonText"/>
    <w:uiPriority w:val="99"/>
    <w:semiHidden/>
    <w:locked/>
    <w:rsid w:val="00313561"/>
    <w:rPr>
      <w:rFonts w:ascii="Tahoma" w:hAnsi="Tahoma"/>
      <w:sz w:val="16"/>
    </w:rPr>
  </w:style>
  <w:style w:type="character" w:styleId="CommentReference">
    <w:name w:val="annotation reference"/>
    <w:basedOn w:val="DefaultParagraphFont"/>
    <w:rsid w:val="000418CC"/>
    <w:rPr>
      <w:rFonts w:cs="Times New Roman"/>
      <w:sz w:val="16"/>
    </w:rPr>
  </w:style>
  <w:style w:type="paragraph" w:styleId="CommentText">
    <w:name w:val="annotation text"/>
    <w:basedOn w:val="Normal"/>
    <w:link w:val="CommentTextChar"/>
    <w:rsid w:val="000418CC"/>
    <w:rPr>
      <w:sz w:val="20"/>
      <w:szCs w:val="20"/>
    </w:rPr>
  </w:style>
  <w:style w:type="character" w:customStyle="1" w:styleId="CommentTextChar">
    <w:name w:val="Comment Text Char"/>
    <w:basedOn w:val="DefaultParagraphFont"/>
    <w:link w:val="CommentText"/>
    <w:locked/>
    <w:rsid w:val="000418CC"/>
    <w:rPr>
      <w:sz w:val="20"/>
    </w:rPr>
  </w:style>
  <w:style w:type="paragraph" w:styleId="CommentSubject">
    <w:name w:val="annotation subject"/>
    <w:basedOn w:val="CommentText"/>
    <w:next w:val="CommentText"/>
    <w:link w:val="CommentSubjectChar"/>
    <w:uiPriority w:val="99"/>
    <w:semiHidden/>
    <w:rsid w:val="000418CC"/>
    <w:rPr>
      <w:b/>
      <w:bCs/>
    </w:rPr>
  </w:style>
  <w:style w:type="character" w:customStyle="1" w:styleId="CommentSubjectChar">
    <w:name w:val="Comment Subject Char"/>
    <w:basedOn w:val="CommentTextChar"/>
    <w:link w:val="CommentSubject"/>
    <w:uiPriority w:val="99"/>
    <w:semiHidden/>
    <w:locked/>
    <w:rsid w:val="000418CC"/>
    <w:rPr>
      <w:b/>
      <w:sz w:val="20"/>
    </w:rPr>
  </w:style>
  <w:style w:type="paragraph" w:styleId="NormalWeb">
    <w:name w:val="Normal (Web)"/>
    <w:basedOn w:val="Normal"/>
    <w:uiPriority w:val="99"/>
    <w:rsid w:val="00EC53B6"/>
    <w:pPr>
      <w:spacing w:before="100" w:beforeAutospacing="1" w:after="100" w:afterAutospacing="1"/>
    </w:pPr>
  </w:style>
  <w:style w:type="character" w:styleId="Emphasis">
    <w:name w:val="Emphasis"/>
    <w:basedOn w:val="DefaultParagraphFont"/>
    <w:uiPriority w:val="20"/>
    <w:qFormat/>
    <w:rsid w:val="003A4A1A"/>
    <w:rPr>
      <w:i/>
      <w:iCs/>
    </w:rPr>
  </w:style>
  <w:style w:type="paragraph" w:styleId="FootnoteText">
    <w:name w:val="footnote text"/>
    <w:basedOn w:val="Normal"/>
    <w:link w:val="FootnoteTextChar"/>
    <w:uiPriority w:val="99"/>
    <w:semiHidden/>
    <w:rsid w:val="00753677"/>
    <w:rPr>
      <w:sz w:val="20"/>
      <w:szCs w:val="20"/>
    </w:rPr>
  </w:style>
  <w:style w:type="character" w:customStyle="1" w:styleId="FootnoteTextChar">
    <w:name w:val="Footnote Text Char"/>
    <w:basedOn w:val="DefaultParagraphFont"/>
    <w:link w:val="FootnoteText"/>
    <w:uiPriority w:val="99"/>
    <w:semiHidden/>
    <w:locked/>
    <w:rsid w:val="00753677"/>
    <w:rPr>
      <w:rFonts w:ascii="Arial" w:hAnsi="Arial"/>
      <w:sz w:val="20"/>
    </w:rPr>
  </w:style>
  <w:style w:type="character" w:styleId="FootnoteReference">
    <w:name w:val="footnote reference"/>
    <w:basedOn w:val="DefaultParagraphFont"/>
    <w:uiPriority w:val="99"/>
    <w:semiHidden/>
    <w:rsid w:val="00753677"/>
    <w:rPr>
      <w:rFonts w:cs="Times New Roman"/>
      <w:vertAlign w:val="superscript"/>
    </w:rPr>
  </w:style>
  <w:style w:type="character" w:styleId="LineNumber">
    <w:name w:val="line number"/>
    <w:basedOn w:val="DefaultParagraphFont"/>
    <w:uiPriority w:val="99"/>
    <w:semiHidden/>
    <w:rsid w:val="00E15B16"/>
    <w:rPr>
      <w:rFonts w:cs="Times New Roman"/>
    </w:rPr>
  </w:style>
  <w:style w:type="character" w:customStyle="1" w:styleId="label">
    <w:name w:val="label"/>
    <w:basedOn w:val="DefaultParagraphFont"/>
    <w:uiPriority w:val="99"/>
    <w:rsid w:val="00354B4E"/>
    <w:rPr>
      <w:rFonts w:cs="Times New Roman"/>
    </w:rPr>
  </w:style>
  <w:style w:type="character" w:customStyle="1" w:styleId="reference">
    <w:name w:val="reference"/>
    <w:basedOn w:val="DefaultParagraphFont"/>
    <w:uiPriority w:val="99"/>
    <w:rsid w:val="00354B4E"/>
    <w:rPr>
      <w:rFonts w:cs="Times New Roman"/>
    </w:rPr>
  </w:style>
  <w:style w:type="character" w:customStyle="1" w:styleId="contribution">
    <w:name w:val="contribution"/>
    <w:basedOn w:val="DefaultParagraphFont"/>
    <w:uiPriority w:val="99"/>
    <w:rsid w:val="00354B4E"/>
    <w:rPr>
      <w:rFonts w:cs="Times New Roman"/>
    </w:rPr>
  </w:style>
  <w:style w:type="character" w:customStyle="1" w:styleId="authors">
    <w:name w:val="authors"/>
    <w:basedOn w:val="DefaultParagraphFont"/>
    <w:uiPriority w:val="99"/>
    <w:rsid w:val="00354B4E"/>
    <w:rPr>
      <w:rFonts w:cs="Times New Roman"/>
    </w:rPr>
  </w:style>
  <w:style w:type="character" w:customStyle="1" w:styleId="author">
    <w:name w:val="author"/>
    <w:basedOn w:val="DefaultParagraphFont"/>
    <w:uiPriority w:val="99"/>
    <w:rsid w:val="00354B4E"/>
    <w:rPr>
      <w:rFonts w:cs="Times New Roman"/>
    </w:rPr>
  </w:style>
  <w:style w:type="character" w:customStyle="1" w:styleId="surname">
    <w:name w:val="surname"/>
    <w:basedOn w:val="DefaultParagraphFont"/>
    <w:uiPriority w:val="99"/>
    <w:rsid w:val="00354B4E"/>
    <w:rPr>
      <w:rFonts w:cs="Times New Roman"/>
    </w:rPr>
  </w:style>
  <w:style w:type="character" w:customStyle="1" w:styleId="given-name">
    <w:name w:val="given-name"/>
    <w:basedOn w:val="DefaultParagraphFont"/>
    <w:uiPriority w:val="99"/>
    <w:rsid w:val="00354B4E"/>
    <w:rPr>
      <w:rFonts w:cs="Times New Roman"/>
    </w:rPr>
  </w:style>
  <w:style w:type="character" w:customStyle="1" w:styleId="maintitle">
    <w:name w:val="maintitle"/>
    <w:basedOn w:val="DefaultParagraphFont"/>
    <w:uiPriority w:val="99"/>
    <w:rsid w:val="00354B4E"/>
    <w:rPr>
      <w:rFonts w:cs="Times New Roman"/>
    </w:rPr>
  </w:style>
  <w:style w:type="character" w:customStyle="1" w:styleId="issue">
    <w:name w:val="issue"/>
    <w:basedOn w:val="DefaultParagraphFont"/>
    <w:uiPriority w:val="99"/>
    <w:rsid w:val="00354B4E"/>
    <w:rPr>
      <w:rFonts w:cs="Times New Roman"/>
    </w:rPr>
  </w:style>
  <w:style w:type="character" w:customStyle="1" w:styleId="series">
    <w:name w:val="series"/>
    <w:basedOn w:val="DefaultParagraphFont"/>
    <w:uiPriority w:val="99"/>
    <w:rsid w:val="00354B4E"/>
    <w:rPr>
      <w:rFonts w:cs="Times New Roman"/>
    </w:rPr>
  </w:style>
  <w:style w:type="character" w:customStyle="1" w:styleId="volume-nr">
    <w:name w:val="volume-nr"/>
    <w:basedOn w:val="DefaultParagraphFont"/>
    <w:uiPriority w:val="99"/>
    <w:rsid w:val="00354B4E"/>
    <w:rPr>
      <w:rFonts w:cs="Times New Roman"/>
    </w:rPr>
  </w:style>
  <w:style w:type="character" w:customStyle="1" w:styleId="pages">
    <w:name w:val="pages"/>
    <w:basedOn w:val="DefaultParagraphFont"/>
    <w:uiPriority w:val="99"/>
    <w:rsid w:val="00354B4E"/>
    <w:rPr>
      <w:rFonts w:cs="Times New Roman"/>
    </w:rPr>
  </w:style>
  <w:style w:type="character" w:customStyle="1" w:styleId="first-page">
    <w:name w:val="first-page"/>
    <w:basedOn w:val="DefaultParagraphFont"/>
    <w:uiPriority w:val="99"/>
    <w:rsid w:val="00354B4E"/>
    <w:rPr>
      <w:rFonts w:cs="Times New Roman"/>
    </w:rPr>
  </w:style>
  <w:style w:type="character" w:customStyle="1" w:styleId="last-page">
    <w:name w:val="last-page"/>
    <w:basedOn w:val="DefaultParagraphFont"/>
    <w:uiPriority w:val="99"/>
    <w:rsid w:val="00354B4E"/>
    <w:rPr>
      <w:rFonts w:cs="Times New Roman"/>
    </w:rPr>
  </w:style>
  <w:style w:type="character" w:customStyle="1" w:styleId="Date1">
    <w:name w:val="Date1"/>
    <w:basedOn w:val="DefaultParagraphFont"/>
    <w:uiPriority w:val="99"/>
    <w:rsid w:val="00354B4E"/>
    <w:rPr>
      <w:rFonts w:cs="Times New Roman"/>
    </w:rPr>
  </w:style>
  <w:style w:type="paragraph" w:styleId="ListParagraph">
    <w:name w:val="List Paragraph"/>
    <w:aliases w:val="Bullet List Paragraph"/>
    <w:basedOn w:val="Normal"/>
    <w:link w:val="ListParagraphChar"/>
    <w:uiPriority w:val="34"/>
    <w:qFormat/>
    <w:rsid w:val="003A4A1A"/>
    <w:pPr>
      <w:ind w:left="360" w:hanging="360"/>
      <w:contextualSpacing/>
    </w:pPr>
    <w:rPr>
      <w:rFonts w:cs="Arial"/>
      <w:lang w:val="en-US"/>
    </w:rPr>
  </w:style>
  <w:style w:type="paragraph" w:styleId="Bibliography">
    <w:name w:val="Bibliography"/>
    <w:basedOn w:val="Normal"/>
    <w:next w:val="Normal"/>
    <w:uiPriority w:val="99"/>
    <w:rsid w:val="006455DB"/>
  </w:style>
  <w:style w:type="character" w:styleId="Strong">
    <w:name w:val="Strong"/>
    <w:basedOn w:val="DefaultParagraphFont"/>
    <w:uiPriority w:val="99"/>
    <w:qFormat/>
    <w:rsid w:val="00B766B1"/>
    <w:rPr>
      <w:rFonts w:cs="Times New Roman"/>
      <w:b/>
    </w:rPr>
  </w:style>
  <w:style w:type="table" w:styleId="TableGrid">
    <w:name w:val="Table Grid"/>
    <w:basedOn w:val="TableNormal"/>
    <w:uiPriority w:val="99"/>
    <w:rsid w:val="00DB2F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9A221F"/>
    <w:rPr>
      <w:sz w:val="20"/>
      <w:szCs w:val="20"/>
    </w:rPr>
  </w:style>
  <w:style w:type="character" w:customStyle="1" w:styleId="EndnoteTextChar">
    <w:name w:val="Endnote Text Char"/>
    <w:basedOn w:val="DefaultParagraphFont"/>
    <w:link w:val="EndnoteText"/>
    <w:uiPriority w:val="99"/>
    <w:locked/>
    <w:rsid w:val="009A221F"/>
    <w:rPr>
      <w:sz w:val="20"/>
    </w:rPr>
  </w:style>
  <w:style w:type="character" w:styleId="EndnoteReference">
    <w:name w:val="endnote reference"/>
    <w:basedOn w:val="DefaultParagraphFont"/>
    <w:uiPriority w:val="99"/>
    <w:semiHidden/>
    <w:rsid w:val="009A221F"/>
    <w:rPr>
      <w:rFonts w:cs="Times New Roman"/>
      <w:vertAlign w:val="superscript"/>
    </w:rPr>
  </w:style>
  <w:style w:type="character" w:customStyle="1" w:styleId="italic">
    <w:name w:val="italic"/>
    <w:basedOn w:val="DefaultParagraphFont"/>
    <w:uiPriority w:val="99"/>
    <w:rsid w:val="00777094"/>
    <w:rPr>
      <w:rFonts w:cs="Times New Roman"/>
    </w:rPr>
  </w:style>
  <w:style w:type="character" w:customStyle="1" w:styleId="Date2">
    <w:name w:val="Date2"/>
    <w:basedOn w:val="DefaultParagraphFont"/>
    <w:uiPriority w:val="99"/>
    <w:rsid w:val="00777094"/>
    <w:rPr>
      <w:rFonts w:cs="Times New Roman"/>
    </w:rPr>
  </w:style>
  <w:style w:type="paragraph" w:customStyle="1" w:styleId="abstract">
    <w:name w:val="abstract"/>
    <w:basedOn w:val="Normal"/>
    <w:uiPriority w:val="99"/>
    <w:rsid w:val="00D7565A"/>
    <w:pPr>
      <w:spacing w:before="100" w:beforeAutospacing="1" w:after="100" w:afterAutospacing="1"/>
    </w:pPr>
    <w:rPr>
      <w:lang w:val="en-US"/>
    </w:rPr>
  </w:style>
  <w:style w:type="paragraph" w:styleId="BodyTextFirstIndent">
    <w:name w:val="Body Text First Indent"/>
    <w:basedOn w:val="BodyText"/>
    <w:link w:val="BodyTextFirstIndentChar"/>
    <w:uiPriority w:val="99"/>
    <w:rsid w:val="00D7565A"/>
    <w:pPr>
      <w:autoSpaceDE/>
      <w:autoSpaceDN/>
      <w:adjustRightInd/>
      <w:spacing w:after="120"/>
      <w:ind w:right="0" w:firstLine="432"/>
      <w:jc w:val="both"/>
    </w:pPr>
  </w:style>
  <w:style w:type="character" w:customStyle="1" w:styleId="BodyTextFirstIndentChar">
    <w:name w:val="Body Text First Indent Char"/>
    <w:basedOn w:val="BodyTextChar"/>
    <w:link w:val="BodyTextFirstIndent"/>
    <w:uiPriority w:val="99"/>
    <w:locked/>
    <w:rsid w:val="00D7565A"/>
    <w:rPr>
      <w:rFonts w:ascii="Tahoma" w:hAnsi="Tahoma"/>
      <w:color w:val="000000"/>
      <w:sz w:val="20"/>
      <w:lang w:val="en-US"/>
    </w:rPr>
  </w:style>
  <w:style w:type="paragraph" w:customStyle="1" w:styleId="summary">
    <w:name w:val="summary"/>
    <w:basedOn w:val="Normal"/>
    <w:uiPriority w:val="99"/>
    <w:rsid w:val="00D7565A"/>
    <w:pPr>
      <w:spacing w:before="100" w:beforeAutospacing="1" w:after="100" w:afterAutospacing="1"/>
    </w:pPr>
  </w:style>
  <w:style w:type="paragraph" w:customStyle="1" w:styleId="section">
    <w:name w:val="section"/>
    <w:basedOn w:val="Normal"/>
    <w:uiPriority w:val="99"/>
    <w:rsid w:val="00D7565A"/>
    <w:pPr>
      <w:spacing w:before="100" w:beforeAutospacing="1" w:after="100" w:afterAutospacing="1"/>
    </w:pPr>
    <w:rPr>
      <w:lang w:val="en-US"/>
    </w:rPr>
  </w:style>
  <w:style w:type="paragraph" w:customStyle="1" w:styleId="footnote">
    <w:name w:val="footnote"/>
    <w:basedOn w:val="Normal"/>
    <w:uiPriority w:val="99"/>
    <w:rsid w:val="00D7565A"/>
    <w:pPr>
      <w:spacing w:before="100" w:beforeAutospacing="1" w:after="100" w:afterAutospacing="1"/>
    </w:pPr>
    <w:rPr>
      <w:lang w:val="en-US"/>
    </w:rPr>
  </w:style>
  <w:style w:type="paragraph" w:customStyle="1" w:styleId="currency">
    <w:name w:val="currency"/>
    <w:basedOn w:val="Normal"/>
    <w:uiPriority w:val="99"/>
    <w:rsid w:val="00D7565A"/>
    <w:pPr>
      <w:spacing w:before="100" w:beforeAutospacing="1" w:after="100" w:afterAutospacing="1"/>
    </w:pPr>
    <w:rPr>
      <w:lang w:val="en-US"/>
    </w:rPr>
  </w:style>
  <w:style w:type="character" w:customStyle="1" w:styleId="apple-style-span">
    <w:name w:val="apple-style-span"/>
    <w:basedOn w:val="DefaultParagraphFont"/>
    <w:uiPriority w:val="99"/>
    <w:rsid w:val="00D7565A"/>
    <w:rPr>
      <w:rFonts w:cs="Times New Roman"/>
    </w:rPr>
  </w:style>
  <w:style w:type="character" w:customStyle="1" w:styleId="Subtitle1">
    <w:name w:val="Subtitle1"/>
    <w:basedOn w:val="DefaultParagraphFont"/>
    <w:uiPriority w:val="99"/>
    <w:rsid w:val="00DB1E99"/>
    <w:rPr>
      <w:rFonts w:cs="Times New Roman"/>
    </w:rPr>
  </w:style>
  <w:style w:type="paragraph" w:styleId="Caption">
    <w:name w:val="caption"/>
    <w:aliases w:val="Footnote text"/>
    <w:basedOn w:val="FootnoteText"/>
    <w:next w:val="Normal"/>
    <w:uiPriority w:val="35"/>
    <w:unhideWhenUsed/>
    <w:qFormat/>
    <w:rsid w:val="003A4A1A"/>
    <w:pPr>
      <w:spacing w:after="0"/>
    </w:pPr>
    <w:rPr>
      <w:sz w:val="16"/>
    </w:rPr>
  </w:style>
  <w:style w:type="paragraph" w:customStyle="1" w:styleId="Default">
    <w:name w:val="Default"/>
    <w:uiPriority w:val="99"/>
    <w:rsid w:val="00FF3A58"/>
    <w:pPr>
      <w:autoSpaceDE w:val="0"/>
      <w:autoSpaceDN w:val="0"/>
      <w:adjustRightInd w:val="0"/>
    </w:pPr>
    <w:rPr>
      <w:rFonts w:cs="Arial"/>
      <w:color w:val="000000"/>
      <w:sz w:val="24"/>
      <w:szCs w:val="24"/>
      <w:lang w:eastAsia="en-US"/>
    </w:rPr>
  </w:style>
  <w:style w:type="paragraph" w:styleId="Revision">
    <w:name w:val="Revision"/>
    <w:hidden/>
    <w:uiPriority w:val="99"/>
    <w:semiHidden/>
    <w:rsid w:val="00B379AF"/>
    <w:rPr>
      <w:sz w:val="24"/>
      <w:szCs w:val="24"/>
      <w:lang w:eastAsia="en-US"/>
    </w:rPr>
  </w:style>
  <w:style w:type="paragraph" w:customStyle="1" w:styleId="A0">
    <w:name w:val="A0"/>
    <w:basedOn w:val="Default"/>
    <w:next w:val="Default"/>
    <w:uiPriority w:val="99"/>
    <w:rsid w:val="00C776A5"/>
    <w:pPr>
      <w:spacing w:line="601" w:lineRule="atLeast"/>
    </w:pPr>
    <w:rPr>
      <w:rFonts w:ascii="Rockwell Std" w:hAnsi="Rockwell Std" w:cs="Times New Roman"/>
      <w:color w:val="auto"/>
      <w:lang w:eastAsia="en-AU"/>
    </w:rPr>
  </w:style>
  <w:style w:type="paragraph" w:customStyle="1" w:styleId="References">
    <w:name w:val="References"/>
    <w:basedOn w:val="Normal"/>
    <w:qFormat/>
    <w:rsid w:val="003A4A1A"/>
    <w:pPr>
      <w:spacing w:after="0"/>
    </w:pPr>
  </w:style>
  <w:style w:type="paragraph" w:customStyle="1" w:styleId="Footertext">
    <w:name w:val="Footer text"/>
    <w:basedOn w:val="Footer"/>
    <w:qFormat/>
    <w:rsid w:val="003A4A1A"/>
    <w:rPr>
      <w:sz w:val="16"/>
      <w:lang w:val="en-AU"/>
    </w:rPr>
  </w:style>
  <w:style w:type="character" w:customStyle="1" w:styleId="Heading8Char">
    <w:name w:val="Heading 8 Char"/>
    <w:aliases w:val="Numbered list paragraph Char"/>
    <w:basedOn w:val="DefaultParagraphFont"/>
    <w:link w:val="Heading8"/>
    <w:uiPriority w:val="9"/>
    <w:semiHidden/>
    <w:rsid w:val="003A4A1A"/>
    <w:rPr>
      <w:rFonts w:cs="Arial"/>
      <w:lang w:val="en-US"/>
    </w:rPr>
  </w:style>
  <w:style w:type="character" w:customStyle="1" w:styleId="Heading9Char">
    <w:name w:val="Heading 9 Char"/>
    <w:aliases w:val="Appendicies heading Char"/>
    <w:basedOn w:val="DefaultParagraphFont"/>
    <w:link w:val="Heading9"/>
    <w:uiPriority w:val="9"/>
    <w:semiHidden/>
    <w:rsid w:val="003A4A1A"/>
    <w:rPr>
      <w:rFonts w:cs="Arial"/>
      <w:b/>
      <w:sz w:val="28"/>
      <w:lang w:val="en-US"/>
    </w:rPr>
  </w:style>
  <w:style w:type="paragraph" w:styleId="Subtitle">
    <w:name w:val="Subtitle"/>
    <w:basedOn w:val="Title"/>
    <w:next w:val="Normal"/>
    <w:link w:val="SubtitleChar"/>
    <w:uiPriority w:val="11"/>
    <w:qFormat/>
    <w:locked/>
    <w:rsid w:val="003A4A1A"/>
    <w:pPr>
      <w:spacing w:after="720"/>
    </w:pPr>
    <w:rPr>
      <w:b w:val="0"/>
    </w:rPr>
  </w:style>
  <w:style w:type="character" w:customStyle="1" w:styleId="SubtitleChar">
    <w:name w:val="Subtitle Char"/>
    <w:basedOn w:val="DefaultParagraphFont"/>
    <w:link w:val="Subtitle"/>
    <w:uiPriority w:val="11"/>
    <w:rsid w:val="003A4A1A"/>
    <w:rPr>
      <w:rFonts w:cs="Arial"/>
      <w:sz w:val="32"/>
      <w:szCs w:val="32"/>
      <w:lang w:val="en-US"/>
    </w:rPr>
  </w:style>
  <w:style w:type="character" w:customStyle="1" w:styleId="ListParagraphChar">
    <w:name w:val="List Paragraph Char"/>
    <w:aliases w:val="Bullet List Paragraph Char"/>
    <w:basedOn w:val="DefaultParagraphFont"/>
    <w:link w:val="ListParagraph"/>
    <w:uiPriority w:val="34"/>
    <w:rsid w:val="003A4A1A"/>
    <w:rPr>
      <w:rFonts w:cs="Arial"/>
      <w:lang w:val="en-US"/>
    </w:rPr>
  </w:style>
  <w:style w:type="character" w:styleId="SubtleReference">
    <w:name w:val="Subtle Reference"/>
    <w:aliases w:val="Figure text"/>
    <w:uiPriority w:val="31"/>
    <w:qFormat/>
    <w:rsid w:val="003A4A1A"/>
    <w:rPr>
      <w:rFonts w:ascii="Arial" w:hAnsi="Arial"/>
      <w:b/>
      <w:sz w:val="22"/>
    </w:rPr>
  </w:style>
  <w:style w:type="character" w:styleId="IntenseReference">
    <w:name w:val="Intense Reference"/>
    <w:aliases w:val="Table header text"/>
    <w:uiPriority w:val="32"/>
    <w:qFormat/>
    <w:rsid w:val="003A4A1A"/>
    <w:rPr>
      <w:rFonts w:ascii="Arial" w:hAnsi="Arial"/>
      <w:b/>
      <w:sz w:val="22"/>
      <w:szCs w:val="22"/>
    </w:rPr>
  </w:style>
  <w:style w:type="character" w:styleId="BookTitle">
    <w:name w:val="Book Title"/>
    <w:aliases w:val="Table body text"/>
    <w:uiPriority w:val="33"/>
    <w:qFormat/>
    <w:rsid w:val="003A4A1A"/>
    <w:rPr>
      <w:rFonts w:ascii="Arial" w:hAnsi="Arial"/>
      <w:sz w:val="22"/>
      <w:szCs w:val="22"/>
    </w:rPr>
  </w:style>
  <w:style w:type="paragraph" w:styleId="TOCHeading">
    <w:name w:val="TOC Heading"/>
    <w:basedOn w:val="Heading1"/>
    <w:next w:val="Normal"/>
    <w:uiPriority w:val="39"/>
    <w:semiHidden/>
    <w:unhideWhenUsed/>
    <w:qFormat/>
    <w:rsid w:val="003A4A1A"/>
    <w:pPr>
      <w:keepLines/>
      <w:spacing w:before="480" w:after="0"/>
      <w:ind w:left="0" w:firstLine="0"/>
      <w:outlineLvl w:val="9"/>
    </w:pPr>
    <w:rPr>
      <w:rFonts w:asciiTheme="majorHAnsi" w:eastAsiaTheme="majorEastAsia" w:hAnsiTheme="majorHAnsi" w:cstheme="majorBidi"/>
      <w:color w:val="365F91" w:themeColor="accent1" w:themeShade="BF"/>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020102">
      <w:bodyDiv w:val="1"/>
      <w:marLeft w:val="0"/>
      <w:marRight w:val="0"/>
      <w:marTop w:val="0"/>
      <w:marBottom w:val="0"/>
      <w:divBdr>
        <w:top w:val="none" w:sz="0" w:space="0" w:color="auto"/>
        <w:left w:val="none" w:sz="0" w:space="0" w:color="auto"/>
        <w:bottom w:val="none" w:sz="0" w:space="0" w:color="auto"/>
        <w:right w:val="none" w:sz="0" w:space="0" w:color="auto"/>
      </w:divBdr>
    </w:div>
    <w:div w:id="1060862523">
      <w:bodyDiv w:val="1"/>
      <w:marLeft w:val="0"/>
      <w:marRight w:val="0"/>
      <w:marTop w:val="0"/>
      <w:marBottom w:val="0"/>
      <w:divBdr>
        <w:top w:val="none" w:sz="0" w:space="0" w:color="auto"/>
        <w:left w:val="none" w:sz="0" w:space="0" w:color="auto"/>
        <w:bottom w:val="none" w:sz="0" w:space="0" w:color="auto"/>
        <w:right w:val="none" w:sz="0" w:space="0" w:color="auto"/>
      </w:divBdr>
    </w:div>
    <w:div w:id="1413818028">
      <w:marLeft w:val="0"/>
      <w:marRight w:val="0"/>
      <w:marTop w:val="0"/>
      <w:marBottom w:val="0"/>
      <w:divBdr>
        <w:top w:val="none" w:sz="0" w:space="0" w:color="auto"/>
        <w:left w:val="none" w:sz="0" w:space="0" w:color="auto"/>
        <w:bottom w:val="none" w:sz="0" w:space="0" w:color="auto"/>
        <w:right w:val="none" w:sz="0" w:space="0" w:color="auto"/>
      </w:divBdr>
      <w:divsChild>
        <w:div w:id="1413818045">
          <w:marLeft w:val="0"/>
          <w:marRight w:val="0"/>
          <w:marTop w:val="240"/>
          <w:marBottom w:val="480"/>
          <w:divBdr>
            <w:top w:val="none" w:sz="0" w:space="0" w:color="auto"/>
            <w:left w:val="none" w:sz="0" w:space="0" w:color="auto"/>
            <w:bottom w:val="none" w:sz="0" w:space="0" w:color="auto"/>
            <w:right w:val="none" w:sz="0" w:space="0" w:color="auto"/>
          </w:divBdr>
          <w:divsChild>
            <w:div w:id="1413818041">
              <w:marLeft w:val="0"/>
              <w:marRight w:val="0"/>
              <w:marTop w:val="0"/>
              <w:marBottom w:val="0"/>
              <w:divBdr>
                <w:top w:val="none" w:sz="0" w:space="0" w:color="auto"/>
                <w:left w:val="none" w:sz="0" w:space="0" w:color="auto"/>
                <w:bottom w:val="none" w:sz="0" w:space="0" w:color="auto"/>
                <w:right w:val="none" w:sz="0" w:space="0" w:color="auto"/>
              </w:divBdr>
              <w:divsChild>
                <w:div w:id="1413818034">
                  <w:marLeft w:val="0"/>
                  <w:marRight w:val="0"/>
                  <w:marTop w:val="0"/>
                  <w:marBottom w:val="0"/>
                  <w:divBdr>
                    <w:top w:val="none" w:sz="0" w:space="0" w:color="auto"/>
                    <w:left w:val="none" w:sz="0" w:space="0" w:color="auto"/>
                    <w:bottom w:val="none" w:sz="0" w:space="0" w:color="auto"/>
                    <w:right w:val="none" w:sz="0" w:space="0" w:color="auto"/>
                  </w:divBdr>
                  <w:divsChild>
                    <w:div w:id="1413818042">
                      <w:marLeft w:val="0"/>
                      <w:marRight w:val="0"/>
                      <w:marTop w:val="0"/>
                      <w:marBottom w:val="0"/>
                      <w:divBdr>
                        <w:top w:val="none" w:sz="0" w:space="0" w:color="auto"/>
                        <w:left w:val="none" w:sz="0" w:space="0" w:color="auto"/>
                        <w:bottom w:val="none" w:sz="0" w:space="0" w:color="auto"/>
                        <w:right w:val="none" w:sz="0" w:space="0" w:color="auto"/>
                      </w:divBdr>
                      <w:divsChild>
                        <w:div w:id="14138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818033">
      <w:marLeft w:val="0"/>
      <w:marRight w:val="0"/>
      <w:marTop w:val="0"/>
      <w:marBottom w:val="0"/>
      <w:divBdr>
        <w:top w:val="none" w:sz="0" w:space="0" w:color="auto"/>
        <w:left w:val="none" w:sz="0" w:space="0" w:color="auto"/>
        <w:bottom w:val="none" w:sz="0" w:space="0" w:color="auto"/>
        <w:right w:val="none" w:sz="0" w:space="0" w:color="auto"/>
      </w:divBdr>
      <w:divsChild>
        <w:div w:id="1413818046">
          <w:marLeft w:val="0"/>
          <w:marRight w:val="0"/>
          <w:marTop w:val="0"/>
          <w:marBottom w:val="0"/>
          <w:divBdr>
            <w:top w:val="none" w:sz="0" w:space="0" w:color="auto"/>
            <w:left w:val="none" w:sz="0" w:space="0" w:color="auto"/>
            <w:bottom w:val="none" w:sz="0" w:space="0" w:color="auto"/>
            <w:right w:val="none" w:sz="0" w:space="0" w:color="auto"/>
          </w:divBdr>
        </w:div>
      </w:divsChild>
    </w:div>
    <w:div w:id="1413818040">
      <w:marLeft w:val="0"/>
      <w:marRight w:val="0"/>
      <w:marTop w:val="0"/>
      <w:marBottom w:val="0"/>
      <w:divBdr>
        <w:top w:val="none" w:sz="0" w:space="0" w:color="auto"/>
        <w:left w:val="none" w:sz="0" w:space="0" w:color="auto"/>
        <w:bottom w:val="none" w:sz="0" w:space="0" w:color="auto"/>
        <w:right w:val="none" w:sz="0" w:space="0" w:color="auto"/>
      </w:divBdr>
    </w:div>
    <w:div w:id="1413818043">
      <w:marLeft w:val="0"/>
      <w:marRight w:val="0"/>
      <w:marTop w:val="0"/>
      <w:marBottom w:val="0"/>
      <w:divBdr>
        <w:top w:val="none" w:sz="0" w:space="0" w:color="auto"/>
        <w:left w:val="none" w:sz="0" w:space="0" w:color="auto"/>
        <w:bottom w:val="none" w:sz="0" w:space="0" w:color="auto"/>
        <w:right w:val="none" w:sz="0" w:space="0" w:color="auto"/>
      </w:divBdr>
    </w:div>
    <w:div w:id="1413818048">
      <w:marLeft w:val="0"/>
      <w:marRight w:val="0"/>
      <w:marTop w:val="0"/>
      <w:marBottom w:val="0"/>
      <w:divBdr>
        <w:top w:val="none" w:sz="0" w:space="0" w:color="auto"/>
        <w:left w:val="none" w:sz="0" w:space="0" w:color="auto"/>
        <w:bottom w:val="none" w:sz="0" w:space="0" w:color="auto"/>
        <w:right w:val="none" w:sz="0" w:space="0" w:color="auto"/>
      </w:divBdr>
      <w:divsChild>
        <w:div w:id="1413818038">
          <w:marLeft w:val="0"/>
          <w:marRight w:val="0"/>
          <w:marTop w:val="0"/>
          <w:marBottom w:val="0"/>
          <w:divBdr>
            <w:top w:val="none" w:sz="0" w:space="0" w:color="auto"/>
            <w:left w:val="none" w:sz="0" w:space="0" w:color="auto"/>
            <w:bottom w:val="none" w:sz="0" w:space="0" w:color="auto"/>
            <w:right w:val="none" w:sz="0" w:space="0" w:color="auto"/>
          </w:divBdr>
          <w:divsChild>
            <w:div w:id="1413818052">
              <w:marLeft w:val="0"/>
              <w:marRight w:val="0"/>
              <w:marTop w:val="0"/>
              <w:marBottom w:val="0"/>
              <w:divBdr>
                <w:top w:val="none" w:sz="0" w:space="0" w:color="auto"/>
                <w:left w:val="none" w:sz="0" w:space="0" w:color="auto"/>
                <w:bottom w:val="none" w:sz="0" w:space="0" w:color="auto"/>
                <w:right w:val="none" w:sz="0" w:space="0" w:color="auto"/>
              </w:divBdr>
              <w:divsChild>
                <w:div w:id="1413818036">
                  <w:marLeft w:val="0"/>
                  <w:marRight w:val="0"/>
                  <w:marTop w:val="150"/>
                  <w:marBottom w:val="0"/>
                  <w:divBdr>
                    <w:top w:val="none" w:sz="0" w:space="0" w:color="auto"/>
                    <w:left w:val="none" w:sz="0" w:space="0" w:color="auto"/>
                    <w:bottom w:val="none" w:sz="0" w:space="0" w:color="auto"/>
                    <w:right w:val="none" w:sz="0" w:space="0" w:color="auto"/>
                  </w:divBdr>
                  <w:divsChild>
                    <w:div w:id="1413818051">
                      <w:marLeft w:val="-150"/>
                      <w:marRight w:val="0"/>
                      <w:marTop w:val="0"/>
                      <w:marBottom w:val="0"/>
                      <w:divBdr>
                        <w:top w:val="none" w:sz="0" w:space="0" w:color="auto"/>
                        <w:left w:val="none" w:sz="0" w:space="0" w:color="auto"/>
                        <w:bottom w:val="none" w:sz="0" w:space="0" w:color="auto"/>
                        <w:right w:val="none" w:sz="0" w:space="0" w:color="auto"/>
                      </w:divBdr>
                      <w:divsChild>
                        <w:div w:id="1413818044">
                          <w:marLeft w:val="0"/>
                          <w:marRight w:val="0"/>
                          <w:marTop w:val="0"/>
                          <w:marBottom w:val="0"/>
                          <w:divBdr>
                            <w:top w:val="none" w:sz="0" w:space="0" w:color="auto"/>
                            <w:left w:val="none" w:sz="0" w:space="0" w:color="auto"/>
                            <w:bottom w:val="none" w:sz="0" w:space="0" w:color="auto"/>
                            <w:right w:val="none" w:sz="0" w:space="0" w:color="auto"/>
                          </w:divBdr>
                          <w:divsChild>
                            <w:div w:id="1413818039">
                              <w:marLeft w:val="0"/>
                              <w:marRight w:val="0"/>
                              <w:marTop w:val="0"/>
                              <w:marBottom w:val="0"/>
                              <w:divBdr>
                                <w:top w:val="none" w:sz="0" w:space="0" w:color="auto"/>
                                <w:left w:val="none" w:sz="0" w:space="0" w:color="auto"/>
                                <w:bottom w:val="none" w:sz="0" w:space="0" w:color="auto"/>
                                <w:right w:val="none" w:sz="0" w:space="0" w:color="auto"/>
                              </w:divBdr>
                              <w:divsChild>
                                <w:div w:id="1413818031">
                                  <w:marLeft w:val="0"/>
                                  <w:marRight w:val="0"/>
                                  <w:marTop w:val="0"/>
                                  <w:marBottom w:val="0"/>
                                  <w:divBdr>
                                    <w:top w:val="none" w:sz="0" w:space="0" w:color="auto"/>
                                    <w:left w:val="none" w:sz="0" w:space="0" w:color="auto"/>
                                    <w:bottom w:val="none" w:sz="0" w:space="0" w:color="auto"/>
                                    <w:right w:val="none" w:sz="0" w:space="0" w:color="auto"/>
                                  </w:divBdr>
                                  <w:divsChild>
                                    <w:div w:id="14138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18053">
      <w:marLeft w:val="0"/>
      <w:marRight w:val="0"/>
      <w:marTop w:val="0"/>
      <w:marBottom w:val="0"/>
      <w:divBdr>
        <w:top w:val="none" w:sz="0" w:space="0" w:color="auto"/>
        <w:left w:val="none" w:sz="0" w:space="0" w:color="auto"/>
        <w:bottom w:val="none" w:sz="0" w:space="0" w:color="auto"/>
        <w:right w:val="none" w:sz="0" w:space="0" w:color="auto"/>
      </w:divBdr>
    </w:div>
    <w:div w:id="1413818054">
      <w:marLeft w:val="0"/>
      <w:marRight w:val="0"/>
      <w:marTop w:val="0"/>
      <w:marBottom w:val="0"/>
      <w:divBdr>
        <w:top w:val="none" w:sz="0" w:space="0" w:color="auto"/>
        <w:left w:val="none" w:sz="0" w:space="0" w:color="auto"/>
        <w:bottom w:val="none" w:sz="0" w:space="0" w:color="auto"/>
        <w:right w:val="none" w:sz="0" w:space="0" w:color="auto"/>
      </w:divBdr>
      <w:divsChild>
        <w:div w:id="1413818030">
          <w:marLeft w:val="0"/>
          <w:marRight w:val="0"/>
          <w:marTop w:val="0"/>
          <w:marBottom w:val="0"/>
          <w:divBdr>
            <w:top w:val="none" w:sz="0" w:space="0" w:color="auto"/>
            <w:left w:val="none" w:sz="0" w:space="0" w:color="auto"/>
            <w:bottom w:val="none" w:sz="0" w:space="0" w:color="auto"/>
            <w:right w:val="none" w:sz="0" w:space="0" w:color="auto"/>
          </w:divBdr>
        </w:div>
      </w:divsChild>
    </w:div>
    <w:div w:id="1413818055">
      <w:marLeft w:val="0"/>
      <w:marRight w:val="0"/>
      <w:marTop w:val="0"/>
      <w:marBottom w:val="0"/>
      <w:divBdr>
        <w:top w:val="none" w:sz="0" w:space="0" w:color="auto"/>
        <w:left w:val="none" w:sz="0" w:space="0" w:color="auto"/>
        <w:bottom w:val="none" w:sz="0" w:space="0" w:color="auto"/>
        <w:right w:val="none" w:sz="0" w:space="0" w:color="auto"/>
      </w:divBdr>
    </w:div>
    <w:div w:id="1413818058">
      <w:marLeft w:val="0"/>
      <w:marRight w:val="0"/>
      <w:marTop w:val="0"/>
      <w:marBottom w:val="0"/>
      <w:divBdr>
        <w:top w:val="none" w:sz="0" w:space="0" w:color="auto"/>
        <w:left w:val="none" w:sz="0" w:space="0" w:color="auto"/>
        <w:bottom w:val="none" w:sz="0" w:space="0" w:color="auto"/>
        <w:right w:val="none" w:sz="0" w:space="0" w:color="auto"/>
      </w:divBdr>
      <w:divsChild>
        <w:div w:id="1413818050">
          <w:marLeft w:val="0"/>
          <w:marRight w:val="0"/>
          <w:marTop w:val="240"/>
          <w:marBottom w:val="480"/>
          <w:divBdr>
            <w:top w:val="none" w:sz="0" w:space="0" w:color="auto"/>
            <w:left w:val="none" w:sz="0" w:space="0" w:color="auto"/>
            <w:bottom w:val="none" w:sz="0" w:space="0" w:color="auto"/>
            <w:right w:val="none" w:sz="0" w:space="0" w:color="auto"/>
          </w:divBdr>
          <w:divsChild>
            <w:div w:id="1413818029">
              <w:marLeft w:val="0"/>
              <w:marRight w:val="0"/>
              <w:marTop w:val="0"/>
              <w:marBottom w:val="0"/>
              <w:divBdr>
                <w:top w:val="none" w:sz="0" w:space="0" w:color="auto"/>
                <w:left w:val="none" w:sz="0" w:space="0" w:color="auto"/>
                <w:bottom w:val="none" w:sz="0" w:space="0" w:color="auto"/>
                <w:right w:val="none" w:sz="0" w:space="0" w:color="auto"/>
              </w:divBdr>
              <w:divsChild>
                <w:div w:id="1413818060">
                  <w:marLeft w:val="0"/>
                  <w:marRight w:val="0"/>
                  <w:marTop w:val="0"/>
                  <w:marBottom w:val="0"/>
                  <w:divBdr>
                    <w:top w:val="none" w:sz="0" w:space="0" w:color="auto"/>
                    <w:left w:val="none" w:sz="0" w:space="0" w:color="auto"/>
                    <w:bottom w:val="none" w:sz="0" w:space="0" w:color="auto"/>
                    <w:right w:val="none" w:sz="0" w:space="0" w:color="auto"/>
                  </w:divBdr>
                  <w:divsChild>
                    <w:div w:id="1413818061">
                      <w:marLeft w:val="0"/>
                      <w:marRight w:val="0"/>
                      <w:marTop w:val="0"/>
                      <w:marBottom w:val="0"/>
                      <w:divBdr>
                        <w:top w:val="none" w:sz="0" w:space="0" w:color="auto"/>
                        <w:left w:val="none" w:sz="0" w:space="0" w:color="auto"/>
                        <w:bottom w:val="none" w:sz="0" w:space="0" w:color="auto"/>
                        <w:right w:val="none" w:sz="0" w:space="0" w:color="auto"/>
                      </w:divBdr>
                      <w:divsChild>
                        <w:div w:id="14138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818062">
      <w:marLeft w:val="0"/>
      <w:marRight w:val="0"/>
      <w:marTop w:val="0"/>
      <w:marBottom w:val="0"/>
      <w:divBdr>
        <w:top w:val="none" w:sz="0" w:space="0" w:color="auto"/>
        <w:left w:val="none" w:sz="0" w:space="0" w:color="auto"/>
        <w:bottom w:val="none" w:sz="0" w:space="0" w:color="auto"/>
        <w:right w:val="none" w:sz="0" w:space="0" w:color="auto"/>
      </w:divBdr>
    </w:div>
    <w:div w:id="1413818063">
      <w:marLeft w:val="0"/>
      <w:marRight w:val="0"/>
      <w:marTop w:val="0"/>
      <w:marBottom w:val="0"/>
      <w:divBdr>
        <w:top w:val="none" w:sz="0" w:space="0" w:color="auto"/>
        <w:left w:val="none" w:sz="0" w:space="0" w:color="auto"/>
        <w:bottom w:val="none" w:sz="0" w:space="0" w:color="auto"/>
        <w:right w:val="none" w:sz="0" w:space="0" w:color="auto"/>
      </w:divBdr>
      <w:divsChild>
        <w:div w:id="1413818056">
          <w:marLeft w:val="0"/>
          <w:marRight w:val="0"/>
          <w:marTop w:val="0"/>
          <w:marBottom w:val="0"/>
          <w:divBdr>
            <w:top w:val="none" w:sz="0" w:space="0" w:color="auto"/>
            <w:left w:val="none" w:sz="0" w:space="0" w:color="auto"/>
            <w:bottom w:val="none" w:sz="0" w:space="0" w:color="auto"/>
            <w:right w:val="none" w:sz="0" w:space="0" w:color="auto"/>
          </w:divBdr>
          <w:divsChild>
            <w:div w:id="1413818047">
              <w:marLeft w:val="0"/>
              <w:marRight w:val="0"/>
              <w:marTop w:val="0"/>
              <w:marBottom w:val="0"/>
              <w:divBdr>
                <w:top w:val="none" w:sz="0" w:space="0" w:color="auto"/>
                <w:left w:val="none" w:sz="0" w:space="0" w:color="auto"/>
                <w:bottom w:val="none" w:sz="0" w:space="0" w:color="auto"/>
                <w:right w:val="none" w:sz="0" w:space="0" w:color="auto"/>
              </w:divBdr>
              <w:divsChild>
                <w:div w:id="1413818037">
                  <w:marLeft w:val="0"/>
                  <w:marRight w:val="0"/>
                  <w:marTop w:val="0"/>
                  <w:marBottom w:val="0"/>
                  <w:divBdr>
                    <w:top w:val="none" w:sz="0" w:space="0" w:color="auto"/>
                    <w:left w:val="none" w:sz="0" w:space="0" w:color="auto"/>
                    <w:bottom w:val="none" w:sz="0" w:space="0" w:color="auto"/>
                    <w:right w:val="none" w:sz="0" w:space="0" w:color="auto"/>
                  </w:divBdr>
                  <w:divsChild>
                    <w:div w:id="1413818035">
                      <w:marLeft w:val="0"/>
                      <w:marRight w:val="0"/>
                      <w:marTop w:val="0"/>
                      <w:marBottom w:val="0"/>
                      <w:divBdr>
                        <w:top w:val="none" w:sz="0" w:space="0" w:color="auto"/>
                        <w:left w:val="none" w:sz="0" w:space="0" w:color="auto"/>
                        <w:bottom w:val="none" w:sz="0" w:space="0" w:color="auto"/>
                        <w:right w:val="none" w:sz="0" w:space="0" w:color="auto"/>
                      </w:divBdr>
                      <w:divsChild>
                        <w:div w:id="14138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99122">
      <w:bodyDiv w:val="1"/>
      <w:marLeft w:val="0"/>
      <w:marRight w:val="0"/>
      <w:marTop w:val="0"/>
      <w:marBottom w:val="0"/>
      <w:divBdr>
        <w:top w:val="none" w:sz="0" w:space="0" w:color="auto"/>
        <w:left w:val="none" w:sz="0" w:space="0" w:color="auto"/>
        <w:bottom w:val="none" w:sz="0" w:space="0" w:color="auto"/>
        <w:right w:val="none" w:sz="0" w:space="0" w:color="auto"/>
      </w:divBdr>
    </w:div>
    <w:div w:id="2063362661">
      <w:bodyDiv w:val="1"/>
      <w:marLeft w:val="0"/>
      <w:marRight w:val="0"/>
      <w:marTop w:val="0"/>
      <w:marBottom w:val="0"/>
      <w:divBdr>
        <w:top w:val="none" w:sz="0" w:space="0" w:color="auto"/>
        <w:left w:val="none" w:sz="0" w:space="0" w:color="auto"/>
        <w:bottom w:val="none" w:sz="0" w:space="0" w:color="auto"/>
        <w:right w:val="none" w:sz="0" w:space="0" w:color="auto"/>
      </w:divBdr>
      <w:divsChild>
        <w:div w:id="649405512">
          <w:marLeft w:val="0"/>
          <w:marRight w:val="0"/>
          <w:marTop w:val="100"/>
          <w:marBottom w:val="100"/>
          <w:divBdr>
            <w:top w:val="none" w:sz="0" w:space="0" w:color="auto"/>
            <w:left w:val="none" w:sz="0" w:space="0" w:color="auto"/>
            <w:bottom w:val="none" w:sz="0" w:space="0" w:color="auto"/>
            <w:right w:val="none" w:sz="0" w:space="0" w:color="auto"/>
          </w:divBdr>
          <w:divsChild>
            <w:div w:id="1865290357">
              <w:marLeft w:val="0"/>
              <w:marRight w:val="0"/>
              <w:marTop w:val="0"/>
              <w:marBottom w:val="0"/>
              <w:divBdr>
                <w:top w:val="none" w:sz="0" w:space="0" w:color="auto"/>
                <w:left w:val="none" w:sz="0" w:space="0" w:color="auto"/>
                <w:bottom w:val="none" w:sz="0" w:space="0" w:color="auto"/>
                <w:right w:val="none" w:sz="0" w:space="0" w:color="auto"/>
              </w:divBdr>
              <w:divsChild>
                <w:div w:id="1414665801">
                  <w:marLeft w:val="105"/>
                  <w:marRight w:val="105"/>
                  <w:marTop w:val="150"/>
                  <w:marBottom w:val="150"/>
                  <w:divBdr>
                    <w:top w:val="none" w:sz="0" w:space="0" w:color="auto"/>
                    <w:left w:val="none" w:sz="0" w:space="0" w:color="auto"/>
                    <w:bottom w:val="none" w:sz="0" w:space="0" w:color="auto"/>
                    <w:right w:val="none" w:sz="0" w:space="0" w:color="auto"/>
                  </w:divBdr>
                  <w:divsChild>
                    <w:div w:id="451478313">
                      <w:marLeft w:val="0"/>
                      <w:marRight w:val="0"/>
                      <w:marTop w:val="0"/>
                      <w:marBottom w:val="0"/>
                      <w:divBdr>
                        <w:top w:val="none" w:sz="0" w:space="0" w:color="auto"/>
                        <w:left w:val="none" w:sz="0" w:space="0" w:color="auto"/>
                        <w:bottom w:val="none" w:sz="0" w:space="0" w:color="auto"/>
                        <w:right w:val="none" w:sz="0" w:space="0" w:color="auto"/>
                      </w:divBdr>
                      <w:divsChild>
                        <w:div w:id="855192460">
                          <w:marLeft w:val="0"/>
                          <w:marRight w:val="0"/>
                          <w:marTop w:val="0"/>
                          <w:marBottom w:val="0"/>
                          <w:divBdr>
                            <w:top w:val="none" w:sz="0" w:space="0" w:color="auto"/>
                            <w:left w:val="none" w:sz="0" w:space="0" w:color="auto"/>
                            <w:bottom w:val="none" w:sz="0" w:space="0" w:color="auto"/>
                            <w:right w:val="none" w:sz="0" w:space="0" w:color="auto"/>
                          </w:divBdr>
                          <w:divsChild>
                            <w:div w:id="1661694899">
                              <w:marLeft w:val="0"/>
                              <w:marRight w:val="0"/>
                              <w:marTop w:val="0"/>
                              <w:marBottom w:val="0"/>
                              <w:divBdr>
                                <w:top w:val="none" w:sz="0" w:space="0" w:color="auto"/>
                                <w:left w:val="none" w:sz="0" w:space="0" w:color="auto"/>
                                <w:bottom w:val="none" w:sz="0" w:space="0" w:color="auto"/>
                                <w:right w:val="none" w:sz="0" w:space="0" w:color="auto"/>
                              </w:divBdr>
                              <w:divsChild>
                                <w:div w:id="381053999">
                                  <w:marLeft w:val="105"/>
                                  <w:marRight w:val="105"/>
                                  <w:marTop w:val="150"/>
                                  <w:marBottom w:val="150"/>
                                  <w:divBdr>
                                    <w:top w:val="none" w:sz="0" w:space="0" w:color="auto"/>
                                    <w:left w:val="none" w:sz="0" w:space="0" w:color="auto"/>
                                    <w:bottom w:val="none" w:sz="0" w:space="0" w:color="auto"/>
                                    <w:right w:val="none" w:sz="0" w:space="0" w:color="auto"/>
                                  </w:divBdr>
                                  <w:divsChild>
                                    <w:div w:id="1258557034">
                                      <w:marLeft w:val="0"/>
                                      <w:marRight w:val="0"/>
                                      <w:marTop w:val="0"/>
                                      <w:marBottom w:val="0"/>
                                      <w:divBdr>
                                        <w:top w:val="none" w:sz="0" w:space="0" w:color="auto"/>
                                        <w:left w:val="none" w:sz="0" w:space="0" w:color="auto"/>
                                        <w:bottom w:val="none" w:sz="0" w:space="0" w:color="auto"/>
                                        <w:right w:val="none" w:sz="0" w:space="0" w:color="auto"/>
                                      </w:divBdr>
                                      <w:divsChild>
                                        <w:div w:id="393236027">
                                          <w:marLeft w:val="0"/>
                                          <w:marRight w:val="0"/>
                                          <w:marTop w:val="0"/>
                                          <w:marBottom w:val="0"/>
                                          <w:divBdr>
                                            <w:top w:val="none" w:sz="0" w:space="0" w:color="auto"/>
                                            <w:left w:val="none" w:sz="0" w:space="0" w:color="auto"/>
                                            <w:bottom w:val="none" w:sz="0" w:space="0" w:color="auto"/>
                                            <w:right w:val="none" w:sz="0" w:space="0" w:color="auto"/>
                                          </w:divBdr>
                                          <w:divsChild>
                                            <w:div w:id="1324776597">
                                              <w:marLeft w:val="0"/>
                                              <w:marRight w:val="0"/>
                                              <w:marTop w:val="0"/>
                                              <w:marBottom w:val="0"/>
                                              <w:divBdr>
                                                <w:top w:val="none" w:sz="0" w:space="0" w:color="auto"/>
                                                <w:left w:val="none" w:sz="0" w:space="0" w:color="auto"/>
                                                <w:bottom w:val="none" w:sz="0" w:space="0" w:color="auto"/>
                                                <w:right w:val="none" w:sz="0" w:space="0" w:color="auto"/>
                                              </w:divBdr>
                                              <w:divsChild>
                                                <w:div w:id="878319746">
                                                  <w:marLeft w:val="0"/>
                                                  <w:marRight w:val="0"/>
                                                  <w:marTop w:val="0"/>
                                                  <w:marBottom w:val="0"/>
                                                  <w:divBdr>
                                                    <w:top w:val="none" w:sz="0" w:space="0" w:color="auto"/>
                                                    <w:left w:val="none" w:sz="0" w:space="0" w:color="auto"/>
                                                    <w:bottom w:val="none" w:sz="0" w:space="0" w:color="auto"/>
                                                    <w:right w:val="none" w:sz="0" w:space="0" w:color="auto"/>
                                                  </w:divBdr>
                                                  <w:divsChild>
                                                    <w:div w:id="2050839632">
                                                      <w:marLeft w:val="105"/>
                                                      <w:marRight w:val="105"/>
                                                      <w:marTop w:val="150"/>
                                                      <w:marBottom w:val="150"/>
                                                      <w:divBdr>
                                                        <w:top w:val="none" w:sz="0" w:space="0" w:color="auto"/>
                                                        <w:left w:val="none" w:sz="0" w:space="0" w:color="auto"/>
                                                        <w:bottom w:val="none" w:sz="0" w:space="0" w:color="auto"/>
                                                        <w:right w:val="none" w:sz="0" w:space="0" w:color="auto"/>
                                                      </w:divBdr>
                                                      <w:divsChild>
                                                        <w:div w:id="1807310507">
                                                          <w:marLeft w:val="0"/>
                                                          <w:marRight w:val="0"/>
                                                          <w:marTop w:val="0"/>
                                                          <w:marBottom w:val="0"/>
                                                          <w:divBdr>
                                                            <w:top w:val="none" w:sz="0" w:space="0" w:color="auto"/>
                                                            <w:left w:val="none" w:sz="0" w:space="0" w:color="auto"/>
                                                            <w:bottom w:val="none" w:sz="0" w:space="0" w:color="auto"/>
                                                            <w:right w:val="none" w:sz="0" w:space="0" w:color="auto"/>
                                                          </w:divBdr>
                                                          <w:divsChild>
                                                            <w:div w:id="1822651226">
                                                              <w:marLeft w:val="0"/>
                                                              <w:marRight w:val="0"/>
                                                              <w:marTop w:val="0"/>
                                                              <w:marBottom w:val="0"/>
                                                              <w:divBdr>
                                                                <w:top w:val="none" w:sz="0" w:space="0" w:color="auto"/>
                                                                <w:left w:val="none" w:sz="0" w:space="0" w:color="auto"/>
                                                                <w:bottom w:val="none" w:sz="0" w:space="0" w:color="auto"/>
                                                                <w:right w:val="none" w:sz="0" w:space="0" w:color="auto"/>
                                                              </w:divBdr>
                                                              <w:divsChild>
                                                                <w:div w:id="141119288">
                                                                  <w:marLeft w:val="0"/>
                                                                  <w:marRight w:val="0"/>
                                                                  <w:marTop w:val="0"/>
                                                                  <w:marBottom w:val="0"/>
                                                                  <w:divBdr>
                                                                    <w:top w:val="none" w:sz="0" w:space="0" w:color="auto"/>
                                                                    <w:left w:val="none" w:sz="0" w:space="0" w:color="auto"/>
                                                                    <w:bottom w:val="none" w:sz="0" w:space="0" w:color="auto"/>
                                                                    <w:right w:val="none" w:sz="0" w:space="0" w:color="auto"/>
                                                                  </w:divBdr>
                                                                </w:div>
                                                                <w:div w:id="8827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casedefinitions" TargetMode="External"/><Relationship Id="rId18" Type="http://schemas.openxmlformats.org/officeDocument/2006/relationships/hyperlink" Target="http://www.health.gov.au/internet/main/publishing.nsf/Content/696BB450580BB157CA257BF000191603/$File/fs-Legionella-legionellosis.pdf" TargetMode="External"/><Relationship Id="rId26" Type="http://schemas.openxmlformats.org/officeDocument/2006/relationships/hyperlink" Target="https://sapngp.central.health/sap/bc/ui2/flp" TargetMode="External"/><Relationship Id="rId3" Type="http://schemas.openxmlformats.org/officeDocument/2006/relationships/customXml" Target="../customXml/item3.xml"/><Relationship Id="rId21" Type="http://schemas.openxmlformats.org/officeDocument/2006/relationships/hyperlink" Target="https://www.ashrae.org/standards-research--technology/standards--guidelines/titles-purposes-and-scopes%20-%20GPC12-2000R"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ahealth.sa.gov.au/wps/wcm/connect/d2f047804755f77e91f5d322c3ec38c5/LegionellaGuidelines+revised+2013.pdf?MOD=AJPERES&amp;CACHEID=d2f047804755f77e91f5d322c3ec38c5" TargetMode="External"/><Relationship Id="rId17" Type="http://schemas.openxmlformats.org/officeDocument/2006/relationships/hyperlink" Target="https://sapngp.central.health/sap/bc/ui2/flp" TargetMode="External"/><Relationship Id="rId25" Type="http://schemas.openxmlformats.org/officeDocument/2006/relationships/hyperlink" Target="http://www.cdc.gov/mmwr/preview/mmwrhtml/mm6032a3.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dc.gov/legionella/clinicians/diagnostic-testing.html" TargetMode="External"/><Relationship Id="rId20" Type="http://schemas.openxmlformats.org/officeDocument/2006/relationships/hyperlink" Target="https://sapngp.central.health/sap/bc/ui2/flp" TargetMode="External"/><Relationship Id="rId29" Type="http://schemas.openxmlformats.org/officeDocument/2006/relationships/hyperlink" Target="https://tgldcdp.tg.org.au/etgAc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who.int/mediacentre/factsheets/fs285/e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ealth.gov.au/internet/main/publishing.nsf/Content/Laboratory+case+definitions-1" TargetMode="External"/><Relationship Id="rId23" Type="http://schemas.openxmlformats.org/officeDocument/2006/relationships/hyperlink" Target="https://www.ashrae.org/standards-research--technology/standards--guidelines/titles-purposes-and-scopes%20-%20GPC12-2000R" TargetMode="External"/><Relationship Id="rId28" Type="http://schemas.openxmlformats.org/officeDocument/2006/relationships/hyperlink" Target="https://www.cdc.gov/legionella/clinicians/diagnostic-testing.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workaustralia.gov.a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internet/main/publishing.nsf/Content/cdna-casedefinitions.htm" TargetMode="External"/><Relationship Id="rId22" Type="http://schemas.openxmlformats.org/officeDocument/2006/relationships/hyperlink" Target="http://www.sahealth.sa.gov.au/wps/wcm/connect/9584a2804b1cdf74b707ff0b65544981/enHealth+Guideline+Final.pdf?MOD=AJPERES&amp;CACHEID=9584a2804b1cdf74b707ff0b65544981" TargetMode="External"/><Relationship Id="rId27" Type="http://schemas.openxmlformats.org/officeDocument/2006/relationships/hyperlink" Target="http://www.health.gov.au/internet/main/publishing.nsf/Content/cdna-casedefinitions.htm" TargetMode="External"/><Relationship Id="rId30" Type="http://schemas.openxmlformats.org/officeDocument/2006/relationships/hyperlink" Target="https://www.cdc.gov/legionella/clinicians/diagnostic-testing.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97AAE-00F9-40F3-8319-7C8EA7C25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233CC8-D6A7-4BEC-BA37-AF548A71680C}">
  <ds:schemaRefs>
    <ds:schemaRef ds:uri="http://schemas.openxmlformats.org/officeDocument/2006/bibliography"/>
  </ds:schemaRefs>
</ds:datastoreItem>
</file>

<file path=customXml/itemProps3.xml><?xml version="1.0" encoding="utf-8"?>
<ds:datastoreItem xmlns:ds="http://schemas.openxmlformats.org/officeDocument/2006/customXml" ds:itemID="{32C2A00B-A377-4A99-B91D-A22351816BE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3022401-2649-45FB-9988-42C1986C7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5018</Words>
  <Characters>31397</Characters>
  <Application>Microsoft Office Word</Application>
  <DocSecurity>0</DocSecurity>
  <Lines>713</Lines>
  <Paragraphs>400</Paragraphs>
  <ScaleCrop>false</ScaleCrop>
  <HeadingPairs>
    <vt:vector size="2" baseType="variant">
      <vt:variant>
        <vt:lpstr>Title</vt:lpstr>
      </vt:variant>
      <vt:variant>
        <vt:i4>1</vt:i4>
      </vt:variant>
    </vt:vector>
  </HeadingPairs>
  <TitlesOfParts>
    <vt:vector size="1" baseType="lpstr">
      <vt:lpstr>Legionellosis – CDNA National Guidelines for Public Health Units</vt:lpstr>
    </vt:vector>
  </TitlesOfParts>
  <Company/>
  <LinksUpToDate>false</LinksUpToDate>
  <CharactersWithSpaces>36015</CharactersWithSpaces>
  <SharedDoc>false</SharedDoc>
  <HLinks>
    <vt:vector size="144" baseType="variant">
      <vt:variant>
        <vt:i4>1835033</vt:i4>
      </vt:variant>
      <vt:variant>
        <vt:i4>69</vt:i4>
      </vt:variant>
      <vt:variant>
        <vt:i4>0</vt:i4>
      </vt:variant>
      <vt:variant>
        <vt:i4>5</vt:i4>
      </vt:variant>
      <vt:variant>
        <vt:lpwstr>https://www.cdc.gov/legionella/clinicians/diagnostic-testing.html</vt:lpwstr>
      </vt:variant>
      <vt:variant>
        <vt:lpwstr/>
      </vt:variant>
      <vt:variant>
        <vt:i4>8126524</vt:i4>
      </vt:variant>
      <vt:variant>
        <vt:i4>66</vt:i4>
      </vt:variant>
      <vt:variant>
        <vt:i4>0</vt:i4>
      </vt:variant>
      <vt:variant>
        <vt:i4>5</vt:i4>
      </vt:variant>
      <vt:variant>
        <vt:lpwstr>https://tgldcdp.tg.org.au/etgAccess</vt:lpwstr>
      </vt:variant>
      <vt:variant>
        <vt:lpwstr/>
      </vt:variant>
      <vt:variant>
        <vt:i4>1835033</vt:i4>
      </vt:variant>
      <vt:variant>
        <vt:i4>63</vt:i4>
      </vt:variant>
      <vt:variant>
        <vt:i4>0</vt:i4>
      </vt:variant>
      <vt:variant>
        <vt:i4>5</vt:i4>
      </vt:variant>
      <vt:variant>
        <vt:lpwstr>https://www.cdc.gov/legionella/clinicians/diagnostic-testing.html</vt:lpwstr>
      </vt:variant>
      <vt:variant>
        <vt:lpwstr/>
      </vt:variant>
      <vt:variant>
        <vt:i4>2555960</vt:i4>
      </vt:variant>
      <vt:variant>
        <vt:i4>60</vt:i4>
      </vt:variant>
      <vt:variant>
        <vt:i4>0</vt:i4>
      </vt:variant>
      <vt:variant>
        <vt:i4>5</vt:i4>
      </vt:variant>
      <vt:variant>
        <vt:lpwstr>http://www.health.gov.au/internet/main/publishing.nsf/Content/cdna-casedefinitions.htm</vt:lpwstr>
      </vt:variant>
      <vt:variant>
        <vt:lpwstr/>
      </vt:variant>
      <vt:variant>
        <vt:i4>3080265</vt:i4>
      </vt:variant>
      <vt:variant>
        <vt:i4>57</vt:i4>
      </vt:variant>
      <vt:variant>
        <vt:i4>0</vt:i4>
      </vt:variant>
      <vt:variant>
        <vt:i4>5</vt:i4>
      </vt:variant>
      <vt:variant>
        <vt:lpwstr>https://sapngp.central.health/sap/bc/ui2/flp</vt:lpwstr>
      </vt:variant>
      <vt:variant>
        <vt:lpwstr>Employee-its_timesheet</vt:lpwstr>
      </vt:variant>
      <vt:variant>
        <vt:i4>1376330</vt:i4>
      </vt:variant>
      <vt:variant>
        <vt:i4>54</vt:i4>
      </vt:variant>
      <vt:variant>
        <vt:i4>0</vt:i4>
      </vt:variant>
      <vt:variant>
        <vt:i4>5</vt:i4>
      </vt:variant>
      <vt:variant>
        <vt:lpwstr>http://www.cdc.gov/mmwr/preview/mmwrhtml/mm6032a3.htm</vt:lpwstr>
      </vt:variant>
      <vt:variant>
        <vt:lpwstr/>
      </vt:variant>
      <vt:variant>
        <vt:i4>7340132</vt:i4>
      </vt:variant>
      <vt:variant>
        <vt:i4>51</vt:i4>
      </vt:variant>
      <vt:variant>
        <vt:i4>0</vt:i4>
      </vt:variant>
      <vt:variant>
        <vt:i4>5</vt:i4>
      </vt:variant>
      <vt:variant>
        <vt:lpwstr>http://www.who.int/mediacentre/factsheets/fs285/en/</vt:lpwstr>
      </vt:variant>
      <vt:variant>
        <vt:lpwstr/>
      </vt:variant>
      <vt:variant>
        <vt:i4>4259917</vt:i4>
      </vt:variant>
      <vt:variant>
        <vt:i4>48</vt:i4>
      </vt:variant>
      <vt:variant>
        <vt:i4>0</vt:i4>
      </vt:variant>
      <vt:variant>
        <vt:i4>5</vt:i4>
      </vt:variant>
      <vt:variant>
        <vt:lpwstr>https://www.ashrae.org/standards-research--technology/standards--guidelines/titles-purposes-and-scopes - GPC12-2000R</vt:lpwstr>
      </vt:variant>
      <vt:variant>
        <vt:lpwstr/>
      </vt:variant>
      <vt:variant>
        <vt:i4>6160406</vt:i4>
      </vt:variant>
      <vt:variant>
        <vt:i4>45</vt:i4>
      </vt:variant>
      <vt:variant>
        <vt:i4>0</vt:i4>
      </vt:variant>
      <vt:variant>
        <vt:i4>5</vt:i4>
      </vt:variant>
      <vt:variant>
        <vt:lpwstr>http://www.sahealth.sa.gov.au/wps/wcm/connect/9584a2804b1cdf74b707ff0b65544981/enHealth+Guideline+Final.pdf?MOD=AJPERES&amp;CACHEID=9584a2804b1cdf74b707ff0b65544981</vt:lpwstr>
      </vt:variant>
      <vt:variant>
        <vt:lpwstr/>
      </vt:variant>
      <vt:variant>
        <vt:i4>4259917</vt:i4>
      </vt:variant>
      <vt:variant>
        <vt:i4>42</vt:i4>
      </vt:variant>
      <vt:variant>
        <vt:i4>0</vt:i4>
      </vt:variant>
      <vt:variant>
        <vt:i4>5</vt:i4>
      </vt:variant>
      <vt:variant>
        <vt:lpwstr>https://www.ashrae.org/standards-research--technology/standards--guidelines/titles-purposes-and-scopes - GPC12-2000R</vt:lpwstr>
      </vt:variant>
      <vt:variant>
        <vt:lpwstr/>
      </vt:variant>
      <vt:variant>
        <vt:i4>3080265</vt:i4>
      </vt:variant>
      <vt:variant>
        <vt:i4>39</vt:i4>
      </vt:variant>
      <vt:variant>
        <vt:i4>0</vt:i4>
      </vt:variant>
      <vt:variant>
        <vt:i4>5</vt:i4>
      </vt:variant>
      <vt:variant>
        <vt:lpwstr>https://sapngp.central.health/sap/bc/ui2/flp</vt:lpwstr>
      </vt:variant>
      <vt:variant>
        <vt:lpwstr>Employee-its_timesheet</vt:lpwstr>
      </vt:variant>
      <vt:variant>
        <vt:i4>5963853</vt:i4>
      </vt:variant>
      <vt:variant>
        <vt:i4>36</vt:i4>
      </vt:variant>
      <vt:variant>
        <vt:i4>0</vt:i4>
      </vt:variant>
      <vt:variant>
        <vt:i4>5</vt:i4>
      </vt:variant>
      <vt:variant>
        <vt:lpwstr>https://www.safeworkaustralia.gov.au/</vt:lpwstr>
      </vt:variant>
      <vt:variant>
        <vt:lpwstr/>
      </vt:variant>
      <vt:variant>
        <vt:i4>917509</vt:i4>
      </vt:variant>
      <vt:variant>
        <vt:i4>33</vt:i4>
      </vt:variant>
      <vt:variant>
        <vt:i4>0</vt:i4>
      </vt:variant>
      <vt:variant>
        <vt:i4>5</vt:i4>
      </vt:variant>
      <vt:variant>
        <vt:lpwstr/>
      </vt:variant>
      <vt:variant>
        <vt:lpwstr>_6._Communications</vt:lpwstr>
      </vt:variant>
      <vt:variant>
        <vt:i4>5046362</vt:i4>
      </vt:variant>
      <vt:variant>
        <vt:i4>30</vt:i4>
      </vt:variant>
      <vt:variant>
        <vt:i4>0</vt:i4>
      </vt:variant>
      <vt:variant>
        <vt:i4>5</vt:i4>
      </vt:variant>
      <vt:variant>
        <vt:lpwstr>http://www.health.gov.au/internet/main/publishing.nsf/Content/696BB450580BB157CA257BF000191603/$File/fs-Legionella-legionellosis.pdf</vt:lpwstr>
      </vt:variant>
      <vt:variant>
        <vt:lpwstr/>
      </vt:variant>
      <vt:variant>
        <vt:i4>3080265</vt:i4>
      </vt:variant>
      <vt:variant>
        <vt:i4>27</vt:i4>
      </vt:variant>
      <vt:variant>
        <vt:i4>0</vt:i4>
      </vt:variant>
      <vt:variant>
        <vt:i4>5</vt:i4>
      </vt:variant>
      <vt:variant>
        <vt:lpwstr>https://sapngp.central.health/sap/bc/ui2/flp</vt:lpwstr>
      </vt:variant>
      <vt:variant>
        <vt:lpwstr>Employee-its_timesheet</vt:lpwstr>
      </vt:variant>
      <vt:variant>
        <vt:i4>4063260</vt:i4>
      </vt:variant>
      <vt:variant>
        <vt:i4>24</vt:i4>
      </vt:variant>
      <vt:variant>
        <vt:i4>0</vt:i4>
      </vt:variant>
      <vt:variant>
        <vt:i4>5</vt:i4>
      </vt:variant>
      <vt:variant>
        <vt:lpwstr/>
      </vt:variant>
      <vt:variant>
        <vt:lpwstr>_Active_case_finding</vt:lpwstr>
      </vt:variant>
      <vt:variant>
        <vt:i4>4063260</vt:i4>
      </vt:variant>
      <vt:variant>
        <vt:i4>21</vt:i4>
      </vt:variant>
      <vt:variant>
        <vt:i4>0</vt:i4>
      </vt:variant>
      <vt:variant>
        <vt:i4>5</vt:i4>
      </vt:variant>
      <vt:variant>
        <vt:lpwstr/>
      </vt:variant>
      <vt:variant>
        <vt:lpwstr>_Active_case_finding</vt:lpwstr>
      </vt:variant>
      <vt:variant>
        <vt:i4>917509</vt:i4>
      </vt:variant>
      <vt:variant>
        <vt:i4>18</vt:i4>
      </vt:variant>
      <vt:variant>
        <vt:i4>0</vt:i4>
      </vt:variant>
      <vt:variant>
        <vt:i4>5</vt:i4>
      </vt:variant>
      <vt:variant>
        <vt:lpwstr/>
      </vt:variant>
      <vt:variant>
        <vt:lpwstr>_6._Communications</vt:lpwstr>
      </vt:variant>
      <vt:variant>
        <vt:i4>1507371</vt:i4>
      </vt:variant>
      <vt:variant>
        <vt:i4>15</vt:i4>
      </vt:variant>
      <vt:variant>
        <vt:i4>0</vt:i4>
      </vt:variant>
      <vt:variant>
        <vt:i4>5</vt:i4>
      </vt:variant>
      <vt:variant>
        <vt:lpwstr/>
      </vt:variant>
      <vt:variant>
        <vt:lpwstr>_8._Laboratory_testing</vt:lpwstr>
      </vt:variant>
      <vt:variant>
        <vt:i4>1835033</vt:i4>
      </vt:variant>
      <vt:variant>
        <vt:i4>12</vt:i4>
      </vt:variant>
      <vt:variant>
        <vt:i4>0</vt:i4>
      </vt:variant>
      <vt:variant>
        <vt:i4>5</vt:i4>
      </vt:variant>
      <vt:variant>
        <vt:lpwstr>https://www.cdc.gov/legionella/clinicians/diagnostic-testing.html</vt:lpwstr>
      </vt:variant>
      <vt:variant>
        <vt:lpwstr/>
      </vt:variant>
      <vt:variant>
        <vt:i4>4063349</vt:i4>
      </vt:variant>
      <vt:variant>
        <vt:i4>9</vt:i4>
      </vt:variant>
      <vt:variant>
        <vt:i4>0</vt:i4>
      </vt:variant>
      <vt:variant>
        <vt:i4>5</vt:i4>
      </vt:variant>
      <vt:variant>
        <vt:lpwstr>http://www.health.gov.au/internet/main/publishing.nsf/Content/Laboratory+case+definitions-1</vt:lpwstr>
      </vt:variant>
      <vt:variant>
        <vt:lpwstr/>
      </vt:variant>
      <vt:variant>
        <vt:i4>2555960</vt:i4>
      </vt:variant>
      <vt:variant>
        <vt:i4>6</vt:i4>
      </vt:variant>
      <vt:variant>
        <vt:i4>0</vt:i4>
      </vt:variant>
      <vt:variant>
        <vt:i4>5</vt:i4>
      </vt:variant>
      <vt:variant>
        <vt:lpwstr>http://www.health.gov.au/internet/main/publishing.nsf/Content/cdna-casedefinitions.htm</vt:lpwstr>
      </vt:variant>
      <vt:variant>
        <vt:lpwstr/>
      </vt:variant>
      <vt:variant>
        <vt:i4>5767176</vt:i4>
      </vt:variant>
      <vt:variant>
        <vt:i4>3</vt:i4>
      </vt:variant>
      <vt:variant>
        <vt:i4>0</vt:i4>
      </vt:variant>
      <vt:variant>
        <vt:i4>5</vt:i4>
      </vt:variant>
      <vt:variant>
        <vt:lpwstr>http://www.health.gov.au/casedefinitions</vt:lpwstr>
      </vt:variant>
      <vt:variant>
        <vt:lpwstr/>
      </vt:variant>
      <vt:variant>
        <vt:i4>589828</vt:i4>
      </vt:variant>
      <vt:variant>
        <vt:i4>0</vt:i4>
      </vt:variant>
      <vt:variant>
        <vt:i4>0</vt:i4>
      </vt:variant>
      <vt:variant>
        <vt:i4>5</vt:i4>
      </vt:variant>
      <vt:variant>
        <vt:lpwstr>http://www.sahealth.sa.gov.au/wps/wcm/connect/d2f047804755f77e91f5d322c3ec38c5/LegionellaGuidelines+revised+2013.pdf?MOD=AJPERES&amp;CACHEID=d2f047804755f77e91f5d322c3ec38c5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Legionellosis – CDNA National Guidelines for Public Health Units</dc:title>
  <dc:subject>Disease</dc:subject>
  <dc:creator>Australian Government Department of Health and Aged Care</dc:creator>
  <cp:keywords>Disease; Legionellosis</cp:keywords>
  <cp:revision>3</cp:revision>
  <cp:lastPrinted>2017-09-15T01:15:00Z</cp:lastPrinted>
  <dcterms:created xsi:type="dcterms:W3CDTF">2025-03-07T03:15:00Z</dcterms:created>
  <dcterms:modified xsi:type="dcterms:W3CDTF">2025-03-07T03:15:00Z</dcterms:modified>
</cp:coreProperties>
</file>