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30592" w14:textId="2942ED89" w:rsidR="00E11601" w:rsidRPr="00E27394" w:rsidRDefault="00160A7D" w:rsidP="004446DB">
      <w:pPr>
        <w:pStyle w:val="CoverTitle1blue"/>
        <w:rPr>
          <w:sz w:val="22"/>
          <w:szCs w:val="32"/>
        </w:rPr>
      </w:pPr>
      <w:r>
        <w:rPr>
          <w:noProof/>
        </w:rPr>
        <w:drawing>
          <wp:anchor distT="0" distB="0" distL="114300" distR="114300" simplePos="0" relativeHeight="251658240" behindDoc="1" locked="1" layoutInCell="1" allowOverlap="1" wp14:anchorId="58906D69" wp14:editId="011665DB">
            <wp:simplePos x="0" y="0"/>
            <wp:positionH relativeFrom="page">
              <wp:align>left</wp:align>
            </wp:positionH>
            <wp:positionV relativeFrom="page">
              <wp:align>top</wp:align>
            </wp:positionV>
            <wp:extent cx="7580630" cy="10721340"/>
            <wp:effectExtent l="0" t="0" r="1270" b="3810"/>
            <wp:wrapNone/>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rot="10800000" flipH="1" flipV="1">
                      <a:off x="0" y="0"/>
                      <a:ext cx="7580974" cy="10721880"/>
                    </a:xfrm>
                    <a:prstGeom prst="rect">
                      <a:avLst/>
                    </a:prstGeom>
                  </pic:spPr>
                </pic:pic>
              </a:graphicData>
            </a:graphic>
            <wp14:sizeRelH relativeFrom="margin">
              <wp14:pctWidth>0</wp14:pctWidth>
            </wp14:sizeRelH>
            <wp14:sizeRelV relativeFrom="margin">
              <wp14:pctHeight>0</wp14:pctHeight>
            </wp14:sizeRelV>
          </wp:anchor>
        </w:drawing>
      </w:r>
      <w:r w:rsidR="00E11601" w:rsidRPr="00E27394">
        <w:t>Design changes for Star Ratings</w:t>
      </w:r>
    </w:p>
    <w:p w14:paraId="2D547EFD" w14:textId="7E395E1D" w:rsidR="00E11601" w:rsidRPr="00E27394" w:rsidRDefault="00EA1963" w:rsidP="00E11601">
      <w:pPr>
        <w:pStyle w:val="Covertitle2"/>
      </w:pPr>
      <w:r>
        <w:t>Summary</w:t>
      </w:r>
      <w:r w:rsidRPr="00E27394">
        <w:t xml:space="preserve"> </w:t>
      </w:r>
      <w:r w:rsidR="00A12C3E" w:rsidRPr="00E27394">
        <w:t xml:space="preserve">Report </w:t>
      </w:r>
    </w:p>
    <w:p w14:paraId="65E42BD1" w14:textId="1A6A4C9D" w:rsidR="00E11601" w:rsidRPr="00A32C3E" w:rsidRDefault="00E11601" w:rsidP="00E11601">
      <w:pPr>
        <w:pStyle w:val="BodyText"/>
      </w:pPr>
      <w:r w:rsidRPr="00A32C3E">
        <w:t>Department of Health and Aged Care</w:t>
      </w:r>
    </w:p>
    <w:p w14:paraId="659F1FD4" w14:textId="39011B9A" w:rsidR="00E11601" w:rsidRPr="00A32C3E" w:rsidRDefault="00E11601" w:rsidP="00C45BB4">
      <w:pPr>
        <w:pStyle w:val="BodyText"/>
        <w:spacing w:before="5600"/>
      </w:pPr>
      <w:r w:rsidRPr="00A32C3E">
        <w:fldChar w:fldCharType="begin"/>
      </w:r>
      <w:r w:rsidRPr="00A32C3E">
        <w:instrText xml:space="preserve"> DATE \@ "d MMMM yyyy" </w:instrText>
      </w:r>
      <w:r w:rsidRPr="00A32C3E">
        <w:fldChar w:fldCharType="separate"/>
      </w:r>
      <w:r w:rsidR="00E82415">
        <w:rPr>
          <w:noProof/>
        </w:rPr>
        <w:t>17 March 2025</w:t>
      </w:r>
      <w:r w:rsidRPr="00A32C3E">
        <w:fldChar w:fldCharType="end"/>
      </w:r>
    </w:p>
    <w:p w14:paraId="6C8745B2" w14:textId="3775A06F" w:rsidR="00E11601" w:rsidRPr="00A32C3E" w:rsidRDefault="00E11601" w:rsidP="00E11601">
      <w:pPr>
        <w:pStyle w:val="BodyText"/>
      </w:pPr>
      <w:r w:rsidRPr="00A32C3E">
        <w:t>KPMG.com.au</w:t>
      </w:r>
    </w:p>
    <w:p w14:paraId="4E43505C" w14:textId="77777777" w:rsidR="00071AE0" w:rsidRDefault="00071AE0" w:rsidP="00CD4C23">
      <w:pPr>
        <w:pStyle w:val="BodyText"/>
        <w:sectPr w:rsidR="00071AE0" w:rsidSect="00356A9A">
          <w:headerReference w:type="default" r:id="rId14"/>
          <w:pgSz w:w="11906" w:h="16838"/>
          <w:pgMar w:top="2269" w:right="1418" w:bottom="1418" w:left="1418" w:header="567" w:footer="284" w:gutter="0"/>
          <w:cols w:space="708"/>
          <w:docGrid w:linePitch="360"/>
        </w:sectPr>
      </w:pPr>
    </w:p>
    <w:p w14:paraId="3593272F" w14:textId="77777777" w:rsidR="00071AE0" w:rsidRDefault="00071AE0" w:rsidP="00071AE0">
      <w:pPr>
        <w:sectPr w:rsidR="00071AE0" w:rsidSect="00A25138">
          <w:type w:val="continuous"/>
          <w:pgSz w:w="11906" w:h="16838"/>
          <w:pgMar w:top="1134" w:right="1418" w:bottom="1418" w:left="1418" w:header="567" w:footer="284" w:gutter="0"/>
          <w:pgNumType w:fmt="lowerRoman"/>
          <w:cols w:space="708"/>
          <w:docGrid w:linePitch="360"/>
        </w:sectPr>
      </w:pPr>
    </w:p>
    <w:p w14:paraId="17CCADB2" w14:textId="3B91B456" w:rsidR="00FB4654" w:rsidRPr="005A64B3" w:rsidRDefault="00450A20" w:rsidP="00200D87">
      <w:pPr>
        <w:pStyle w:val="LARGEEXECHEADER"/>
        <w:ind w:left="2977" w:right="-1"/>
        <w:rPr>
          <w:color w:val="auto"/>
        </w:rPr>
      </w:pPr>
      <w:r w:rsidRPr="005A64B3">
        <w:rPr>
          <w:color w:val="auto"/>
        </w:rPr>
        <w:lastRenderedPageBreak/>
        <w:t xml:space="preserve">Acknowledgement of Country </w:t>
      </w:r>
    </w:p>
    <w:p w14:paraId="0FB0A2E1" w14:textId="7B042472" w:rsidR="00450A20" w:rsidRPr="00F82563" w:rsidRDefault="00450A20" w:rsidP="00200D87">
      <w:pPr>
        <w:pStyle w:val="AoCtext"/>
        <w:ind w:left="2977"/>
        <w:rPr>
          <w:rStyle w:val="Strong"/>
          <w:b/>
          <w:bCs w:val="0"/>
        </w:rPr>
      </w:pPr>
      <w:r w:rsidRPr="00F82563">
        <w:rPr>
          <w:rStyle w:val="Strong"/>
          <w:b/>
          <w:bCs w:val="0"/>
        </w:rPr>
        <w:t>KPMG acknowledges Abo</w:t>
      </w:r>
      <w:r w:rsidR="00200D87" w:rsidRPr="00F82563">
        <w:rPr>
          <w:rStyle w:val="Strong"/>
          <w:b/>
          <w:bCs w:val="0"/>
          <w:noProof/>
        </w:rPr>
        <w:drawing>
          <wp:anchor distT="0" distB="0" distL="114300" distR="114300" simplePos="0" relativeHeight="251658241" behindDoc="1" locked="1" layoutInCell="1" allowOverlap="1" wp14:anchorId="68F720C6" wp14:editId="7D13FBEF">
            <wp:simplePos x="0" y="0"/>
            <wp:positionH relativeFrom="page">
              <wp:posOffset>635</wp:posOffset>
            </wp:positionH>
            <wp:positionV relativeFrom="page">
              <wp:posOffset>-29210</wp:posOffset>
            </wp:positionV>
            <wp:extent cx="7580630" cy="10721975"/>
            <wp:effectExtent l="0" t="0" r="1270" b="3175"/>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80630" cy="10721975"/>
                    </a:xfrm>
                    <a:prstGeom prst="rect">
                      <a:avLst/>
                    </a:prstGeom>
                  </pic:spPr>
                </pic:pic>
              </a:graphicData>
            </a:graphic>
            <wp14:sizeRelH relativeFrom="margin">
              <wp14:pctWidth>0</wp14:pctWidth>
            </wp14:sizeRelH>
            <wp14:sizeRelV relativeFrom="margin">
              <wp14:pctHeight>0</wp14:pctHeight>
            </wp14:sizeRelV>
          </wp:anchor>
        </w:drawing>
      </w:r>
      <w:r w:rsidRPr="00F82563">
        <w:rPr>
          <w:rStyle w:val="Strong"/>
          <w:b/>
          <w:bCs w:val="0"/>
        </w:rPr>
        <w:t>riginal and Torres Strait Islander peoples as the First Peoples of Australia. We pay our respects to Elders past, present, and future as the Traditional Custodians of the land, water and skies of where we work.</w:t>
      </w:r>
    </w:p>
    <w:p w14:paraId="27901DC1" w14:textId="77777777" w:rsidR="000E6921" w:rsidRPr="005A64B3" w:rsidRDefault="000E6921" w:rsidP="00200D87">
      <w:pPr>
        <w:pStyle w:val="BodyText"/>
        <w:ind w:left="2977" w:right="-1"/>
        <w:rPr>
          <w:color w:val="auto"/>
        </w:rPr>
      </w:pPr>
      <w:r w:rsidRPr="005A64B3">
        <w:rPr>
          <w:color w:val="auto"/>
        </w:rPr>
        <w:t xml:space="preserve">At KPMG, our future is one where all Australians are united by a shared, honest, and complete understanding of our past, present, and future. We are committed to making this future a reality. Our story celebrates and acknowledges that the cultures, histories, rights, and voices of Aboriginal and Torres Strait Islander People are heard, understood, respected, and celebrated. </w:t>
      </w:r>
    </w:p>
    <w:p w14:paraId="5ED23361" w14:textId="77777777" w:rsidR="000E6921" w:rsidRPr="005A64B3" w:rsidRDefault="000E6921" w:rsidP="00200D87">
      <w:pPr>
        <w:pStyle w:val="BodyText"/>
        <w:ind w:left="2977" w:right="-1"/>
        <w:rPr>
          <w:color w:val="auto"/>
        </w:rPr>
      </w:pPr>
      <w:r w:rsidRPr="005A64B3">
        <w:rPr>
          <w:color w:val="auto"/>
        </w:rPr>
        <w:t xml:space="preserve">Australia’s First Peoples continue to hold distinctive cultural, spiritual, physical and economical relationships with their land, water and skies.  We take our obligations to the land and environments in which we operate seriously. </w:t>
      </w:r>
    </w:p>
    <w:p w14:paraId="3CF9315B" w14:textId="77777777" w:rsidR="008C21F1" w:rsidRDefault="000E6921" w:rsidP="00200D87">
      <w:pPr>
        <w:pStyle w:val="BodyText"/>
        <w:ind w:left="2977" w:right="-1"/>
        <w:rPr>
          <w:color w:val="auto"/>
        </w:rPr>
      </w:pPr>
      <w:r w:rsidRPr="005A64B3">
        <w:rPr>
          <w:color w:val="auto"/>
        </w:rPr>
        <w:t>We look forward to making our contribution towards a new future for Aboriginal and Torres Strait Islander peoples so that they can chart a strong future for themselves, their families and communities. We believe we can achieve</w:t>
      </w:r>
      <w:r w:rsidR="00B766A6" w:rsidRPr="005A64B3">
        <w:rPr>
          <w:color w:val="auto"/>
        </w:rPr>
        <w:t xml:space="preserve"> </w:t>
      </w:r>
      <w:r w:rsidRPr="005A64B3">
        <w:rPr>
          <w:color w:val="auto"/>
        </w:rPr>
        <w:t>much more together than we can apart.</w:t>
      </w:r>
    </w:p>
    <w:p w14:paraId="580774B8" w14:textId="77777777" w:rsidR="00042C09" w:rsidRPr="00F82563" w:rsidRDefault="000D00EA" w:rsidP="00200D87">
      <w:pPr>
        <w:pStyle w:val="BodyText"/>
        <w:ind w:left="2977" w:right="-1"/>
        <w:rPr>
          <w:bCs/>
          <w:color w:val="auto"/>
        </w:rPr>
      </w:pPr>
      <w:r w:rsidRPr="00F82563">
        <w:rPr>
          <w:bCs/>
          <w:color w:val="auto"/>
        </w:rPr>
        <w:t>kpmg.com/au/ra</w:t>
      </w:r>
      <w:r w:rsidR="008C21F1" w:rsidRPr="00F82563">
        <w:rPr>
          <w:bCs/>
          <w:color w:val="auto"/>
        </w:rPr>
        <w:t>p</w:t>
      </w:r>
    </w:p>
    <w:p w14:paraId="2405F39E" w14:textId="77777777" w:rsidR="00A25138" w:rsidRDefault="00A25138" w:rsidP="00200D87">
      <w:pPr>
        <w:pStyle w:val="BodyText"/>
        <w:ind w:left="2977" w:right="-1"/>
        <w:rPr>
          <w:b/>
          <w:color w:val="auto"/>
        </w:rPr>
      </w:pPr>
    </w:p>
    <w:p w14:paraId="43DAB9BF" w14:textId="77777777" w:rsidR="00091315" w:rsidRDefault="00091315" w:rsidP="009E1E7F">
      <w:pPr>
        <w:pStyle w:val="BodyText"/>
        <w:ind w:right="-1"/>
        <w:rPr>
          <w:b/>
          <w:color w:val="auto"/>
        </w:rPr>
        <w:sectPr w:rsidR="00091315" w:rsidSect="00A70F60">
          <w:pgSz w:w="11906" w:h="16838"/>
          <w:pgMar w:top="1560" w:right="1841" w:bottom="1418" w:left="1418" w:header="567" w:footer="284" w:gutter="0"/>
          <w:cols w:space="708"/>
          <w:docGrid w:linePitch="360"/>
        </w:sectPr>
      </w:pPr>
    </w:p>
    <w:p w14:paraId="7F413242" w14:textId="771D6F26" w:rsidR="005E6760" w:rsidRPr="008F68C5" w:rsidRDefault="00744C00" w:rsidP="008F68C5">
      <w:pPr>
        <w:ind w:left="142"/>
        <w:rPr>
          <w:b/>
          <w:bCs/>
        </w:rPr>
      </w:pPr>
      <w:r w:rsidRPr="008F68C5">
        <w:rPr>
          <w:b/>
          <w:bCs/>
          <w:noProof/>
          <w:color w:val="FFFFFF" w:themeColor="background1"/>
        </w:rPr>
        <w:lastRenderedPageBreak/>
        <w:drawing>
          <wp:anchor distT="0" distB="0" distL="114300" distR="114300" simplePos="0" relativeHeight="251658242" behindDoc="1" locked="1" layoutInCell="1" allowOverlap="1" wp14:anchorId="5AC10724" wp14:editId="6F82E633">
            <wp:simplePos x="0" y="0"/>
            <wp:positionH relativeFrom="page">
              <wp:align>left</wp:align>
            </wp:positionH>
            <wp:positionV relativeFrom="page">
              <wp:align>top</wp:align>
            </wp:positionV>
            <wp:extent cx="7579995" cy="10720705"/>
            <wp:effectExtent l="0" t="0" r="1905" b="4445"/>
            <wp:wrapNone/>
            <wp:docPr id="874621872" name="Picture 874621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21872" name="Picture 87462187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80520" cy="10721237"/>
                    </a:xfrm>
                    <a:prstGeom prst="rect">
                      <a:avLst/>
                    </a:prstGeom>
                  </pic:spPr>
                </pic:pic>
              </a:graphicData>
            </a:graphic>
            <wp14:sizeRelH relativeFrom="margin">
              <wp14:pctWidth>0</wp14:pctWidth>
            </wp14:sizeRelH>
            <wp14:sizeRelV relativeFrom="margin">
              <wp14:pctHeight>0</wp14:pctHeight>
            </wp14:sizeRelV>
          </wp:anchor>
        </w:drawing>
      </w:r>
      <w:r w:rsidR="005E6760" w:rsidRPr="008F68C5">
        <w:rPr>
          <w:b/>
          <w:bCs/>
        </w:rPr>
        <w:t xml:space="preserve">Acknowledgement of participation </w:t>
      </w:r>
    </w:p>
    <w:p w14:paraId="12BBB987" w14:textId="4494DE6D" w:rsidR="00070A13" w:rsidRPr="00070A13" w:rsidRDefault="005E6760" w:rsidP="00744C00">
      <w:pPr>
        <w:pStyle w:val="Summarytext"/>
        <w:pBdr>
          <w:left w:val="none" w:sz="0" w:space="0" w:color="auto"/>
        </w:pBdr>
        <w:shd w:val="clear" w:color="auto" w:fill="auto"/>
        <w:rPr>
          <w:b w:val="0"/>
          <w:bCs/>
          <w:color w:val="auto"/>
        </w:rPr>
      </w:pPr>
      <w:r w:rsidRPr="00070A13">
        <w:rPr>
          <w:b w:val="0"/>
          <w:bCs/>
        </w:rPr>
        <w:t>KPMG and the Department of Health and Aged Care (the Department) would like to thank all participants who contributed their time to the consultation process. We heard from a wide variety of stakeholders including older people</w:t>
      </w:r>
      <w:r w:rsidR="00070A13" w:rsidRPr="00070A13">
        <w:rPr>
          <w:b w:val="0"/>
          <w:bCs/>
          <w:color w:val="auto"/>
        </w:rPr>
        <w:t xml:space="preserve"> and their representatives, aged care providers, workforce organisations, peak bodies, advocacy organisations and advisory</w:t>
      </w:r>
      <w:r w:rsidR="00486A73">
        <w:rPr>
          <w:b w:val="0"/>
          <w:bCs/>
          <w:color w:val="auto"/>
        </w:rPr>
        <w:t> </w:t>
      </w:r>
      <w:r w:rsidR="00070A13" w:rsidRPr="00070A13">
        <w:rPr>
          <w:b w:val="0"/>
          <w:bCs/>
          <w:color w:val="auto"/>
        </w:rPr>
        <w:t>bodies</w:t>
      </w:r>
      <w:r w:rsidR="00030CD7">
        <w:rPr>
          <w:b w:val="0"/>
          <w:bCs/>
          <w:color w:val="auto"/>
        </w:rPr>
        <w:t>.</w:t>
      </w:r>
    </w:p>
    <w:p w14:paraId="1A16D680" w14:textId="01D6E46F" w:rsidR="00A25138" w:rsidRDefault="005E6760" w:rsidP="00744C00">
      <w:pPr>
        <w:pStyle w:val="Summarytext"/>
        <w:pBdr>
          <w:left w:val="none" w:sz="0" w:space="0" w:color="auto"/>
        </w:pBdr>
        <w:shd w:val="clear" w:color="auto" w:fill="auto"/>
        <w:sectPr w:rsidR="00A25138" w:rsidSect="008F68C5">
          <w:pgSz w:w="11906" w:h="16838"/>
          <w:pgMar w:top="10065" w:right="1418" w:bottom="1418" w:left="1418" w:header="567" w:footer="284" w:gutter="0"/>
          <w:cols w:space="708"/>
          <w:docGrid w:linePitch="360"/>
        </w:sectPr>
      </w:pPr>
      <w:r w:rsidRPr="00070A13">
        <w:rPr>
          <w:b w:val="0"/>
          <w:bCs/>
        </w:rPr>
        <w:t xml:space="preserve">It was a privilege to hear your </w:t>
      </w:r>
      <w:r w:rsidR="0071716B" w:rsidRPr="00070A13">
        <w:rPr>
          <w:b w:val="0"/>
          <w:bCs/>
        </w:rPr>
        <w:t xml:space="preserve">lived </w:t>
      </w:r>
      <w:r w:rsidRPr="00070A13">
        <w:rPr>
          <w:b w:val="0"/>
          <w:bCs/>
        </w:rPr>
        <w:t xml:space="preserve">experiences and seek your views </w:t>
      </w:r>
      <w:r w:rsidR="0071716B" w:rsidRPr="00070A13">
        <w:rPr>
          <w:b w:val="0"/>
          <w:bCs/>
        </w:rPr>
        <w:t>on the proposed changes to Star Ratings. Findings from the consultation will be instrumental in supporting future development and design of Star Ratings enhancements, ensuring it continues to offer transparent information, support informed decision making, and drive quality improvements in residential aged care.</w:t>
      </w:r>
    </w:p>
    <w:p w14:paraId="13E6066F" w14:textId="48B4BD9E" w:rsidR="00A25138" w:rsidRPr="008C21F1" w:rsidRDefault="00A25138" w:rsidP="009E1E7F">
      <w:pPr>
        <w:pStyle w:val="BodyText"/>
        <w:ind w:right="-1"/>
        <w:rPr>
          <w:color w:val="auto"/>
        </w:rPr>
        <w:sectPr w:rsidR="00A25138" w:rsidRPr="008C21F1" w:rsidSect="000E7965">
          <w:headerReference w:type="default" r:id="rId17"/>
          <w:footerReference w:type="default" r:id="rId18"/>
          <w:type w:val="continuous"/>
          <w:pgSz w:w="11906" w:h="16838"/>
          <w:pgMar w:top="1134" w:right="1418" w:bottom="1418" w:left="1418" w:header="567" w:footer="283" w:gutter="0"/>
          <w:cols w:space="708"/>
          <w:docGrid w:linePitch="360"/>
        </w:sectPr>
      </w:pPr>
    </w:p>
    <w:p w14:paraId="7A9194F5" w14:textId="65616B29" w:rsidR="00C34053" w:rsidRPr="00F41388" w:rsidRDefault="00972904" w:rsidP="0051631E">
      <w:pPr>
        <w:pStyle w:val="Heading1TOCNoShow"/>
        <w:rPr>
          <w:color w:val="auto"/>
        </w:rPr>
      </w:pPr>
      <w:r>
        <w:rPr>
          <w:color w:val="auto"/>
        </w:rPr>
        <w:lastRenderedPageBreak/>
        <w:t>Contents</w:t>
      </w:r>
    </w:p>
    <w:p w14:paraId="0BA22ACE" w14:textId="73F10B14" w:rsidR="00666CD8" w:rsidRDefault="00EA1963">
      <w:pPr>
        <w:pStyle w:val="TOC1"/>
        <w:rPr>
          <w:rFonts w:asciiTheme="minorHAnsi" w:eastAsiaTheme="minorEastAsia" w:hAnsiTheme="minorHAnsi"/>
          <w:color w:val="auto"/>
          <w:kern w:val="2"/>
          <w:sz w:val="24"/>
          <w:szCs w:val="24"/>
          <w:lang w:eastAsia="en-AU"/>
          <w14:ligatures w14:val="standardContextual"/>
        </w:rPr>
      </w:pPr>
      <w:r w:rsidRPr="00F41388">
        <w:rPr>
          <w:color w:val="auto"/>
        </w:rPr>
        <w:fldChar w:fldCharType="begin"/>
      </w:r>
      <w:r w:rsidRPr="00F41388">
        <w:rPr>
          <w:color w:val="auto"/>
        </w:rPr>
        <w:instrText xml:space="preserve"> TOC \o "1-1" \u </w:instrText>
      </w:r>
      <w:r w:rsidRPr="00F41388">
        <w:rPr>
          <w:color w:val="auto"/>
        </w:rPr>
        <w:fldChar w:fldCharType="separate"/>
      </w:r>
      <w:r w:rsidR="00666CD8">
        <w:t>Introduction</w:t>
      </w:r>
      <w:r w:rsidR="00666CD8">
        <w:tab/>
      </w:r>
      <w:r w:rsidR="00666CD8">
        <w:fldChar w:fldCharType="begin"/>
      </w:r>
      <w:r w:rsidR="00666CD8">
        <w:instrText xml:space="preserve"> PAGEREF _Toc189746260 \h </w:instrText>
      </w:r>
      <w:r w:rsidR="00666CD8">
        <w:fldChar w:fldCharType="separate"/>
      </w:r>
      <w:r w:rsidR="00C16131">
        <w:t>5</w:t>
      </w:r>
      <w:r w:rsidR="00666CD8">
        <w:fldChar w:fldCharType="end"/>
      </w:r>
    </w:p>
    <w:p w14:paraId="6750DD4D" w14:textId="02A4ADDC" w:rsidR="00666CD8" w:rsidRDefault="00666CD8">
      <w:pPr>
        <w:pStyle w:val="TOC1"/>
        <w:rPr>
          <w:rFonts w:asciiTheme="minorHAnsi" w:eastAsiaTheme="minorEastAsia" w:hAnsiTheme="minorHAnsi"/>
          <w:color w:val="auto"/>
          <w:kern w:val="2"/>
          <w:sz w:val="24"/>
          <w:szCs w:val="24"/>
          <w:lang w:eastAsia="en-AU"/>
          <w14:ligatures w14:val="standardContextual"/>
        </w:rPr>
      </w:pPr>
      <w:r>
        <w:t>Consultation approach</w:t>
      </w:r>
      <w:r>
        <w:tab/>
      </w:r>
      <w:r>
        <w:fldChar w:fldCharType="begin"/>
      </w:r>
      <w:r>
        <w:instrText xml:space="preserve"> PAGEREF _Toc189746261 \h </w:instrText>
      </w:r>
      <w:r>
        <w:fldChar w:fldCharType="separate"/>
      </w:r>
      <w:r w:rsidR="00C16131">
        <w:t>6</w:t>
      </w:r>
      <w:r>
        <w:fldChar w:fldCharType="end"/>
      </w:r>
    </w:p>
    <w:p w14:paraId="2446C338" w14:textId="7A904BF1" w:rsidR="00666CD8" w:rsidRDefault="00666CD8">
      <w:pPr>
        <w:pStyle w:val="TOC1"/>
        <w:rPr>
          <w:rFonts w:asciiTheme="minorHAnsi" w:eastAsiaTheme="minorEastAsia" w:hAnsiTheme="minorHAnsi"/>
          <w:color w:val="auto"/>
          <w:kern w:val="2"/>
          <w:sz w:val="24"/>
          <w:szCs w:val="24"/>
          <w:lang w:eastAsia="en-AU"/>
          <w14:ligatures w14:val="standardContextual"/>
        </w:rPr>
      </w:pPr>
      <w:r>
        <w:t>Consultation findings</w:t>
      </w:r>
      <w:r>
        <w:tab/>
      </w:r>
      <w:r>
        <w:fldChar w:fldCharType="begin"/>
      </w:r>
      <w:r>
        <w:instrText xml:space="preserve"> PAGEREF _Toc189746262 \h </w:instrText>
      </w:r>
      <w:r>
        <w:fldChar w:fldCharType="separate"/>
      </w:r>
      <w:r w:rsidR="00C16131">
        <w:t>8</w:t>
      </w:r>
      <w:r>
        <w:fldChar w:fldCharType="end"/>
      </w:r>
    </w:p>
    <w:p w14:paraId="49BBF291" w14:textId="7B06F7DB" w:rsidR="00666CD8" w:rsidRDefault="00666CD8">
      <w:pPr>
        <w:pStyle w:val="TOC1"/>
        <w:rPr>
          <w:rFonts w:asciiTheme="minorHAnsi" w:eastAsiaTheme="minorEastAsia" w:hAnsiTheme="minorHAnsi"/>
          <w:color w:val="auto"/>
          <w:kern w:val="2"/>
          <w:sz w:val="24"/>
          <w:szCs w:val="24"/>
          <w:lang w:eastAsia="en-AU"/>
          <w14:ligatures w14:val="standardContextual"/>
        </w:rPr>
      </w:pPr>
      <w:r>
        <w:t>Next steps</w:t>
      </w:r>
      <w:r>
        <w:tab/>
      </w:r>
      <w:r>
        <w:fldChar w:fldCharType="begin"/>
      </w:r>
      <w:r>
        <w:instrText xml:space="preserve"> PAGEREF _Toc189746263 \h </w:instrText>
      </w:r>
      <w:r>
        <w:fldChar w:fldCharType="separate"/>
      </w:r>
      <w:r w:rsidR="00C16131">
        <w:t>19</w:t>
      </w:r>
      <w:r>
        <w:fldChar w:fldCharType="end"/>
      </w:r>
    </w:p>
    <w:p w14:paraId="4A55797F" w14:textId="4ADC26DD" w:rsidR="00666CD8" w:rsidRDefault="00666CD8">
      <w:pPr>
        <w:pStyle w:val="TOC1"/>
        <w:rPr>
          <w:rFonts w:asciiTheme="minorHAnsi" w:eastAsiaTheme="minorEastAsia" w:hAnsiTheme="minorHAnsi"/>
          <w:color w:val="auto"/>
          <w:kern w:val="2"/>
          <w:sz w:val="24"/>
          <w:szCs w:val="24"/>
          <w:lang w:eastAsia="en-AU"/>
          <w14:ligatures w14:val="standardContextual"/>
        </w:rPr>
      </w:pPr>
      <w:r>
        <w:t>References</w:t>
      </w:r>
      <w:r>
        <w:tab/>
      </w:r>
      <w:r>
        <w:fldChar w:fldCharType="begin"/>
      </w:r>
      <w:r>
        <w:instrText xml:space="preserve"> PAGEREF _Toc189746264 \h </w:instrText>
      </w:r>
      <w:r>
        <w:fldChar w:fldCharType="separate"/>
      </w:r>
      <w:r w:rsidR="00C16131">
        <w:t>19</w:t>
      </w:r>
      <w:r>
        <w:fldChar w:fldCharType="end"/>
      </w:r>
    </w:p>
    <w:p w14:paraId="4C22C84A" w14:textId="770F24B3" w:rsidR="00666CD8" w:rsidRDefault="00666CD8">
      <w:pPr>
        <w:pStyle w:val="TOC1"/>
        <w:rPr>
          <w:rFonts w:asciiTheme="minorHAnsi" w:eastAsiaTheme="minorEastAsia" w:hAnsiTheme="minorHAnsi"/>
          <w:color w:val="auto"/>
          <w:kern w:val="2"/>
          <w:sz w:val="24"/>
          <w:szCs w:val="24"/>
          <w:lang w:eastAsia="en-AU"/>
          <w14:ligatures w14:val="standardContextual"/>
        </w:rPr>
      </w:pPr>
      <w:r>
        <w:t>Resources</w:t>
      </w:r>
      <w:r>
        <w:tab/>
      </w:r>
      <w:r>
        <w:fldChar w:fldCharType="begin"/>
      </w:r>
      <w:r>
        <w:instrText xml:space="preserve"> PAGEREF _Toc189746265 \h </w:instrText>
      </w:r>
      <w:r>
        <w:fldChar w:fldCharType="separate"/>
      </w:r>
      <w:r w:rsidR="00C16131">
        <w:t>19</w:t>
      </w:r>
      <w:r>
        <w:fldChar w:fldCharType="end"/>
      </w:r>
    </w:p>
    <w:p w14:paraId="5903E90A" w14:textId="6469B148" w:rsidR="00382AE8" w:rsidRPr="00091D55" w:rsidRDefault="00EA1963" w:rsidP="00841998">
      <w:pPr>
        <w:pStyle w:val="Headingdisclaimer"/>
      </w:pPr>
      <w:r w:rsidRPr="00F41388">
        <w:fldChar w:fldCharType="end"/>
      </w:r>
      <w:r w:rsidR="00382AE8" w:rsidRPr="00091D55">
        <w:t>Inherent Limitations Disclaimer</w:t>
      </w:r>
    </w:p>
    <w:p w14:paraId="06100645" w14:textId="77777777" w:rsidR="00382AE8" w:rsidRPr="00F8263A" w:rsidRDefault="00382AE8" w:rsidP="00F8263A">
      <w:pPr>
        <w:pStyle w:val="Disclaimer"/>
      </w:pPr>
      <w:r w:rsidRPr="00F8263A">
        <w:t>This report has been prepared as outlined with the Department of Health and Aged Care in the Detailed Statement of Work in the Order for Service dated 6 November 2024.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The findings in this report are based on a qualitative study and the reported results reflect a perception of KPMG Australia but only to the extent of the sample surveyed as part of the consultation. Any projection to the wider stakeholder group is subject to the level of bias in the method of those who participated. No warranty of completeness, accuracy or reliability is given in relation to the statements and representations made by, and the information and documentation provided by those consulted as part of the process.</w:t>
      </w:r>
    </w:p>
    <w:p w14:paraId="2FCD2C2E" w14:textId="77777777" w:rsidR="00382AE8" w:rsidRPr="00091D55" w:rsidRDefault="00382AE8" w:rsidP="00DF2F87">
      <w:pPr>
        <w:pStyle w:val="Disclaimer"/>
      </w:pPr>
      <w:r w:rsidRPr="00091D55">
        <w:t>KPMG have indicated within this report the sources of the information provided. We have not sought to independently verify those sources unless otherwise noted within the report.</w:t>
      </w:r>
    </w:p>
    <w:p w14:paraId="6D24B381" w14:textId="77777777" w:rsidR="00382AE8" w:rsidRPr="00091D55" w:rsidRDefault="00382AE8" w:rsidP="00DF2F87">
      <w:pPr>
        <w:pStyle w:val="Disclaimer"/>
      </w:pPr>
      <w:r w:rsidRPr="00091D55">
        <w:t>KPMG is under no obligation in any circumstance to update this report, in either oral or written form, for events occurring after the report has been issued in final form.</w:t>
      </w:r>
    </w:p>
    <w:p w14:paraId="3407510D" w14:textId="77777777" w:rsidR="00382AE8" w:rsidRPr="00841998" w:rsidRDefault="00382AE8" w:rsidP="00841998">
      <w:pPr>
        <w:pStyle w:val="Headingdisclaimer"/>
      </w:pPr>
      <w:r w:rsidRPr="00841998">
        <w:t>Notice to Third Parties Disclaimer</w:t>
      </w:r>
    </w:p>
    <w:p w14:paraId="17BD3CDC" w14:textId="77777777" w:rsidR="00382AE8" w:rsidRPr="00091D55" w:rsidRDefault="00382AE8" w:rsidP="00DF2F87">
      <w:pPr>
        <w:pStyle w:val="Disclaimer"/>
      </w:pPr>
      <w:r w:rsidRPr="00091D55">
        <w:t xml:space="preserve">This report is solely for the purpose set out in the Statement of Work in the Order for Service and for </w:t>
      </w:r>
      <w:r>
        <w:t>t</w:t>
      </w:r>
      <w:r w:rsidRPr="00091D55">
        <w:t>he Department of Health and Aged Care’s information and is not to be used for any purpose not contemplated in the engagement letter/contract or to be distributed to any third party without KPMG’s prior written consent.</w:t>
      </w:r>
    </w:p>
    <w:p w14:paraId="6041BF2E" w14:textId="77777777" w:rsidR="00382AE8" w:rsidRDefault="00382AE8" w:rsidP="00DF2F87">
      <w:pPr>
        <w:pStyle w:val="Disclaimer"/>
      </w:pPr>
      <w:r w:rsidRPr="00091D55">
        <w:t xml:space="preserve">This report has been prepared at the request of </w:t>
      </w:r>
      <w:r>
        <w:t>t</w:t>
      </w:r>
      <w:r w:rsidRPr="00091D55">
        <w:t xml:space="preserve">he Department of Health and Aged Care in accordance with the terms in the Order for Service. Other than our responsibility to the Department of Health and Aged Care, neither KPMG nor any member or employee of KPMG undertakes responsibility arising in any way from reliance placed by a third party on this report. Any reliance placed is that party’s sole responsibility. </w:t>
      </w:r>
    </w:p>
    <w:p w14:paraId="1F62F22F" w14:textId="77777777" w:rsidR="00DF2F87" w:rsidRPr="00DF2F87" w:rsidRDefault="00DF2F87" w:rsidP="00DF2F87">
      <w:pPr>
        <w:pStyle w:val="Headingdisclaimer"/>
      </w:pPr>
      <w:r w:rsidRPr="00DF2F87">
        <w:t>Accessibility</w:t>
      </w:r>
    </w:p>
    <w:p w14:paraId="31F1B7FD" w14:textId="77777777" w:rsidR="00DF2F87" w:rsidRPr="00DF2F87" w:rsidRDefault="00DF2F87" w:rsidP="00DF2F87">
      <w:pPr>
        <w:pStyle w:val="Disclaimer"/>
      </w:pPr>
      <w:r w:rsidRPr="00DF2F87">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p w14:paraId="6E07615A" w14:textId="40BEA7E0" w:rsidR="00DF2F87" w:rsidRPr="00C50019" w:rsidRDefault="00DF2F87" w:rsidP="00DF2F87">
      <w:pPr>
        <w:pStyle w:val="Disclaimer"/>
        <w:sectPr w:rsidR="00DF2F87" w:rsidRPr="00C50019" w:rsidSect="00A70F60">
          <w:footerReference w:type="default" r:id="rId19"/>
          <w:pgSz w:w="11906" w:h="16838"/>
          <w:pgMar w:top="1134" w:right="1418" w:bottom="1418" w:left="1418" w:header="567" w:footer="284" w:gutter="0"/>
          <w:cols w:space="708"/>
          <w:docGrid w:linePitch="360"/>
        </w:sectPr>
      </w:pPr>
    </w:p>
    <w:p w14:paraId="11CDF7FF" w14:textId="5E04227F" w:rsidR="00652A4C" w:rsidRPr="00E05812" w:rsidRDefault="00BD503F" w:rsidP="00095900">
      <w:pPr>
        <w:pStyle w:val="Heading1"/>
      </w:pPr>
      <w:bookmarkStart w:id="0" w:name="_Toc189746260"/>
      <w:r w:rsidRPr="00095900">
        <w:lastRenderedPageBreak/>
        <w:t>Introduction</w:t>
      </w:r>
      <w:bookmarkEnd w:id="0"/>
    </w:p>
    <w:p w14:paraId="62401070" w14:textId="1E4011BA" w:rsidR="00E369D4" w:rsidRDefault="00C267FC" w:rsidP="00C267FC">
      <w:pPr>
        <w:spacing w:before="240"/>
        <w:rPr>
          <w:color w:val="auto"/>
        </w:rPr>
      </w:pPr>
      <w:r w:rsidRPr="00C267FC">
        <w:rPr>
          <w:color w:val="auto"/>
        </w:rPr>
        <w:t>The introduction of the new Aged Care Act will result in major changes across Australia’s aged care system, including Star Ratings</w:t>
      </w:r>
      <w:r w:rsidR="001A6E52">
        <w:rPr>
          <w:rStyle w:val="FootnoteReference"/>
          <w:color w:val="auto"/>
        </w:rPr>
        <w:footnoteReference w:id="2"/>
      </w:r>
      <w:r w:rsidRPr="00C267FC">
        <w:rPr>
          <w:color w:val="auto"/>
        </w:rPr>
        <w:t xml:space="preserve">. In anticipation of these changes, the Department commissioned KPMG to undertake public consultations to gather views on proposed changes to Star Ratings. </w:t>
      </w:r>
    </w:p>
    <w:p w14:paraId="05464DFC" w14:textId="1D2D62EC" w:rsidR="00C267FC" w:rsidRDefault="00C267FC" w:rsidP="00C267FC">
      <w:pPr>
        <w:spacing w:before="240"/>
        <w:rPr>
          <w:color w:val="auto"/>
        </w:rPr>
      </w:pPr>
      <w:r w:rsidRPr="00C267FC">
        <w:rPr>
          <w:color w:val="auto"/>
        </w:rPr>
        <w:t xml:space="preserve">Public consultations were conducted from 25 November to 13 December 2024. </w:t>
      </w:r>
      <w:r w:rsidR="00920CF0" w:rsidRPr="00920CF0">
        <w:rPr>
          <w:color w:val="auto"/>
        </w:rPr>
        <w:t xml:space="preserve">The purpose of this report is to present </w:t>
      </w:r>
      <w:r w:rsidR="00920CF0">
        <w:rPr>
          <w:color w:val="auto"/>
        </w:rPr>
        <w:t>a summary of the</w:t>
      </w:r>
      <w:r w:rsidR="00920CF0" w:rsidRPr="00920CF0">
        <w:rPr>
          <w:color w:val="auto"/>
        </w:rPr>
        <w:t xml:space="preserve"> consultation findings on the proposed changes to Star Ratings. The</w:t>
      </w:r>
      <w:r w:rsidR="00920CF0">
        <w:rPr>
          <w:color w:val="auto"/>
        </w:rPr>
        <w:t>se findings</w:t>
      </w:r>
      <w:r w:rsidR="00920CF0" w:rsidRPr="00920CF0">
        <w:rPr>
          <w:color w:val="auto"/>
        </w:rPr>
        <w:t xml:space="preserve"> will be used to inform design and display changes to Star Ratings. </w:t>
      </w:r>
    </w:p>
    <w:p w14:paraId="4D163FF4" w14:textId="377E59C3" w:rsidR="00BD503F" w:rsidRPr="00BD503F" w:rsidRDefault="00BD503F" w:rsidP="005078C8">
      <w:pPr>
        <w:pStyle w:val="Heading2"/>
      </w:pPr>
      <w:r w:rsidRPr="00BD503F">
        <w:t xml:space="preserve">Background </w:t>
      </w:r>
    </w:p>
    <w:p w14:paraId="7F64D81B" w14:textId="448E8931" w:rsidR="004C7E92" w:rsidDel="00B75812" w:rsidRDefault="004C7E92" w:rsidP="004C7E92">
      <w:pPr>
        <w:rPr>
          <w:color w:val="auto"/>
        </w:rPr>
      </w:pPr>
      <w:r>
        <w:rPr>
          <w:color w:val="auto"/>
        </w:rPr>
        <w:t xml:space="preserve">The </w:t>
      </w:r>
      <w:r w:rsidRPr="004D4031">
        <w:rPr>
          <w:color w:val="auto"/>
        </w:rPr>
        <w:t xml:space="preserve">Royal Commission into Aged Care </w:t>
      </w:r>
      <w:r w:rsidRPr="00442F9F">
        <w:rPr>
          <w:color w:val="000000"/>
        </w:rPr>
        <w:t>Quality</w:t>
      </w:r>
      <w:r w:rsidRPr="004D4031">
        <w:rPr>
          <w:color w:val="auto"/>
        </w:rPr>
        <w:t xml:space="preserve"> and Safety (Royal Commission)</w:t>
      </w:r>
      <w:r>
        <w:rPr>
          <w:color w:val="auto"/>
        </w:rPr>
        <w:t xml:space="preserve">, established in 2018, </w:t>
      </w:r>
      <w:r w:rsidRPr="00570C20">
        <w:rPr>
          <w:color w:val="auto"/>
        </w:rPr>
        <w:t>inquired into the quality of aged care services in Australi</w:t>
      </w:r>
      <w:r>
        <w:rPr>
          <w:color w:val="auto"/>
        </w:rPr>
        <w:t xml:space="preserve">a </w:t>
      </w:r>
      <w:r w:rsidRPr="00160C1B">
        <w:rPr>
          <w:color w:val="auto"/>
        </w:rPr>
        <w:t>and how they could be improved in the future.</w:t>
      </w:r>
      <w:r>
        <w:rPr>
          <w:color w:val="auto"/>
        </w:rPr>
        <w:t xml:space="preserve"> </w:t>
      </w:r>
      <w:r w:rsidRPr="00225A94">
        <w:rPr>
          <w:color w:val="auto"/>
        </w:rPr>
        <w:t>The Commissioners made 148</w:t>
      </w:r>
      <w:r w:rsidRPr="008154BA">
        <w:rPr>
          <w:color w:val="auto"/>
        </w:rPr>
        <w:t xml:space="preserve"> recommendations</w:t>
      </w:r>
      <w:r>
        <w:rPr>
          <w:color w:val="auto"/>
        </w:rPr>
        <w:t xml:space="preserve"> across a wide range of areas</w:t>
      </w:r>
      <w:r w:rsidRPr="00570C20">
        <w:rPr>
          <w:color w:val="auto"/>
        </w:rPr>
        <w:t>.</w:t>
      </w:r>
    </w:p>
    <w:p w14:paraId="5AC38BCD" w14:textId="77777777" w:rsidR="004C7E92" w:rsidRDefault="004C7E92" w:rsidP="004C7E92">
      <w:pPr>
        <w:rPr>
          <w:color w:val="auto"/>
        </w:rPr>
      </w:pPr>
      <w:r w:rsidRPr="00BE0A0E">
        <w:t>Recommendation</w:t>
      </w:r>
      <w:r>
        <w:rPr>
          <w:color w:val="auto"/>
        </w:rPr>
        <w:t xml:space="preserve"> 24</w:t>
      </w:r>
      <w:r w:rsidRPr="004D4031" w:rsidDel="00C629ED">
        <w:rPr>
          <w:color w:val="auto"/>
        </w:rPr>
        <w:t xml:space="preserve"> </w:t>
      </w:r>
      <w:r w:rsidRPr="004D4031">
        <w:rPr>
          <w:color w:val="auto"/>
        </w:rPr>
        <w:t>outlined that</w:t>
      </w:r>
      <w:r>
        <w:rPr>
          <w:color w:val="auto"/>
        </w:rPr>
        <w:t>:</w:t>
      </w:r>
    </w:p>
    <w:p w14:paraId="1AD72B64" w14:textId="1FA221C8" w:rsidR="004C7E92" w:rsidRPr="00FD0DA3" w:rsidRDefault="004C7E92" w:rsidP="00C64D41">
      <w:pPr>
        <w:pStyle w:val="Quoteindented"/>
      </w:pPr>
      <w:r>
        <w:t>t</w:t>
      </w:r>
      <w:r w:rsidRPr="00FD0DA3">
        <w:t>he Australian Government should develop and publish a system of measurable indicators that allow older people and their families to make meaningful comparisons of the quality and safety performance of services and providers</w:t>
      </w:r>
      <w:r w:rsidR="00030917">
        <w:rPr>
          <w:rStyle w:val="FootnoteReference"/>
        </w:rPr>
        <w:footnoteReference w:id="3"/>
      </w:r>
      <w:r w:rsidRPr="00FD0DA3">
        <w:t xml:space="preserve">. </w:t>
      </w:r>
    </w:p>
    <w:p w14:paraId="4BA84EBB" w14:textId="77777777" w:rsidR="004C7E92" w:rsidRDefault="004C7E92" w:rsidP="004C7E92">
      <w:pPr>
        <w:rPr>
          <w:color w:val="auto"/>
        </w:rPr>
      </w:pPr>
      <w:r w:rsidRPr="004D4031">
        <w:rPr>
          <w:color w:val="auto"/>
        </w:rPr>
        <w:t>It</w:t>
      </w:r>
      <w:r w:rsidRPr="004D4031" w:rsidDel="00C629ED">
        <w:rPr>
          <w:color w:val="auto"/>
        </w:rPr>
        <w:t xml:space="preserve"> </w:t>
      </w:r>
      <w:r>
        <w:rPr>
          <w:color w:val="auto"/>
        </w:rPr>
        <w:t>was also</w:t>
      </w:r>
      <w:r w:rsidRPr="004D4031">
        <w:rPr>
          <w:color w:val="auto"/>
        </w:rPr>
        <w:t xml:space="preserve"> recommended</w:t>
      </w:r>
      <w:r>
        <w:rPr>
          <w:color w:val="auto"/>
        </w:rPr>
        <w:t xml:space="preserve"> that</w:t>
      </w:r>
      <w:r w:rsidRPr="004D4031">
        <w:rPr>
          <w:color w:val="auto"/>
        </w:rPr>
        <w:t xml:space="preserve"> th</w:t>
      </w:r>
      <w:r>
        <w:rPr>
          <w:color w:val="auto"/>
        </w:rPr>
        <w:t>e indicators should</w:t>
      </w:r>
      <w:r w:rsidRPr="004D4031">
        <w:rPr>
          <w:color w:val="auto"/>
        </w:rPr>
        <w:t xml:space="preserve"> incorporate measurable, comparable data and be </w:t>
      </w:r>
      <w:r w:rsidRPr="00401763">
        <w:t>accompanied</w:t>
      </w:r>
      <w:r w:rsidRPr="004D4031">
        <w:rPr>
          <w:color w:val="auto"/>
        </w:rPr>
        <w:t xml:space="preserve"> by accessible information to </w:t>
      </w:r>
      <w:r>
        <w:rPr>
          <w:color w:val="auto"/>
        </w:rPr>
        <w:t>enable</w:t>
      </w:r>
      <w:r w:rsidRPr="004D4031">
        <w:rPr>
          <w:color w:val="auto"/>
        </w:rPr>
        <w:t xml:space="preserve"> older people and their representatives to compare aged care homes.</w:t>
      </w:r>
    </w:p>
    <w:p w14:paraId="1ABE8F29" w14:textId="3B06322E" w:rsidR="004C7E92" w:rsidRDefault="004C7E92" w:rsidP="004C7E92">
      <w:r>
        <w:rPr>
          <w:color w:val="auto"/>
        </w:rPr>
        <w:t xml:space="preserve">In response to this recommendation, </w:t>
      </w:r>
      <w:r w:rsidRPr="004D4031">
        <w:rPr>
          <w:color w:val="auto"/>
        </w:rPr>
        <w:t>Star Ratings for</w:t>
      </w:r>
      <w:r>
        <w:rPr>
          <w:color w:val="auto"/>
        </w:rPr>
        <w:t xml:space="preserve"> residential </w:t>
      </w:r>
      <w:r w:rsidRPr="004D4031">
        <w:rPr>
          <w:color w:val="auto"/>
        </w:rPr>
        <w:t>aged care</w:t>
      </w:r>
      <w:r>
        <w:rPr>
          <w:color w:val="auto"/>
        </w:rPr>
        <w:t xml:space="preserve"> was</w:t>
      </w:r>
      <w:r w:rsidRPr="004D4031">
        <w:rPr>
          <w:color w:val="auto"/>
        </w:rPr>
        <w:t xml:space="preserve"> introduced by the Australian Government in 2022.</w:t>
      </w:r>
      <w:r>
        <w:rPr>
          <w:color w:val="auto"/>
        </w:rPr>
        <w:t xml:space="preserve"> </w:t>
      </w:r>
      <w:r w:rsidRPr="00221F6F">
        <w:t xml:space="preserve">At the time of development, </w:t>
      </w:r>
      <w:r>
        <w:t>Star Ratings design</w:t>
      </w:r>
      <w:r w:rsidRPr="00221F6F">
        <w:t xml:space="preserve"> underwent rigorous research, stakeholder consultation, and data analysis based on available information</w:t>
      </w:r>
      <w:r w:rsidR="00A05BB7">
        <w:t xml:space="preserve">. </w:t>
      </w:r>
    </w:p>
    <w:p w14:paraId="73BE5D4D" w14:textId="0C62D2CE" w:rsidR="00503332" w:rsidRPr="00497931" w:rsidRDefault="00503332" w:rsidP="005078C8">
      <w:pPr>
        <w:pStyle w:val="Heading3"/>
        <w:rPr>
          <w:b w:val="0"/>
        </w:rPr>
      </w:pPr>
      <w:r w:rsidRPr="00497931">
        <w:t>S</w:t>
      </w:r>
      <w:r w:rsidR="00544716" w:rsidRPr="00497931">
        <w:t>tar Ratings</w:t>
      </w:r>
    </w:p>
    <w:p w14:paraId="50D21432" w14:textId="7A76A0B0" w:rsidR="007C18F6" w:rsidRDefault="007C18F6" w:rsidP="007C18F6">
      <w:r w:rsidRPr="007C18F6">
        <w:t xml:space="preserve">Star </w:t>
      </w:r>
      <w:r w:rsidR="00497931" w:rsidRPr="007C18F6">
        <w:t xml:space="preserve">Ratings </w:t>
      </w:r>
      <w:r w:rsidR="00497931">
        <w:t>are</w:t>
      </w:r>
      <w:r w:rsidR="00DF4B87">
        <w:t xml:space="preserve"> </w:t>
      </w:r>
      <w:r w:rsidR="00497931">
        <w:t>published</w:t>
      </w:r>
      <w:r w:rsidR="00DF4B87">
        <w:t xml:space="preserve"> on the My Aged Care website and </w:t>
      </w:r>
      <w:r w:rsidRPr="007C18F6">
        <w:t xml:space="preserve">help older people and their representatives to understand and compare the quality of care at residential aged care homes. This information supports people to </w:t>
      </w:r>
      <w:r w:rsidRPr="00BA0F9C">
        <w:t xml:space="preserve">compare </w:t>
      </w:r>
      <w:r w:rsidR="000B05CE" w:rsidRPr="00BA0F9C">
        <w:t xml:space="preserve">aged care </w:t>
      </w:r>
      <w:r w:rsidRPr="00BA0F9C">
        <w:t>homes</w:t>
      </w:r>
      <w:r w:rsidRPr="007C18F6">
        <w:t xml:space="preserve"> and make more informed choices about their care.</w:t>
      </w:r>
    </w:p>
    <w:p w14:paraId="463DD75E" w14:textId="2609A4FF" w:rsidR="00544716" w:rsidRPr="00C64D41" w:rsidRDefault="00544716" w:rsidP="00C64D41">
      <w:r w:rsidRPr="00C64D41">
        <w:t>Star Ratings also support aged care providers (providers) to understand their performance and drive quality improvement using nationally consistent measures to monitor, compare and improve their care. Each aged care home is assigned an Overall Star Rating as well as ratings against 4 sub</w:t>
      </w:r>
      <w:r w:rsidRPr="00C64D41">
        <w:noBreakHyphen/>
        <w:t>categories.</w:t>
      </w:r>
    </w:p>
    <w:p w14:paraId="4D7C0345" w14:textId="43FFA4B1" w:rsidR="00544716" w:rsidRDefault="00544716" w:rsidP="00C64D41">
      <w:pPr>
        <w:pStyle w:val="ListBullet"/>
      </w:pPr>
      <w:r>
        <w:t>Resident</w:t>
      </w:r>
      <w:r w:rsidR="00BA0F9C">
        <w:t>s’</w:t>
      </w:r>
      <w:r>
        <w:t xml:space="preserve"> Experience </w:t>
      </w:r>
    </w:p>
    <w:p w14:paraId="29964AE7" w14:textId="77777777" w:rsidR="00544716" w:rsidRDefault="00544716" w:rsidP="00C64D41">
      <w:pPr>
        <w:pStyle w:val="ListBullet"/>
      </w:pPr>
      <w:r>
        <w:t xml:space="preserve">Compliance </w:t>
      </w:r>
    </w:p>
    <w:p w14:paraId="05C45BC9" w14:textId="77777777" w:rsidR="00544716" w:rsidRDefault="00544716" w:rsidP="00C64D41">
      <w:pPr>
        <w:pStyle w:val="ListBullet"/>
      </w:pPr>
      <w:r>
        <w:t xml:space="preserve">Staffing </w:t>
      </w:r>
    </w:p>
    <w:p w14:paraId="773CF60B" w14:textId="1B01B3F5" w:rsidR="00B12B36" w:rsidRDefault="00544716" w:rsidP="00C64D41">
      <w:pPr>
        <w:pStyle w:val="ListBullet"/>
      </w:pPr>
      <w:r>
        <w:t>Quality Measures</w:t>
      </w:r>
      <w:r w:rsidR="00521324">
        <w:t>.</w:t>
      </w:r>
      <w:r>
        <w:t xml:space="preserve"> </w:t>
      </w:r>
    </w:p>
    <w:p w14:paraId="7B4E8D46" w14:textId="1A5C3258" w:rsidR="00047A88" w:rsidRDefault="00047A88" w:rsidP="00095900">
      <w:pPr>
        <w:sectPr w:rsidR="00047A88" w:rsidSect="00A70F60">
          <w:pgSz w:w="11906" w:h="16838"/>
          <w:pgMar w:top="1134" w:right="1418" w:bottom="1418" w:left="1418" w:header="567" w:footer="284" w:gutter="0"/>
          <w:cols w:space="708"/>
          <w:docGrid w:linePitch="360"/>
        </w:sectPr>
      </w:pPr>
      <w:bookmarkStart w:id="1" w:name="_Toc188873419"/>
    </w:p>
    <w:p w14:paraId="72BE86C0" w14:textId="4EC37FCA" w:rsidR="007B09DB" w:rsidRPr="00095900" w:rsidRDefault="007B09DB" w:rsidP="00095900">
      <w:pPr>
        <w:pStyle w:val="Heading1"/>
      </w:pPr>
      <w:bookmarkStart w:id="2" w:name="_Toc189746261"/>
      <w:r w:rsidRPr="00095900">
        <w:lastRenderedPageBreak/>
        <w:t>Consultation</w:t>
      </w:r>
      <w:bookmarkEnd w:id="1"/>
      <w:r w:rsidR="0087353E" w:rsidRPr="00095900">
        <w:t xml:space="preserve"> approach</w:t>
      </w:r>
      <w:bookmarkEnd w:id="2"/>
    </w:p>
    <w:p w14:paraId="272C390A" w14:textId="77777777" w:rsidR="00582C89" w:rsidRDefault="00070A13" w:rsidP="00070A13">
      <w:pPr>
        <w:rPr>
          <w:color w:val="auto"/>
        </w:rPr>
      </w:pPr>
      <w:r w:rsidRPr="005A3069">
        <w:rPr>
          <w:color w:val="auto"/>
        </w:rPr>
        <w:t xml:space="preserve">The objective of the consultation was to understand the views of stakeholders, including older people and their representatives, aged care providers, workforce organisations, peak bodies, advocacy organisations and advisory bodies, on proposed changes to Star Ratings. </w:t>
      </w:r>
    </w:p>
    <w:p w14:paraId="4442586D" w14:textId="6B5B4328" w:rsidR="00070A13" w:rsidRPr="005A3069" w:rsidRDefault="00070A13" w:rsidP="00070A13">
      <w:pPr>
        <w:rPr>
          <w:color w:val="auto"/>
        </w:rPr>
      </w:pPr>
      <w:r w:rsidRPr="005A3069">
        <w:rPr>
          <w:color w:val="auto"/>
        </w:rPr>
        <w:t>The consultation focused on 3 key areas:</w:t>
      </w:r>
    </w:p>
    <w:p w14:paraId="40472809" w14:textId="1307B8FB" w:rsidR="00070A13" w:rsidRPr="007542B9" w:rsidRDefault="00582C89" w:rsidP="007542B9">
      <w:pPr>
        <w:pStyle w:val="ListBullet"/>
      </w:pPr>
      <w:r>
        <w:t>c</w:t>
      </w:r>
      <w:r w:rsidR="00070A13" w:rsidRPr="00D6007C">
        <w:t>hanges to the Compliance rating</w:t>
      </w:r>
    </w:p>
    <w:p w14:paraId="04D7C454" w14:textId="5F37B872" w:rsidR="00070A13" w:rsidRPr="007542B9" w:rsidRDefault="00582C89" w:rsidP="007542B9">
      <w:pPr>
        <w:pStyle w:val="ListBullet"/>
      </w:pPr>
      <w:r>
        <w:t>c</w:t>
      </w:r>
      <w:r w:rsidR="00070A13" w:rsidRPr="00D6007C">
        <w:t>hanges to the Staffing rating</w:t>
      </w:r>
    </w:p>
    <w:p w14:paraId="3C006132" w14:textId="1024B5B3" w:rsidR="00C10113" w:rsidRPr="007542B9" w:rsidRDefault="00582C89" w:rsidP="007542B9">
      <w:pPr>
        <w:pStyle w:val="ListBullet"/>
      </w:pPr>
      <w:r>
        <w:t>d</w:t>
      </w:r>
      <w:r w:rsidR="00070A13" w:rsidRPr="00D6007C">
        <w:t>esign considerations based on early findings from the independent evaluation of Star Ratings.</w:t>
      </w:r>
    </w:p>
    <w:p w14:paraId="5DAEEB2C" w14:textId="56C4F45E" w:rsidR="0087353E" w:rsidRPr="00183037" w:rsidRDefault="0087353E" w:rsidP="00E436E7">
      <w:pPr>
        <w:pStyle w:val="Heading2"/>
        <w:spacing w:before="240"/>
      </w:pPr>
      <w:r w:rsidRPr="00183037">
        <w:t xml:space="preserve">Consultation approach </w:t>
      </w:r>
    </w:p>
    <w:p w14:paraId="37B03D88" w14:textId="5116F304" w:rsidR="006A43B5" w:rsidRDefault="006A43B5" w:rsidP="006A43B5">
      <w:r>
        <w:t>In preparation for the consultations, the Department released a consultation paper, ‘Design changes for Star Ratings</w:t>
      </w:r>
      <w:r w:rsidR="00874CBA">
        <w:rPr>
          <w:rStyle w:val="FootnoteReference"/>
        </w:rPr>
        <w:footnoteReference w:id="4"/>
      </w:r>
      <w:r>
        <w:t>’, which outlined the key consultation questions. A participant workbook was also made available to those attending consultation activities to support preparation and engagement.</w:t>
      </w:r>
    </w:p>
    <w:p w14:paraId="7F3566CA" w14:textId="724880A8" w:rsidR="006A43B5" w:rsidRDefault="006A43B5" w:rsidP="006A43B5">
      <w:r>
        <w:t>A range of consultation formats were made available for stakeholders to enable participation. These</w:t>
      </w:r>
      <w:r w:rsidR="004930BA">
        <w:t> </w:t>
      </w:r>
      <w:r>
        <w:t>included:</w:t>
      </w:r>
    </w:p>
    <w:p w14:paraId="3EB55229" w14:textId="357C9F62" w:rsidR="006A43B5" w:rsidRDefault="006A43B5" w:rsidP="002012A7">
      <w:pPr>
        <w:pStyle w:val="ListBullet"/>
      </w:pPr>
      <w:r>
        <w:t>10 face-to-face consultation sessions, held across 5 states</w:t>
      </w:r>
    </w:p>
    <w:p w14:paraId="4D1DD59F" w14:textId="287D2195" w:rsidR="006A43B5" w:rsidRDefault="006A43B5" w:rsidP="002012A7">
      <w:pPr>
        <w:pStyle w:val="ListBullet"/>
      </w:pPr>
      <w:r>
        <w:t>12 virtual consultation sessions</w:t>
      </w:r>
    </w:p>
    <w:p w14:paraId="0C990FBA" w14:textId="77FBB804" w:rsidR="006A43B5" w:rsidRDefault="006A43B5" w:rsidP="002012A7">
      <w:pPr>
        <w:pStyle w:val="ListBullet"/>
      </w:pPr>
      <w:r>
        <w:t>an online survey</w:t>
      </w:r>
    </w:p>
    <w:p w14:paraId="66FD19AD" w14:textId="461A396F" w:rsidR="006A43B5" w:rsidRDefault="006A43B5" w:rsidP="002012A7">
      <w:pPr>
        <w:pStyle w:val="ListBullet"/>
      </w:pPr>
      <w:r>
        <w:t>written submissions.</w:t>
      </w:r>
    </w:p>
    <w:p w14:paraId="16CEEA27" w14:textId="77777777" w:rsidR="006A43B5" w:rsidRDefault="006A43B5" w:rsidP="006A43B5">
      <w:r>
        <w:t>Additionally, 2 virtual workshops were organised with key stakeholders to test and validate findings.</w:t>
      </w:r>
    </w:p>
    <w:p w14:paraId="5DA90D79" w14:textId="77777777" w:rsidR="00B4086D" w:rsidRPr="00B4086D" w:rsidRDefault="00B4086D" w:rsidP="00B4086D">
      <w:pPr>
        <w:pStyle w:val="Heading2"/>
        <w:spacing w:before="240"/>
      </w:pPr>
      <w:r>
        <w:t>Stakeholder participation</w:t>
      </w:r>
    </w:p>
    <w:p w14:paraId="2FD46B4C" w14:textId="1594FAA5" w:rsidR="00BC7CAC" w:rsidRDefault="003D797B" w:rsidP="006A43B5">
      <w:r>
        <w:t>As shown in Figure 1</w:t>
      </w:r>
      <w:r w:rsidR="00DC5260">
        <w:t xml:space="preserve"> (over page)</w:t>
      </w:r>
      <w:r>
        <w:t>, a</w:t>
      </w:r>
      <w:r w:rsidR="006A43B5">
        <w:t xml:space="preserve"> total</w:t>
      </w:r>
      <w:r>
        <w:t xml:space="preserve"> of</w:t>
      </w:r>
      <w:r w:rsidR="006A43B5">
        <w:t xml:space="preserve"> 271 individuals </w:t>
      </w:r>
      <w:r w:rsidR="006B24F1">
        <w:t>engaged in the consultation process</w:t>
      </w:r>
      <w:r w:rsidR="006A43B5">
        <w:t xml:space="preserve">. This included 29 written submissions, 162 survey responses, 74 consultation participants (42 in the virtual consultations and 32 in the </w:t>
      </w:r>
      <w:r w:rsidR="00BF7012">
        <w:t>face-to-face</w:t>
      </w:r>
      <w:r w:rsidR="006A43B5">
        <w:t xml:space="preserve"> consultations) and 6 virtual workshop participants. </w:t>
      </w:r>
    </w:p>
    <w:p w14:paraId="17BC0B39" w14:textId="2ACDAF8D" w:rsidR="006A43B5" w:rsidRDefault="006A43B5" w:rsidP="006A43B5">
      <w:r>
        <w:t xml:space="preserve">Participants included older people and their representatives, aged care providers (providers), workforce organisations, peak bodies, advocacy organisations and advisory bodies.  </w:t>
      </w:r>
    </w:p>
    <w:p w14:paraId="0692769B" w14:textId="7C21AE23" w:rsidR="002D1060" w:rsidRPr="00B4086D" w:rsidRDefault="0000517A" w:rsidP="002D1060">
      <w:pPr>
        <w:pStyle w:val="Heading2"/>
        <w:spacing w:before="240"/>
      </w:pPr>
      <w:r>
        <w:t xml:space="preserve">How to read and interpret </w:t>
      </w:r>
      <w:r w:rsidR="00DC5260">
        <w:t xml:space="preserve">the findings outlined in </w:t>
      </w:r>
      <w:r>
        <w:t>this report</w:t>
      </w:r>
    </w:p>
    <w:p w14:paraId="378BBD5E" w14:textId="77777777" w:rsidR="0080350D" w:rsidRDefault="00791C72" w:rsidP="002D1060">
      <w:pPr>
        <w:sectPr w:rsidR="0080350D" w:rsidSect="00A70F60">
          <w:pgSz w:w="11906" w:h="16838"/>
          <w:pgMar w:top="1134" w:right="1418" w:bottom="1418" w:left="1418" w:header="567" w:footer="284" w:gutter="0"/>
          <w:cols w:space="708"/>
          <w:docGrid w:linePitch="360"/>
        </w:sectPr>
      </w:pPr>
      <w:r>
        <w:t>Qualitative o</w:t>
      </w:r>
      <w:r w:rsidR="00DC5260" w:rsidRPr="00DC5260">
        <w:t xml:space="preserve">utputs from </w:t>
      </w:r>
      <w:r w:rsidR="007C6FE1">
        <w:t>consultation activities</w:t>
      </w:r>
      <w:r w:rsidR="00DC5260" w:rsidRPr="00DC5260">
        <w:t xml:space="preserve"> were analysed to identify </w:t>
      </w:r>
      <w:r>
        <w:t xml:space="preserve">common </w:t>
      </w:r>
      <w:r w:rsidR="00640347">
        <w:t xml:space="preserve">stakeholder </w:t>
      </w:r>
      <w:r w:rsidR="0076750A">
        <w:t>sentiment</w:t>
      </w:r>
      <w:r w:rsidR="00D75E8E">
        <w:t xml:space="preserve"> and </w:t>
      </w:r>
      <w:r w:rsidR="00DC5260" w:rsidRPr="00DC5260">
        <w:t xml:space="preserve">themes. </w:t>
      </w:r>
      <w:r w:rsidR="00640347" w:rsidRPr="00DC5260">
        <w:t xml:space="preserve">This method was able to accommodate </w:t>
      </w:r>
      <w:r w:rsidR="007C6FE1">
        <w:t xml:space="preserve">for </w:t>
      </w:r>
      <w:r w:rsidR="00640347" w:rsidRPr="00DC5260">
        <w:t>a wide range of perspectives to provide a nuanced understanding across stakeholder groups and consultation activities</w:t>
      </w:r>
      <w:r w:rsidR="00640347">
        <w:t>. This report</w:t>
      </w:r>
      <w:r w:rsidR="00E369D4">
        <w:t xml:space="preserve"> </w:t>
      </w:r>
      <w:r w:rsidR="00640347">
        <w:lastRenderedPageBreak/>
        <w:t xml:space="preserve">presents a summary of the key, </w:t>
      </w:r>
      <w:r w:rsidR="00640347" w:rsidRPr="00E369D4">
        <w:t>aggregated findings from all consultation activities</w:t>
      </w:r>
      <w:r w:rsidR="00640347">
        <w:t xml:space="preserve"> and </w:t>
      </w:r>
      <w:r w:rsidR="00E369D4" w:rsidRPr="00E369D4">
        <w:t xml:space="preserve">is not intended to comprehensively detail every view or perspective that was raised during consultation activities. </w:t>
      </w:r>
    </w:p>
    <w:p w14:paraId="53928882" w14:textId="77777777" w:rsidR="0080350D" w:rsidRDefault="00B36CA7" w:rsidP="00DA7BDE">
      <w:r w:rsidRPr="00B36CA7">
        <w:lastRenderedPageBreak/>
        <w:t>The survey consisted of 15 questions</w:t>
      </w:r>
      <w:r w:rsidR="006162AE">
        <w:t xml:space="preserve">. </w:t>
      </w:r>
      <w:r w:rsidR="006B5AAA">
        <w:t xml:space="preserve">Analysis was conducted to </w:t>
      </w:r>
      <w:r w:rsidR="00C44578">
        <w:t>understand</w:t>
      </w:r>
      <w:r w:rsidR="006B5AAA">
        <w:t xml:space="preserve"> </w:t>
      </w:r>
      <w:r w:rsidR="00341DFF">
        <w:t xml:space="preserve">the </w:t>
      </w:r>
      <w:r w:rsidR="00C44578">
        <w:t>distribution</w:t>
      </w:r>
      <w:r w:rsidR="00341DFF">
        <w:t xml:space="preserve"> of </w:t>
      </w:r>
      <w:r w:rsidR="00C44578">
        <w:t>survey responses</w:t>
      </w:r>
      <w:r w:rsidR="00670AEE">
        <w:t xml:space="preserve"> </w:t>
      </w:r>
      <w:r w:rsidR="00923609">
        <w:t>for each question</w:t>
      </w:r>
      <w:r w:rsidR="008C6439">
        <w:t xml:space="preserve"> and how this differed </w:t>
      </w:r>
      <w:r w:rsidR="00593789">
        <w:t>across</w:t>
      </w:r>
      <w:r w:rsidR="008C6439">
        <w:t xml:space="preserve"> stakeholder groups.</w:t>
      </w:r>
      <w:r w:rsidR="0087438E">
        <w:t xml:space="preserve"> As not</w:t>
      </w:r>
      <w:r w:rsidRPr="00B36CA7">
        <w:t xml:space="preserve"> all survey questions </w:t>
      </w:r>
      <w:r w:rsidR="00593789">
        <w:t>were mandatory</w:t>
      </w:r>
      <w:r w:rsidR="00DA582C">
        <w:t xml:space="preserve"> for respondents to answer</w:t>
      </w:r>
      <w:r w:rsidR="005F2FF4">
        <w:t xml:space="preserve">, </w:t>
      </w:r>
      <w:r w:rsidR="00AF1349">
        <w:t xml:space="preserve">the total number of survey responses </w:t>
      </w:r>
      <w:r w:rsidR="00DA582C">
        <w:t>received</w:t>
      </w:r>
      <w:r w:rsidR="00AF1349">
        <w:t xml:space="preserve"> for each question </w:t>
      </w:r>
      <w:r w:rsidR="008245F7">
        <w:t xml:space="preserve">varied. Throughout this report, </w:t>
      </w:r>
      <w:r w:rsidR="004166CC">
        <w:t xml:space="preserve">the </w:t>
      </w:r>
      <w:r w:rsidR="000A7081">
        <w:t>survey data is presented as a proportion of the total number of responses received</w:t>
      </w:r>
      <w:r w:rsidR="001814AD">
        <w:t xml:space="preserve"> </w:t>
      </w:r>
      <w:r w:rsidR="00B86DF6">
        <w:t xml:space="preserve">for </w:t>
      </w:r>
      <w:r w:rsidR="005E3E04">
        <w:t>each question</w:t>
      </w:r>
      <w:r w:rsidR="00482670">
        <w:t>.</w:t>
      </w:r>
    </w:p>
    <w:p w14:paraId="79472C08" w14:textId="7A882223" w:rsidR="00900C9C" w:rsidRDefault="00900C9C" w:rsidP="00DA7BDE">
      <w:pPr>
        <w:rPr>
          <w:b/>
          <w:iCs/>
          <w:color w:val="auto"/>
        </w:rPr>
      </w:pPr>
      <w:r w:rsidRPr="00900C9C">
        <w:rPr>
          <w:color w:val="auto"/>
        </w:rPr>
        <w:t>Out of 162 total survey responses, 160 respondents answered the question regarding their stakeholder group affiliation. Respondents could select multiple stakeholder groups, resulting in a total of 202 selections. Among these, 93 were from older people and their representatives, and 29 were from providers or aged care workers. Notably, 5 individuals identified as both an older person and their representative and a provider. The survey data analysis considered both stakeholder group selections</w:t>
      </w:r>
      <w:r w:rsidR="00AE7D49">
        <w:rPr>
          <w:color w:val="auto"/>
        </w:rPr>
        <w:t xml:space="preserve"> where the</w:t>
      </w:r>
      <w:r w:rsidR="004A1A94">
        <w:rPr>
          <w:color w:val="auto"/>
        </w:rPr>
        <w:t xml:space="preserve"> question was answered</w:t>
      </w:r>
      <w:r w:rsidRPr="00900C9C">
        <w:rPr>
          <w:color w:val="auto"/>
        </w:rPr>
        <w:t>.</w:t>
      </w:r>
    </w:p>
    <w:p w14:paraId="12FA2A61" w14:textId="74EE6936" w:rsidR="00E94A2A" w:rsidRDefault="00E94A2A" w:rsidP="00E94A2A">
      <w:pPr>
        <w:pStyle w:val="Caption"/>
      </w:pPr>
      <w:r w:rsidRPr="002142D6">
        <w:t xml:space="preserve">Figure </w:t>
      </w:r>
      <w:r w:rsidR="005D6AFF">
        <w:t>1</w:t>
      </w:r>
      <w:r>
        <w:t>:</w:t>
      </w:r>
      <w:r w:rsidRPr="002142D6">
        <w:t xml:space="preserve"> </w:t>
      </w:r>
      <w:r w:rsidR="00F12006">
        <w:t>I</w:t>
      </w:r>
      <w:r>
        <w:t xml:space="preserve">ndividuals engaged through consultation activities  </w:t>
      </w:r>
    </w:p>
    <w:p w14:paraId="22388C81" w14:textId="77777777" w:rsidR="00E94A2A" w:rsidRDefault="00E94A2A" w:rsidP="00E94A2A">
      <w:r>
        <w:rPr>
          <w:noProof/>
        </w:rPr>
        <w:drawing>
          <wp:inline distT="0" distB="0" distL="0" distR="0" wp14:anchorId="49E24170" wp14:editId="6EF5046F">
            <wp:extent cx="5889811" cy="5818404"/>
            <wp:effectExtent l="0" t="0" r="0" b="0"/>
            <wp:docPr id="1098409270" name="Graphic 4" descr="Figure 1: &#10;Infographic summarising the number of stakeholders engaged through each type of engagement activity. Key statistics include&#10;271 individuals engaged&#10;12 virtual consultations&#10;10 in-person consultations&#10;29 written submissions&#10;162 survey responses&#10;2 virtual worksh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9270" name="Graphic 4" descr="Figure 1: &#10;Infographic summarising the number of stakeholders engaged through each type of engagement activity. Key statistics include&#10;271 individuals engaged&#10;12 virtual consultations&#10;10 in-person consultations&#10;29 written submissions&#10;162 survey responses&#10;2 virtual workshops&#10;"/>
                    <pic:cNvPicPr/>
                  </pic:nvPicPr>
                  <pic:blipFill rotWithShape="1">
                    <a:blip r:embed="rId20">
                      <a:extLst>
                        <a:ext uri="{28A0092B-C50C-407E-A947-70E740481C1C}">
                          <a14:useLocalDpi xmlns:a14="http://schemas.microsoft.com/office/drawing/2010/main" val="0"/>
                        </a:ext>
                      </a:extLst>
                    </a:blip>
                    <a:srcRect l="-837" r="-550"/>
                    <a:stretch/>
                  </pic:blipFill>
                  <pic:spPr bwMode="auto">
                    <a:xfrm>
                      <a:off x="0" y="0"/>
                      <a:ext cx="5890515" cy="5819099"/>
                    </a:xfrm>
                    <a:prstGeom prst="rect">
                      <a:avLst/>
                    </a:prstGeom>
                    <a:ln>
                      <a:noFill/>
                    </a:ln>
                    <a:extLst>
                      <a:ext uri="{53640926-AAD7-44D8-BBD7-CCE9431645EC}">
                        <a14:shadowObscured xmlns:a14="http://schemas.microsoft.com/office/drawing/2010/main"/>
                      </a:ext>
                    </a:extLst>
                  </pic:spPr>
                </pic:pic>
              </a:graphicData>
            </a:graphic>
          </wp:inline>
        </w:drawing>
      </w:r>
    </w:p>
    <w:p w14:paraId="5B5ECC90" w14:textId="03615198" w:rsidR="00B9793B" w:rsidRPr="00047A88" w:rsidRDefault="00E94A2A" w:rsidP="00047A88">
      <w:pPr>
        <w:spacing w:before="0" w:line="259" w:lineRule="auto"/>
        <w:rPr>
          <w:i/>
          <w:iCs/>
          <w:color w:val="auto"/>
          <w:sz w:val="16"/>
          <w:szCs w:val="18"/>
        </w:rPr>
      </w:pPr>
      <w:r w:rsidRPr="000D2759">
        <w:rPr>
          <w:i/>
          <w:iCs/>
          <w:color w:val="auto"/>
          <w:sz w:val="16"/>
          <w:szCs w:val="18"/>
        </w:rPr>
        <w:t xml:space="preserve">Source: KPMG </w:t>
      </w:r>
      <w:r>
        <w:rPr>
          <w:i/>
          <w:iCs/>
          <w:color w:val="auto"/>
          <w:sz w:val="16"/>
          <w:szCs w:val="18"/>
        </w:rPr>
        <w:t>(</w:t>
      </w:r>
      <w:r w:rsidRPr="000D2759">
        <w:rPr>
          <w:i/>
          <w:iCs/>
          <w:color w:val="auto"/>
          <w:sz w:val="16"/>
          <w:szCs w:val="18"/>
        </w:rPr>
        <w:t>2025</w:t>
      </w:r>
      <w:r>
        <w:rPr>
          <w:i/>
          <w:iCs/>
          <w:color w:val="auto"/>
          <w:sz w:val="16"/>
          <w:szCs w:val="18"/>
        </w:rPr>
        <w:t>)</w:t>
      </w:r>
    </w:p>
    <w:p w14:paraId="2136F80E" w14:textId="77777777" w:rsidR="00630B6E" w:rsidRDefault="00630B6E" w:rsidP="003D797B">
      <w:pPr>
        <w:sectPr w:rsidR="00630B6E" w:rsidSect="00A70F60">
          <w:pgSz w:w="11906" w:h="16838"/>
          <w:pgMar w:top="1134" w:right="1418" w:bottom="1418" w:left="1418" w:header="567" w:footer="284" w:gutter="0"/>
          <w:cols w:space="708"/>
          <w:docGrid w:linePitch="360"/>
        </w:sectPr>
      </w:pPr>
    </w:p>
    <w:p w14:paraId="302FA81B" w14:textId="18DAEEFB" w:rsidR="0026469C" w:rsidRPr="004A1A94" w:rsidRDefault="00D421C8" w:rsidP="00FA572F">
      <w:pPr>
        <w:pStyle w:val="Heading1"/>
        <w:rPr>
          <w:color w:val="auto"/>
          <w:szCs w:val="28"/>
        </w:rPr>
      </w:pPr>
      <w:bookmarkStart w:id="3" w:name="_Toc189746262"/>
      <w:r w:rsidRPr="004A1A94">
        <w:lastRenderedPageBreak/>
        <w:t>Consultation findings</w:t>
      </w:r>
      <w:bookmarkEnd w:id="3"/>
      <w:r w:rsidRPr="00174886">
        <w:rPr>
          <w:color w:val="auto"/>
        </w:rPr>
        <w:t xml:space="preserve"> </w:t>
      </w:r>
    </w:p>
    <w:p w14:paraId="2E8E8046" w14:textId="22184E5A" w:rsidR="00AD0B85" w:rsidRPr="00D421C8" w:rsidRDefault="00AD0B85" w:rsidP="00D13BEB">
      <w:pPr>
        <w:pStyle w:val="Introtext"/>
        <w:rPr>
          <w:b w:val="0"/>
          <w:sz w:val="20"/>
          <w:szCs w:val="22"/>
        </w:rPr>
      </w:pPr>
      <w:r w:rsidRPr="00D421C8">
        <w:rPr>
          <w:b w:val="0"/>
          <w:sz w:val="20"/>
          <w:szCs w:val="22"/>
        </w:rPr>
        <w:t xml:space="preserve">The findings from the consultation activities </w:t>
      </w:r>
      <w:r w:rsidR="007678F2" w:rsidRPr="00D421C8">
        <w:rPr>
          <w:b w:val="0"/>
          <w:sz w:val="20"/>
          <w:szCs w:val="22"/>
        </w:rPr>
        <w:t>are detailed within this section</w:t>
      </w:r>
      <w:r w:rsidRPr="00D421C8">
        <w:rPr>
          <w:b w:val="0"/>
          <w:sz w:val="20"/>
          <w:szCs w:val="22"/>
        </w:rPr>
        <w:t xml:space="preserve">. Findings are presented for each of the 3 areas of focus for the consultation: </w:t>
      </w:r>
    </w:p>
    <w:p w14:paraId="2BDBCA02" w14:textId="117EAF8B" w:rsidR="00AD0B85" w:rsidRPr="00D421C8" w:rsidRDefault="00AD0B85" w:rsidP="00400E37">
      <w:pPr>
        <w:pStyle w:val="Introtext"/>
        <w:numPr>
          <w:ilvl w:val="0"/>
          <w:numId w:val="7"/>
        </w:numPr>
        <w:tabs>
          <w:tab w:val="num" w:pos="1650"/>
        </w:tabs>
        <w:spacing w:line="264" w:lineRule="auto"/>
        <w:ind w:left="453"/>
        <w:rPr>
          <w:b w:val="0"/>
          <w:sz w:val="20"/>
          <w:szCs w:val="22"/>
        </w:rPr>
      </w:pPr>
      <w:r w:rsidRPr="00D421C8">
        <w:rPr>
          <w:b w:val="0"/>
          <w:sz w:val="20"/>
          <w:szCs w:val="22"/>
        </w:rPr>
        <w:t>Compliance rating</w:t>
      </w:r>
    </w:p>
    <w:p w14:paraId="225828AD" w14:textId="77777777" w:rsidR="00AD0B85" w:rsidRPr="00D421C8" w:rsidRDefault="00AD0B85" w:rsidP="00400E37">
      <w:pPr>
        <w:pStyle w:val="Introtext"/>
        <w:numPr>
          <w:ilvl w:val="0"/>
          <w:numId w:val="7"/>
        </w:numPr>
        <w:tabs>
          <w:tab w:val="num" w:pos="1650"/>
        </w:tabs>
        <w:spacing w:line="264" w:lineRule="auto"/>
        <w:ind w:left="453"/>
        <w:rPr>
          <w:b w:val="0"/>
          <w:sz w:val="20"/>
          <w:szCs w:val="22"/>
        </w:rPr>
      </w:pPr>
      <w:r w:rsidRPr="00D421C8">
        <w:rPr>
          <w:b w:val="0"/>
          <w:sz w:val="20"/>
          <w:szCs w:val="22"/>
        </w:rPr>
        <w:t>Staffing rating</w:t>
      </w:r>
    </w:p>
    <w:p w14:paraId="57C95443" w14:textId="77777777" w:rsidR="008A5E38" w:rsidRPr="00D421C8" w:rsidRDefault="00AD0B85" w:rsidP="00400E37">
      <w:pPr>
        <w:pStyle w:val="Introtext"/>
        <w:numPr>
          <w:ilvl w:val="0"/>
          <w:numId w:val="7"/>
        </w:numPr>
        <w:tabs>
          <w:tab w:val="num" w:pos="1650"/>
        </w:tabs>
        <w:spacing w:line="264" w:lineRule="auto"/>
        <w:ind w:left="453"/>
        <w:rPr>
          <w:b w:val="0"/>
          <w:sz w:val="20"/>
          <w:szCs w:val="22"/>
        </w:rPr>
      </w:pPr>
      <w:r w:rsidRPr="00D421C8">
        <w:rPr>
          <w:b w:val="0"/>
          <w:sz w:val="20"/>
          <w:szCs w:val="22"/>
        </w:rPr>
        <w:t>Star Ratings evaluation</w:t>
      </w:r>
      <w:r w:rsidR="00051804" w:rsidRPr="00D421C8">
        <w:rPr>
          <w:b w:val="0"/>
          <w:sz w:val="20"/>
          <w:szCs w:val="22"/>
        </w:rPr>
        <w:t>.</w:t>
      </w:r>
    </w:p>
    <w:p w14:paraId="1EC311BB" w14:textId="61B2730B" w:rsidR="00300D5E" w:rsidRPr="007542B9" w:rsidRDefault="00300D5E" w:rsidP="00797621">
      <w:pPr>
        <w:pStyle w:val="Heading2"/>
        <w:spacing w:before="240"/>
      </w:pPr>
      <w:r w:rsidRPr="00183037">
        <w:t>Compliance rating</w:t>
      </w:r>
    </w:p>
    <w:p w14:paraId="4015D422" w14:textId="57D74289" w:rsidR="00747466" w:rsidRDefault="00DC2216" w:rsidP="00747466">
      <w:r>
        <w:t>There</w:t>
      </w:r>
      <w:r w:rsidR="00747466" w:rsidRPr="001C3545">
        <w:t xml:space="preserve"> were 1</w:t>
      </w:r>
      <w:r w:rsidR="00747466">
        <w:t>1</w:t>
      </w:r>
      <w:r w:rsidR="00747466" w:rsidRPr="001C3545">
        <w:t xml:space="preserve"> consultation </w:t>
      </w:r>
      <w:r w:rsidR="000D68EB" w:rsidRPr="001C3545">
        <w:t>questions,</w:t>
      </w:r>
      <w:r w:rsidR="00747466" w:rsidRPr="001C3545">
        <w:t xml:space="preserve"> and </w:t>
      </w:r>
      <w:r w:rsidR="00747466">
        <w:t>9</w:t>
      </w:r>
      <w:r w:rsidR="00747466" w:rsidRPr="001C3545">
        <w:t xml:space="preserve"> survey questions related to proposed changes to the Compliance rating. These questions covered 4</w:t>
      </w:r>
      <w:r w:rsidR="00E2134C">
        <w:t> </w:t>
      </w:r>
      <w:r w:rsidR="00747466" w:rsidRPr="001C3545">
        <w:t>key</w:t>
      </w:r>
      <w:r w:rsidR="00E2134C">
        <w:t> </w:t>
      </w:r>
      <w:r w:rsidR="00747466" w:rsidRPr="001C3545">
        <w:t>topics, as outlined below</w:t>
      </w:r>
      <w:r w:rsidR="00747466" w:rsidRPr="00E2134C">
        <w:t>:</w:t>
      </w:r>
    </w:p>
    <w:p w14:paraId="14F1DF89" w14:textId="1C57D7DE" w:rsidR="004C1DCF" w:rsidRPr="004C1DCF" w:rsidRDefault="004C1DCF" w:rsidP="005C46FB">
      <w:pPr>
        <w:pStyle w:val="Listbullethighlighted"/>
        <w:rPr>
          <w:rStyle w:val="Hyperlink"/>
          <w:color w:val="000000" w:themeColor="text1"/>
          <w:u w:val="none"/>
        </w:rPr>
      </w:pPr>
      <w:r w:rsidRPr="004C1DCF">
        <w:rPr>
          <w:rStyle w:val="Hyperlink"/>
          <w:color w:val="000000" w:themeColor="text1"/>
          <w:u w:val="none"/>
        </w:rPr>
        <w:t>inclusion of provider</w:t>
      </w:r>
      <w:r w:rsidR="001B3427">
        <w:rPr>
          <w:rStyle w:val="Hyperlink"/>
          <w:color w:val="000000" w:themeColor="text1"/>
          <w:u w:val="none"/>
        </w:rPr>
        <w:t>-</w:t>
      </w:r>
      <w:r w:rsidRPr="004C1DCF">
        <w:rPr>
          <w:rStyle w:val="Hyperlink"/>
          <w:color w:val="000000" w:themeColor="text1"/>
          <w:u w:val="none"/>
        </w:rPr>
        <w:t>level impacts in the Compliance rating</w:t>
      </w:r>
    </w:p>
    <w:p w14:paraId="1E193F39" w14:textId="3F941E8E" w:rsidR="004C1DCF" w:rsidRPr="004C1DCF" w:rsidRDefault="004C1DCF" w:rsidP="005C46FB">
      <w:pPr>
        <w:pStyle w:val="Listbullethighlighted"/>
        <w:rPr>
          <w:rStyle w:val="Hyperlink"/>
          <w:color w:val="000000" w:themeColor="text1"/>
          <w:u w:val="none"/>
        </w:rPr>
      </w:pPr>
      <w:r w:rsidRPr="004C1DCF">
        <w:rPr>
          <w:rStyle w:val="Hyperlink"/>
          <w:color w:val="000000" w:themeColor="text1"/>
          <w:u w:val="none"/>
        </w:rPr>
        <w:t>display of the exceeding grade while a formal regulatory notice applies to a provider or aged</w:t>
      </w:r>
      <w:r w:rsidR="00E2134C">
        <w:rPr>
          <w:rStyle w:val="Hyperlink"/>
          <w:color w:val="000000" w:themeColor="text1"/>
          <w:u w:val="none"/>
        </w:rPr>
        <w:t> </w:t>
      </w:r>
      <w:r w:rsidRPr="004C1DCF">
        <w:rPr>
          <w:rStyle w:val="Hyperlink"/>
          <w:color w:val="000000" w:themeColor="text1"/>
          <w:u w:val="none"/>
        </w:rPr>
        <w:t>care</w:t>
      </w:r>
      <w:r w:rsidR="00E2134C">
        <w:rPr>
          <w:rStyle w:val="Hyperlink"/>
          <w:color w:val="000000" w:themeColor="text1"/>
          <w:u w:val="none"/>
        </w:rPr>
        <w:t> </w:t>
      </w:r>
      <w:r w:rsidRPr="004C1DCF">
        <w:rPr>
          <w:rStyle w:val="Hyperlink"/>
          <w:color w:val="000000" w:themeColor="text1"/>
          <w:u w:val="none"/>
        </w:rPr>
        <w:t>home</w:t>
      </w:r>
    </w:p>
    <w:p w14:paraId="499B26E1" w14:textId="42FF1CA3" w:rsidR="004C1DCF" w:rsidRPr="004C1DCF" w:rsidRDefault="004C1DCF" w:rsidP="005C46FB">
      <w:pPr>
        <w:pStyle w:val="Listbullethighlighted"/>
        <w:rPr>
          <w:rStyle w:val="Hyperlink"/>
          <w:color w:val="000000" w:themeColor="text1"/>
          <w:u w:val="none"/>
        </w:rPr>
      </w:pPr>
      <w:r w:rsidRPr="004C1DCF">
        <w:rPr>
          <w:rStyle w:val="Hyperlink"/>
          <w:color w:val="000000" w:themeColor="text1"/>
          <w:u w:val="none"/>
        </w:rPr>
        <w:t xml:space="preserve">timeframes for returning to a previous Compliance rating after the resolution of </w:t>
      </w:r>
      <w:r w:rsidR="002F7AFF" w:rsidRPr="004C1DCF">
        <w:rPr>
          <w:rStyle w:val="Hyperlink"/>
          <w:color w:val="000000" w:themeColor="text1"/>
          <w:u w:val="none"/>
        </w:rPr>
        <w:t>non-compliance</w:t>
      </w:r>
    </w:p>
    <w:p w14:paraId="602F4FEA" w14:textId="77777777" w:rsidR="004C1DCF" w:rsidRPr="004C1DCF" w:rsidRDefault="004C1DCF" w:rsidP="005C46FB">
      <w:pPr>
        <w:pStyle w:val="Listbullethighlighted"/>
        <w:rPr>
          <w:rStyle w:val="Hyperlink"/>
          <w:color w:val="000000" w:themeColor="text1"/>
          <w:u w:val="none"/>
        </w:rPr>
      </w:pPr>
      <w:r w:rsidRPr="004C1DCF">
        <w:rPr>
          <w:rStyle w:val="Hyperlink"/>
          <w:color w:val="000000" w:themeColor="text1"/>
          <w:u w:val="none"/>
        </w:rPr>
        <w:t>impact of regulatory notices issued by the System Governor on Compliance ratings.</w:t>
      </w:r>
    </w:p>
    <w:p w14:paraId="30F2636D" w14:textId="77777777" w:rsidR="00300D5E" w:rsidRPr="001C3545" w:rsidRDefault="00300D5E" w:rsidP="001C3545">
      <w:r w:rsidRPr="001C3545">
        <w:t>Stakeholder sentiment regarding each of these topics is further explored within this section.</w:t>
      </w:r>
    </w:p>
    <w:p w14:paraId="17908261" w14:textId="527DF654" w:rsidR="00300D5E" w:rsidRPr="00314016" w:rsidRDefault="00300D5E" w:rsidP="00F40FC3">
      <w:pPr>
        <w:pStyle w:val="Heading3"/>
        <w:pBdr>
          <w:left w:val="single" w:sz="12" w:space="4" w:color="7213EA" w:themeColor="accent5"/>
        </w:pBdr>
        <w:rPr>
          <w:rStyle w:val="Hyperlink"/>
        </w:rPr>
      </w:pPr>
      <w:r w:rsidRPr="00314016">
        <w:t>Inclusion of provider</w:t>
      </w:r>
      <w:r w:rsidR="001B3427">
        <w:t>-</w:t>
      </w:r>
      <w:r w:rsidRPr="00314016">
        <w:t>level impacts to the Compliance rating</w:t>
      </w:r>
    </w:p>
    <w:p w14:paraId="6B0C82AC" w14:textId="09BB30DE" w:rsidR="006148BB" w:rsidRPr="00D0182B" w:rsidRDefault="006148BB" w:rsidP="006148BB">
      <w:r w:rsidRPr="00D0182B">
        <w:t>In relation to the inclusion of provider</w:t>
      </w:r>
      <w:r w:rsidR="001B3427">
        <w:t>-</w:t>
      </w:r>
      <w:r w:rsidRPr="00D0182B">
        <w:t>level impacts to the Compliance rating, stakeholders were asked to consider the following:</w:t>
      </w:r>
    </w:p>
    <w:p w14:paraId="0061262E" w14:textId="77777777" w:rsidR="005C46FB" w:rsidRPr="004739F4" w:rsidRDefault="00973530" w:rsidP="004739F4">
      <w:pPr>
        <w:pStyle w:val="ListBullet"/>
      </w:pPr>
      <w:r w:rsidRPr="004739F4">
        <w:t>Does the inclusion of provider</w:t>
      </w:r>
      <w:r w:rsidR="001B3427" w:rsidRPr="004739F4">
        <w:t>-</w:t>
      </w:r>
      <w:r w:rsidRPr="004739F4">
        <w:t>level impacts to the Compliance rating appropriately signal the quality of care being delivered at an individual aged care home?</w:t>
      </w:r>
    </w:p>
    <w:p w14:paraId="1CA80737" w14:textId="4162A502" w:rsidR="00973530" w:rsidRPr="004739F4" w:rsidRDefault="00973530" w:rsidP="004739F4">
      <w:pPr>
        <w:pStyle w:val="ListBullet"/>
      </w:pPr>
      <w:r w:rsidRPr="004739F4">
        <w:t>How will provider</w:t>
      </w:r>
      <w:r w:rsidR="001B3427" w:rsidRPr="004739F4">
        <w:t>-</w:t>
      </w:r>
      <w:r w:rsidRPr="004739F4">
        <w:t>level impacts to the Compliance rating affect the ability for older people and their representatives to compare aged care homes?</w:t>
      </w:r>
    </w:p>
    <w:p w14:paraId="752989CA" w14:textId="6E829240" w:rsidR="00973530" w:rsidRPr="004739F4" w:rsidRDefault="00973530" w:rsidP="004739F4">
      <w:pPr>
        <w:pStyle w:val="ListBullet"/>
      </w:pPr>
      <w:r w:rsidRPr="004739F4">
        <w:t>Would provider</w:t>
      </w:r>
      <w:r w:rsidR="001B3427" w:rsidRPr="004739F4">
        <w:t>-</w:t>
      </w:r>
      <w:r w:rsidRPr="004739F4">
        <w:t>level impacts to the Compliance rating have impacts on providers’ behaviour or operational business decisions?</w:t>
      </w:r>
    </w:p>
    <w:p w14:paraId="4143DF56" w14:textId="6907D2BD" w:rsidR="00300D5E" w:rsidRPr="00D0182B" w:rsidRDefault="00300D5E" w:rsidP="00D0182B">
      <w:r w:rsidRPr="00D0182B">
        <w:t xml:space="preserve">The key findings in response to each of these topics </w:t>
      </w:r>
      <w:r w:rsidR="005859C1">
        <w:t>is</w:t>
      </w:r>
      <w:r w:rsidRPr="00D0182B">
        <w:t xml:space="preserve"> outlined below. </w:t>
      </w:r>
    </w:p>
    <w:p w14:paraId="63DBC061" w14:textId="633A05D6" w:rsidR="00300D5E" w:rsidRPr="00D0182B" w:rsidRDefault="00373E4B" w:rsidP="00D0182B">
      <w:pPr>
        <w:pStyle w:val="Heading4"/>
      </w:pPr>
      <w:r>
        <w:t>Effect</w:t>
      </w:r>
      <w:r w:rsidR="00300D5E" w:rsidRPr="00D0182B">
        <w:t xml:space="preserve"> of including provider</w:t>
      </w:r>
      <w:r w:rsidR="001B3427">
        <w:t>-</w:t>
      </w:r>
      <w:r w:rsidR="00300D5E" w:rsidRPr="00D0182B">
        <w:t xml:space="preserve">level impacts for individual aged care homes </w:t>
      </w:r>
    </w:p>
    <w:p w14:paraId="004B3DFF" w14:textId="43EE80F9" w:rsidR="00434A69" w:rsidRPr="005C46FB" w:rsidRDefault="00434A69" w:rsidP="005C46FB">
      <w:r w:rsidRPr="005C46FB">
        <w:t>Many</w:t>
      </w:r>
      <w:r w:rsidR="00373E4B" w:rsidRPr="005C46FB">
        <w:t xml:space="preserve"> consultation</w:t>
      </w:r>
      <w:r w:rsidRPr="005C46FB">
        <w:t xml:space="preserve"> participants strongly agreed that where a formal regulatory notice relates to significant failures or systemic patterns of non</w:t>
      </w:r>
      <w:r w:rsidRPr="005C46FB">
        <w:noBreakHyphen/>
        <w:t>compliance, the Compliance rating of all the providers’ aged care homes should be impacted.</w:t>
      </w:r>
    </w:p>
    <w:p w14:paraId="61961270" w14:textId="12C90187" w:rsidR="00434A69" w:rsidRPr="00373588" w:rsidRDefault="00434A69" w:rsidP="00373588">
      <w:r w:rsidRPr="005C46FB">
        <w:t>Survey results confirmed this, with 76% of all survey respondents either agreeing or strongly agreeing that the Compliance rating of all aged care homes should be impacted if the provider is issued with a formal regulatory notice for significant failures or systemic patterns of non</w:t>
      </w:r>
      <w:r w:rsidRPr="005C46FB">
        <w:noBreakHyphen/>
        <w:t>compliance. Of all older people and their representatives, 72% agreed or strongly agreed, and 64% of all providers</w:t>
      </w:r>
      <w:r w:rsidR="002C48AD" w:rsidRPr="005C46FB">
        <w:t xml:space="preserve"> </w:t>
      </w:r>
      <w:r w:rsidRPr="005C46FB">
        <w:t>agreed or strongly agreed.</w:t>
      </w:r>
    </w:p>
    <w:p w14:paraId="33EF4D04" w14:textId="21DFABE9" w:rsidR="00300D5E" w:rsidRPr="005C46FB" w:rsidRDefault="00300D5E" w:rsidP="005C46FB">
      <w:r w:rsidRPr="005C46FB">
        <w:t xml:space="preserve">Provider survey results were </w:t>
      </w:r>
      <w:r w:rsidR="00434A69" w:rsidRPr="005C46FB">
        <w:t>more mixed when compared with other consultation findings.</w:t>
      </w:r>
      <w:r w:rsidRPr="005C46FB">
        <w:t xml:space="preserve"> While approximately two</w:t>
      </w:r>
      <w:r w:rsidR="00BB45A4" w:rsidRPr="005C46FB">
        <w:t xml:space="preserve"> </w:t>
      </w:r>
      <w:r w:rsidRPr="005C46FB">
        <w:t>thirds of providers who completed the survey agreed, some providers expressed that home</w:t>
      </w:r>
      <w:r w:rsidR="00BB45A4" w:rsidRPr="005C46FB">
        <w:t xml:space="preserve"> </w:t>
      </w:r>
      <w:r w:rsidRPr="005C46FB">
        <w:t xml:space="preserve">level factors have a greater influence on the quality of care being delivered than those at a </w:t>
      </w:r>
      <w:r w:rsidRPr="005C46FB">
        <w:lastRenderedPageBreak/>
        <w:t>provider</w:t>
      </w:r>
      <w:r w:rsidR="001B3427" w:rsidRPr="005C46FB">
        <w:t>-</w:t>
      </w:r>
      <w:r w:rsidRPr="005C46FB">
        <w:t>level. Furthermore, some providers indicated that there should be discernment between major and minor non</w:t>
      </w:r>
      <w:r w:rsidRPr="005C46FB">
        <w:noBreakHyphen/>
        <w:t>conformance and that these should impact the Compliance rating differently.</w:t>
      </w:r>
    </w:p>
    <w:p w14:paraId="3942FBAF" w14:textId="5EA21DEB" w:rsidR="008357F2" w:rsidRPr="0053795D" w:rsidRDefault="0053795D" w:rsidP="00300D5E">
      <w:pPr>
        <w:rPr>
          <w:rStyle w:val="Hyperlink"/>
          <w:u w:val="none"/>
        </w:rPr>
      </w:pPr>
      <w:r w:rsidRPr="00B8540A">
        <w:rPr>
          <w:color w:val="auto"/>
        </w:rPr>
        <w:t xml:space="preserve">Overall, stakeholders </w:t>
      </w:r>
      <w:r>
        <w:rPr>
          <w:color w:val="auto"/>
        </w:rPr>
        <w:t>agreed that</w:t>
      </w:r>
      <w:r w:rsidRPr="00B8540A">
        <w:rPr>
          <w:color w:val="auto"/>
        </w:rPr>
        <w:t xml:space="preserve"> incorporating provider</w:t>
      </w:r>
      <w:r w:rsidR="001B3427">
        <w:rPr>
          <w:color w:val="auto"/>
        </w:rPr>
        <w:t>-</w:t>
      </w:r>
      <w:r w:rsidRPr="00B8540A">
        <w:rPr>
          <w:color w:val="auto"/>
        </w:rPr>
        <w:t>level impacts into the Compliance rating effectively indicates the quality of care provided at individual aged care homes</w:t>
      </w:r>
      <w:r>
        <w:rPr>
          <w:color w:val="auto"/>
        </w:rPr>
        <w:t>.</w:t>
      </w:r>
    </w:p>
    <w:p w14:paraId="30A7FBDC" w14:textId="41FE8A89" w:rsidR="00300D5E" w:rsidRPr="00D0182B" w:rsidRDefault="00300D5E" w:rsidP="00D0182B">
      <w:pPr>
        <w:pStyle w:val="Heading4"/>
      </w:pPr>
      <w:r w:rsidRPr="00D0182B">
        <w:t>Ability for older people and their representatives to compare aged care homes if provider</w:t>
      </w:r>
      <w:r w:rsidR="001B3427">
        <w:t>-</w:t>
      </w:r>
      <w:r w:rsidRPr="00D0182B">
        <w:t>level impacts are included</w:t>
      </w:r>
    </w:p>
    <w:p w14:paraId="315F0766" w14:textId="1A788B1A" w:rsidR="002E7B7B" w:rsidRPr="004B5B0B" w:rsidRDefault="002E7B7B" w:rsidP="002E7B7B">
      <w:pPr>
        <w:rPr>
          <w:color w:val="auto"/>
        </w:rPr>
      </w:pPr>
      <w:r w:rsidRPr="004B5B0B">
        <w:rPr>
          <w:color w:val="auto"/>
        </w:rPr>
        <w:t xml:space="preserve">Stakeholders </w:t>
      </w:r>
      <w:r w:rsidR="0089696C">
        <w:rPr>
          <w:color w:val="auto"/>
        </w:rPr>
        <w:t xml:space="preserve">in the consultation sessions </w:t>
      </w:r>
      <w:r>
        <w:rPr>
          <w:color w:val="auto"/>
        </w:rPr>
        <w:t>highlighted</w:t>
      </w:r>
      <w:r w:rsidRPr="004B5B0B">
        <w:rPr>
          <w:color w:val="auto"/>
        </w:rPr>
        <w:t xml:space="preserve"> the ability to compare aged care homes is </w:t>
      </w:r>
      <w:r>
        <w:rPr>
          <w:color w:val="auto"/>
        </w:rPr>
        <w:t>dependent</w:t>
      </w:r>
      <w:r w:rsidRPr="004B5B0B">
        <w:rPr>
          <w:color w:val="auto"/>
        </w:rPr>
        <w:t xml:space="preserve"> on the availability of information that is clear, transparent, timely and meaningful.</w:t>
      </w:r>
      <w:r w:rsidRPr="004B5B0B" w:rsidDel="006060DC">
        <w:rPr>
          <w:color w:val="auto"/>
        </w:rPr>
        <w:t xml:space="preserve"> </w:t>
      </w:r>
      <w:r w:rsidRPr="004B5B0B">
        <w:rPr>
          <w:color w:val="auto"/>
        </w:rPr>
        <w:t xml:space="preserve">Older people and their representatives </w:t>
      </w:r>
      <w:r>
        <w:rPr>
          <w:color w:val="auto"/>
        </w:rPr>
        <w:t>expressed</w:t>
      </w:r>
      <w:r w:rsidRPr="004B5B0B">
        <w:rPr>
          <w:color w:val="auto"/>
        </w:rPr>
        <w:t xml:space="preserve"> that provider</w:t>
      </w:r>
      <w:r w:rsidR="001B3427">
        <w:rPr>
          <w:color w:val="auto"/>
        </w:rPr>
        <w:t>-</w:t>
      </w:r>
      <w:r w:rsidRPr="004B5B0B">
        <w:rPr>
          <w:color w:val="auto"/>
        </w:rPr>
        <w:t>level</w:t>
      </w:r>
      <w:r>
        <w:rPr>
          <w:color w:val="auto"/>
        </w:rPr>
        <w:t xml:space="preserve"> </w:t>
      </w:r>
      <w:r w:rsidRPr="004B5B0B">
        <w:rPr>
          <w:color w:val="auto"/>
        </w:rPr>
        <w:t xml:space="preserve">impacts to Compliance ratings would </w:t>
      </w:r>
      <w:r>
        <w:rPr>
          <w:color w:val="auto"/>
        </w:rPr>
        <w:t>support</w:t>
      </w:r>
      <w:r w:rsidRPr="004B5B0B">
        <w:rPr>
          <w:color w:val="auto"/>
        </w:rPr>
        <w:t xml:space="preserve"> the</w:t>
      </w:r>
      <w:r>
        <w:rPr>
          <w:color w:val="auto"/>
        </w:rPr>
        <w:t>ir</w:t>
      </w:r>
      <w:r w:rsidRPr="004B5B0B">
        <w:rPr>
          <w:color w:val="auto"/>
        </w:rPr>
        <w:t xml:space="preserve"> ability to compare homes</w:t>
      </w:r>
      <w:r>
        <w:rPr>
          <w:color w:val="auto"/>
        </w:rPr>
        <w:t xml:space="preserve">. They noted however that it would be important to understand how </w:t>
      </w:r>
      <w:r w:rsidRPr="004B5B0B">
        <w:rPr>
          <w:color w:val="auto"/>
        </w:rPr>
        <w:t xml:space="preserve">the regulatory notice </w:t>
      </w:r>
      <w:r>
        <w:rPr>
          <w:color w:val="auto"/>
        </w:rPr>
        <w:t>impacted each individual aged care home under the provider.</w:t>
      </w:r>
    </w:p>
    <w:p w14:paraId="25AB9325" w14:textId="736AD5F9" w:rsidR="002E7B7B" w:rsidRPr="007D5587" w:rsidRDefault="002E7B7B" w:rsidP="002E7B7B">
      <w:pPr>
        <w:rPr>
          <w:color w:val="auto"/>
        </w:rPr>
      </w:pPr>
      <w:r w:rsidRPr="004B5B0B">
        <w:rPr>
          <w:color w:val="auto"/>
        </w:rPr>
        <w:t xml:space="preserve">Survey </w:t>
      </w:r>
      <w:r>
        <w:rPr>
          <w:color w:val="auto"/>
        </w:rPr>
        <w:t>results</w:t>
      </w:r>
      <w:r w:rsidRPr="004B5B0B">
        <w:rPr>
          <w:color w:val="auto"/>
        </w:rPr>
        <w:t xml:space="preserve"> slightly </w:t>
      </w:r>
      <w:r>
        <w:rPr>
          <w:color w:val="auto"/>
        </w:rPr>
        <w:t>differed to the sentiment expressed in other consultation activities</w:t>
      </w:r>
      <w:r w:rsidRPr="004B5B0B">
        <w:rPr>
          <w:color w:val="auto"/>
        </w:rPr>
        <w:t>, with</w:t>
      </w:r>
      <w:r w:rsidRPr="004B5B0B" w:rsidDel="005F6C89">
        <w:rPr>
          <w:color w:val="auto"/>
        </w:rPr>
        <w:t xml:space="preserve"> </w:t>
      </w:r>
      <w:r w:rsidRPr="004B5B0B">
        <w:rPr>
          <w:color w:val="auto"/>
        </w:rPr>
        <w:t>40%</w:t>
      </w:r>
      <w:r>
        <w:rPr>
          <w:color w:val="auto"/>
        </w:rPr>
        <w:t> </w:t>
      </w:r>
      <w:r w:rsidR="00860B6F">
        <w:rPr>
          <w:color w:val="auto"/>
        </w:rPr>
        <w:t xml:space="preserve">of all survey respondents </w:t>
      </w:r>
      <w:r w:rsidRPr="007D5587">
        <w:rPr>
          <w:color w:val="auto"/>
        </w:rPr>
        <w:t>confident or very confident this would assist older people and their representatives to compare aged care homes</w:t>
      </w:r>
      <w:r w:rsidR="00EE043B">
        <w:rPr>
          <w:color w:val="auto"/>
        </w:rPr>
        <w:t>.</w:t>
      </w:r>
      <w:r w:rsidRPr="007D5587">
        <w:rPr>
          <w:color w:val="auto"/>
        </w:rPr>
        <w:t xml:space="preserve"> This was in comparison with </w:t>
      </w:r>
      <w:r>
        <w:rPr>
          <w:color w:val="auto"/>
        </w:rPr>
        <w:t>19%</w:t>
      </w:r>
      <w:r w:rsidR="00654F1E">
        <w:rPr>
          <w:color w:val="auto"/>
        </w:rPr>
        <w:t xml:space="preserve"> who </w:t>
      </w:r>
      <w:r w:rsidRPr="006D7984">
        <w:rPr>
          <w:color w:val="auto"/>
        </w:rPr>
        <w:t>i</w:t>
      </w:r>
      <w:r w:rsidR="00654F1E">
        <w:rPr>
          <w:color w:val="auto"/>
        </w:rPr>
        <w:t>ndicated</w:t>
      </w:r>
      <w:r w:rsidRPr="006D7984">
        <w:rPr>
          <w:color w:val="auto"/>
        </w:rPr>
        <w:t xml:space="preserve"> they were</w:t>
      </w:r>
      <w:r>
        <w:rPr>
          <w:color w:val="auto"/>
        </w:rPr>
        <w:t xml:space="preserve"> somewhat confident and </w:t>
      </w:r>
      <w:r w:rsidRPr="007D5587">
        <w:rPr>
          <w:color w:val="auto"/>
        </w:rPr>
        <w:t>26%</w:t>
      </w:r>
      <w:r>
        <w:rPr>
          <w:color w:val="auto"/>
        </w:rPr>
        <w:t> indicating</w:t>
      </w:r>
      <w:r w:rsidRPr="007D5587">
        <w:rPr>
          <w:color w:val="auto"/>
        </w:rPr>
        <w:t xml:space="preserve"> they were not </w:t>
      </w:r>
      <w:r w:rsidRPr="00B97C2D">
        <w:rPr>
          <w:color w:val="auto"/>
        </w:rPr>
        <w:t>confident</w:t>
      </w:r>
      <w:r w:rsidR="004E1517">
        <w:rPr>
          <w:color w:val="auto"/>
        </w:rPr>
        <w:t xml:space="preserve">, with the </w:t>
      </w:r>
      <w:r w:rsidR="00C63CE5">
        <w:rPr>
          <w:color w:val="auto"/>
        </w:rPr>
        <w:t>remaining</w:t>
      </w:r>
      <w:r w:rsidR="004E1517">
        <w:rPr>
          <w:color w:val="auto"/>
        </w:rPr>
        <w:t xml:space="preserve"> stakeholders feeling neutral or unsure</w:t>
      </w:r>
      <w:r>
        <w:rPr>
          <w:color w:val="auto"/>
        </w:rPr>
        <w:t>.</w:t>
      </w:r>
      <w:r w:rsidRPr="007D5587">
        <w:rPr>
          <w:color w:val="auto"/>
        </w:rPr>
        <w:t xml:space="preserve"> Of all older people and their representatives, 41% were confident or very confident, and 2</w:t>
      </w:r>
      <w:r>
        <w:rPr>
          <w:color w:val="auto"/>
        </w:rPr>
        <w:t>9</w:t>
      </w:r>
      <w:r w:rsidRPr="007D5587">
        <w:rPr>
          <w:color w:val="auto"/>
        </w:rPr>
        <w:t>% of all providers were confident or very confident that these changes will assist</w:t>
      </w:r>
      <w:r>
        <w:rPr>
          <w:color w:val="auto"/>
        </w:rPr>
        <w:t xml:space="preserve"> in comparing aged care homes</w:t>
      </w:r>
      <w:r w:rsidRPr="007D5587">
        <w:rPr>
          <w:color w:val="auto"/>
        </w:rPr>
        <w:t>.</w:t>
      </w:r>
    </w:p>
    <w:p w14:paraId="4238CA08" w14:textId="6330E8B9" w:rsidR="002E7B7B" w:rsidRPr="004D4031" w:rsidRDefault="002E7B7B" w:rsidP="000D68EB">
      <w:pPr>
        <w:rPr>
          <w:color w:val="auto"/>
        </w:rPr>
      </w:pPr>
      <w:r w:rsidRPr="004B5B0B">
        <w:rPr>
          <w:color w:val="auto"/>
        </w:rPr>
        <w:t xml:space="preserve">Some older people and their representatives suggested </w:t>
      </w:r>
      <w:r>
        <w:rPr>
          <w:color w:val="auto"/>
        </w:rPr>
        <w:t>that the display of provider</w:t>
      </w:r>
      <w:r w:rsidR="001B3427">
        <w:rPr>
          <w:color w:val="auto"/>
        </w:rPr>
        <w:t>-</w:t>
      </w:r>
      <w:r>
        <w:rPr>
          <w:color w:val="auto"/>
        </w:rPr>
        <w:t xml:space="preserve">level impacts could </w:t>
      </w:r>
      <w:r w:rsidRPr="004B5B0B">
        <w:rPr>
          <w:color w:val="auto"/>
        </w:rPr>
        <w:t xml:space="preserve">be </w:t>
      </w:r>
      <w:r>
        <w:rPr>
          <w:color w:val="auto"/>
        </w:rPr>
        <w:t>outlined</w:t>
      </w:r>
      <w:r w:rsidRPr="004B5B0B">
        <w:rPr>
          <w:color w:val="auto"/>
        </w:rPr>
        <w:t xml:space="preserve"> in the form of a timeline to improve traceability of Compliance ratings. It was confirmed that access to a range of information such as this would help to compare aged care homes. </w:t>
      </w:r>
    </w:p>
    <w:p w14:paraId="55D26FA6" w14:textId="16B325D9" w:rsidR="00300D5E" w:rsidRPr="00D0182B" w:rsidRDefault="00300D5E" w:rsidP="00D0182B">
      <w:pPr>
        <w:pStyle w:val="Heading4"/>
      </w:pPr>
      <w:r w:rsidRPr="00D0182B">
        <w:t xml:space="preserve">Potential </w:t>
      </w:r>
      <w:r w:rsidR="00C63CE5">
        <w:t>effects</w:t>
      </w:r>
      <w:r w:rsidRPr="00D0182B">
        <w:t xml:space="preserve"> to provider behaviour or operational decisions if provider</w:t>
      </w:r>
      <w:r w:rsidR="001B3427">
        <w:t>-</w:t>
      </w:r>
      <w:r w:rsidRPr="00D0182B">
        <w:t>level impacts are included</w:t>
      </w:r>
    </w:p>
    <w:p w14:paraId="0300C2B0" w14:textId="6355D045" w:rsidR="00BC1C99" w:rsidRDefault="00BC1C99" w:rsidP="00BC1C99">
      <w:pPr>
        <w:rPr>
          <w:color w:val="auto"/>
        </w:rPr>
      </w:pPr>
      <w:r w:rsidRPr="009A7930">
        <w:rPr>
          <w:color w:val="auto"/>
        </w:rPr>
        <w:t xml:space="preserve">Stakeholders were asked </w:t>
      </w:r>
      <w:r>
        <w:rPr>
          <w:color w:val="auto"/>
        </w:rPr>
        <w:t xml:space="preserve">during face-to-face consultations </w:t>
      </w:r>
      <w:r w:rsidRPr="009A7930">
        <w:rPr>
          <w:color w:val="auto"/>
        </w:rPr>
        <w:t xml:space="preserve">whether </w:t>
      </w:r>
      <w:r w:rsidR="00CF17AE">
        <w:rPr>
          <w:color w:val="auto"/>
        </w:rPr>
        <w:t xml:space="preserve">they thought </w:t>
      </w:r>
      <w:r w:rsidRPr="009A7930">
        <w:rPr>
          <w:color w:val="auto"/>
        </w:rPr>
        <w:t>provider</w:t>
      </w:r>
      <w:r w:rsidR="001B3427">
        <w:rPr>
          <w:color w:val="auto"/>
        </w:rPr>
        <w:t>-</w:t>
      </w:r>
      <w:r w:rsidRPr="009A7930">
        <w:rPr>
          <w:color w:val="auto"/>
        </w:rPr>
        <w:t xml:space="preserve">level impacts to the Compliance rating would </w:t>
      </w:r>
      <w:proofErr w:type="spellStart"/>
      <w:proofErr w:type="gramStart"/>
      <w:r w:rsidR="00CF17AE">
        <w:rPr>
          <w:color w:val="auto"/>
        </w:rPr>
        <w:t>effect</w:t>
      </w:r>
      <w:proofErr w:type="spellEnd"/>
      <w:proofErr w:type="gramEnd"/>
      <w:r w:rsidRPr="009A7930">
        <w:rPr>
          <w:color w:val="auto"/>
        </w:rPr>
        <w:t xml:space="preserve"> provider behaviour or operational decisions. </w:t>
      </w:r>
      <w:r w:rsidRPr="009C082A">
        <w:rPr>
          <w:color w:val="auto"/>
        </w:rPr>
        <w:t>Mixed perspectives were evident</w:t>
      </w:r>
      <w:r w:rsidR="009B6A67">
        <w:rPr>
          <w:color w:val="auto"/>
        </w:rPr>
        <w:t>. M</w:t>
      </w:r>
      <w:r w:rsidRPr="009C082A">
        <w:rPr>
          <w:color w:val="auto"/>
        </w:rPr>
        <w:t>ost providers agreed that it would influence provider behaviour, though opinions on the specific nature of this impact varied widely.</w:t>
      </w:r>
      <w:r>
        <w:rPr>
          <w:color w:val="auto"/>
        </w:rPr>
        <w:t xml:space="preserve"> </w:t>
      </w:r>
    </w:p>
    <w:p w14:paraId="412C2234" w14:textId="66A13B03" w:rsidR="00154C02" w:rsidRDefault="009752D3" w:rsidP="00346E83">
      <w:pPr>
        <w:rPr>
          <w:color w:val="auto"/>
        </w:rPr>
      </w:pPr>
      <w:r w:rsidRPr="009752D3">
        <w:rPr>
          <w:color w:val="auto"/>
        </w:rPr>
        <w:t>Some stakeholders suggested that a negative impact on the Compliance rating would incentivise providers to address issues quickly. Conversely, others believed it would not motivate providers to improve, as they are driven by the well</w:t>
      </w:r>
      <w:r w:rsidR="00C814C0">
        <w:rPr>
          <w:color w:val="auto"/>
        </w:rPr>
        <w:noBreakHyphen/>
      </w:r>
      <w:r w:rsidRPr="009752D3">
        <w:rPr>
          <w:color w:val="auto"/>
        </w:rPr>
        <w:t>being of the older people in their care rather than metrics. Another provider expressed concerns that a lower Compliance rating could create barriers to improvement due to negative effects on occupancy, recruitment, and retention of staff.</w:t>
      </w:r>
    </w:p>
    <w:p w14:paraId="59DFD70A" w14:textId="71639FA2" w:rsidR="00154C02" w:rsidRDefault="00154C02" w:rsidP="00346E83">
      <w:pPr>
        <w:rPr>
          <w:color w:val="auto"/>
        </w:rPr>
        <w:sectPr w:rsidR="00154C02" w:rsidSect="00A70F60">
          <w:pgSz w:w="11906" w:h="16838"/>
          <w:pgMar w:top="1134" w:right="1418" w:bottom="1418" w:left="1418" w:header="567" w:footer="284" w:gutter="0"/>
          <w:cols w:space="708"/>
          <w:docGrid w:linePitch="360"/>
        </w:sectPr>
      </w:pPr>
      <w:r>
        <w:rPr>
          <w:color w:val="auto"/>
        </w:rPr>
        <w:t xml:space="preserve">Overall, stakeholders </w:t>
      </w:r>
      <w:r w:rsidR="00665639">
        <w:rPr>
          <w:color w:val="auto"/>
        </w:rPr>
        <w:t>supported</w:t>
      </w:r>
      <w:r>
        <w:rPr>
          <w:color w:val="auto"/>
        </w:rPr>
        <w:t xml:space="preserve"> inclusion of provider</w:t>
      </w:r>
      <w:r w:rsidR="001B3427">
        <w:rPr>
          <w:color w:val="auto"/>
        </w:rPr>
        <w:t>-</w:t>
      </w:r>
      <w:r>
        <w:rPr>
          <w:color w:val="auto"/>
        </w:rPr>
        <w:t xml:space="preserve">level impacts in Star Ratings when </w:t>
      </w:r>
      <w:r w:rsidR="00665639">
        <w:rPr>
          <w:color w:val="auto"/>
        </w:rPr>
        <w:t xml:space="preserve">                 non-compliance</w:t>
      </w:r>
      <w:r>
        <w:rPr>
          <w:color w:val="auto"/>
        </w:rPr>
        <w:t xml:space="preserve"> </w:t>
      </w:r>
      <w:r w:rsidR="00665639">
        <w:rPr>
          <w:color w:val="auto"/>
        </w:rPr>
        <w:t>a</w:t>
      </w:r>
      <w:r>
        <w:rPr>
          <w:color w:val="auto"/>
        </w:rPr>
        <w:t xml:space="preserve">ffects all homes operated by the provider. However, stakeholders also stressed that the ability to compare aged </w:t>
      </w:r>
      <w:r w:rsidR="00665639">
        <w:rPr>
          <w:color w:val="auto"/>
        </w:rPr>
        <w:t>care</w:t>
      </w:r>
      <w:r>
        <w:rPr>
          <w:color w:val="auto"/>
        </w:rPr>
        <w:t xml:space="preserve"> homes is </w:t>
      </w:r>
      <w:r w:rsidR="00665639">
        <w:rPr>
          <w:color w:val="auto"/>
        </w:rPr>
        <w:t>dependent</w:t>
      </w:r>
      <w:r>
        <w:rPr>
          <w:color w:val="auto"/>
        </w:rPr>
        <w:t xml:space="preserve"> on the </w:t>
      </w:r>
      <w:r w:rsidR="00665639">
        <w:rPr>
          <w:color w:val="auto"/>
        </w:rPr>
        <w:t>availability</w:t>
      </w:r>
      <w:r>
        <w:rPr>
          <w:color w:val="auto"/>
        </w:rPr>
        <w:t xml:space="preserve"> of information that is </w:t>
      </w:r>
      <w:r w:rsidR="00665639">
        <w:rPr>
          <w:color w:val="auto"/>
        </w:rPr>
        <w:t>clear</w:t>
      </w:r>
      <w:r>
        <w:rPr>
          <w:color w:val="auto"/>
        </w:rPr>
        <w:t xml:space="preserve">, transparent, timely and meaningful. </w:t>
      </w:r>
    </w:p>
    <w:p w14:paraId="77428AB3" w14:textId="30B97537" w:rsidR="00300D5E" w:rsidRPr="00346E83" w:rsidRDefault="00300D5E" w:rsidP="00346E83">
      <w:pPr>
        <w:pStyle w:val="Heading3"/>
        <w:pBdr>
          <w:left w:val="single" w:sz="12" w:space="4" w:color="7213EA" w:themeColor="accent5"/>
        </w:pBdr>
      </w:pPr>
      <w:r w:rsidRPr="009B112E">
        <w:lastRenderedPageBreak/>
        <w:t>Displaying the exceeding grade while a formal regulatory notice applies to a provider or aged care home</w:t>
      </w:r>
    </w:p>
    <w:p w14:paraId="724995F1" w14:textId="77777777" w:rsidR="002F6DE5" w:rsidRPr="005C46FB" w:rsidRDefault="002F6DE5" w:rsidP="005C46FB">
      <w:r w:rsidRPr="005C46FB">
        <w:t>In relation to whether the exceeding grade should be displayed while a formal regulatory notice applies, stakeholders were asked to consider the following:</w:t>
      </w:r>
    </w:p>
    <w:p w14:paraId="1D793389" w14:textId="77777777" w:rsidR="004D51B8" w:rsidRPr="00EC43F4" w:rsidRDefault="004D51B8" w:rsidP="004D51B8">
      <w:pPr>
        <w:pStyle w:val="ListBullet"/>
        <w:rPr>
          <w:rStyle w:val="Hyperlink"/>
          <w:u w:val="none"/>
        </w:rPr>
      </w:pPr>
      <w:r w:rsidRPr="0020057B">
        <w:t>Is it appropriate for the exceeding grade (based on the latest assessment against the strengthened Standards) to still be displayed on My Aged Care for the aged care home if it has received a formal regulatory notice?</w:t>
      </w:r>
    </w:p>
    <w:p w14:paraId="4DBAC35E" w14:textId="77777777" w:rsidR="004D51B8" w:rsidRPr="00EC43F4" w:rsidRDefault="004D51B8" w:rsidP="004D51B8">
      <w:pPr>
        <w:pStyle w:val="ListBullet"/>
        <w:rPr>
          <w:rStyle w:val="Hyperlink"/>
          <w:u w:val="none"/>
        </w:rPr>
      </w:pPr>
      <w:r w:rsidRPr="00636130">
        <w:t>Would display of the exceeding grade at the same time as a formal regulatory notice affect the ability for older people and their representatives to compare aged care homes?</w:t>
      </w:r>
    </w:p>
    <w:p w14:paraId="10E5DA9F" w14:textId="77777777" w:rsidR="004D51B8" w:rsidRPr="00EC43F4" w:rsidRDefault="004D51B8" w:rsidP="004D51B8">
      <w:pPr>
        <w:pStyle w:val="ListBullet"/>
        <w:rPr>
          <w:rStyle w:val="Hyperlink"/>
          <w:u w:val="none"/>
        </w:rPr>
      </w:pPr>
      <w:r w:rsidRPr="00636130">
        <w:t>Would there be any situations where the display of the exceeding grade should continue at the same time as a formal regulatory notice applies to that provider or aged care home?</w:t>
      </w:r>
    </w:p>
    <w:p w14:paraId="2EC66B9E" w14:textId="77777777" w:rsidR="00300D5E" w:rsidRPr="001E4092" w:rsidRDefault="00300D5E" w:rsidP="001E4092">
      <w:r w:rsidRPr="001E4092">
        <w:t xml:space="preserve">The key findings in response to each of these topics are outlined below. </w:t>
      </w:r>
    </w:p>
    <w:p w14:paraId="0D1B47F8" w14:textId="77777777" w:rsidR="00300D5E" w:rsidRPr="00EC43F4" w:rsidRDefault="00300D5E" w:rsidP="00EC43F4">
      <w:pPr>
        <w:pStyle w:val="Heading4"/>
        <w:rPr>
          <w:rStyle w:val="Hyperlink"/>
          <w:color w:val="0C233C" w:themeColor="accent3"/>
          <w:u w:val="none"/>
        </w:rPr>
      </w:pPr>
      <w:r w:rsidRPr="00EC43F4">
        <w:rPr>
          <w:rStyle w:val="Hyperlink"/>
          <w:color w:val="0C233C" w:themeColor="accent3"/>
          <w:u w:val="none"/>
        </w:rPr>
        <w:t>Appropriateness of displaying an exceeding grade while a formal regulatory notice applies to an aged care home</w:t>
      </w:r>
    </w:p>
    <w:p w14:paraId="63A92EAC" w14:textId="1F5273CE" w:rsidR="007B0E1E" w:rsidRDefault="007B0E1E" w:rsidP="007B0E1E">
      <w:pPr>
        <w:rPr>
          <w:rStyle w:val="Hyperlink"/>
          <w:u w:val="none"/>
        </w:rPr>
      </w:pPr>
      <w:r w:rsidRPr="004D4031">
        <w:rPr>
          <w:color w:val="auto"/>
        </w:rPr>
        <w:t xml:space="preserve">Concerns were raised by stakeholders when asked whether an aged care home should continue to </w:t>
      </w:r>
      <w:r w:rsidRPr="00EC43F4">
        <w:rPr>
          <w:color w:val="auto"/>
        </w:rPr>
        <w:t xml:space="preserve">have an exceeding grade displayed if it has received a formal regulatory notice. </w:t>
      </w:r>
      <w:r w:rsidRPr="00EC43F4">
        <w:rPr>
          <w:rStyle w:val="Hyperlink"/>
          <w:u w:val="none"/>
        </w:rPr>
        <w:t>Many believed that displaying both</w:t>
      </w:r>
      <w:r>
        <w:rPr>
          <w:rStyle w:val="Hyperlink"/>
          <w:u w:val="none"/>
        </w:rPr>
        <w:t xml:space="preserve"> simultaneously</w:t>
      </w:r>
      <w:r w:rsidRPr="00EC43F4">
        <w:rPr>
          <w:rStyle w:val="Hyperlink"/>
          <w:u w:val="none"/>
        </w:rPr>
        <w:t xml:space="preserve"> </w:t>
      </w:r>
      <w:r>
        <w:rPr>
          <w:rStyle w:val="Hyperlink"/>
          <w:u w:val="none"/>
        </w:rPr>
        <w:t xml:space="preserve">would confuse </w:t>
      </w:r>
      <w:r w:rsidRPr="00EC43F4">
        <w:rPr>
          <w:rStyle w:val="Hyperlink"/>
          <w:u w:val="none"/>
        </w:rPr>
        <w:t>older people and their representatives</w:t>
      </w:r>
      <w:r>
        <w:rPr>
          <w:rStyle w:val="Hyperlink"/>
          <w:u w:val="none"/>
        </w:rPr>
        <w:t>,</w:t>
      </w:r>
      <w:r w:rsidRPr="00EC43F4">
        <w:rPr>
          <w:rStyle w:val="Hyperlink"/>
          <w:u w:val="none"/>
        </w:rPr>
        <w:t xml:space="preserve"> as it </w:t>
      </w:r>
      <w:r>
        <w:rPr>
          <w:rStyle w:val="Hyperlink"/>
          <w:u w:val="none"/>
        </w:rPr>
        <w:t>might seem</w:t>
      </w:r>
      <w:r w:rsidR="001E4092">
        <w:rPr>
          <w:rStyle w:val="Hyperlink"/>
          <w:u w:val="none"/>
        </w:rPr>
        <w:t> </w:t>
      </w:r>
      <w:r w:rsidRPr="00EC43F4">
        <w:rPr>
          <w:rStyle w:val="Hyperlink"/>
          <w:u w:val="none"/>
        </w:rPr>
        <w:t>contradictory.</w:t>
      </w:r>
    </w:p>
    <w:p w14:paraId="6C706F46" w14:textId="6B5D5A61" w:rsidR="007B0E1E" w:rsidRPr="005C46FB" w:rsidRDefault="007B0E1E" w:rsidP="005C46FB">
      <w:r w:rsidRPr="005C46FB">
        <w:t>Survey responses were mixed, with 58%</w:t>
      </w:r>
      <w:r w:rsidR="002C48AD" w:rsidRPr="005C46FB">
        <w:t xml:space="preserve"> </w:t>
      </w:r>
      <w:r w:rsidRPr="005C46FB">
        <w:t>of all respondents indicating they disagreed or strongly disagreed that a previously awarded exceeding grade should still be displayed if the aged care home is issued with a formal regulatory notice</w:t>
      </w:r>
      <w:r w:rsidR="00477671" w:rsidRPr="005C46FB">
        <w:t>.</w:t>
      </w:r>
      <w:r w:rsidRPr="005C46FB">
        <w:t xml:space="preserve"> This was in comparison with 32% of all survey respondents who indicated that they agreed or strongly agreed, 7% who indicated a neutral stance and 3% who indicated that they were unsure. Of all older people and their representatives, 61% disagreed or strongly disagreed</w:t>
      </w:r>
      <w:r w:rsidR="00B81C83" w:rsidRPr="005C46FB">
        <w:t>,</w:t>
      </w:r>
      <w:r w:rsidRPr="005C46FB">
        <w:t xml:space="preserve"> and 39% of all providers disagreed or strongly disagreed</w:t>
      </w:r>
      <w:r w:rsidR="00DF2CDE" w:rsidRPr="005C46FB">
        <w:t>.</w:t>
      </w:r>
    </w:p>
    <w:p w14:paraId="3069B4C3" w14:textId="77777777" w:rsidR="007B0E1E" w:rsidRPr="00D91913" w:rsidRDefault="007B0E1E" w:rsidP="007B0E1E">
      <w:pPr>
        <w:rPr>
          <w:color w:val="auto"/>
        </w:rPr>
      </w:pPr>
      <w:r>
        <w:t>O</w:t>
      </w:r>
      <w:r w:rsidRPr="00E95F17">
        <w:t xml:space="preserve">lder people and their representatives had </w:t>
      </w:r>
      <w:r w:rsidRPr="00D91913">
        <w:rPr>
          <w:color w:val="auto"/>
        </w:rPr>
        <w:t xml:space="preserve">mixed views around </w:t>
      </w:r>
      <w:r w:rsidRPr="00D91913">
        <w:rPr>
          <w:rStyle w:val="Hyperlink"/>
          <w:u w:val="none"/>
        </w:rPr>
        <w:t xml:space="preserve">displaying an exceeding grade </w:t>
      </w:r>
      <w:r w:rsidRPr="00D91913">
        <w:rPr>
          <w:color w:val="auto"/>
        </w:rPr>
        <w:t>alongside a formal regulatory notice. Some shared concerns throughout consultation activities that this would be confusing and should not be displayed at the same time. Others, however, were supportive of displaying both and agreed it would positively impact their ability to compare homes if enough contextual and explanatory information accompanied both.</w:t>
      </w:r>
    </w:p>
    <w:p w14:paraId="6E41A9F4" w14:textId="6BFE3AB1" w:rsidR="00E86F8B" w:rsidRDefault="00542054" w:rsidP="00E86F8B">
      <w:r>
        <w:rPr>
          <w:color w:val="auto"/>
        </w:rPr>
        <w:t>S</w:t>
      </w:r>
      <w:r w:rsidR="007B0E1E" w:rsidRPr="00D91913">
        <w:rPr>
          <w:color w:val="auto"/>
        </w:rPr>
        <w:t xml:space="preserve">ome providers noted the risk of confusion where published </w:t>
      </w:r>
      <w:r w:rsidR="007B0E1E">
        <w:t>compliance information data was contradictory. Other p</w:t>
      </w:r>
      <w:r w:rsidR="007B0E1E" w:rsidRPr="009E5E75">
        <w:t xml:space="preserve">roviders suggested that </w:t>
      </w:r>
      <w:r w:rsidR="007B0E1E">
        <w:t>this information</w:t>
      </w:r>
      <w:r w:rsidR="007B0E1E" w:rsidRPr="009E5E75">
        <w:t xml:space="preserve"> would offer older people and their representatives a comprehensive understanding of the provider's performance history</w:t>
      </w:r>
      <w:r w:rsidR="00C57675">
        <w:t>. T</w:t>
      </w:r>
      <w:r w:rsidR="007B0E1E" w:rsidRPr="009E5E75">
        <w:t>his approach would encourage older people and their representatives to ask questions</w:t>
      </w:r>
      <w:r w:rsidR="007145D5">
        <w:t xml:space="preserve"> about an aged care home’s performance, providing them with information to further explore and aiding them in comparing aged care homes. </w:t>
      </w:r>
    </w:p>
    <w:p w14:paraId="4C36BFF1" w14:textId="742CEE1D" w:rsidR="00300D5E" w:rsidRPr="00B41AEB" w:rsidRDefault="00300D5E" w:rsidP="00E86F8B">
      <w:pPr>
        <w:pStyle w:val="Heading4"/>
        <w:rPr>
          <w:rStyle w:val="Hyperlink"/>
          <w:color w:val="0C233C" w:themeColor="accent3"/>
          <w:u w:val="none"/>
        </w:rPr>
      </w:pPr>
      <w:r w:rsidRPr="00B41AEB">
        <w:rPr>
          <w:rStyle w:val="Hyperlink"/>
          <w:color w:val="0C233C" w:themeColor="accent3"/>
          <w:u w:val="none"/>
        </w:rPr>
        <w:t>Impact of displaying an exceeding grade at the same time as a formal regulatory notice on the ability of older people and their representatives to compare aged</w:t>
      </w:r>
      <w:r w:rsidR="00534370">
        <w:rPr>
          <w:rStyle w:val="Hyperlink"/>
          <w:color w:val="0C233C" w:themeColor="accent3"/>
          <w:u w:val="none"/>
        </w:rPr>
        <w:t> </w:t>
      </w:r>
      <w:r w:rsidRPr="00B41AEB">
        <w:rPr>
          <w:rStyle w:val="Hyperlink"/>
          <w:color w:val="0C233C" w:themeColor="accent3"/>
          <w:u w:val="none"/>
        </w:rPr>
        <w:t>care</w:t>
      </w:r>
      <w:r w:rsidR="00B7397F">
        <w:rPr>
          <w:rStyle w:val="Hyperlink"/>
          <w:color w:val="0C233C" w:themeColor="accent3"/>
          <w:u w:val="none"/>
        </w:rPr>
        <w:t> </w:t>
      </w:r>
      <w:r w:rsidRPr="00B41AEB">
        <w:rPr>
          <w:rStyle w:val="Hyperlink"/>
          <w:color w:val="0C233C" w:themeColor="accent3"/>
          <w:u w:val="none"/>
        </w:rPr>
        <w:t>homes</w:t>
      </w:r>
    </w:p>
    <w:p w14:paraId="2FF592D5" w14:textId="139505A1" w:rsidR="00D25355" w:rsidRDefault="004D6963" w:rsidP="00D25355">
      <w:r>
        <w:t>Similar</w:t>
      </w:r>
      <w:r w:rsidR="00D25355" w:rsidRPr="00E95F17">
        <w:t xml:space="preserve"> perspectives were shared by stakeholders regarding the ability to compare aged care homes when both exceeding grade and formal regulatory notices are displayed. Of all survey respondents, 67% indicated that they agreed or strongly agreed that the display of the exceeding grade and a formal regulatory </w:t>
      </w:r>
      <w:r w:rsidR="00D25355" w:rsidRPr="00B00C20">
        <w:t xml:space="preserve">notice at the same time may </w:t>
      </w:r>
      <w:r w:rsidR="00C3359A">
        <w:t>make it hard</w:t>
      </w:r>
      <w:r w:rsidR="00D25355" w:rsidRPr="00B00C20">
        <w:t xml:space="preserve"> for older people and their representatives to compare aged care homes</w:t>
      </w:r>
      <w:r w:rsidR="004A00A6">
        <w:t>.</w:t>
      </w:r>
      <w:r w:rsidR="00D25355" w:rsidRPr="00B00C20">
        <w:t xml:space="preserve"> Of all older people and their representatives, 67% </w:t>
      </w:r>
      <w:r w:rsidR="00D25355" w:rsidRPr="00E95F17">
        <w:t>agreed or strongly agreed</w:t>
      </w:r>
      <w:r w:rsidR="00A2087B">
        <w:t>.</w:t>
      </w:r>
    </w:p>
    <w:p w14:paraId="7A26FD45" w14:textId="5CA00C33" w:rsidR="006F46CD" w:rsidRPr="00E95F17" w:rsidRDefault="006F46CD" w:rsidP="006F46CD">
      <w:r w:rsidRPr="00E95F17">
        <w:t xml:space="preserve">Providers </w:t>
      </w:r>
      <w:r>
        <w:t xml:space="preserve">indicated that displaying the exceeding grade alongside a formal regulatory notice would </w:t>
      </w:r>
      <w:r w:rsidR="001332D2">
        <w:t>make it hard</w:t>
      </w:r>
      <w:r>
        <w:t xml:space="preserve"> for</w:t>
      </w:r>
      <w:r w:rsidRPr="00E95F17">
        <w:t xml:space="preserve"> older people and their representatives to compare aged care homes</w:t>
      </w:r>
      <w:r>
        <w:t xml:space="preserve">, </w:t>
      </w:r>
      <w:r w:rsidRPr="00E95F17">
        <w:t xml:space="preserve">with </w:t>
      </w:r>
      <w:r w:rsidR="008762A8">
        <w:t xml:space="preserve">              </w:t>
      </w:r>
      <w:r w:rsidRPr="00E95F17">
        <w:t>64%</w:t>
      </w:r>
      <w:r w:rsidR="002C48AD">
        <w:t xml:space="preserve"> </w:t>
      </w:r>
      <w:r w:rsidRPr="00E95F17">
        <w:t>agree</w:t>
      </w:r>
      <w:r>
        <w:t>ing</w:t>
      </w:r>
      <w:r w:rsidRPr="00E95F17">
        <w:t xml:space="preserve"> or strongly agree</w:t>
      </w:r>
      <w:r>
        <w:t>ing</w:t>
      </w:r>
      <w:r w:rsidRPr="00E95F17">
        <w:t>.</w:t>
      </w:r>
    </w:p>
    <w:p w14:paraId="338635AD" w14:textId="77777777" w:rsidR="00300D5E" w:rsidRPr="00384399" w:rsidRDefault="00300D5E" w:rsidP="00384399">
      <w:pPr>
        <w:pStyle w:val="Heading4"/>
        <w:rPr>
          <w:rStyle w:val="Hyperlink"/>
          <w:color w:val="0C233C" w:themeColor="accent3"/>
          <w:u w:val="none"/>
        </w:rPr>
      </w:pPr>
      <w:r w:rsidRPr="00384399">
        <w:rPr>
          <w:rStyle w:val="Hyperlink"/>
          <w:color w:val="0C233C" w:themeColor="accent3"/>
          <w:u w:val="none"/>
        </w:rPr>
        <w:lastRenderedPageBreak/>
        <w:t>Situations where an exceeding grade should continue to be displayed at the same time as a formal regulatory notice</w:t>
      </w:r>
    </w:p>
    <w:p w14:paraId="4A7FFE46" w14:textId="3D50F13C" w:rsidR="001C446A" w:rsidRPr="005C46FB" w:rsidRDefault="004237BF" w:rsidP="005C46FB">
      <w:r w:rsidRPr="005C46FB">
        <w:t xml:space="preserve">Some older people and their representatives were firm in their position that an aged care home </w:t>
      </w:r>
      <w:r w:rsidR="6956EC18" w:rsidRPr="005C46FB">
        <w:t>should not</w:t>
      </w:r>
      <w:r w:rsidRPr="005C46FB">
        <w:t xml:space="preserve"> </w:t>
      </w:r>
      <w:r w:rsidR="0AA362C6" w:rsidRPr="005C46FB">
        <w:t>maintain a</w:t>
      </w:r>
      <w:r w:rsidR="0F901606" w:rsidRPr="005C46FB">
        <w:t xml:space="preserve">n exceeding </w:t>
      </w:r>
      <w:r w:rsidR="0AA362C6" w:rsidRPr="005C46FB">
        <w:t>grade</w:t>
      </w:r>
      <w:r w:rsidRPr="005C46FB">
        <w:t xml:space="preserve"> if they have received a regulatory notice. </w:t>
      </w:r>
      <w:r w:rsidR="001C446A" w:rsidRPr="005C46FB">
        <w:t>Additional commentary provided throughout consultation activities revealed that some stakeholders believed the type of regulatory notice should determine whether it should be displayed or not.</w:t>
      </w:r>
    </w:p>
    <w:p w14:paraId="54298ADF" w14:textId="77777777" w:rsidR="00AB4201" w:rsidRDefault="00692BBB" w:rsidP="00AB4201">
      <w:pPr>
        <w:rPr>
          <w:rStyle w:val="Hyperlink"/>
          <w:u w:val="none"/>
        </w:rPr>
      </w:pPr>
      <w:r w:rsidRPr="00D46B86">
        <w:rPr>
          <w:color w:val="auto"/>
        </w:rPr>
        <w:t>Following the earlier suggestion</w:t>
      </w:r>
      <w:r w:rsidR="00C11AF3" w:rsidRPr="00D46B86">
        <w:rPr>
          <w:color w:val="auto"/>
        </w:rPr>
        <w:t xml:space="preserve">, some providers </w:t>
      </w:r>
      <w:r w:rsidR="00423B7A" w:rsidRPr="00D46B86">
        <w:rPr>
          <w:color w:val="auto"/>
        </w:rPr>
        <w:t>indicated</w:t>
      </w:r>
      <w:r w:rsidR="00C11AF3" w:rsidRPr="00D46B86">
        <w:rPr>
          <w:color w:val="auto"/>
        </w:rPr>
        <w:t xml:space="preserve"> that presenting the information clearly and simply would offer opportunities for older </w:t>
      </w:r>
      <w:r w:rsidR="002F063B" w:rsidRPr="00D46B86">
        <w:rPr>
          <w:color w:val="auto"/>
        </w:rPr>
        <w:t>people</w:t>
      </w:r>
      <w:r w:rsidR="00C11AF3" w:rsidRPr="00D46B86">
        <w:rPr>
          <w:color w:val="auto"/>
        </w:rPr>
        <w:t xml:space="preserve"> and their representatives to ask questions and make informed decisions. They also recommended that this be done in the form of a timeline</w:t>
      </w:r>
      <w:r w:rsidR="00300D5E" w:rsidRPr="00D46B86">
        <w:rPr>
          <w:rStyle w:val="Hyperlink"/>
          <w:u w:val="none"/>
        </w:rPr>
        <w:t>.</w:t>
      </w:r>
    </w:p>
    <w:p w14:paraId="2BAD58B0" w14:textId="77777777" w:rsidR="00562BE4" w:rsidRDefault="00562BE4" w:rsidP="00562BE4">
      <w:pPr>
        <w:rPr>
          <w:rStyle w:val="Hyperlink"/>
          <w:u w:val="none"/>
        </w:rPr>
      </w:pPr>
      <w:r w:rsidRPr="00B8540A">
        <w:rPr>
          <w:color w:val="auto"/>
        </w:rPr>
        <w:t xml:space="preserve">Overall, stakeholders </w:t>
      </w:r>
      <w:r>
        <w:rPr>
          <w:color w:val="auto"/>
        </w:rPr>
        <w:t>agreed that display of a</w:t>
      </w:r>
      <w:r w:rsidRPr="002F033D">
        <w:rPr>
          <w:color w:val="auto"/>
        </w:rPr>
        <w:t>n exceeding grade while a formal regulatory notice</w:t>
      </w:r>
      <w:r>
        <w:rPr>
          <w:color w:val="auto"/>
        </w:rPr>
        <w:t xml:space="preserve"> applies to an aged care home would </w:t>
      </w:r>
      <w:r w:rsidRPr="00D91913">
        <w:rPr>
          <w:color w:val="auto"/>
        </w:rPr>
        <w:t>be confusing</w:t>
      </w:r>
      <w:r>
        <w:rPr>
          <w:color w:val="auto"/>
        </w:rPr>
        <w:t xml:space="preserve"> and contradictory. Stakeholders indicated that transparent information about previous assessment findings and ratings should be available.</w:t>
      </w:r>
    </w:p>
    <w:p w14:paraId="6E061B87" w14:textId="109235E0" w:rsidR="00300D5E" w:rsidRPr="00AB4201" w:rsidRDefault="00300D5E" w:rsidP="00AB4201">
      <w:pPr>
        <w:pStyle w:val="Heading3"/>
        <w:pBdr>
          <w:left w:val="single" w:sz="12" w:space="4" w:color="7213EA" w:themeColor="accent5"/>
        </w:pBdr>
      </w:pPr>
      <w:r w:rsidRPr="00F501C5">
        <w:t xml:space="preserve">Timeframe for returning to previous Compliance rating following </w:t>
      </w:r>
      <w:r w:rsidR="00A55B86">
        <w:t xml:space="preserve">a </w:t>
      </w:r>
      <w:r w:rsidRPr="00F501C5">
        <w:t>regulatory</w:t>
      </w:r>
      <w:r w:rsidR="00325E31">
        <w:t> </w:t>
      </w:r>
      <w:r w:rsidRPr="00F501C5">
        <w:t>notice</w:t>
      </w:r>
    </w:p>
    <w:p w14:paraId="46814B85" w14:textId="77777777" w:rsidR="00A0194C" w:rsidRPr="005C46FB" w:rsidRDefault="00A0194C" w:rsidP="005C46FB">
      <w:r w:rsidRPr="005C46FB">
        <w:t>In relation to the timeframe for returning to a previous Compliance rating after the resolution of non</w:t>
      </w:r>
      <w:r w:rsidRPr="005C46FB">
        <w:noBreakHyphen/>
        <w:t>compliance, stakeholders were asked to consider the following:</w:t>
      </w:r>
    </w:p>
    <w:p w14:paraId="2E97A73F" w14:textId="77777777" w:rsidR="00677DF4" w:rsidRPr="00F501C5" w:rsidRDefault="00677DF4" w:rsidP="005C46FB">
      <w:pPr>
        <w:pStyle w:val="ListBullet"/>
        <w:rPr>
          <w:rStyle w:val="Hyperlink"/>
          <w:u w:val="none"/>
        </w:rPr>
      </w:pPr>
      <w:r>
        <w:rPr>
          <w:rStyle w:val="Hyperlink"/>
          <w:u w:val="none"/>
        </w:rPr>
        <w:t>S</w:t>
      </w:r>
      <w:r w:rsidRPr="00F501C5">
        <w:rPr>
          <w:rStyle w:val="Hyperlink"/>
          <w:u w:val="none"/>
        </w:rPr>
        <w:t xml:space="preserve">hould </w:t>
      </w:r>
      <w:r>
        <w:rPr>
          <w:rStyle w:val="Hyperlink"/>
          <w:u w:val="none"/>
        </w:rPr>
        <w:t xml:space="preserve">there </w:t>
      </w:r>
      <w:r w:rsidRPr="00F501C5">
        <w:rPr>
          <w:rStyle w:val="Hyperlink"/>
          <w:u w:val="none"/>
        </w:rPr>
        <w:t xml:space="preserve">continue to be a delay of </w:t>
      </w:r>
      <w:r>
        <w:rPr>
          <w:rStyle w:val="Hyperlink"/>
          <w:u w:val="none"/>
        </w:rPr>
        <w:t>1–</w:t>
      </w:r>
      <w:r w:rsidRPr="00F501C5">
        <w:rPr>
          <w:rStyle w:val="Hyperlink"/>
          <w:u w:val="none"/>
        </w:rPr>
        <w:t>3 years to return to a previous Compliance rating</w:t>
      </w:r>
      <w:r>
        <w:rPr>
          <w:rStyle w:val="Hyperlink"/>
          <w:u w:val="none"/>
        </w:rPr>
        <w:t>,</w:t>
      </w:r>
      <w:r w:rsidRPr="00F501C5">
        <w:rPr>
          <w:rStyle w:val="Hyperlink"/>
          <w:u w:val="none"/>
        </w:rPr>
        <w:t xml:space="preserve"> when an aged care home has resolved non</w:t>
      </w:r>
      <w:r>
        <w:rPr>
          <w:rStyle w:val="Hyperlink"/>
          <w:u w:val="none"/>
        </w:rPr>
        <w:noBreakHyphen/>
      </w:r>
      <w:r w:rsidRPr="00F501C5">
        <w:rPr>
          <w:rStyle w:val="Hyperlink"/>
          <w:u w:val="none"/>
        </w:rPr>
        <w:t>compliance</w:t>
      </w:r>
      <w:r>
        <w:rPr>
          <w:rStyle w:val="Hyperlink"/>
          <w:u w:val="none"/>
        </w:rPr>
        <w:t xml:space="preserve">? </w:t>
      </w:r>
      <w:proofErr w:type="gramStart"/>
      <w:r w:rsidRPr="007A79CE">
        <w:t>Or,</w:t>
      </w:r>
      <w:proofErr w:type="gramEnd"/>
      <w:r w:rsidRPr="007A79CE">
        <w:t xml:space="preserve"> should the aged care home return immediately to their previous rating once non-compliance is resolved?</w:t>
      </w:r>
    </w:p>
    <w:p w14:paraId="0E27D544" w14:textId="77777777" w:rsidR="00090F0D" w:rsidRPr="005C46FB" w:rsidRDefault="00090F0D" w:rsidP="005C46FB">
      <w:pPr>
        <w:pStyle w:val="ListBullet"/>
      </w:pPr>
      <w:r w:rsidRPr="005C46FB">
        <w:t>Should delays to increases in the Compliance rating after non</w:t>
      </w:r>
      <w:r w:rsidRPr="005C46FB">
        <w:noBreakHyphen/>
        <w:t>compliance continue to be:</w:t>
      </w:r>
    </w:p>
    <w:p w14:paraId="292D47BA" w14:textId="77777777" w:rsidR="00090F0D" w:rsidRPr="00881B36" w:rsidRDefault="00090F0D" w:rsidP="00881B36">
      <w:pPr>
        <w:pStyle w:val="ListBullet2"/>
      </w:pPr>
      <w:r w:rsidRPr="00881B36">
        <w:t>3 stars for any regulatory notice becoming non</w:t>
      </w:r>
      <w:r w:rsidRPr="00881B36">
        <w:noBreakHyphen/>
        <w:t>current in the last 1 year</w:t>
      </w:r>
    </w:p>
    <w:p w14:paraId="08060B20" w14:textId="3CA4528E" w:rsidR="00562BE4" w:rsidRPr="00881B36" w:rsidRDefault="00090F0D" w:rsidP="00881B36">
      <w:pPr>
        <w:pStyle w:val="ListBullet2"/>
      </w:pPr>
      <w:r w:rsidRPr="00881B36">
        <w:t>4 stars for any regulatory notice becoming non</w:t>
      </w:r>
      <w:r w:rsidRPr="00881B36">
        <w:noBreakHyphen/>
        <w:t>current in the last 1–3 years</w:t>
      </w:r>
    </w:p>
    <w:p w14:paraId="3F1EE446" w14:textId="57197E10" w:rsidR="00090F0D" w:rsidRPr="00881B36" w:rsidRDefault="00090F0D" w:rsidP="00881B36">
      <w:pPr>
        <w:pStyle w:val="ListBullet2"/>
        <w:rPr>
          <w:rStyle w:val="Hyperlink"/>
          <w:color w:val="000000" w:themeColor="text1"/>
          <w:u w:val="none"/>
        </w:rPr>
      </w:pPr>
      <w:proofErr w:type="gramStart"/>
      <w:r w:rsidRPr="00881B36">
        <w:rPr>
          <w:rStyle w:val="Hyperlink"/>
          <w:color w:val="000000" w:themeColor="text1"/>
          <w:u w:val="none"/>
        </w:rPr>
        <w:t>Or,</w:t>
      </w:r>
      <w:proofErr w:type="gramEnd"/>
      <w:r w:rsidRPr="00881B36">
        <w:rPr>
          <w:rStyle w:val="Hyperlink"/>
          <w:color w:val="000000" w:themeColor="text1"/>
          <w:u w:val="none"/>
        </w:rPr>
        <w:t xml:space="preserve"> should these timeframes be reduced, reflecting resolution of non-</w:t>
      </w:r>
      <w:r w:rsidRPr="00881B36">
        <w:t>compliance</w:t>
      </w:r>
      <w:r w:rsidRPr="00881B36">
        <w:rPr>
          <w:rStyle w:val="Hyperlink"/>
          <w:color w:val="000000" w:themeColor="text1"/>
          <w:u w:val="none"/>
        </w:rPr>
        <w:t>?</w:t>
      </w:r>
    </w:p>
    <w:p w14:paraId="0B092DEC" w14:textId="77777777" w:rsidR="00B7397F" w:rsidRPr="00881B36" w:rsidRDefault="00300D5E" w:rsidP="00881B36">
      <w:r w:rsidRPr="00881B36">
        <w:t xml:space="preserve">The key findings in response to each of these topics are outlined </w:t>
      </w:r>
      <w:r w:rsidR="00F13992" w:rsidRPr="00881B36">
        <w:t>below:</w:t>
      </w:r>
      <w:r w:rsidRPr="00881B36">
        <w:t xml:space="preserve"> </w:t>
      </w:r>
    </w:p>
    <w:p w14:paraId="005211EB" w14:textId="235EE879" w:rsidR="00300D5E" w:rsidRPr="00325E31" w:rsidRDefault="00300D5E" w:rsidP="00B7397F">
      <w:pPr>
        <w:pStyle w:val="Heading4"/>
      </w:pPr>
      <w:r w:rsidRPr="00325E31">
        <w:t xml:space="preserve">Delay in returning to a </w:t>
      </w:r>
      <w:r w:rsidRPr="00B7397F">
        <w:rPr>
          <w:rStyle w:val="Hyperlink"/>
          <w:color w:val="0C233C" w:themeColor="accent3"/>
          <w:u w:val="none"/>
        </w:rPr>
        <w:t>previous</w:t>
      </w:r>
      <w:r w:rsidRPr="00325E31">
        <w:t xml:space="preserve"> Compliance rating following the resolution of non</w:t>
      </w:r>
      <w:r w:rsidR="00C814C0" w:rsidRPr="00325E31">
        <w:noBreakHyphen/>
      </w:r>
      <w:r w:rsidRPr="00325E31">
        <w:t>compliance</w:t>
      </w:r>
    </w:p>
    <w:p w14:paraId="0FF30370" w14:textId="77777777" w:rsidR="00AD5A7C" w:rsidRPr="005C46FB" w:rsidRDefault="00AD5A7C" w:rsidP="005C46FB">
      <w:r w:rsidRPr="005C46FB">
        <w:t>Varying feedback was obtained from stakeholders about the time delay of returning to a previous Compliance rating when an aged care home has resolved non</w:t>
      </w:r>
      <w:r w:rsidRPr="005C46FB">
        <w:noBreakHyphen/>
        <w:t>compliance. Many stakeholders believed the 1–</w:t>
      </w:r>
      <w:proofErr w:type="gramStart"/>
      <w:r w:rsidRPr="005C46FB">
        <w:t>3 year</w:t>
      </w:r>
      <w:proofErr w:type="gramEnd"/>
      <w:r w:rsidRPr="005C46FB">
        <w:t xml:space="preserve"> time delay was too long and instead favoured an approach that is commensurate with the type and severity of the non</w:t>
      </w:r>
      <w:r w:rsidRPr="005C46FB">
        <w:noBreakHyphen/>
        <w:t>compliance issue. For example, some older people and their representatives and providers stated they believed timeframes should be flexible and applied on a case</w:t>
      </w:r>
      <w:r w:rsidRPr="005C46FB">
        <w:noBreakHyphen/>
        <w:t>by</w:t>
      </w:r>
      <w:r w:rsidRPr="005C46FB">
        <w:noBreakHyphen/>
        <w:t>case basis.</w:t>
      </w:r>
    </w:p>
    <w:p w14:paraId="78D79ACE" w14:textId="77777777" w:rsidR="00AD5A7C" w:rsidRDefault="00AD5A7C" w:rsidP="00AD5A7C">
      <w:pPr>
        <w:rPr>
          <w:color w:val="auto"/>
        </w:rPr>
      </w:pPr>
      <w:r w:rsidRPr="00F501C5">
        <w:rPr>
          <w:rStyle w:val="Hyperlink"/>
          <w:u w:val="none"/>
        </w:rPr>
        <w:t xml:space="preserve">Older people and their representatives </w:t>
      </w:r>
      <w:r>
        <w:rPr>
          <w:rStyle w:val="Hyperlink"/>
          <w:u w:val="none"/>
        </w:rPr>
        <w:t>highlighted the</w:t>
      </w:r>
      <w:r w:rsidRPr="00F501C5">
        <w:rPr>
          <w:rStyle w:val="Hyperlink"/>
          <w:u w:val="none"/>
        </w:rPr>
        <w:t xml:space="preserve"> importance of </w:t>
      </w:r>
      <w:r w:rsidRPr="00F501C5">
        <w:rPr>
          <w:color w:val="auto"/>
        </w:rPr>
        <w:t>providers demonstrating the resolution of regulatory issues in a sustainable way. They indicated that governance mechanisms should be in place to monitor this over time, and that relying on an audit</w:t>
      </w:r>
      <w:r w:rsidRPr="004D4031">
        <w:rPr>
          <w:color w:val="auto"/>
        </w:rPr>
        <w:t xml:space="preserve"> at one point in time is not sufficie</w:t>
      </w:r>
      <w:r>
        <w:rPr>
          <w:color w:val="auto"/>
        </w:rPr>
        <w:t>nt to determine if changes are embedded and sustained.</w:t>
      </w:r>
    </w:p>
    <w:p w14:paraId="3390EA8B" w14:textId="421A5D75" w:rsidR="00CE0104" w:rsidRDefault="00CE0104" w:rsidP="00CE0104">
      <w:pPr>
        <w:rPr>
          <w:color w:val="auto"/>
        </w:rPr>
      </w:pPr>
      <w:r w:rsidRPr="004D4031">
        <w:rPr>
          <w:color w:val="auto"/>
        </w:rPr>
        <w:t xml:space="preserve">Survey responses were </w:t>
      </w:r>
      <w:r w:rsidRPr="00372147">
        <w:rPr>
          <w:color w:val="auto"/>
        </w:rPr>
        <w:t xml:space="preserve">mostly consistent, with 66% of </w:t>
      </w:r>
      <w:r>
        <w:rPr>
          <w:color w:val="auto"/>
        </w:rPr>
        <w:t>all survey respondents</w:t>
      </w:r>
      <w:r w:rsidRPr="00372147">
        <w:rPr>
          <w:color w:val="auto"/>
        </w:rPr>
        <w:t xml:space="preserve"> </w:t>
      </w:r>
      <w:r>
        <w:rPr>
          <w:color w:val="auto"/>
        </w:rPr>
        <w:t>agreeing</w:t>
      </w:r>
      <w:r w:rsidRPr="00372147">
        <w:rPr>
          <w:color w:val="auto"/>
        </w:rPr>
        <w:t xml:space="preserve"> or strongly </w:t>
      </w:r>
      <w:r>
        <w:rPr>
          <w:color w:val="auto"/>
        </w:rPr>
        <w:t xml:space="preserve">agreeing </w:t>
      </w:r>
      <w:r w:rsidRPr="00372147">
        <w:rPr>
          <w:color w:val="auto"/>
        </w:rPr>
        <w:t>that an aged care home should be</w:t>
      </w:r>
      <w:r w:rsidRPr="004D4031">
        <w:rPr>
          <w:color w:val="auto"/>
        </w:rPr>
        <w:t xml:space="preserve"> able to restore its former Compliance rating immediately after resolving non</w:t>
      </w:r>
      <w:r>
        <w:rPr>
          <w:color w:val="auto"/>
        </w:rPr>
        <w:noBreakHyphen/>
      </w:r>
      <w:r w:rsidRPr="004D4031">
        <w:rPr>
          <w:color w:val="auto"/>
        </w:rPr>
        <w:t>compliance issues</w:t>
      </w:r>
      <w:r w:rsidR="004A00A6">
        <w:rPr>
          <w:color w:val="auto"/>
        </w:rPr>
        <w:t>.</w:t>
      </w:r>
      <w:r w:rsidRPr="004D4031">
        <w:rPr>
          <w:color w:val="auto"/>
        </w:rPr>
        <w:t xml:space="preserve"> </w:t>
      </w:r>
      <w:r>
        <w:rPr>
          <w:color w:val="auto"/>
        </w:rPr>
        <w:t>A</w:t>
      </w:r>
      <w:r w:rsidRPr="009C1D93">
        <w:rPr>
          <w:color w:val="auto"/>
        </w:rPr>
        <w:t xml:space="preserve">mongst older people and their representatives, </w:t>
      </w:r>
      <w:r>
        <w:rPr>
          <w:color w:val="auto"/>
        </w:rPr>
        <w:t>62</w:t>
      </w:r>
      <w:r w:rsidRPr="009C1D93">
        <w:rPr>
          <w:color w:val="auto"/>
        </w:rPr>
        <w:t>% agreed or strongly agreed</w:t>
      </w:r>
      <w:r w:rsidR="004A00A6">
        <w:rPr>
          <w:color w:val="auto"/>
        </w:rPr>
        <w:t>,</w:t>
      </w:r>
      <w:r>
        <w:rPr>
          <w:color w:val="auto"/>
        </w:rPr>
        <w:t xml:space="preserve"> and 82% of all providers</w:t>
      </w:r>
      <w:r w:rsidR="002C48AD">
        <w:rPr>
          <w:color w:val="auto"/>
        </w:rPr>
        <w:t xml:space="preserve"> </w:t>
      </w:r>
      <w:r>
        <w:rPr>
          <w:color w:val="auto"/>
        </w:rPr>
        <w:t>agreed or strongly agreed.</w:t>
      </w:r>
    </w:p>
    <w:p w14:paraId="36A56197" w14:textId="77777777" w:rsidR="00325E31" w:rsidRPr="00325E31" w:rsidRDefault="00325E31" w:rsidP="00325E31">
      <w:pPr>
        <w:pStyle w:val="Heading4"/>
      </w:pPr>
      <w:r w:rsidRPr="00325E31">
        <w:t>Timeframe before a rating can increase following a regulatory notice</w:t>
      </w:r>
    </w:p>
    <w:p w14:paraId="6C4DAFB5" w14:textId="7796EA1A" w:rsidR="0084060B" w:rsidRDefault="00F14D01" w:rsidP="00F14D01">
      <w:pPr>
        <w:rPr>
          <w:color w:val="auto"/>
        </w:rPr>
      </w:pPr>
      <w:r w:rsidRPr="007D5587">
        <w:rPr>
          <w:color w:val="auto"/>
        </w:rPr>
        <w:t xml:space="preserve">Of </w:t>
      </w:r>
      <w:r>
        <w:rPr>
          <w:color w:val="auto"/>
        </w:rPr>
        <w:t>all survey respondents</w:t>
      </w:r>
      <w:r w:rsidRPr="005005AF">
        <w:rPr>
          <w:color w:val="auto"/>
        </w:rPr>
        <w:t xml:space="preserve">, </w:t>
      </w:r>
      <w:r>
        <w:rPr>
          <w:color w:val="auto"/>
        </w:rPr>
        <w:t>54</w:t>
      </w:r>
      <w:r w:rsidRPr="005005AF">
        <w:rPr>
          <w:color w:val="auto"/>
        </w:rPr>
        <w:t>%</w:t>
      </w:r>
      <w:r w:rsidR="002C48AD">
        <w:rPr>
          <w:color w:val="auto"/>
        </w:rPr>
        <w:t xml:space="preserve"> </w:t>
      </w:r>
      <w:r>
        <w:rPr>
          <w:color w:val="auto"/>
        </w:rPr>
        <w:t xml:space="preserve">indicated that they agreed or strongly </w:t>
      </w:r>
      <w:r w:rsidRPr="005005AF">
        <w:rPr>
          <w:color w:val="auto"/>
        </w:rPr>
        <w:t>agree</w:t>
      </w:r>
      <w:r>
        <w:rPr>
          <w:color w:val="auto"/>
        </w:rPr>
        <w:t>d</w:t>
      </w:r>
      <w:r w:rsidRPr="005005AF">
        <w:rPr>
          <w:color w:val="auto"/>
        </w:rPr>
        <w:t xml:space="preserve"> that a home should be limited to 3 stars for one year after </w:t>
      </w:r>
      <w:r>
        <w:rPr>
          <w:color w:val="auto"/>
        </w:rPr>
        <w:t>a formal regulatory notice has been resolved</w:t>
      </w:r>
      <w:r w:rsidR="00B071EF">
        <w:rPr>
          <w:color w:val="auto"/>
        </w:rPr>
        <w:t>.</w:t>
      </w:r>
      <w:r>
        <w:rPr>
          <w:color w:val="auto"/>
        </w:rPr>
        <w:t xml:space="preserve"> Among older people and their representatives, 60% agreed or str</w:t>
      </w:r>
      <w:r w:rsidRPr="00CE209C">
        <w:rPr>
          <w:color w:val="auto"/>
        </w:rPr>
        <w:t>ongly agreed</w:t>
      </w:r>
      <w:r w:rsidR="00B071EF">
        <w:rPr>
          <w:color w:val="auto"/>
        </w:rPr>
        <w:t>,</w:t>
      </w:r>
      <w:r w:rsidRPr="00B6319B">
        <w:rPr>
          <w:color w:val="auto"/>
        </w:rPr>
        <w:t xml:space="preserve"> compared to 64% of providers who disagreed or strongly disagreed</w:t>
      </w:r>
      <w:r w:rsidR="00744F0C">
        <w:rPr>
          <w:color w:val="auto"/>
        </w:rPr>
        <w:t>, highlighting a significant disparity in perspectives between the two groups</w:t>
      </w:r>
      <w:r w:rsidRPr="00B6319B">
        <w:rPr>
          <w:color w:val="auto"/>
        </w:rPr>
        <w:t>.</w:t>
      </w:r>
      <w:r w:rsidRPr="00CE209C">
        <w:rPr>
          <w:color w:val="auto"/>
        </w:rPr>
        <w:t xml:space="preserve"> </w:t>
      </w:r>
    </w:p>
    <w:p w14:paraId="6EB75929" w14:textId="5CC874F0" w:rsidR="00F14D01" w:rsidRPr="005C46FB" w:rsidRDefault="00F14D01" w:rsidP="005C46FB">
      <w:r w:rsidRPr="005C46FB">
        <w:lastRenderedPageBreak/>
        <w:t xml:space="preserve">This aligned with </w:t>
      </w:r>
      <w:r w:rsidR="00744F0C" w:rsidRPr="005C46FB">
        <w:t>most</w:t>
      </w:r>
      <w:r w:rsidRPr="005C46FB">
        <w:t xml:space="preserve"> provider’s views throughout consultation activities, with some saying any delay to a return to a previous rating is punitive. These responses contrast with the </w:t>
      </w:r>
      <w:r w:rsidR="003A257D" w:rsidRPr="005C46FB">
        <w:t xml:space="preserve">survey </w:t>
      </w:r>
      <w:r w:rsidRPr="005C46FB">
        <w:t>finding</w:t>
      </w:r>
      <w:r w:rsidR="003A257D" w:rsidRPr="005C46FB">
        <w:t>s</w:t>
      </w:r>
      <w:r w:rsidRPr="005C46FB">
        <w:t xml:space="preserve"> in which 66% of all survey respondents </w:t>
      </w:r>
      <w:r w:rsidR="003A257D" w:rsidRPr="005C46FB">
        <w:t>agree</w:t>
      </w:r>
      <w:r w:rsidR="005E7B56" w:rsidRPr="005C46FB">
        <w:t>d</w:t>
      </w:r>
      <w:r w:rsidRPr="005C46FB">
        <w:t xml:space="preserve"> or strongly </w:t>
      </w:r>
      <w:r w:rsidR="003A257D" w:rsidRPr="005C46FB">
        <w:t>agree</w:t>
      </w:r>
      <w:r w:rsidR="005E7B56" w:rsidRPr="005C46FB">
        <w:t>d</w:t>
      </w:r>
      <w:r w:rsidRPr="005C46FB">
        <w:t xml:space="preserve"> that an aged care home should be able to restore its former Compliance rating immediately after resolving non</w:t>
      </w:r>
      <w:r w:rsidR="003A257D" w:rsidRPr="005C46FB">
        <w:noBreakHyphen/>
      </w:r>
      <w:r w:rsidRPr="005C46FB">
        <w:t xml:space="preserve">compliance issues. </w:t>
      </w:r>
    </w:p>
    <w:p w14:paraId="7E7DAD77" w14:textId="08E887FB" w:rsidR="00B606DA" w:rsidRPr="005C46FB" w:rsidRDefault="00300D5E" w:rsidP="005C46FB">
      <w:r w:rsidRPr="005C46FB">
        <w:t xml:space="preserve">When asked if the timeframe between resolving </w:t>
      </w:r>
      <w:r w:rsidR="00F27E5C" w:rsidRPr="005C46FB">
        <w:t>a regulatory notice</w:t>
      </w:r>
      <w:r w:rsidRPr="005C46FB">
        <w:t xml:space="preserve"> and </w:t>
      </w:r>
      <w:r w:rsidR="00793BB3" w:rsidRPr="005C46FB">
        <w:t xml:space="preserve">the ability for an aged care home </w:t>
      </w:r>
      <w:r w:rsidR="00875EC5" w:rsidRPr="005C46FB">
        <w:t>to receive</w:t>
      </w:r>
      <w:r w:rsidRPr="005C46FB">
        <w:t xml:space="preserve"> a rating of 3 or 4 stars </w:t>
      </w:r>
      <w:r w:rsidR="005E7B56" w:rsidRPr="005C46FB">
        <w:t xml:space="preserve">should </w:t>
      </w:r>
      <w:r w:rsidR="00CE209C" w:rsidRPr="005C46FB">
        <w:t>continue</w:t>
      </w:r>
      <w:r w:rsidRPr="005C46FB">
        <w:t xml:space="preserve">, older people and their representatives said that </w:t>
      </w:r>
      <w:r w:rsidR="00CE209C" w:rsidRPr="005C46FB">
        <w:t>the timeframe could be</w:t>
      </w:r>
      <w:r w:rsidRPr="005C46FB">
        <w:t xml:space="preserve"> reduced, </w:t>
      </w:r>
      <w:r w:rsidR="00CE209C" w:rsidRPr="005C46FB">
        <w:t>however</w:t>
      </w:r>
      <w:r w:rsidRPr="005C46FB">
        <w:t xml:space="preserve"> only if the </w:t>
      </w:r>
      <w:r w:rsidR="00F95B50" w:rsidRPr="005C46FB">
        <w:t xml:space="preserve">aged care </w:t>
      </w:r>
      <w:r w:rsidRPr="005C46FB">
        <w:t xml:space="preserve">home is subject to more frequent reassessment </w:t>
      </w:r>
      <w:r w:rsidR="00CE209C" w:rsidRPr="005C46FB">
        <w:t>in addition to the regular audit cycle.</w:t>
      </w:r>
      <w:r w:rsidRPr="005C46FB">
        <w:t xml:space="preserve"> </w:t>
      </w:r>
    </w:p>
    <w:p w14:paraId="066AB059" w14:textId="77777777" w:rsidR="00AB4201" w:rsidRPr="005C46FB" w:rsidRDefault="000922E4" w:rsidP="005C46FB">
      <w:r w:rsidRPr="005C46FB">
        <w:t xml:space="preserve">Older </w:t>
      </w:r>
      <w:r w:rsidR="00300D5E" w:rsidRPr="005C46FB">
        <w:t xml:space="preserve">people and their representatives also expressed </w:t>
      </w:r>
      <w:r w:rsidR="00D22BFE" w:rsidRPr="005C46FB">
        <w:t xml:space="preserve">that </w:t>
      </w:r>
      <w:r w:rsidR="00300D5E" w:rsidRPr="005C46FB">
        <w:t>the differentiation between major and minor non</w:t>
      </w:r>
      <w:r w:rsidR="00300D5E" w:rsidRPr="005C46FB">
        <w:noBreakHyphen/>
        <w:t>conformance is important, suggesting minor non</w:t>
      </w:r>
      <w:r w:rsidR="00300D5E" w:rsidRPr="005C46FB">
        <w:noBreakHyphen/>
        <w:t>conformance due to compliance activities such as administrative responsibilities are of less concern than major non</w:t>
      </w:r>
      <w:r w:rsidR="00300D5E" w:rsidRPr="005C46FB">
        <w:noBreakHyphen/>
        <w:t>compliance that directly relat</w:t>
      </w:r>
      <w:r w:rsidR="00433A58" w:rsidRPr="005C46FB">
        <w:t>e</w:t>
      </w:r>
      <w:r w:rsidR="00300D5E" w:rsidRPr="005C46FB">
        <w:t xml:space="preserve"> to the quality of care being delivered.</w:t>
      </w:r>
    </w:p>
    <w:p w14:paraId="41E0B981" w14:textId="77777777" w:rsidR="00CD21A4" w:rsidRPr="005C46FB" w:rsidRDefault="00CD21A4" w:rsidP="005C46FB">
      <w:r w:rsidRPr="005C46FB">
        <w:t>Overall, stakeholders agreed that the timeframe before a Compliance rating can increase should be removed or reduced following non</w:t>
      </w:r>
      <w:r w:rsidRPr="005C46FB">
        <w:noBreakHyphen/>
        <w:t>compliance if there is:</w:t>
      </w:r>
    </w:p>
    <w:p w14:paraId="653951A5" w14:textId="77777777" w:rsidR="00CD21A4" w:rsidRPr="002E7012" w:rsidRDefault="00CD21A4" w:rsidP="0020271D">
      <w:pPr>
        <w:pStyle w:val="ListBullet"/>
        <w:rPr>
          <w:rStyle w:val="Hyperlink"/>
          <w:u w:val="none"/>
        </w:rPr>
      </w:pPr>
      <w:r w:rsidRPr="002E7012">
        <w:rPr>
          <w:rStyle w:val="Hyperlink"/>
          <w:u w:val="none"/>
        </w:rPr>
        <w:t xml:space="preserve">transparent </w:t>
      </w:r>
      <w:r w:rsidRPr="0020271D">
        <w:t>information</w:t>
      </w:r>
      <w:r w:rsidRPr="002E7012">
        <w:rPr>
          <w:rStyle w:val="Hyperlink"/>
          <w:u w:val="none"/>
        </w:rPr>
        <w:t xml:space="preserve"> about previous ratings and regulatory notices</w:t>
      </w:r>
      <w:r>
        <w:rPr>
          <w:rStyle w:val="Hyperlink"/>
          <w:u w:val="none"/>
        </w:rPr>
        <w:t xml:space="preserve"> available</w:t>
      </w:r>
    </w:p>
    <w:p w14:paraId="1F2A7E0A" w14:textId="53235DDE" w:rsidR="00CB7660" w:rsidRPr="0020271D" w:rsidRDefault="00CD21A4" w:rsidP="0020271D">
      <w:pPr>
        <w:pStyle w:val="ListBullet"/>
      </w:pPr>
      <w:r w:rsidRPr="0020271D">
        <w:t>regulatory mechanisms in place to ensure that there are sustainable resolutions to the non</w:t>
      </w:r>
      <w:r w:rsidRPr="0020271D">
        <w:noBreakHyphen/>
        <w:t>compliance.</w:t>
      </w:r>
    </w:p>
    <w:p w14:paraId="03AD1329" w14:textId="636A772C" w:rsidR="00300D5E" w:rsidRPr="00325E31" w:rsidRDefault="00300D5E" w:rsidP="00AB4201">
      <w:pPr>
        <w:pStyle w:val="Heading3"/>
        <w:pBdr>
          <w:left w:val="single" w:sz="12" w:space="4" w:color="7213EA" w:themeColor="accent5"/>
        </w:pBdr>
      </w:pPr>
      <w:r w:rsidRPr="00325E31">
        <w:t>The impact of regulatory notices issued by the System Governor on Compliance ratings</w:t>
      </w:r>
    </w:p>
    <w:p w14:paraId="426F458A" w14:textId="77777777" w:rsidR="00D8184A" w:rsidRPr="00D8184A" w:rsidRDefault="00D8184A" w:rsidP="00D8184A">
      <w:pPr>
        <w:rPr>
          <w:rStyle w:val="Hyperlink"/>
          <w:u w:val="none"/>
        </w:rPr>
      </w:pPr>
      <w:r w:rsidRPr="00D8184A">
        <w:rPr>
          <w:rStyle w:val="Hyperlink"/>
          <w:u w:val="none"/>
        </w:rPr>
        <w:t>In relation to the impact of regulatory notices issued by the System Governor on Compliance ratings, stakeholders were asked to consider the following:</w:t>
      </w:r>
    </w:p>
    <w:p w14:paraId="5378D604" w14:textId="77777777" w:rsidR="001E45D0" w:rsidRPr="00CB2F03" w:rsidRDefault="001E45D0" w:rsidP="00CB2F03">
      <w:pPr>
        <w:pStyle w:val="ListBullet"/>
      </w:pPr>
      <w:r w:rsidRPr="00CB2F03">
        <w:t>If a regulatory notice is issued by the System Governor, should it be published alongside the Compliance rating?</w:t>
      </w:r>
    </w:p>
    <w:p w14:paraId="5DB73290" w14:textId="27EF3B15" w:rsidR="001E45D0" w:rsidRPr="00740111" w:rsidRDefault="001E45D0" w:rsidP="001E45D0">
      <w:pPr>
        <w:pStyle w:val="ListBullet"/>
        <w:rPr>
          <w:rStyle w:val="Hyperlink"/>
          <w:u w:val="none"/>
        </w:rPr>
      </w:pPr>
      <w:r w:rsidRPr="00740111">
        <w:t>If a regulatory notice is issued by the System Governor, should it impact the Compliance rating the same way regulatory notices issued by the</w:t>
      </w:r>
      <w:r w:rsidR="00A63C82">
        <w:t xml:space="preserve"> Aged Care Quality and Safety</w:t>
      </w:r>
      <w:r w:rsidRPr="00740111">
        <w:t xml:space="preserve"> Commission </w:t>
      </w:r>
      <w:r w:rsidR="00A63C82">
        <w:t xml:space="preserve">(Commission) </w:t>
      </w:r>
      <w:r w:rsidRPr="00740111">
        <w:t>do?</w:t>
      </w:r>
    </w:p>
    <w:p w14:paraId="581BB9B8" w14:textId="77777777" w:rsidR="001E45D0" w:rsidRPr="00740111" w:rsidRDefault="001E45D0" w:rsidP="001E45D0">
      <w:pPr>
        <w:pStyle w:val="ListBullet"/>
        <w:rPr>
          <w:rStyle w:val="Hyperlink"/>
          <w:u w:val="none"/>
        </w:rPr>
      </w:pPr>
      <w:r w:rsidRPr="00740111">
        <w:t>If a regulatory notice is issued to a provider by either the Commission or the System Governor, due to non-compliance with financial and prudential requirements, should it impact the Compliance rating?</w:t>
      </w:r>
    </w:p>
    <w:p w14:paraId="00359AE4" w14:textId="5A2B7BDE" w:rsidR="00300D5E" w:rsidRPr="0020271D" w:rsidRDefault="00300D5E" w:rsidP="0020271D">
      <w:r w:rsidRPr="0020271D">
        <w:t xml:space="preserve">The key findings in response to each of these topics are outlined below. </w:t>
      </w:r>
    </w:p>
    <w:p w14:paraId="2383C19F" w14:textId="77777777" w:rsidR="00300D5E" w:rsidRPr="00174B26" w:rsidRDefault="00300D5E" w:rsidP="0085188E">
      <w:pPr>
        <w:pStyle w:val="Heading4"/>
      </w:pPr>
      <w:r w:rsidRPr="00174B26">
        <w:t>Publication of regulatory notices issued by the System Governor alongside the Compliance rating</w:t>
      </w:r>
    </w:p>
    <w:p w14:paraId="1972EE42" w14:textId="10EF25E9" w:rsidR="00FA5A15" w:rsidRPr="001B34EC" w:rsidRDefault="00FA5A15" w:rsidP="00A76AB8">
      <w:r w:rsidRPr="001B34EC">
        <w:t xml:space="preserve">Stakeholders strongly agreed that any regulatory notices issued by the System Governor should be published alongside the Compliance rating. Providers believe this will enhance transparency </w:t>
      </w:r>
      <w:r w:rsidR="001C120C" w:rsidRPr="001B34EC">
        <w:t xml:space="preserve">and </w:t>
      </w:r>
      <w:r w:rsidR="001B34EC" w:rsidRPr="001B34EC">
        <w:t>inform</w:t>
      </w:r>
      <w:r w:rsidR="00A76AB8" w:rsidRPr="001B34EC">
        <w:t xml:space="preserve"> </w:t>
      </w:r>
      <w:r w:rsidR="001B34EC" w:rsidRPr="001B34EC">
        <w:t>decision</w:t>
      </w:r>
      <w:r w:rsidR="00A76AB8" w:rsidRPr="001B34EC">
        <w:t xml:space="preserve"> making.</w:t>
      </w:r>
      <w:r w:rsidRPr="001B34EC">
        <w:t xml:space="preserve"> They also emphasised that the publication of these notices should include additional information to help older </w:t>
      </w:r>
      <w:proofErr w:type="gramStart"/>
      <w:r w:rsidRPr="001B34EC">
        <w:t>people</w:t>
      </w:r>
      <w:proofErr w:type="gramEnd"/>
      <w:r w:rsidRPr="001B34EC">
        <w:t xml:space="preserve"> and their representatives understand the implications of the regulatory notice. Older people and their representatives concurred, advocating for the inclusion of contextual information to ensure clarity and comprehension.</w:t>
      </w:r>
    </w:p>
    <w:p w14:paraId="0B65ABF0" w14:textId="174E48D3" w:rsidR="00300D5E" w:rsidRPr="00174B26" w:rsidRDefault="00300D5E" w:rsidP="0085188E">
      <w:pPr>
        <w:pStyle w:val="Heading4"/>
      </w:pPr>
      <w:r w:rsidRPr="00174B26">
        <w:t>Impact of regulatory notices issued by the System Governor on the Compliance rating</w:t>
      </w:r>
    </w:p>
    <w:p w14:paraId="28566BCD" w14:textId="185E7066" w:rsidR="00D0163B" w:rsidRDefault="006A7A05" w:rsidP="00D0163B">
      <w:pPr>
        <w:rPr>
          <w:color w:val="auto"/>
        </w:rPr>
      </w:pPr>
      <w:r w:rsidRPr="00C34750">
        <w:rPr>
          <w:rStyle w:val="Hyperlink"/>
          <w:u w:val="none"/>
        </w:rPr>
        <w:t>Most stakeholders agreed that regulatory notices issued by the System Governor should impact the Compliance rating in the same way regulatory notices issued by the Commission do.</w:t>
      </w:r>
      <w:r w:rsidRPr="00396840">
        <w:rPr>
          <w:rStyle w:val="Hyperlink"/>
          <w:bCs/>
          <w:noProof/>
          <w:u w:val="none"/>
        </w:rPr>
        <w:t xml:space="preserve"> </w:t>
      </w:r>
      <w:r w:rsidRPr="00396840">
        <w:rPr>
          <w:color w:val="auto"/>
        </w:rPr>
        <w:t xml:space="preserve">Of all survey respondents, 75% indicated that they agreed or strongly agreed that regulatory notices issued by the System Governor </w:t>
      </w:r>
      <w:r>
        <w:rPr>
          <w:color w:val="auto"/>
        </w:rPr>
        <w:t xml:space="preserve">should </w:t>
      </w:r>
      <w:r w:rsidRPr="00396840">
        <w:rPr>
          <w:color w:val="auto"/>
        </w:rPr>
        <w:t xml:space="preserve">impact the Compliance rating </w:t>
      </w:r>
      <w:r>
        <w:rPr>
          <w:color w:val="auto"/>
        </w:rPr>
        <w:t xml:space="preserve">in </w:t>
      </w:r>
      <w:r w:rsidRPr="00396840">
        <w:rPr>
          <w:color w:val="auto"/>
        </w:rPr>
        <w:t>the same way regulatory notices issued by the Commission do</w:t>
      </w:r>
      <w:r w:rsidR="00477671">
        <w:rPr>
          <w:color w:val="auto"/>
        </w:rPr>
        <w:t>.</w:t>
      </w:r>
      <w:r w:rsidRPr="00396840">
        <w:rPr>
          <w:color w:val="auto"/>
        </w:rPr>
        <w:t xml:space="preserve"> Of all older people and their representatives, 75% agreed or strongly agreed, and 57% of all providers agreed or strongly agreed</w:t>
      </w:r>
      <w:r w:rsidR="00D232FD">
        <w:rPr>
          <w:color w:val="auto"/>
        </w:rPr>
        <w:t>.</w:t>
      </w:r>
    </w:p>
    <w:p w14:paraId="4A2B4710" w14:textId="48CAD4E7" w:rsidR="00300D5E" w:rsidRPr="00806F04" w:rsidRDefault="00300D5E" w:rsidP="00D0163B">
      <w:pPr>
        <w:rPr>
          <w:rFonts w:eastAsiaTheme="majorEastAsia" w:cstheme="majorBidi"/>
          <w:b/>
          <w:color w:val="0C233C" w:themeColor="accent3"/>
          <w:sz w:val="22"/>
          <w:szCs w:val="24"/>
        </w:rPr>
      </w:pPr>
      <w:r w:rsidRPr="00806F04">
        <w:rPr>
          <w:rFonts w:eastAsiaTheme="majorEastAsia" w:cstheme="majorBidi"/>
          <w:b/>
          <w:color w:val="0C233C" w:themeColor="accent3"/>
          <w:sz w:val="22"/>
          <w:szCs w:val="24"/>
        </w:rPr>
        <w:lastRenderedPageBreak/>
        <w:t>Impact of regulatory notices issued due to financial and prudential non</w:t>
      </w:r>
      <w:r w:rsidR="00C814C0" w:rsidRPr="00806F04">
        <w:rPr>
          <w:rFonts w:eastAsiaTheme="majorEastAsia" w:cstheme="majorBidi"/>
          <w:b/>
          <w:color w:val="0C233C" w:themeColor="accent3"/>
          <w:sz w:val="22"/>
          <w:szCs w:val="24"/>
        </w:rPr>
        <w:noBreakHyphen/>
      </w:r>
      <w:r w:rsidRPr="00806F04">
        <w:rPr>
          <w:rFonts w:eastAsiaTheme="majorEastAsia" w:cstheme="majorBidi"/>
          <w:b/>
          <w:color w:val="0C233C" w:themeColor="accent3"/>
          <w:sz w:val="22"/>
          <w:szCs w:val="24"/>
        </w:rPr>
        <w:t>compliance on the Compliance rating</w:t>
      </w:r>
    </w:p>
    <w:p w14:paraId="1F43CF14" w14:textId="77777777" w:rsidR="00BB19D8" w:rsidRDefault="00BB19D8" w:rsidP="003A472E">
      <w:pPr>
        <w:spacing w:before="0" w:line="259" w:lineRule="auto"/>
        <w:rPr>
          <w:color w:val="auto"/>
        </w:rPr>
      </w:pPr>
      <w:r w:rsidRPr="00BB19D8">
        <w:rPr>
          <w:color w:val="auto"/>
        </w:rPr>
        <w:t xml:space="preserve">Most stakeholders </w:t>
      </w:r>
      <w:r>
        <w:rPr>
          <w:color w:val="auto"/>
        </w:rPr>
        <w:t>agreed</w:t>
      </w:r>
      <w:r w:rsidRPr="00BB19D8">
        <w:rPr>
          <w:color w:val="auto"/>
        </w:rPr>
        <w:t xml:space="preserve"> that a regulatory notice issued due to financial and prudential non</w:t>
      </w:r>
      <w:r w:rsidR="00C814C0">
        <w:rPr>
          <w:color w:val="auto"/>
        </w:rPr>
        <w:noBreakHyphen/>
      </w:r>
      <w:r w:rsidRPr="00BB19D8">
        <w:rPr>
          <w:color w:val="auto"/>
        </w:rPr>
        <w:t xml:space="preserve">compliance should influence an aged care home's </w:t>
      </w:r>
      <w:r>
        <w:rPr>
          <w:color w:val="auto"/>
        </w:rPr>
        <w:t>C</w:t>
      </w:r>
      <w:r w:rsidRPr="00BB19D8">
        <w:rPr>
          <w:color w:val="auto"/>
        </w:rPr>
        <w:t xml:space="preserve">ompliance rating. Older </w:t>
      </w:r>
      <w:r>
        <w:rPr>
          <w:color w:val="auto"/>
        </w:rPr>
        <w:t xml:space="preserve">people </w:t>
      </w:r>
      <w:r w:rsidRPr="00BB19D8">
        <w:rPr>
          <w:color w:val="auto"/>
        </w:rPr>
        <w:t xml:space="preserve">and their representatives expressed a desire for detailed context alongside the regulatory notice to better understand its impact on the </w:t>
      </w:r>
      <w:r w:rsidR="00633353">
        <w:rPr>
          <w:color w:val="auto"/>
        </w:rPr>
        <w:t>C</w:t>
      </w:r>
      <w:r w:rsidRPr="00BB19D8">
        <w:rPr>
          <w:color w:val="auto"/>
        </w:rPr>
        <w:t xml:space="preserve">ompliance rating. </w:t>
      </w:r>
      <w:r w:rsidRPr="009210F0">
        <w:rPr>
          <w:color w:val="auto"/>
        </w:rPr>
        <w:t xml:space="preserve">Providers agreed, </w:t>
      </w:r>
      <w:r w:rsidR="003F3DA3" w:rsidRPr="009210F0">
        <w:rPr>
          <w:color w:val="auto"/>
        </w:rPr>
        <w:t>acknowledging</w:t>
      </w:r>
      <w:r w:rsidRPr="009210F0">
        <w:rPr>
          <w:color w:val="auto"/>
        </w:rPr>
        <w:t xml:space="preserve"> that older </w:t>
      </w:r>
      <w:r w:rsidR="00F459F1" w:rsidRPr="009210F0">
        <w:rPr>
          <w:color w:val="auto"/>
        </w:rPr>
        <w:t>people</w:t>
      </w:r>
      <w:r w:rsidRPr="009210F0">
        <w:rPr>
          <w:color w:val="auto"/>
        </w:rPr>
        <w:t xml:space="preserve"> and their representatives are concerned </w:t>
      </w:r>
      <w:r w:rsidR="00600C67" w:rsidRPr="009210F0">
        <w:rPr>
          <w:color w:val="auto"/>
        </w:rPr>
        <w:t xml:space="preserve">with the financial implications and </w:t>
      </w:r>
      <w:r w:rsidR="004739AE">
        <w:rPr>
          <w:color w:val="auto"/>
        </w:rPr>
        <w:t xml:space="preserve">potential </w:t>
      </w:r>
      <w:r w:rsidR="00600C67" w:rsidRPr="009210F0">
        <w:rPr>
          <w:color w:val="auto"/>
        </w:rPr>
        <w:t xml:space="preserve">risks </w:t>
      </w:r>
      <w:r w:rsidR="009A57BE">
        <w:rPr>
          <w:color w:val="auto"/>
        </w:rPr>
        <w:t xml:space="preserve">when </w:t>
      </w:r>
      <w:r w:rsidR="003F3DA3">
        <w:rPr>
          <w:color w:val="auto"/>
        </w:rPr>
        <w:t>making decisions about</w:t>
      </w:r>
      <w:r w:rsidR="009A57BE">
        <w:rPr>
          <w:color w:val="auto"/>
        </w:rPr>
        <w:t xml:space="preserve"> aged</w:t>
      </w:r>
      <w:r w:rsidR="003F3DA3">
        <w:rPr>
          <w:color w:val="auto"/>
        </w:rPr>
        <w:t xml:space="preserve"> care. </w:t>
      </w:r>
    </w:p>
    <w:p w14:paraId="2C7E540D" w14:textId="44B9B55A" w:rsidR="0039534D" w:rsidRDefault="003A472E" w:rsidP="003A472E">
      <w:pPr>
        <w:spacing w:before="0" w:line="259" w:lineRule="auto"/>
        <w:rPr>
          <w:color w:val="auto"/>
        </w:rPr>
      </w:pPr>
      <w:r w:rsidRPr="003A472E">
        <w:rPr>
          <w:color w:val="auto"/>
        </w:rPr>
        <w:t xml:space="preserve">Survey results were consistent with these findings. </w:t>
      </w:r>
      <w:r w:rsidR="00F17097" w:rsidRPr="003A472E">
        <w:rPr>
          <w:color w:val="auto"/>
        </w:rPr>
        <w:t>Of all survey respondents, 85%</w:t>
      </w:r>
      <w:r w:rsidR="00F17097">
        <w:rPr>
          <w:color w:val="auto"/>
        </w:rPr>
        <w:t> </w:t>
      </w:r>
      <w:r w:rsidRPr="003A472E">
        <w:rPr>
          <w:color w:val="auto"/>
        </w:rPr>
        <w:t xml:space="preserve">indicated that they agreed or strongly agreed that if a provider receives a regulatory notice for </w:t>
      </w:r>
      <w:r w:rsidR="00541ED8" w:rsidRPr="003A472E">
        <w:rPr>
          <w:color w:val="auto"/>
        </w:rPr>
        <w:t>non</w:t>
      </w:r>
      <w:r w:rsidR="00C814C0">
        <w:rPr>
          <w:color w:val="auto"/>
        </w:rPr>
        <w:noBreakHyphen/>
      </w:r>
      <w:r w:rsidR="00541ED8" w:rsidRPr="003A472E">
        <w:rPr>
          <w:color w:val="auto"/>
        </w:rPr>
        <w:t>compliance</w:t>
      </w:r>
      <w:r w:rsidRPr="003A472E">
        <w:rPr>
          <w:color w:val="auto"/>
        </w:rPr>
        <w:t xml:space="preserve"> with financial prudential requirements, it should impact the Compliance rating</w:t>
      </w:r>
      <w:r w:rsidR="00D232FD">
        <w:rPr>
          <w:color w:val="auto"/>
        </w:rPr>
        <w:t>.</w:t>
      </w:r>
      <w:r w:rsidRPr="003A472E">
        <w:rPr>
          <w:color w:val="auto"/>
        </w:rPr>
        <w:t xml:space="preserve"> Of all older people and their representatives, 91% agreed or strongly agreed</w:t>
      </w:r>
      <w:r w:rsidR="00D232FD">
        <w:rPr>
          <w:color w:val="auto"/>
        </w:rPr>
        <w:t>,</w:t>
      </w:r>
      <w:r w:rsidRPr="003A472E">
        <w:rPr>
          <w:color w:val="auto"/>
        </w:rPr>
        <w:t xml:space="preserve"> and 61% of all providers agreed or strongly agreed</w:t>
      </w:r>
      <w:r w:rsidR="00D232FD">
        <w:rPr>
          <w:color w:val="auto"/>
        </w:rPr>
        <w:t>.</w:t>
      </w:r>
    </w:p>
    <w:p w14:paraId="056B33CB" w14:textId="68E366A7" w:rsidR="00895E60" w:rsidRDefault="00895E60" w:rsidP="00895E60">
      <w:pPr>
        <w:spacing w:before="0" w:line="259" w:lineRule="auto"/>
        <w:rPr>
          <w:color w:val="auto"/>
        </w:rPr>
        <w:sectPr w:rsidR="00895E60" w:rsidSect="00895E60">
          <w:pgSz w:w="11906" w:h="16838"/>
          <w:pgMar w:top="1134" w:right="1418" w:bottom="1418" w:left="1418" w:header="567" w:footer="284" w:gutter="0"/>
          <w:cols w:space="708"/>
          <w:docGrid w:linePitch="360"/>
        </w:sectPr>
      </w:pPr>
      <w:r>
        <w:rPr>
          <w:color w:val="auto"/>
        </w:rPr>
        <w:t xml:space="preserve">Overall, stakeholders agreed that regulatory notices issued by the System Governor, and notices in relation to financial and prudential non-compliance should impact the Compliance rating. </w:t>
      </w:r>
    </w:p>
    <w:p w14:paraId="5A36286F" w14:textId="77777777" w:rsidR="00300D5E" w:rsidRPr="007D5587" w:rsidRDefault="00300D5E" w:rsidP="0085188E">
      <w:pPr>
        <w:pStyle w:val="Heading2"/>
      </w:pPr>
      <w:r w:rsidRPr="007D5587">
        <w:lastRenderedPageBreak/>
        <w:t>Staffing rating</w:t>
      </w:r>
    </w:p>
    <w:p w14:paraId="596A5F10" w14:textId="7A85AD96" w:rsidR="00A612DA" w:rsidRPr="0020271D" w:rsidRDefault="00CE06C1" w:rsidP="0020271D">
      <w:r w:rsidRPr="0020271D">
        <w:t>There</w:t>
      </w:r>
      <w:r w:rsidR="00A612DA" w:rsidRPr="0020271D">
        <w:t xml:space="preserve"> were 3 consultation </w:t>
      </w:r>
      <w:proofErr w:type="gramStart"/>
      <w:r w:rsidR="00A612DA" w:rsidRPr="0020271D">
        <w:t>questions</w:t>
      </w:r>
      <w:proofErr w:type="gramEnd"/>
      <w:r w:rsidR="00A612DA" w:rsidRPr="0020271D">
        <w:t xml:space="preserve"> and 3 survey questions related to proposed changes to the Staffing rating. These questions covered 2 key topics, as outlined below:</w:t>
      </w:r>
    </w:p>
    <w:p w14:paraId="09462B4D" w14:textId="77777777" w:rsidR="006302D6" w:rsidRPr="006302D6" w:rsidRDefault="006302D6" w:rsidP="0020271D">
      <w:pPr>
        <w:pStyle w:val="Listbullethighlighted"/>
      </w:pPr>
      <w:r w:rsidRPr="006302D6">
        <w:t>capping the Staffing rating where an aged care home does not meet its care minute targets</w:t>
      </w:r>
    </w:p>
    <w:p w14:paraId="63F7ED28" w14:textId="77777777" w:rsidR="006302D6" w:rsidRPr="006302D6" w:rsidRDefault="006302D6" w:rsidP="0020271D">
      <w:pPr>
        <w:pStyle w:val="Listbullethighlighted"/>
      </w:pPr>
      <w:r w:rsidRPr="006302D6">
        <w:t>inclusion of the 24/7 registered nurse requirement in the Staffing rating.</w:t>
      </w:r>
    </w:p>
    <w:p w14:paraId="0143A2A3" w14:textId="72E1F7D8" w:rsidR="00300D5E" w:rsidRPr="00CB2F03" w:rsidRDefault="00300D5E" w:rsidP="00CB2F03">
      <w:r w:rsidRPr="00CB2F03">
        <w:t>Stakeholder sentiment regarding each of these topics is further explored within this section.</w:t>
      </w:r>
    </w:p>
    <w:p w14:paraId="1AC2E8B6" w14:textId="77777777" w:rsidR="00300D5E" w:rsidRPr="00721751" w:rsidRDefault="00300D5E" w:rsidP="005E6E67">
      <w:pPr>
        <w:pStyle w:val="Heading3"/>
        <w:pBdr>
          <w:left w:val="single" w:sz="12" w:space="4" w:color="7213EA" w:themeColor="accent5"/>
        </w:pBdr>
      </w:pPr>
      <w:r w:rsidRPr="00721751">
        <w:t>Capping the Staffing rating where an aged care home does not meet its care minute targets</w:t>
      </w:r>
    </w:p>
    <w:p w14:paraId="157F8F5C" w14:textId="7BA3AF17" w:rsidR="00FC4D33" w:rsidRDefault="00FC4D33" w:rsidP="0020271D">
      <w:pPr>
        <w:rPr>
          <w:rStyle w:val="Hyperlink"/>
          <w:b/>
          <w:iCs/>
          <w:u w:val="none"/>
        </w:rPr>
      </w:pPr>
      <w:r w:rsidRPr="00FC4D33">
        <w:rPr>
          <w:rStyle w:val="Hyperlink"/>
          <w:u w:val="none"/>
        </w:rPr>
        <w:t xml:space="preserve">In </w:t>
      </w:r>
      <w:r w:rsidRPr="006926E0">
        <w:t>relation</w:t>
      </w:r>
      <w:r w:rsidRPr="00FC4D33">
        <w:rPr>
          <w:rStyle w:val="Hyperlink"/>
          <w:u w:val="none"/>
        </w:rPr>
        <w:t xml:space="preserve"> to the capping of the Staffing rating where both care minute targets </w:t>
      </w:r>
      <w:r w:rsidR="00E4599F">
        <w:rPr>
          <w:rStyle w:val="Hyperlink"/>
          <w:u w:val="none"/>
        </w:rPr>
        <w:t>have</w:t>
      </w:r>
      <w:r w:rsidRPr="00FC4D33">
        <w:rPr>
          <w:rStyle w:val="Hyperlink"/>
          <w:u w:val="none"/>
        </w:rPr>
        <w:t xml:space="preserve"> not been met, stakeholders were asked to consider the following:</w:t>
      </w:r>
    </w:p>
    <w:p w14:paraId="56BECBB8" w14:textId="1B834CAB" w:rsidR="006926E0" w:rsidRPr="00045DEA" w:rsidRDefault="006926E0" w:rsidP="006926E0">
      <w:pPr>
        <w:pStyle w:val="ListBullet"/>
        <w:rPr>
          <w:rStyle w:val="Hyperlink"/>
          <w:u w:val="none"/>
        </w:rPr>
      </w:pPr>
      <w:r w:rsidRPr="00045DEA">
        <w:t>Where an aged care home does not meet both of its care minute targets, would capping their Staffing rating to 2 stars appropriately signal the level of care being delivered at the aged</w:t>
      </w:r>
      <w:r w:rsidR="00B054CC">
        <w:t> </w:t>
      </w:r>
      <w:r w:rsidRPr="00045DEA">
        <w:t>care</w:t>
      </w:r>
      <w:r w:rsidR="00B054CC">
        <w:t> </w:t>
      </w:r>
      <w:r w:rsidRPr="00045DEA">
        <w:t>home?</w:t>
      </w:r>
    </w:p>
    <w:p w14:paraId="0DE8B1CA" w14:textId="77777777" w:rsidR="00D4131D" w:rsidRPr="00CB2F03" w:rsidRDefault="00D4131D" w:rsidP="00CB2F03">
      <w:r w:rsidRPr="00CB2F03">
        <w:t>The key findings in response to this topic are outlined below.</w:t>
      </w:r>
    </w:p>
    <w:p w14:paraId="690BD496" w14:textId="7BAC211F" w:rsidR="00300D5E" w:rsidRPr="00BF18CE" w:rsidRDefault="00300D5E" w:rsidP="00313142">
      <w:pPr>
        <w:pStyle w:val="Heading4"/>
        <w:rPr>
          <w:rStyle w:val="Hyperlink"/>
          <w:color w:val="0C233C" w:themeColor="accent3"/>
          <w:u w:val="none"/>
        </w:rPr>
      </w:pPr>
      <w:r w:rsidRPr="00BF18CE">
        <w:rPr>
          <w:rStyle w:val="Hyperlink"/>
          <w:color w:val="0C233C" w:themeColor="accent3"/>
          <w:u w:val="none"/>
        </w:rPr>
        <w:t>Capping the Staffing Rating to 2 stars where an aged care home does not meet both care minute targets</w:t>
      </w:r>
    </w:p>
    <w:p w14:paraId="3AB11F85" w14:textId="77777777" w:rsidR="00F4581C" w:rsidRPr="00CB2F03" w:rsidRDefault="00F4581C" w:rsidP="00CB2F03">
      <w:r w:rsidRPr="00CB2F03">
        <w:t>Older people and their representatives, as well as providers generally supported the idea of capping the Staffing rating at a maximum of 2 stars for aged care homes who do not meet both their care minute targets, indicating this would appropriately signal the level of care being provided.</w:t>
      </w:r>
    </w:p>
    <w:p w14:paraId="381305FC" w14:textId="1FFAB636" w:rsidR="00F4581C" w:rsidRPr="00CB2F03" w:rsidRDefault="00F4581C" w:rsidP="00CB2F03">
      <w:r w:rsidRPr="00CB2F03">
        <w:t>Survey results supported this, with 75% of all respondents indicating that they agreed or strongly agreed with the capping of the Staffing Rating to 2 stars where an aged care home does not meet both care minute targets</w:t>
      </w:r>
      <w:r w:rsidR="008709D3" w:rsidRPr="00CB2F03">
        <w:t>.</w:t>
      </w:r>
    </w:p>
    <w:p w14:paraId="4CD97820" w14:textId="32ED669C" w:rsidR="00F4581C" w:rsidRDefault="00F4581C" w:rsidP="0020271D">
      <w:pPr>
        <w:rPr>
          <w:rStyle w:val="Hyperlink"/>
          <w:bCs/>
          <w:noProof/>
          <w:u w:val="none"/>
        </w:rPr>
      </w:pPr>
      <w:r w:rsidRPr="00BF18CE">
        <w:rPr>
          <w:rStyle w:val="Hyperlink"/>
          <w:bCs/>
          <w:noProof/>
          <w:u w:val="none"/>
        </w:rPr>
        <w:t>Older people and their representatives stated that failing to meet care minute targets should be reflected in the Staffing rating to ensure transparency and support decision making. Survey results sup</w:t>
      </w:r>
      <w:r>
        <w:rPr>
          <w:rStyle w:val="Hyperlink"/>
          <w:bCs/>
          <w:noProof/>
          <w:u w:val="none"/>
        </w:rPr>
        <w:t>p</w:t>
      </w:r>
      <w:r w:rsidRPr="00BF18CE">
        <w:rPr>
          <w:rStyle w:val="Hyperlink"/>
          <w:bCs/>
          <w:noProof/>
          <w:u w:val="none"/>
        </w:rPr>
        <w:t>orted this, with 8</w:t>
      </w:r>
      <w:r>
        <w:rPr>
          <w:rStyle w:val="Hyperlink"/>
          <w:bCs/>
          <w:noProof/>
          <w:u w:val="none"/>
        </w:rPr>
        <w:t>0</w:t>
      </w:r>
      <w:r w:rsidRPr="00BF18CE">
        <w:rPr>
          <w:rStyle w:val="Hyperlink"/>
          <w:bCs/>
          <w:noProof/>
          <w:u w:val="none"/>
        </w:rPr>
        <w:t xml:space="preserve">% of all older people and their representatives </w:t>
      </w:r>
      <w:r>
        <w:rPr>
          <w:rStyle w:val="Hyperlink"/>
          <w:bCs/>
          <w:noProof/>
          <w:u w:val="none"/>
        </w:rPr>
        <w:t>indicating they</w:t>
      </w:r>
      <w:r w:rsidRPr="00BF18CE">
        <w:rPr>
          <w:rStyle w:val="Hyperlink"/>
          <w:bCs/>
          <w:noProof/>
          <w:u w:val="none"/>
        </w:rPr>
        <w:t xml:space="preserve"> agreed or strongly </w:t>
      </w:r>
      <w:r w:rsidRPr="0020271D">
        <w:t>agreed</w:t>
      </w:r>
      <w:r w:rsidR="008709D3">
        <w:rPr>
          <w:rStyle w:val="Hyperlink"/>
          <w:bCs/>
          <w:noProof/>
          <w:u w:val="none"/>
        </w:rPr>
        <w:t>.</w:t>
      </w:r>
    </w:p>
    <w:p w14:paraId="4DE24CD3" w14:textId="29C0FD13" w:rsidR="00F4581C" w:rsidRPr="0020271D" w:rsidRDefault="00F4581C" w:rsidP="0020271D">
      <w:r w:rsidRPr="0020271D">
        <w:t xml:space="preserve">Providers believed the capping would emphasise the importance of meeting care minute targets and would act as a compelling incentive to maintain adequate staffing levels. However, provider survey results </w:t>
      </w:r>
      <w:r w:rsidR="003F2F65" w:rsidRPr="0020271D">
        <w:t>differed</w:t>
      </w:r>
      <w:r w:rsidRPr="0020271D">
        <w:t xml:space="preserve"> with </w:t>
      </w:r>
      <w:r w:rsidR="003F2F65" w:rsidRPr="0020271D">
        <w:t xml:space="preserve">only </w:t>
      </w:r>
      <w:r w:rsidRPr="0020271D">
        <w:t>35% of all providers indicating they agreed or strongly agreed with capping the Staffing rating where both care minute targets have not been met.</w:t>
      </w:r>
    </w:p>
    <w:p w14:paraId="7DAA1563" w14:textId="3129A4E2" w:rsidR="005B41EB" w:rsidRPr="0020271D" w:rsidRDefault="005B41EB" w:rsidP="0020271D">
      <w:r w:rsidRPr="0020271D">
        <w:t>Some older people and their representatives and providers emphasised that</w:t>
      </w:r>
      <w:r w:rsidR="005A4AD7" w:rsidRPr="0020271D">
        <w:t xml:space="preserve"> higher</w:t>
      </w:r>
      <w:r w:rsidRPr="0020271D">
        <w:t xml:space="preserve"> care minutes do</w:t>
      </w:r>
      <w:r w:rsidR="00045386" w:rsidRPr="0020271D">
        <w:t xml:space="preserve"> not</w:t>
      </w:r>
      <w:r w:rsidRPr="0020271D">
        <w:t xml:space="preserve"> always correlate with higher quality care</w:t>
      </w:r>
      <w:r w:rsidR="00695428" w:rsidRPr="0020271D">
        <w:t xml:space="preserve">. They </w:t>
      </w:r>
      <w:r w:rsidR="002B6AF4" w:rsidRPr="0020271D">
        <w:t>emphasised</w:t>
      </w:r>
      <w:r w:rsidR="00695428" w:rsidRPr="0020271D">
        <w:t xml:space="preserve"> that factors </w:t>
      </w:r>
      <w:r w:rsidRPr="0020271D">
        <w:t xml:space="preserve">such as staff qualifications and </w:t>
      </w:r>
      <w:r w:rsidR="00174886" w:rsidRPr="0020271D">
        <w:t>e</w:t>
      </w:r>
      <w:r w:rsidRPr="0020271D">
        <w:t xml:space="preserve">xperience </w:t>
      </w:r>
      <w:r w:rsidR="002B6AF4" w:rsidRPr="0020271D">
        <w:t>are crucial</w:t>
      </w:r>
      <w:r w:rsidRPr="0020271D">
        <w:t xml:space="preserve">. </w:t>
      </w:r>
      <w:r w:rsidR="005216BA" w:rsidRPr="0020271D">
        <w:t>They noted that</w:t>
      </w:r>
      <w:r w:rsidRPr="0020271D">
        <w:t xml:space="preserve"> incorporating these factors would provide a more comprehensive and valuable indicator to assist and inform decision making.</w:t>
      </w:r>
    </w:p>
    <w:p w14:paraId="010375E6" w14:textId="77777777" w:rsidR="00E66632" w:rsidRPr="0020271D" w:rsidRDefault="00E66632" w:rsidP="0020271D">
      <w:r w:rsidRPr="0020271D">
        <w:t>It was strongly emphasised by all stakeholders that the effectiveness of the Staffing rating depends on the accuracy and reliability of the underlying data reported by providers. There is a recognised need for safeguards to ensure that care minute data, particularly if self</w:t>
      </w:r>
      <w:r w:rsidR="00C814C0" w:rsidRPr="0020271D">
        <w:noBreakHyphen/>
      </w:r>
      <w:r w:rsidRPr="0020271D">
        <w:t>reported, is accurate and reliable.</w:t>
      </w:r>
    </w:p>
    <w:p w14:paraId="7CCEA0A3" w14:textId="77777777" w:rsidR="00ED65A8" w:rsidRPr="0020271D" w:rsidRDefault="00ED65A8" w:rsidP="0020271D">
      <w:r w:rsidRPr="0020271D">
        <w:t xml:space="preserve">Stakeholders demonstrated a strong awareness of the broader workforce challenges impacting the aged care sector, </w:t>
      </w:r>
      <w:r w:rsidR="00F4581C" w:rsidRPr="0020271D">
        <w:t>indicating they were often beyond the control of individual providers.</w:t>
      </w:r>
      <w:r w:rsidRPr="0020271D">
        <w:t xml:space="preserve"> They highlighted the necessity for a degree of tolerance towards certain providers who are unable to meet their care minute targets, particularly those in rural and remote areas where workforce shortages are more pronounced.</w:t>
      </w:r>
    </w:p>
    <w:p w14:paraId="1DF5943D" w14:textId="77777777" w:rsidR="00F4581C" w:rsidRPr="0020271D" w:rsidRDefault="00F4581C" w:rsidP="0020271D">
      <w:r w:rsidRPr="0020271D">
        <w:t>Older people and their representatives expressed that when such tolerance is applied, the exemption should be clearly communicated to support decision making.</w:t>
      </w:r>
    </w:p>
    <w:p w14:paraId="7144B350" w14:textId="77777777" w:rsidR="00F4581C" w:rsidRPr="00BF18CE" w:rsidRDefault="00F4581C" w:rsidP="0020271D">
      <w:pPr>
        <w:rPr>
          <w:rStyle w:val="Hyperlink"/>
          <w:bCs/>
          <w:noProof/>
          <w:u w:val="none"/>
        </w:rPr>
      </w:pPr>
      <w:r w:rsidRPr="0020271D">
        <w:lastRenderedPageBreak/>
        <w:t>Workforce organisations provided a different perspective, noting that Staffing ratings are not just an indicator of the quality of care but are also reflective of workforce conditions. They highlighted that the</w:t>
      </w:r>
      <w:r w:rsidRPr="00BF18CE">
        <w:rPr>
          <w:rStyle w:val="Hyperlink"/>
          <w:bCs/>
          <w:noProof/>
          <w:u w:val="none"/>
        </w:rPr>
        <w:t xml:space="preserve"> Staffing rating significantly impacts staff attraction and retention, as potential employees use the Staffing rating to gauge workplace conditions, such as workload, support and resources or professional development opportunities.</w:t>
      </w:r>
    </w:p>
    <w:p w14:paraId="739FE504" w14:textId="77777777" w:rsidR="00300D5E" w:rsidRPr="0020271D" w:rsidRDefault="00300D5E" w:rsidP="0020271D">
      <w:r w:rsidRPr="0020271D">
        <w:t>According to these stakeholders, lower Staffing ratings may deter prospective employees, exacerbating workforce shortages and making it harder for providers to improve conditions. They suggested that while capping the Staffing rating could drive improvement efforts, it should be accompanied by support measures to address underlying workforce issues.</w:t>
      </w:r>
    </w:p>
    <w:p w14:paraId="5EBB1881" w14:textId="4CFC6216" w:rsidR="00AD4E14" w:rsidRPr="0020271D" w:rsidRDefault="00AD4E14" w:rsidP="0020271D">
      <w:r w:rsidRPr="0020271D">
        <w:t xml:space="preserve">Overall, stakeholders generally agreed with capping of the Staffing rating where homes don’t meet both care minute targets. Stakeholders highlighted that the accuracy and reliability of the underlying data reported by providers is paramount to the Staffing rating. Stakeholders also agreed that any tolerance for providers not meeting the care minutes targets, need to be </w:t>
      </w:r>
      <w:r w:rsidR="004D2E07" w:rsidRPr="0020271D">
        <w:t>transparent</w:t>
      </w:r>
      <w:r w:rsidRPr="0020271D">
        <w:t>.</w:t>
      </w:r>
    </w:p>
    <w:p w14:paraId="26B5BD6D" w14:textId="77777777" w:rsidR="00300D5E" w:rsidRPr="00B843E4" w:rsidRDefault="00300D5E" w:rsidP="00582756">
      <w:pPr>
        <w:pStyle w:val="Heading3"/>
        <w:pBdr>
          <w:left w:val="single" w:sz="12" w:space="4" w:color="7213EA" w:themeColor="accent5"/>
        </w:pBdr>
        <w:rPr>
          <w:rStyle w:val="Hyperlink"/>
          <w:color w:val="7213EA" w:themeColor="accent5"/>
          <w:u w:val="none"/>
        </w:rPr>
      </w:pPr>
      <w:r w:rsidRPr="00B843E4">
        <w:rPr>
          <w:rStyle w:val="Hyperlink"/>
          <w:color w:val="7213EA" w:themeColor="accent5"/>
          <w:u w:val="none"/>
        </w:rPr>
        <w:t xml:space="preserve">The inclusion of the 24/7 registered nurse requirement in the Staffing rating </w:t>
      </w:r>
    </w:p>
    <w:p w14:paraId="01D4A7E8" w14:textId="77777777" w:rsidR="007F60F5" w:rsidRPr="0020271D" w:rsidRDefault="007F60F5" w:rsidP="0020271D">
      <w:r w:rsidRPr="0020271D">
        <w:t>In relation to the inclusion of the 24/7 registered nurse requirement in the Staffing rating, stakeholders were asked to consider the following:</w:t>
      </w:r>
    </w:p>
    <w:p w14:paraId="0FCA8BA1" w14:textId="77777777" w:rsidR="00700610" w:rsidRPr="00BF18CE" w:rsidRDefault="00700610" w:rsidP="00700610">
      <w:pPr>
        <w:pStyle w:val="ListBullet"/>
        <w:rPr>
          <w:rStyle w:val="Hyperlink"/>
          <w:u w:val="none"/>
        </w:rPr>
      </w:pPr>
      <w:r w:rsidRPr="008317A9">
        <w:t>Should the 24/7 registered nurse requirement be incorporated into the Staffing rating design?</w:t>
      </w:r>
    </w:p>
    <w:p w14:paraId="685B4609" w14:textId="3E8F1E40" w:rsidR="00700610" w:rsidRPr="00BF18CE" w:rsidRDefault="00700610" w:rsidP="00700610">
      <w:pPr>
        <w:pStyle w:val="ListBullet"/>
        <w:rPr>
          <w:rStyle w:val="Hyperlink"/>
          <w:u w:val="none"/>
        </w:rPr>
      </w:pPr>
      <w:r w:rsidRPr="008317A9">
        <w:t>Where an aged care home does not meet its 24/7 registered nurse requirement, would capping their Staffing rating to 2 stars appropriately signal the quality of care being delivered at the aged</w:t>
      </w:r>
      <w:r w:rsidR="0015316A">
        <w:t> </w:t>
      </w:r>
      <w:r w:rsidRPr="008317A9">
        <w:t>care</w:t>
      </w:r>
      <w:r w:rsidR="0015316A">
        <w:t> </w:t>
      </w:r>
      <w:r w:rsidRPr="008317A9">
        <w:t>home?</w:t>
      </w:r>
    </w:p>
    <w:p w14:paraId="742A27F6" w14:textId="77777777" w:rsidR="00300D5E" w:rsidRPr="0020271D" w:rsidRDefault="00300D5E" w:rsidP="0020271D">
      <w:r w:rsidRPr="0020271D">
        <w:t xml:space="preserve">The key findings in response to each of these topics are outlined below. </w:t>
      </w:r>
    </w:p>
    <w:p w14:paraId="104BF0BF" w14:textId="77777777" w:rsidR="00300D5E" w:rsidRPr="00276A38" w:rsidRDefault="00300D5E" w:rsidP="00582756">
      <w:pPr>
        <w:pStyle w:val="Heading4"/>
        <w:rPr>
          <w:rStyle w:val="Hyperlink"/>
          <w:color w:val="0C233C" w:themeColor="accent3"/>
          <w:u w:val="none"/>
        </w:rPr>
      </w:pPr>
      <w:r w:rsidRPr="00276A38">
        <w:rPr>
          <w:rStyle w:val="Hyperlink"/>
          <w:color w:val="0C233C" w:themeColor="accent3"/>
          <w:u w:val="none"/>
        </w:rPr>
        <w:t xml:space="preserve">Incorporating 24/7 </w:t>
      </w:r>
      <w:r w:rsidRPr="00276A38">
        <w:rPr>
          <w:rStyle w:val="Heading3Char"/>
          <w:rFonts w:ascii="Arial" w:hAnsi="Arial"/>
          <w:b/>
          <w:color w:val="0C233C" w:themeColor="accent3"/>
          <w:sz w:val="22"/>
        </w:rPr>
        <w:t>registered</w:t>
      </w:r>
      <w:r w:rsidRPr="00276A38">
        <w:rPr>
          <w:rStyle w:val="Hyperlink"/>
          <w:color w:val="0C233C" w:themeColor="accent3"/>
          <w:u w:val="none"/>
        </w:rPr>
        <w:t xml:space="preserve"> nurse requirement into the Staffing rating design</w:t>
      </w:r>
    </w:p>
    <w:p w14:paraId="3D892109" w14:textId="09EAE5C9" w:rsidR="005D38C7" w:rsidRPr="0020271D" w:rsidRDefault="005D38C7" w:rsidP="0020271D">
      <w:r w:rsidRPr="0020271D">
        <w:t>Strong and consistent views were observed across all consultation activities regarding the 24/7 registered nurse requirement. Discussions throughout virtual and face</w:t>
      </w:r>
      <w:r w:rsidRPr="0020271D">
        <w:noBreakHyphen/>
        <w:t>to</w:t>
      </w:r>
      <w:r w:rsidRPr="0020271D">
        <w:noBreakHyphen/>
        <w:t>face consultations highlighted the importance of this requirement, with stakeholders indicating it is a critical part of decision making. Survey results supported this view, with 87% of all respondents indicating that they agreed or strongly agreed that the requirement to have a registered nurse available 24/7 be included in the Staffing rating calculation</w:t>
      </w:r>
      <w:r w:rsidR="008709D3" w:rsidRPr="0020271D">
        <w:t>.</w:t>
      </w:r>
      <w:r w:rsidRPr="0020271D">
        <w:t xml:space="preserve"> Amongst older people and their representatives, 92% of respondents indicated that they agreed or strongly agreed</w:t>
      </w:r>
      <w:r w:rsidR="008709D3" w:rsidRPr="0020271D">
        <w:t>,</w:t>
      </w:r>
      <w:r w:rsidRPr="0020271D">
        <w:t xml:space="preserve"> and 68% of providers indicated that they agreed or strongly agreed</w:t>
      </w:r>
      <w:r w:rsidR="008709D3" w:rsidRPr="0020271D">
        <w:t>.</w:t>
      </w:r>
    </w:p>
    <w:p w14:paraId="4C2C3FDD" w14:textId="451DF487" w:rsidR="00300D5E" w:rsidRPr="00582756" w:rsidRDefault="00300D5E" w:rsidP="00582756">
      <w:pPr>
        <w:pStyle w:val="Heading4"/>
        <w:rPr>
          <w:rStyle w:val="Hyperlink"/>
          <w:color w:val="0C233C" w:themeColor="accent3"/>
          <w:u w:val="none"/>
        </w:rPr>
      </w:pPr>
      <w:r w:rsidRPr="00582756">
        <w:rPr>
          <w:rStyle w:val="Hyperlink"/>
          <w:color w:val="0C233C" w:themeColor="accent3"/>
          <w:u w:val="none"/>
        </w:rPr>
        <w:t xml:space="preserve">Capping the Staffing rating to 2 stars if 24/7 registered nurse requirement </w:t>
      </w:r>
      <w:r w:rsidR="00305CAE">
        <w:rPr>
          <w:rStyle w:val="Hyperlink"/>
          <w:color w:val="0C233C" w:themeColor="accent3"/>
          <w:u w:val="none"/>
        </w:rPr>
        <w:t xml:space="preserve">is </w:t>
      </w:r>
      <w:r w:rsidRPr="00582756">
        <w:rPr>
          <w:rStyle w:val="Hyperlink"/>
          <w:color w:val="0C233C" w:themeColor="accent3"/>
          <w:u w:val="none"/>
        </w:rPr>
        <w:t>not met</w:t>
      </w:r>
    </w:p>
    <w:p w14:paraId="0A9A2632" w14:textId="3BA5F7CC" w:rsidR="002B28B8" w:rsidRPr="0020271D" w:rsidRDefault="002B28B8" w:rsidP="0020271D">
      <w:r w:rsidRPr="0020271D">
        <w:t xml:space="preserve">Consultations revealed that stakeholders believe the 24/7 </w:t>
      </w:r>
      <w:r w:rsidR="008B0E00" w:rsidRPr="0020271D">
        <w:t xml:space="preserve">registered </w:t>
      </w:r>
      <w:r w:rsidRPr="0020271D">
        <w:t xml:space="preserve">nurse requirement signals the level of care being provided. Where this is not met, stakeholders agreed that aged care homes should be capped at 2 stars. This was seen as an appropriate way to signal that the requirement had not been </w:t>
      </w:r>
      <w:proofErr w:type="gramStart"/>
      <w:r w:rsidRPr="0020271D">
        <w:t>met</w:t>
      </w:r>
      <w:proofErr w:type="gramEnd"/>
      <w:r w:rsidRPr="0020271D">
        <w:t xml:space="preserve"> and that improvement is required. Some older people and their representatives suggested that failure to meet this requirement should result in a </w:t>
      </w:r>
      <w:proofErr w:type="gramStart"/>
      <w:r w:rsidRPr="0020271D">
        <w:t>0 star</w:t>
      </w:r>
      <w:proofErr w:type="gramEnd"/>
      <w:r w:rsidRPr="0020271D">
        <w:t xml:space="preserve"> rating, highlighting the critical importance of having a registered nurse on site and on duty at all times.</w:t>
      </w:r>
    </w:p>
    <w:p w14:paraId="56B80CC0" w14:textId="77777777" w:rsidR="002B28B8" w:rsidRPr="0020271D" w:rsidRDefault="002B28B8" w:rsidP="0020271D">
      <w:r w:rsidRPr="0020271D">
        <w:t>Stakeholders stressed the need for a nuanced approach that considers the varying capacities and circumstances of aged care homes, ensuring that staffing requirements are balanced against actual need and capabilities. Providers emphasised the unique challenges faced by rural and remote providers in meeting the 24/7 registered nurse requirement. They reinforced the need for a level of tolerance and the consideration of exemptions for these providers. Additionally, they suggested that any exemptions granted should be clearly displayed in the home’s Staffing rating, ensuring transparency about how these exemptions impact the Overall Star Rating.</w:t>
      </w:r>
    </w:p>
    <w:p w14:paraId="6DCE119E" w14:textId="41408297" w:rsidR="002B28B8" w:rsidRPr="0020271D" w:rsidRDefault="002B28B8" w:rsidP="0020271D">
      <w:r w:rsidRPr="0020271D">
        <w:t xml:space="preserve">Similarly, concerns were raised about the disproportionate challenges on smaller aged care homes, potentially straining their resources and staffing capabilities. Providers expressed concerns about being penalised for broader workforce issues outside of their control. </w:t>
      </w:r>
      <w:r w:rsidR="00A46F07" w:rsidRPr="0020271D">
        <w:t>Providers</w:t>
      </w:r>
      <w:r w:rsidRPr="0020271D">
        <w:t xml:space="preserve"> highlighted the </w:t>
      </w:r>
      <w:r w:rsidRPr="0020271D">
        <w:lastRenderedPageBreak/>
        <w:t>ongoing difficulties in recruitment and retention of registered nurses, which can affect their ability to meet the 24/7 registered nurse requirement.</w:t>
      </w:r>
    </w:p>
    <w:p w14:paraId="68441FD3" w14:textId="5B914492" w:rsidR="00F15160" w:rsidRPr="0020271D" w:rsidRDefault="00F15160" w:rsidP="0020271D">
      <w:r w:rsidRPr="0020271D">
        <w:t xml:space="preserve">Older people and their representatives emphasised that maintaining a high standard without allowances is essential to ensure the consistent delivery of safe and </w:t>
      </w:r>
      <w:proofErr w:type="gramStart"/>
      <w:r w:rsidRPr="0020271D">
        <w:t>high quality</w:t>
      </w:r>
      <w:proofErr w:type="gramEnd"/>
      <w:r w:rsidRPr="0020271D">
        <w:t xml:space="preserve"> care.</w:t>
      </w:r>
    </w:p>
    <w:p w14:paraId="1586BB82" w14:textId="0CF113C2" w:rsidR="002B28B8" w:rsidRPr="0020271D" w:rsidRDefault="002B28B8" w:rsidP="0020271D">
      <w:r w:rsidRPr="0020271D">
        <w:t xml:space="preserve">Despite the importance of the 24/7 </w:t>
      </w:r>
      <w:r w:rsidR="008B0E00" w:rsidRPr="0020271D">
        <w:t>registered</w:t>
      </w:r>
      <w:r w:rsidRPr="0020271D">
        <w:t xml:space="preserve"> nurse requirement to the Star Ratings design, it was suggested by some stakeholders that flexibility should be applied to this design element. For example, some stakeholders expressed that the current 24/7 registered nurse supplement, </w:t>
      </w:r>
      <w:r w:rsidR="003F347E" w:rsidRPr="0020271D">
        <w:t>which requires</w:t>
      </w:r>
      <w:r w:rsidRPr="0020271D">
        <w:t xml:space="preserve"> aged care homes to achieve at least 95% of the requirement, </w:t>
      </w:r>
      <w:r w:rsidR="00102E46" w:rsidRPr="0020271D">
        <w:t>provides</w:t>
      </w:r>
      <w:r w:rsidRPr="0020271D">
        <w:t xml:space="preserve"> minimal incentive for providers to </w:t>
      </w:r>
      <w:r w:rsidR="00E45A35" w:rsidRPr="0020271D">
        <w:t>achieve</w:t>
      </w:r>
      <w:r w:rsidRPr="0020271D">
        <w:t xml:space="preserve"> 100%.</w:t>
      </w:r>
    </w:p>
    <w:p w14:paraId="22DA392A" w14:textId="4A4D0E14" w:rsidR="002B28B8" w:rsidRPr="0020271D" w:rsidRDefault="002B28B8" w:rsidP="0020271D">
      <w:r w:rsidRPr="0020271D">
        <w:t xml:space="preserve">Conversely, some providers argued that the 95% target offers necessary tolerance by acknowledging that there are instances where 24/7 registered nurse minutes cannot be fully met due to emergencies and unforeseen circumstances. These providers believe that applying a strict threshold of meeting the 24/7 registered nurse requirement at 100% may not reflect the operational realities and challenges faced by aged care homes. These providers indicated a more flexible approach would be pragmatic, with some tolerance to account for occasional shortfalls in registered nurse availability, possibly consistent with the </w:t>
      </w:r>
      <w:r w:rsidR="00D47740" w:rsidRPr="0020271D">
        <w:t xml:space="preserve">current </w:t>
      </w:r>
      <w:r w:rsidRPr="0020271D">
        <w:t>supplement.</w:t>
      </w:r>
    </w:p>
    <w:p w14:paraId="15035D4D" w14:textId="77777777" w:rsidR="00276A38" w:rsidRDefault="00300D5E" w:rsidP="00300D5E">
      <w:pPr>
        <w:rPr>
          <w:noProof/>
          <w:color w:val="auto"/>
        </w:rPr>
      </w:pPr>
      <w:r w:rsidRPr="00BF18CE">
        <w:rPr>
          <w:noProof/>
          <w:color w:val="auto"/>
        </w:rPr>
        <w:t>One older person advocate</w:t>
      </w:r>
      <w:r w:rsidRPr="00BF18CE">
        <w:rPr>
          <w:color w:val="auto"/>
        </w:rPr>
        <w:t>,</w:t>
      </w:r>
      <w:r w:rsidRPr="00BF18CE">
        <w:rPr>
          <w:noProof/>
          <w:color w:val="auto"/>
        </w:rPr>
        <w:t xml:space="preserve"> and one provider advocate </w:t>
      </w:r>
      <w:r w:rsidRPr="00BF18CE">
        <w:rPr>
          <w:color w:val="auto"/>
        </w:rPr>
        <w:t>offered</w:t>
      </w:r>
      <w:r w:rsidRPr="00BF18CE">
        <w:rPr>
          <w:noProof/>
          <w:color w:val="auto"/>
        </w:rPr>
        <w:t xml:space="preserve"> a different perspective, noting that the system appears to prioritise registered nurse care minutes over total care minutes. For instance, aged care homes that meet the total care minute targets and are above the registered nurse care minute targets are awarded 4 stars; while aged care homes that meet registered nurse care minute targets but are above total care minute targets are only awarded 3 stars. Stakeholders suggested that this rating design may unfairly skew perceptions of care quality and called for a more balanced approach to ensure the ratings accurately reflect the contributions of both registered nurse care minutes and total care minutes.</w:t>
      </w:r>
    </w:p>
    <w:p w14:paraId="3D1F1536" w14:textId="77777777" w:rsidR="00962D1E" w:rsidRDefault="00962D1E" w:rsidP="0020271D">
      <w:pPr>
        <w:rPr>
          <w:noProof/>
          <w:color w:val="auto"/>
        </w:rPr>
      </w:pPr>
      <w:r>
        <w:rPr>
          <w:noProof/>
          <w:color w:val="auto"/>
        </w:rPr>
        <w:t>Overall, there was strong stakeholder support for incorporating the 24/7 register nurse requirement into the Staffing rating.</w:t>
      </w:r>
    </w:p>
    <w:p w14:paraId="45B52AD1" w14:textId="28CFCC9D" w:rsidR="00962D1E" w:rsidRDefault="00962D1E" w:rsidP="00300D5E">
      <w:pPr>
        <w:rPr>
          <w:rStyle w:val="Hyperlink"/>
          <w:bCs/>
          <w:noProof/>
          <w:u w:val="none"/>
        </w:rPr>
        <w:sectPr w:rsidR="00962D1E" w:rsidSect="00A70F60">
          <w:pgSz w:w="11906" w:h="16838"/>
          <w:pgMar w:top="1134" w:right="1418" w:bottom="1418" w:left="1418" w:header="567" w:footer="284" w:gutter="0"/>
          <w:cols w:space="708"/>
          <w:docGrid w:linePitch="360"/>
        </w:sectPr>
      </w:pPr>
    </w:p>
    <w:p w14:paraId="2C0E9C92" w14:textId="77777777" w:rsidR="00300D5E" w:rsidRPr="00BF18CE" w:rsidRDefault="00300D5E" w:rsidP="00947A4A">
      <w:pPr>
        <w:pStyle w:val="Heading2"/>
      </w:pPr>
      <w:r w:rsidRPr="00BF18CE">
        <w:lastRenderedPageBreak/>
        <w:t>Star Ratings Evaluation</w:t>
      </w:r>
    </w:p>
    <w:p w14:paraId="4831FCC3" w14:textId="6883A37D" w:rsidR="007D67AA" w:rsidRPr="004D2E07" w:rsidRDefault="00880A3C" w:rsidP="004D2E07">
      <w:r w:rsidRPr="004D2E07">
        <w:t xml:space="preserve">There </w:t>
      </w:r>
      <w:r w:rsidR="007D67AA" w:rsidRPr="004D2E07">
        <w:t xml:space="preserve">were 3 consultation </w:t>
      </w:r>
      <w:proofErr w:type="gramStart"/>
      <w:r w:rsidR="007D67AA" w:rsidRPr="004D2E07">
        <w:t>questions</w:t>
      </w:r>
      <w:proofErr w:type="gramEnd"/>
      <w:r w:rsidR="007D67AA" w:rsidRPr="004D2E07">
        <w:t xml:space="preserve"> and 3 survey questions related to design considerations from the findings of the Star Ratings evaluation. These questions covered two key topics, as outlined below:</w:t>
      </w:r>
    </w:p>
    <w:p w14:paraId="39632D54" w14:textId="77777777" w:rsidR="00963018" w:rsidRPr="004D2E07" w:rsidRDefault="00963018" w:rsidP="004D2E07">
      <w:pPr>
        <w:pStyle w:val="Listbullethighlighted"/>
      </w:pPr>
      <w:r w:rsidRPr="004D2E07">
        <w:t>inclusion of half star ratings</w:t>
      </w:r>
    </w:p>
    <w:p w14:paraId="2CCEB99F" w14:textId="77777777" w:rsidR="00963018" w:rsidRPr="004D2E07" w:rsidRDefault="00963018" w:rsidP="004D2E07">
      <w:pPr>
        <w:pStyle w:val="Listbullethighlighted"/>
        <w:rPr>
          <w:rStyle w:val="Hyperlink"/>
          <w:color w:val="000000" w:themeColor="text1"/>
          <w:u w:val="none"/>
        </w:rPr>
      </w:pPr>
      <w:r w:rsidRPr="004D2E07">
        <w:t xml:space="preserve">inclusion of environmental </w:t>
      </w:r>
      <w:r w:rsidRPr="004D2E07">
        <w:rPr>
          <w:rStyle w:val="Hyperlink"/>
          <w:color w:val="000000" w:themeColor="text1"/>
          <w:u w:val="none"/>
        </w:rPr>
        <w:t>restraint alongside restrictive practices and the Quality Measures rating.</w:t>
      </w:r>
    </w:p>
    <w:p w14:paraId="5E3B6EE4" w14:textId="295182BB" w:rsidR="00300D5E" w:rsidRPr="004D2E07" w:rsidRDefault="00300D5E" w:rsidP="004D2E07">
      <w:r w:rsidRPr="004D2E07">
        <w:t xml:space="preserve">Stakeholder sentiment regarding each of these topics is further explored within this section. </w:t>
      </w:r>
    </w:p>
    <w:p w14:paraId="2919FD71" w14:textId="77777777" w:rsidR="00300D5E" w:rsidRPr="00947A4A" w:rsidRDefault="00300D5E" w:rsidP="00582756">
      <w:pPr>
        <w:pStyle w:val="Heading3"/>
        <w:pBdr>
          <w:left w:val="single" w:sz="12" w:space="4" w:color="7213EA" w:themeColor="accent5"/>
        </w:pBdr>
      </w:pPr>
      <w:r w:rsidRPr="00947A4A">
        <w:t>The inclusion of half star ratings</w:t>
      </w:r>
    </w:p>
    <w:p w14:paraId="331A82F7" w14:textId="77777777" w:rsidR="002023AC" w:rsidRPr="002023AC" w:rsidRDefault="002023AC" w:rsidP="002023AC">
      <w:r w:rsidRPr="002023AC">
        <w:t xml:space="preserve">In </w:t>
      </w:r>
      <w:r w:rsidRPr="0020271D">
        <w:t>relation</w:t>
      </w:r>
      <w:r w:rsidRPr="002023AC">
        <w:t xml:space="preserve"> to inclusion of half stars, stakeholders were asked to consider the following:</w:t>
      </w:r>
    </w:p>
    <w:p w14:paraId="1B1F1865" w14:textId="77777777" w:rsidR="002023AC" w:rsidRPr="00231005" w:rsidRDefault="002023AC" w:rsidP="002023AC">
      <w:pPr>
        <w:pStyle w:val="ListBullet"/>
      </w:pPr>
      <w:r w:rsidRPr="00231005">
        <w:t>Should the Star Ratings design change to include half stars?</w:t>
      </w:r>
    </w:p>
    <w:p w14:paraId="12F7AC4B" w14:textId="77777777" w:rsidR="002023AC" w:rsidRPr="004D2E07" w:rsidRDefault="002023AC" w:rsidP="004D2E07">
      <w:r w:rsidRPr="004D2E07">
        <w:t>The key findings in response to this topic are outlined below.</w:t>
      </w:r>
    </w:p>
    <w:p w14:paraId="160CEA18" w14:textId="77777777" w:rsidR="00300D5E" w:rsidRPr="00947A4A" w:rsidRDefault="00300D5E" w:rsidP="00947A4A">
      <w:pPr>
        <w:pStyle w:val="Heading4"/>
        <w:rPr>
          <w:rStyle w:val="Hyperlink"/>
          <w:color w:val="0C233C" w:themeColor="accent3"/>
          <w:u w:val="none"/>
        </w:rPr>
      </w:pPr>
      <w:r w:rsidRPr="00947A4A">
        <w:rPr>
          <w:rStyle w:val="Hyperlink"/>
          <w:color w:val="0C233C" w:themeColor="accent3"/>
          <w:u w:val="none"/>
        </w:rPr>
        <w:t>Half star ratings</w:t>
      </w:r>
    </w:p>
    <w:p w14:paraId="24B64E14" w14:textId="77777777" w:rsidR="00D677B7" w:rsidRPr="0020271D" w:rsidRDefault="00D677B7" w:rsidP="0020271D">
      <w:proofErr w:type="gramStart"/>
      <w:r w:rsidRPr="0020271D">
        <w:t>The majority of</w:t>
      </w:r>
      <w:proofErr w:type="gramEnd"/>
      <w:r w:rsidRPr="0020271D">
        <w:t xml:space="preserve"> stakeholders approved of the proposal to introduce half star ratings to the Overall Star Rating. This was particularly strong in the virtual and face-to-face consultation sessions. Stakeholders stated that half stars would facilitate better decision making for older people and their representatives when choosing an aged care home.</w:t>
      </w:r>
    </w:p>
    <w:p w14:paraId="00DE0E11" w14:textId="294C8BDB" w:rsidR="00300D5E" w:rsidRPr="004D2E07" w:rsidRDefault="00300D5E" w:rsidP="004D2E07">
      <w:r w:rsidRPr="004D2E07">
        <w:t xml:space="preserve">Survey responses were </w:t>
      </w:r>
      <w:r w:rsidR="00D677B7" w:rsidRPr="004D2E07">
        <w:t>mixed</w:t>
      </w:r>
      <w:r w:rsidRPr="004D2E07">
        <w:t>, with 51%</w:t>
      </w:r>
      <w:r w:rsidR="00820AE9" w:rsidRPr="004D2E07">
        <w:t xml:space="preserve"> </w:t>
      </w:r>
      <w:r w:rsidRPr="004D2E07">
        <w:t xml:space="preserve">of all respondents </w:t>
      </w:r>
      <w:r w:rsidR="00D677B7" w:rsidRPr="004D2E07">
        <w:t>indicating</w:t>
      </w:r>
      <w:r w:rsidRPr="004D2E07">
        <w:t xml:space="preserve"> they support the inclusion of half stars, 38% who did not support the inclusion, and 10% indicated that they did not know. Among older people and their representatives, 52%</w:t>
      </w:r>
      <w:r w:rsidR="00820AE9" w:rsidRPr="004D2E07">
        <w:t xml:space="preserve"> </w:t>
      </w:r>
      <w:r w:rsidRPr="004D2E07">
        <w:t xml:space="preserve">of respondents indicated </w:t>
      </w:r>
      <w:r w:rsidR="00D73B40" w:rsidRPr="004D2E07">
        <w:t>they supported the inclusion</w:t>
      </w:r>
      <w:r w:rsidR="001537B7" w:rsidRPr="004D2E07">
        <w:t xml:space="preserve"> of half stars, compared to</w:t>
      </w:r>
      <w:r w:rsidRPr="004D2E07">
        <w:t xml:space="preserve"> 64% of all providers</w:t>
      </w:r>
      <w:r w:rsidR="00820AE9" w:rsidRPr="004D2E07">
        <w:t>.</w:t>
      </w:r>
    </w:p>
    <w:p w14:paraId="61CE4983" w14:textId="77777777" w:rsidR="00300D5E" w:rsidRPr="004D2E07" w:rsidRDefault="00300D5E" w:rsidP="004D2E07">
      <w:r w:rsidRPr="004D2E07">
        <w:t>Some</w:t>
      </w:r>
      <w:r w:rsidRPr="004D2E07" w:rsidDel="00FC6760">
        <w:t xml:space="preserve"> c</w:t>
      </w:r>
      <w:r w:rsidRPr="004D2E07">
        <w:t xml:space="preserve">oncerns were raised amongst providers that the inclusion of half stars could create confusion for older people and their representatives. </w:t>
      </w:r>
      <w:r w:rsidR="00D677B7" w:rsidRPr="004D2E07">
        <w:t>Some</w:t>
      </w:r>
      <w:r w:rsidRPr="004D2E07">
        <w:t xml:space="preserve"> older people and their representatives </w:t>
      </w:r>
      <w:r w:rsidR="00D677B7" w:rsidRPr="004D2E07">
        <w:t xml:space="preserve">and providers </w:t>
      </w:r>
      <w:r w:rsidRPr="004D2E07">
        <w:t>voiced concerns that instead of supporting decision</w:t>
      </w:r>
      <w:r w:rsidR="00D677B7" w:rsidRPr="004D2E07">
        <w:t xml:space="preserve"> </w:t>
      </w:r>
      <w:r w:rsidRPr="004D2E07">
        <w:t>making, the inclusion of half stars could overwhelm people with too much detail, making it more difficult for them to make clear choices about aged care homes.</w:t>
      </w:r>
    </w:p>
    <w:p w14:paraId="2B79CBED" w14:textId="77777777" w:rsidR="00BC28A3" w:rsidRDefault="00300D5E" w:rsidP="0020271D">
      <w:pPr>
        <w:rPr>
          <w:rStyle w:val="Hyperlink"/>
          <w:noProof/>
          <w:u w:val="none"/>
        </w:rPr>
      </w:pPr>
      <w:r w:rsidRPr="00947A4A">
        <w:rPr>
          <w:rStyle w:val="Hyperlink"/>
          <w:noProof/>
          <w:u w:val="none"/>
        </w:rPr>
        <w:t xml:space="preserve">Most older people and their representatives believed that half stars would encourage providers to implement incremental improvements, as achieving an additional half star rating would be more attainable than </w:t>
      </w:r>
      <w:r w:rsidRPr="0020271D">
        <w:t>increasing</w:t>
      </w:r>
      <w:r w:rsidRPr="00947A4A">
        <w:rPr>
          <w:rStyle w:val="Hyperlink"/>
          <w:noProof/>
          <w:u w:val="none"/>
        </w:rPr>
        <w:t xml:space="preserve"> a whole star. Older people and their representatives, as well as some providers, emphasised the importance of being able to access as much information as possible to provide a nuanced differentiation and to assist with decision making, with some suggesting that Star Ratings should include more detail, including the use of decimal places.</w:t>
      </w:r>
    </w:p>
    <w:p w14:paraId="7A910BA0" w14:textId="4D059BA7" w:rsidR="007E72D3" w:rsidRDefault="007E72D3" w:rsidP="0020271D">
      <w:pPr>
        <w:rPr>
          <w:rStyle w:val="Hyperlink"/>
          <w:noProof/>
          <w:u w:val="none"/>
        </w:rPr>
      </w:pPr>
      <w:r w:rsidRPr="00226064">
        <w:rPr>
          <w:noProof/>
          <w:color w:val="auto"/>
        </w:rPr>
        <w:t xml:space="preserve">Overall, most stakeholders supported the proposal to introduce half stars. However, </w:t>
      </w:r>
      <w:r>
        <w:rPr>
          <w:noProof/>
          <w:color w:val="auto"/>
        </w:rPr>
        <w:t xml:space="preserve">stakeholders in </w:t>
      </w:r>
      <w:r w:rsidRPr="00226064">
        <w:rPr>
          <w:noProof/>
          <w:color w:val="auto"/>
        </w:rPr>
        <w:t>consultation sessions</w:t>
      </w:r>
      <w:r>
        <w:rPr>
          <w:noProof/>
          <w:color w:val="auto"/>
        </w:rPr>
        <w:t xml:space="preserve"> </w:t>
      </w:r>
      <w:r w:rsidRPr="0020271D">
        <w:t>showed</w:t>
      </w:r>
      <w:r>
        <w:rPr>
          <w:noProof/>
          <w:color w:val="auto"/>
        </w:rPr>
        <w:t xml:space="preserve"> greater support.</w:t>
      </w:r>
    </w:p>
    <w:p w14:paraId="655AAB80" w14:textId="77777777" w:rsidR="00513A0E" w:rsidRPr="00513A0E" w:rsidRDefault="00513A0E" w:rsidP="00513A0E">
      <w:pPr>
        <w:pStyle w:val="Heading3"/>
        <w:pBdr>
          <w:left w:val="single" w:sz="12" w:space="4" w:color="7213EA" w:themeColor="accent5"/>
        </w:pBdr>
      </w:pPr>
      <w:r w:rsidRPr="00513A0E">
        <w:t>The display of environmental restraint alongside restrictive practices and the Quality Measures rating</w:t>
      </w:r>
    </w:p>
    <w:p w14:paraId="382FAC8E" w14:textId="77777777" w:rsidR="00C733EE" w:rsidRPr="00C733EE" w:rsidRDefault="00C733EE" w:rsidP="0020271D">
      <w:pPr>
        <w:rPr>
          <w:rStyle w:val="Hyperlink"/>
          <w:u w:val="none"/>
        </w:rPr>
      </w:pPr>
      <w:r w:rsidRPr="00C733EE">
        <w:rPr>
          <w:rStyle w:val="Hyperlink"/>
          <w:u w:val="none"/>
        </w:rPr>
        <w:t xml:space="preserve">In relation to the display of the </w:t>
      </w:r>
      <w:r w:rsidRPr="0020271D">
        <w:t>environmental</w:t>
      </w:r>
      <w:r w:rsidRPr="00C733EE">
        <w:rPr>
          <w:rStyle w:val="Hyperlink"/>
          <w:u w:val="none"/>
        </w:rPr>
        <w:t xml:space="preserve"> restraint alongside restrictive practices and the Quality Measures rating, stakeholders were asked to consider the following:</w:t>
      </w:r>
    </w:p>
    <w:p w14:paraId="07147262" w14:textId="77777777" w:rsidR="00BC28A3" w:rsidRPr="00947A4A" w:rsidRDefault="00BC28A3" w:rsidP="00BC28A3">
      <w:pPr>
        <w:pStyle w:val="ListBullet"/>
        <w:rPr>
          <w:rStyle w:val="Hyperlink"/>
          <w:u w:val="none"/>
        </w:rPr>
      </w:pPr>
      <w:r>
        <w:t>S</w:t>
      </w:r>
      <w:r w:rsidRPr="001D0CFC">
        <w:t>hould the Star Ratings design change to include publication of environmental restraint alongside restrictive practices and the Quality Measures rating?</w:t>
      </w:r>
    </w:p>
    <w:p w14:paraId="3674C330" w14:textId="77777777" w:rsidR="00BC28A3" w:rsidRPr="00947A4A" w:rsidRDefault="00BC28A3" w:rsidP="00BC28A3">
      <w:pPr>
        <w:pStyle w:val="ListBullet"/>
        <w:rPr>
          <w:rStyle w:val="Hyperlink"/>
          <w:u w:val="none"/>
        </w:rPr>
      </w:pPr>
      <w:r w:rsidRPr="00827C4E">
        <w:t>Would having details around environmental restraint as well as all restrictive practices appropriately signal the quality of care being delivered at the aged care home?</w:t>
      </w:r>
    </w:p>
    <w:p w14:paraId="3870DB02" w14:textId="77777777" w:rsidR="00BC28A3" w:rsidRPr="004D2E07" w:rsidRDefault="00BC28A3" w:rsidP="004D2E07">
      <w:r w:rsidRPr="004D2E07">
        <w:t>The key findings in response to each of these topics are outlined below.</w:t>
      </w:r>
    </w:p>
    <w:p w14:paraId="1123295B" w14:textId="49C6EDE0" w:rsidR="00300D5E" w:rsidRPr="0030580D" w:rsidRDefault="002E52A8" w:rsidP="0030580D">
      <w:pPr>
        <w:pStyle w:val="Heading4"/>
      </w:pPr>
      <w:r>
        <w:lastRenderedPageBreak/>
        <w:t>Display</w:t>
      </w:r>
      <w:r w:rsidR="00300D5E" w:rsidRPr="0030580D">
        <w:t xml:space="preserve"> of information regarding the use of environmental restraint </w:t>
      </w:r>
    </w:p>
    <w:p w14:paraId="00732087" w14:textId="77777777" w:rsidR="00EC30FD" w:rsidRPr="00FD5ABA" w:rsidRDefault="00EC30FD" w:rsidP="0020271D">
      <w:pPr>
        <w:rPr>
          <w:color w:val="auto"/>
        </w:rPr>
      </w:pPr>
      <w:r w:rsidRPr="00FD5ABA">
        <w:rPr>
          <w:color w:val="auto"/>
        </w:rPr>
        <w:t xml:space="preserve">Most older people and their </w:t>
      </w:r>
      <w:r w:rsidRPr="0020271D">
        <w:t>representatives</w:t>
      </w:r>
      <w:r w:rsidRPr="00FD5ABA">
        <w:rPr>
          <w:color w:val="auto"/>
        </w:rPr>
        <w:t xml:space="preserve"> supported the inclusion of displaying a provider’s use of environmental restraint alongside restrictive practices and the Quality Measures rating. These stakeholders emphasised that such information would be valuable in understanding how different aged care homes use environmental restraint, thereby signalling the quality of care being delivered and supporting the comparison of aged care homes.</w:t>
      </w:r>
    </w:p>
    <w:p w14:paraId="17A0025C" w14:textId="7E2F7905" w:rsidR="00800F17" w:rsidRPr="004D4031" w:rsidRDefault="00800F17" w:rsidP="0020271D">
      <w:pPr>
        <w:rPr>
          <w:color w:val="auto"/>
        </w:rPr>
      </w:pPr>
      <w:r w:rsidRPr="5B02ACC6">
        <w:rPr>
          <w:color w:val="auto"/>
        </w:rPr>
        <w:t xml:space="preserve">Survey responses </w:t>
      </w:r>
      <w:r>
        <w:rPr>
          <w:color w:val="auto"/>
        </w:rPr>
        <w:t xml:space="preserve">were </w:t>
      </w:r>
      <w:r w:rsidRPr="0020271D">
        <w:t>consistent</w:t>
      </w:r>
      <w:r w:rsidRPr="00CB5F82">
        <w:rPr>
          <w:color w:val="auto"/>
        </w:rPr>
        <w:t>, with 82% of all respondents supporting the inclusion of the use of environmental restraint.</w:t>
      </w:r>
      <w:r>
        <w:rPr>
          <w:color w:val="auto"/>
        </w:rPr>
        <w:t xml:space="preserve"> Amongst older people and their representatives, 87% of respondents were in favour, compared to 54% of providers</w:t>
      </w:r>
      <w:r w:rsidR="00820AE9">
        <w:rPr>
          <w:color w:val="auto"/>
        </w:rPr>
        <w:t>.</w:t>
      </w:r>
    </w:p>
    <w:p w14:paraId="53B63780" w14:textId="77777777" w:rsidR="00642BC2" w:rsidRDefault="00642BC2" w:rsidP="0020271D">
      <w:pPr>
        <w:rPr>
          <w:color w:val="auto"/>
        </w:rPr>
      </w:pPr>
      <w:r w:rsidRPr="5B02ACC6">
        <w:rPr>
          <w:color w:val="auto"/>
        </w:rPr>
        <w:t>Offering a</w:t>
      </w:r>
      <w:r>
        <w:rPr>
          <w:color w:val="auto"/>
        </w:rPr>
        <w:t>n aligning</w:t>
      </w:r>
      <w:r w:rsidRPr="5B02ACC6">
        <w:rPr>
          <w:color w:val="auto"/>
        </w:rPr>
        <w:t xml:space="preserve"> view were </w:t>
      </w:r>
      <w:r>
        <w:rPr>
          <w:color w:val="auto"/>
        </w:rPr>
        <w:t>workforce organisations</w:t>
      </w:r>
      <w:r w:rsidRPr="5B02ACC6">
        <w:rPr>
          <w:color w:val="auto"/>
        </w:rPr>
        <w:t xml:space="preserve">, who agreed </w:t>
      </w:r>
      <w:r w:rsidRPr="00125871">
        <w:rPr>
          <w:color w:val="auto"/>
        </w:rPr>
        <w:t xml:space="preserve">that providing as much information as possible would be beneficial to older people and their representatives, as well as potential workers. These </w:t>
      </w:r>
      <w:r w:rsidRPr="0020271D">
        <w:t>stakeholders</w:t>
      </w:r>
      <w:r w:rsidRPr="00125871">
        <w:rPr>
          <w:color w:val="auto"/>
        </w:rPr>
        <w:t xml:space="preserve"> explained that aged care workers </w:t>
      </w:r>
      <w:r>
        <w:rPr>
          <w:color w:val="auto"/>
        </w:rPr>
        <w:t xml:space="preserve">may </w:t>
      </w:r>
      <w:r w:rsidRPr="00125871">
        <w:rPr>
          <w:color w:val="auto"/>
        </w:rPr>
        <w:t>review a provider’s Quality Measures when deciding on which aged care home to work for. Stakeholders stated that in these situations, information on the use of</w:t>
      </w:r>
      <w:r w:rsidRPr="5B02ACC6">
        <w:rPr>
          <w:color w:val="auto"/>
        </w:rPr>
        <w:t xml:space="preserve"> environmental restraint would provide aged care workers with a more holistic understanding of the working environment, including potential workplace risks.</w:t>
      </w:r>
    </w:p>
    <w:p w14:paraId="7B437D7E" w14:textId="56FAE849" w:rsidR="00300D5E" w:rsidRPr="0030580D" w:rsidRDefault="00300D5E" w:rsidP="0030580D">
      <w:pPr>
        <w:pStyle w:val="Heading4"/>
        <w:rPr>
          <w:rStyle w:val="Hyperlink"/>
          <w:color w:val="0C233C" w:themeColor="accent3"/>
          <w:u w:val="none"/>
        </w:rPr>
      </w:pPr>
      <w:r w:rsidRPr="0030580D">
        <w:rPr>
          <w:rStyle w:val="Hyperlink"/>
          <w:color w:val="0C233C" w:themeColor="accent3"/>
          <w:u w:val="none"/>
        </w:rPr>
        <w:t xml:space="preserve">Impact of </w:t>
      </w:r>
      <w:r w:rsidR="00F04708">
        <w:rPr>
          <w:rStyle w:val="Hyperlink"/>
          <w:color w:val="0C233C" w:themeColor="accent3"/>
          <w:u w:val="none"/>
        </w:rPr>
        <w:t>displaying</w:t>
      </w:r>
      <w:r w:rsidRPr="0030580D">
        <w:rPr>
          <w:rStyle w:val="Hyperlink"/>
          <w:color w:val="0C233C" w:themeColor="accent3"/>
          <w:u w:val="none"/>
        </w:rPr>
        <w:t xml:space="preserve"> information regarding environmental restraint and all restrictive practices on perceived quality of care being delivered</w:t>
      </w:r>
    </w:p>
    <w:p w14:paraId="663A1CD9" w14:textId="691FD77E" w:rsidR="00435505" w:rsidRDefault="00824564" w:rsidP="0020271D">
      <w:pPr>
        <w:rPr>
          <w:color w:val="auto"/>
        </w:rPr>
      </w:pPr>
      <w:r w:rsidRPr="00947A4A">
        <w:rPr>
          <w:color w:val="auto"/>
        </w:rPr>
        <w:t xml:space="preserve">There were concerns among providers that there may be negative perceptions associated with a high use of environmental restraint in an aged care home. Stakeholders were of the view this might result in providers being </w:t>
      </w:r>
      <w:r w:rsidRPr="0020271D">
        <w:t>selective</w:t>
      </w:r>
      <w:r w:rsidRPr="00947A4A">
        <w:rPr>
          <w:color w:val="auto"/>
        </w:rPr>
        <w:t xml:space="preserve"> about who they accept into their </w:t>
      </w:r>
      <w:r w:rsidR="00FB2AE6">
        <w:rPr>
          <w:color w:val="auto"/>
        </w:rPr>
        <w:t>home</w:t>
      </w:r>
      <w:r w:rsidRPr="00947A4A">
        <w:rPr>
          <w:color w:val="auto"/>
        </w:rPr>
        <w:t>, thereby only accepting older people with a lower risk profile. In addition, there were concerns that providers with memory support units or those who specialise in dementia care may be adversely impacted if further context on the application of the environmental restraint is unclear.</w:t>
      </w:r>
    </w:p>
    <w:p w14:paraId="31147D07" w14:textId="71E7D743" w:rsidR="00F83301" w:rsidRPr="00947A4A" w:rsidRDefault="00F83301" w:rsidP="0020271D">
      <w:pPr>
        <w:rPr>
          <w:color w:val="auto"/>
        </w:rPr>
      </w:pPr>
      <w:r w:rsidRPr="00947A4A">
        <w:rPr>
          <w:color w:val="auto"/>
        </w:rPr>
        <w:t xml:space="preserve">Some stakeholders were also confused as to why environmental restraint was being highlighted more than other forms of restrictive practices. Stakeholders emphasised that additional information needs to be provided, along with </w:t>
      </w:r>
      <w:r w:rsidRPr="0020271D">
        <w:t>education</w:t>
      </w:r>
      <w:r w:rsidRPr="00947A4A">
        <w:rPr>
          <w:color w:val="auto"/>
        </w:rPr>
        <w:t xml:space="preserve"> to reduce the fear and stigma associated with environmental restraint. These stakeholders outlined how additional contextual information can alleviate negative perceptions while also assisting older people and their representatives with decision making.</w:t>
      </w:r>
    </w:p>
    <w:p w14:paraId="54C509F8" w14:textId="485C1B7B" w:rsidR="00A10CEE" w:rsidRDefault="00300D5E" w:rsidP="0020271D">
      <w:pPr>
        <w:rPr>
          <w:color w:val="auto"/>
        </w:rPr>
      </w:pPr>
      <w:r w:rsidRPr="00947A4A">
        <w:rPr>
          <w:color w:val="auto"/>
        </w:rPr>
        <w:t>Stakeholders stated that a provider may have a high proportion of older people with an environmental restraint but also have a low number of people on unauthorised restrictive practice or low numbers of serious incidents, thus signalling that the provider uses restrictive practices in the correct way</w:t>
      </w:r>
      <w:r w:rsidR="008D5340">
        <w:rPr>
          <w:color w:val="auto"/>
        </w:rPr>
        <w:t>.</w:t>
      </w:r>
    </w:p>
    <w:p w14:paraId="0626737A" w14:textId="0FD4D2F5" w:rsidR="0032008E" w:rsidRDefault="0032008E" w:rsidP="0020271D">
      <w:pPr>
        <w:rPr>
          <w:color w:val="auto"/>
        </w:rPr>
      </w:pPr>
      <w:r w:rsidRPr="00380CF0">
        <w:rPr>
          <w:color w:val="auto"/>
        </w:rPr>
        <w:t xml:space="preserve">Overall, stakeholders supported </w:t>
      </w:r>
      <w:r>
        <w:rPr>
          <w:color w:val="auto"/>
        </w:rPr>
        <w:t xml:space="preserve">the </w:t>
      </w:r>
      <w:r w:rsidRPr="00380CF0">
        <w:rPr>
          <w:color w:val="auto"/>
        </w:rPr>
        <w:t>display</w:t>
      </w:r>
      <w:r>
        <w:rPr>
          <w:color w:val="auto"/>
        </w:rPr>
        <w:t xml:space="preserve"> of</w:t>
      </w:r>
      <w:r w:rsidRPr="00380CF0">
        <w:rPr>
          <w:color w:val="auto"/>
        </w:rPr>
        <w:t xml:space="preserve"> information about the use of environmental restraint.</w:t>
      </w:r>
    </w:p>
    <w:p w14:paraId="4880C208" w14:textId="124B389D" w:rsidR="00005BAC" w:rsidRDefault="009F0B42" w:rsidP="00751B93">
      <w:pPr>
        <w:pStyle w:val="Summarytext"/>
      </w:pPr>
      <w:bookmarkStart w:id="4" w:name="_Toc185356606"/>
      <w:bookmarkStart w:id="5" w:name="_Toc185492107"/>
      <w:bookmarkStart w:id="6" w:name="_Toc188972065"/>
      <w:bookmarkStart w:id="7" w:name="_Toc188972257"/>
      <w:r w:rsidRPr="00947A4A">
        <w:t>Overall, the consultation activities provided valuable insights from stakeholders regarding the proposed changes to Star Ratings.</w:t>
      </w:r>
      <w:bookmarkStart w:id="8" w:name="_Toc189503617"/>
    </w:p>
    <w:p w14:paraId="0D5565B5" w14:textId="77777777" w:rsidR="00CE7E4C" w:rsidRDefault="00CE7E4C" w:rsidP="00751B93">
      <w:pPr>
        <w:sectPr w:rsidR="00CE7E4C" w:rsidSect="008879DA">
          <w:headerReference w:type="even" r:id="rId21"/>
          <w:headerReference w:type="default" r:id="rId22"/>
          <w:headerReference w:type="first" r:id="rId23"/>
          <w:pgSz w:w="11906" w:h="16838"/>
          <w:pgMar w:top="1134" w:right="1418" w:bottom="1418" w:left="1418" w:header="567" w:footer="399" w:gutter="0"/>
          <w:cols w:space="708"/>
          <w:docGrid w:linePitch="360"/>
        </w:sectPr>
      </w:pPr>
    </w:p>
    <w:p w14:paraId="7656FCD0" w14:textId="0132F00E" w:rsidR="00005BAC" w:rsidRPr="00FD5567" w:rsidRDefault="00005BAC" w:rsidP="006A4D0A">
      <w:pPr>
        <w:pStyle w:val="Heading1"/>
        <w:rPr>
          <w:sz w:val="40"/>
          <w:szCs w:val="26"/>
        </w:rPr>
      </w:pPr>
      <w:bookmarkStart w:id="9" w:name="_Toc189746263"/>
      <w:r w:rsidRPr="00FD5567">
        <w:lastRenderedPageBreak/>
        <w:t>Next steps</w:t>
      </w:r>
      <w:bookmarkEnd w:id="9"/>
    </w:p>
    <w:p w14:paraId="282ACA14" w14:textId="77777777" w:rsidR="006A4D0A" w:rsidRDefault="00005BAC" w:rsidP="0020271D">
      <w:pPr>
        <w:rPr>
          <w:color w:val="auto"/>
        </w:rPr>
      </w:pPr>
      <w:r w:rsidRPr="00005BAC">
        <w:rPr>
          <w:color w:val="auto"/>
        </w:rPr>
        <w:t xml:space="preserve">Findings from the consultation activities will be instrumental in supporting future development and design of Star Ratings enhancements, ensuring it continues to offer transparent information, support informed decision making, and </w:t>
      </w:r>
      <w:r w:rsidRPr="0020271D">
        <w:t>drive</w:t>
      </w:r>
      <w:r w:rsidRPr="00005BAC">
        <w:rPr>
          <w:color w:val="auto"/>
        </w:rPr>
        <w:t xml:space="preserve"> quality improvements in residential aged care</w:t>
      </w:r>
      <w:r w:rsidR="00820AE9">
        <w:rPr>
          <w:color w:val="auto"/>
        </w:rPr>
        <w:t>.</w:t>
      </w:r>
    </w:p>
    <w:p w14:paraId="20B3FDF6" w14:textId="78888387" w:rsidR="000E0CC2" w:rsidRPr="005E460C" w:rsidRDefault="000E0CC2" w:rsidP="006A4D0A">
      <w:pPr>
        <w:pStyle w:val="Heading1"/>
      </w:pPr>
      <w:bookmarkStart w:id="10" w:name="_Toc189746264"/>
      <w:r w:rsidRPr="00924C94">
        <w:t>References</w:t>
      </w:r>
      <w:bookmarkEnd w:id="4"/>
      <w:bookmarkEnd w:id="5"/>
      <w:bookmarkEnd w:id="6"/>
      <w:bookmarkEnd w:id="7"/>
      <w:bookmarkEnd w:id="8"/>
      <w:bookmarkEnd w:id="10"/>
    </w:p>
    <w:p w14:paraId="17B5F167" w14:textId="77777777" w:rsidR="00820AE9" w:rsidRDefault="000E0CC2" w:rsidP="00820AE9">
      <w:pPr>
        <w:pStyle w:val="ListNumber"/>
        <w:numPr>
          <w:ilvl w:val="0"/>
          <w:numId w:val="10"/>
        </w:numPr>
        <w:rPr>
          <w:rFonts w:cstheme="minorHAnsi"/>
        </w:rPr>
      </w:pPr>
      <w:r w:rsidRPr="00945BCD">
        <w:rPr>
          <w:rFonts w:cstheme="minorHAnsi"/>
        </w:rPr>
        <w:t xml:space="preserve">Department of Health and Aged Care, About the new Aged Care Act (last updated 27 November 2024), </w:t>
      </w:r>
      <w:hyperlink r:id="rId24" w:history="1">
        <w:r w:rsidRPr="00A237FE">
          <w:rPr>
            <w:rStyle w:val="Hyperlink"/>
          </w:rPr>
          <w:t>www.health.gov.au/our</w:t>
        </w:r>
        <w:r>
          <w:rPr>
            <w:rStyle w:val="Hyperlink"/>
          </w:rPr>
          <w:noBreakHyphen/>
        </w:r>
        <w:r w:rsidRPr="00A237FE">
          <w:rPr>
            <w:rStyle w:val="Hyperlink"/>
          </w:rPr>
          <w:t>work/aged</w:t>
        </w:r>
        <w:r>
          <w:rPr>
            <w:rStyle w:val="Hyperlink"/>
          </w:rPr>
          <w:noBreakHyphen/>
        </w:r>
        <w:r w:rsidRPr="00A237FE">
          <w:rPr>
            <w:rStyle w:val="Hyperlink"/>
          </w:rPr>
          <w:t>care</w:t>
        </w:r>
        <w:r>
          <w:rPr>
            <w:rStyle w:val="Hyperlink"/>
          </w:rPr>
          <w:noBreakHyphen/>
        </w:r>
        <w:r w:rsidRPr="00A237FE">
          <w:rPr>
            <w:rStyle w:val="Hyperlink"/>
          </w:rPr>
          <w:t>act/about</w:t>
        </w:r>
      </w:hyperlink>
    </w:p>
    <w:p w14:paraId="6F01AAD2" w14:textId="02C9EDD7" w:rsidR="000E0CC2" w:rsidRPr="00820AE9" w:rsidRDefault="000E0CC2" w:rsidP="00820AE9">
      <w:pPr>
        <w:pStyle w:val="ListNumber"/>
        <w:numPr>
          <w:ilvl w:val="0"/>
          <w:numId w:val="10"/>
        </w:numPr>
        <w:rPr>
          <w:rFonts w:cstheme="minorHAnsi"/>
        </w:rPr>
      </w:pPr>
      <w:r w:rsidRPr="004D4031">
        <w:t xml:space="preserve">Department of Health and Aged Care, Design Changes for Star Ratings – Consultation Paper, </w:t>
      </w:r>
      <w:r w:rsidR="009001A4">
        <w:t>(</w:t>
      </w:r>
      <w:r w:rsidRPr="004D4031">
        <w:t>published November 2024</w:t>
      </w:r>
      <w:r w:rsidR="009001A4">
        <w:t>),</w:t>
      </w:r>
      <w:r w:rsidRPr="004D4031">
        <w:t xml:space="preserve"> </w:t>
      </w:r>
      <w:r w:rsidRPr="00820AE9">
        <w:rPr>
          <w:u w:val="single"/>
        </w:rPr>
        <w:t>www.health.gov.au/sites/default/files/2024</w:t>
      </w:r>
      <w:r w:rsidRPr="00820AE9">
        <w:rPr>
          <w:u w:val="single"/>
        </w:rPr>
        <w:noBreakHyphen/>
        <w:t>11/design</w:t>
      </w:r>
      <w:r w:rsidRPr="00820AE9">
        <w:rPr>
          <w:u w:val="single"/>
        </w:rPr>
        <w:noBreakHyphen/>
        <w:t>changes</w:t>
      </w:r>
      <w:r w:rsidRPr="00820AE9">
        <w:rPr>
          <w:u w:val="single"/>
        </w:rPr>
        <w:noBreakHyphen/>
        <w:t>for</w:t>
      </w:r>
      <w:r w:rsidRPr="00820AE9">
        <w:rPr>
          <w:u w:val="single"/>
        </w:rPr>
        <w:noBreakHyphen/>
        <w:t>star</w:t>
      </w:r>
      <w:r w:rsidRPr="00820AE9">
        <w:rPr>
          <w:u w:val="single"/>
        </w:rPr>
        <w:noBreakHyphen/>
        <w:t>ratings</w:t>
      </w:r>
      <w:r w:rsidRPr="00820AE9">
        <w:rPr>
          <w:u w:val="single"/>
        </w:rPr>
        <w:noBreakHyphen/>
        <w:t>consultation</w:t>
      </w:r>
      <w:r w:rsidRPr="00820AE9">
        <w:rPr>
          <w:u w:val="single"/>
        </w:rPr>
        <w:noBreakHyphen/>
        <w:t>paper.pdf</w:t>
      </w:r>
    </w:p>
    <w:p w14:paraId="49C7D6C0" w14:textId="40D2E34E" w:rsidR="00402094" w:rsidRPr="0071063B" w:rsidRDefault="000E0CC2" w:rsidP="00400E37">
      <w:pPr>
        <w:pStyle w:val="ListNumber"/>
        <w:numPr>
          <w:ilvl w:val="0"/>
          <w:numId w:val="10"/>
        </w:numPr>
      </w:pPr>
      <w:r w:rsidRPr="004D4031">
        <w:t>Aged Care Royal Commission, List of Recommendations</w:t>
      </w:r>
      <w:r w:rsidR="009001A4">
        <w:t xml:space="preserve"> (</w:t>
      </w:r>
      <w:r w:rsidRPr="004D4031">
        <w:t xml:space="preserve">published 1 March 2021), </w:t>
      </w:r>
      <w:hyperlink r:id="rId25" w:history="1">
        <w:r w:rsidR="0071063B" w:rsidRPr="00BC0624">
          <w:rPr>
            <w:rStyle w:val="Hyperlink"/>
          </w:rPr>
          <w:t>www.royalcommission.gov.au/system/files/2021</w:t>
        </w:r>
        <w:r w:rsidR="0071063B" w:rsidRPr="00BC0624">
          <w:rPr>
            <w:rStyle w:val="Hyperlink"/>
          </w:rPr>
          <w:noBreakHyphen/>
          <w:t>03/final</w:t>
        </w:r>
        <w:r w:rsidR="0071063B" w:rsidRPr="00BC0624">
          <w:rPr>
            <w:rStyle w:val="Hyperlink"/>
          </w:rPr>
          <w:noBreakHyphen/>
          <w:t>report</w:t>
        </w:r>
        <w:r w:rsidR="0071063B" w:rsidRPr="00BC0624">
          <w:rPr>
            <w:rStyle w:val="Hyperlink"/>
          </w:rPr>
          <w:noBreakHyphen/>
          <w:t>recommendations.pdf</w:t>
        </w:r>
      </w:hyperlink>
    </w:p>
    <w:p w14:paraId="46C4E314" w14:textId="03302D66" w:rsidR="00777660" w:rsidRPr="00820AE9" w:rsidRDefault="0071063B" w:rsidP="00A70F60">
      <w:pPr>
        <w:pStyle w:val="Heading1"/>
      </w:pPr>
      <w:bookmarkStart w:id="11" w:name="_Toc189746265"/>
      <w:r w:rsidRPr="0071063B">
        <w:t>Resources</w:t>
      </w:r>
      <w:bookmarkEnd w:id="11"/>
      <w:r w:rsidRPr="0071063B">
        <w:t xml:space="preserve"> </w:t>
      </w:r>
    </w:p>
    <w:p w14:paraId="7F3EFACA" w14:textId="7F82BC43" w:rsidR="00D22BD5" w:rsidRDefault="00F715BC" w:rsidP="0020271D">
      <w:pPr>
        <w:pStyle w:val="ListBullet"/>
      </w:pPr>
      <w:r>
        <w:t xml:space="preserve">Department of Health and Aged Care, </w:t>
      </w:r>
      <w:r w:rsidR="00B416B4">
        <w:t xml:space="preserve">About Star Ratings, </w:t>
      </w:r>
      <w:r w:rsidR="009001A4">
        <w:t>(</w:t>
      </w:r>
      <w:r w:rsidR="00F00D25">
        <w:t>accessed</w:t>
      </w:r>
      <w:r w:rsidR="009001A4">
        <w:t xml:space="preserve"> December 2023), </w:t>
      </w:r>
      <w:hyperlink r:id="rId26" w:history="1">
        <w:r w:rsidR="009E4E32" w:rsidRPr="001C5B12">
          <w:rPr>
            <w:rStyle w:val="Hyperlink"/>
            <w:rFonts w:cstheme="minorHAnsi"/>
          </w:rPr>
          <w:t>www.health.gov.au/our-work/star-ratings-for-residential-aged-care</w:t>
        </w:r>
      </w:hyperlink>
    </w:p>
    <w:p w14:paraId="3191A273" w14:textId="5D89B56C" w:rsidR="00F12006" w:rsidRPr="00174886" w:rsidRDefault="00777660" w:rsidP="0020271D">
      <w:pPr>
        <w:pStyle w:val="ListBullet"/>
      </w:pPr>
      <w:r w:rsidRPr="00F12006">
        <w:t xml:space="preserve">Department of Health and Aged Care, Design Changes for Star Ratings – Consultation Paper, </w:t>
      </w:r>
      <w:r w:rsidR="009001A4">
        <w:t>(</w:t>
      </w:r>
      <w:r w:rsidRPr="00F12006">
        <w:t>published November 2024</w:t>
      </w:r>
      <w:r w:rsidR="009001A4">
        <w:t>)</w:t>
      </w:r>
      <w:r w:rsidR="00174886">
        <w:t xml:space="preserve"> </w:t>
      </w:r>
      <w:hyperlink r:id="rId27" w:history="1">
        <w:r w:rsidR="00174886" w:rsidRPr="00DE1DE5">
          <w:rPr>
            <w:rStyle w:val="Hyperlink"/>
            <w:rFonts w:cstheme="minorHAnsi"/>
          </w:rPr>
          <w:t>www.health.gov.au/sites/default/files/2024</w:t>
        </w:r>
        <w:r w:rsidR="00174886" w:rsidRPr="00DE1DE5">
          <w:rPr>
            <w:rStyle w:val="Hyperlink"/>
            <w:rFonts w:cstheme="minorHAnsi"/>
          </w:rPr>
          <w:noBreakHyphen/>
          <w:t>11/design</w:t>
        </w:r>
        <w:r w:rsidR="00174886" w:rsidRPr="00DE1DE5">
          <w:rPr>
            <w:rStyle w:val="Hyperlink"/>
            <w:rFonts w:cstheme="minorHAnsi"/>
          </w:rPr>
          <w:noBreakHyphen/>
          <w:t>changes</w:t>
        </w:r>
        <w:r w:rsidR="00174886" w:rsidRPr="00DE1DE5">
          <w:rPr>
            <w:rStyle w:val="Hyperlink"/>
            <w:rFonts w:cstheme="minorHAnsi"/>
          </w:rPr>
          <w:noBreakHyphen/>
          <w:t>for</w:t>
        </w:r>
        <w:r w:rsidR="00174886" w:rsidRPr="00DE1DE5">
          <w:rPr>
            <w:rStyle w:val="Hyperlink"/>
            <w:rFonts w:cstheme="minorHAnsi"/>
          </w:rPr>
          <w:noBreakHyphen/>
          <w:t>star</w:t>
        </w:r>
        <w:r w:rsidR="00174886" w:rsidRPr="00DE1DE5">
          <w:rPr>
            <w:rStyle w:val="Hyperlink"/>
            <w:rFonts w:cstheme="minorHAnsi"/>
          </w:rPr>
          <w:noBreakHyphen/>
          <w:t>ratings</w:t>
        </w:r>
        <w:r w:rsidR="00174886" w:rsidRPr="00DE1DE5">
          <w:rPr>
            <w:rStyle w:val="Hyperlink"/>
            <w:rFonts w:cstheme="minorHAnsi"/>
          </w:rPr>
          <w:noBreakHyphen/>
          <w:t>consultation</w:t>
        </w:r>
        <w:r w:rsidR="00174886" w:rsidRPr="00DE1DE5">
          <w:rPr>
            <w:rStyle w:val="Hyperlink"/>
            <w:rFonts w:cstheme="minorHAnsi"/>
          </w:rPr>
          <w:noBreakHyphen/>
          <w:t>paper.pdf</w:t>
        </w:r>
      </w:hyperlink>
    </w:p>
    <w:p w14:paraId="1537C9DA" w14:textId="31FFFC27" w:rsidR="002C66A8" w:rsidRDefault="00A80B17" w:rsidP="0020271D">
      <w:pPr>
        <w:pStyle w:val="ListBullet"/>
        <w:sectPr w:rsidR="002C66A8" w:rsidSect="00C122E7">
          <w:pgSz w:w="11906" w:h="16838"/>
          <w:pgMar w:top="1134" w:right="1418" w:bottom="1418" w:left="1418" w:header="567" w:footer="399" w:gutter="0"/>
          <w:cols w:space="708"/>
          <w:docGrid w:linePitch="360"/>
        </w:sectPr>
      </w:pPr>
      <w:r w:rsidRPr="00B4366E">
        <w:t xml:space="preserve">Department of Health and Aged Care, Star Ratings Evaluation – Summary Report, published </w:t>
      </w:r>
      <w:r w:rsidR="00F71B81" w:rsidRPr="00B4366E">
        <w:t xml:space="preserve">January 2025 </w:t>
      </w:r>
      <w:hyperlink r:id="rId28" w:history="1">
        <w:r w:rsidR="009E4E32" w:rsidRPr="001C5B12">
          <w:rPr>
            <w:rStyle w:val="Hyperlink"/>
            <w:rFonts w:cstheme="minorHAnsi"/>
          </w:rPr>
          <w:t>www.health.gov.au/sites/default/files/2025-01/star-ratings-evaluation-summary-report_0.pdf</w:t>
        </w:r>
      </w:hyperlink>
      <w:r w:rsidR="00A62E22" w:rsidRPr="00B4366E">
        <w:t xml:space="preserve"> </w:t>
      </w:r>
    </w:p>
    <w:p w14:paraId="7A87CC24" w14:textId="1DEDEC81" w:rsidR="00CD5DAB" w:rsidRPr="002C66A8" w:rsidRDefault="005B2FF7" w:rsidP="002C66A8">
      <w:r>
        <w:rPr>
          <w:noProof/>
        </w:rPr>
        <w:lastRenderedPageBreak/>
        <w:drawing>
          <wp:anchor distT="0" distB="0" distL="114300" distR="114300" simplePos="0" relativeHeight="251658243" behindDoc="1" locked="1" layoutInCell="1" allowOverlap="1" wp14:anchorId="4B96E2FC" wp14:editId="11FBE987">
            <wp:simplePos x="0" y="0"/>
            <wp:positionH relativeFrom="page">
              <wp:align>left</wp:align>
            </wp:positionH>
            <wp:positionV relativeFrom="page">
              <wp:align>top</wp:align>
            </wp:positionV>
            <wp:extent cx="7635960" cy="10799640"/>
            <wp:effectExtent l="0" t="0" r="3175" b="1905"/>
            <wp:wrapNone/>
            <wp:docPr id="549001637" name="Picture 549001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2820" name="Graphic 45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flipH="1" flipV="1">
                      <a:off x="0" y="0"/>
                      <a:ext cx="7635960" cy="10799640"/>
                    </a:xfrm>
                    <a:prstGeom prst="rect">
                      <a:avLst/>
                    </a:prstGeom>
                  </pic:spPr>
                </pic:pic>
              </a:graphicData>
            </a:graphic>
            <wp14:sizeRelH relativeFrom="margin">
              <wp14:pctWidth>0</wp14:pctWidth>
            </wp14:sizeRelH>
            <wp14:sizeRelV relativeFrom="margin">
              <wp14:pctHeight>0</wp14:pctHeight>
            </wp14:sizeRelV>
          </wp:anchor>
        </w:drawing>
      </w:r>
    </w:p>
    <w:sectPr w:rsidR="00CD5DAB" w:rsidRPr="002C66A8" w:rsidSect="00C122E7">
      <w:footerReference w:type="default" r:id="rId30"/>
      <w:pgSz w:w="11906" w:h="16838"/>
      <w:pgMar w:top="1134" w:right="1418" w:bottom="1418" w:left="1418" w:header="567" w:footer="3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6AB26" w14:textId="77777777" w:rsidR="00E62421" w:rsidRDefault="00E62421" w:rsidP="00FD0D02">
      <w:pPr>
        <w:spacing w:before="0" w:after="0"/>
      </w:pPr>
      <w:r>
        <w:separator/>
      </w:r>
    </w:p>
  </w:endnote>
  <w:endnote w:type="continuationSeparator" w:id="0">
    <w:p w14:paraId="55FDBD85" w14:textId="77777777" w:rsidR="00E62421" w:rsidRDefault="00E62421" w:rsidP="00FD0D02">
      <w:pPr>
        <w:spacing w:before="0" w:after="0"/>
      </w:pPr>
      <w:r>
        <w:continuationSeparator/>
      </w:r>
    </w:p>
  </w:endnote>
  <w:endnote w:type="continuationNotice" w:id="1">
    <w:p w14:paraId="309606E3" w14:textId="77777777" w:rsidR="00E62421" w:rsidRDefault="00E6242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KPMG Bold">
    <w:panose1 w:val="020B080303020204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E180" w14:textId="77777777" w:rsidR="00ED64CC" w:rsidRDefault="00ED64CC">
    <w:pPr>
      <w:pStyle w:val="Footer"/>
      <w:jc w:val="right"/>
    </w:pPr>
  </w:p>
  <w:p w14:paraId="45FFDA9E" w14:textId="4ABBE8E4" w:rsidR="00ED64CC" w:rsidRDefault="002F1BF5" w:rsidP="00BC0C6B">
    <w:pPr>
      <w:pStyle w:val="Header"/>
    </w:pPr>
    <w:r>
      <w:fldChar w:fldCharType="begin"/>
    </w:r>
    <w:r>
      <w:instrText xml:space="preserve"> PAGE  \* Arabic  \* MERGEFORMAT </w:instrText>
    </w:r>
    <w:r>
      <w:fldChar w:fldCharType="separate"/>
    </w:r>
    <w:r>
      <w:rPr>
        <w:noProof/>
      </w:rPr>
      <w:t>5</w:t>
    </w:r>
    <w:r>
      <w:fldChar w:fldCharType="end"/>
    </w:r>
  </w:p>
  <w:p w14:paraId="0372C78E" w14:textId="45830432" w:rsidR="00ED64CC" w:rsidRDefault="00ED64CC" w:rsidP="00BF0039">
    <w:pPr>
      <w:pStyle w:val="Footer"/>
      <w:spacing w:after="0"/>
    </w:pPr>
    <w:r>
      <w:t>©202</w:t>
    </w:r>
    <w:r w:rsidR="008236A1">
      <w:t>5</w:t>
    </w:r>
    <w:r>
      <w:t xml:space="preserve"> KPMG, an Australian partnership and a member firm of the KPMG global organisation of independent member firms affiliated with KPMG International Limited, a private </w:t>
    </w:r>
    <w:r w:rsidRPr="00BF0039">
      <w:t>English company limited by guarantee. All rights reserved. The KPMG name and logo are trademarks used under license by the independent member firms of the KPMG global organisation. Liability limited by a scheme approved under Professional Standards Legislation.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ACE65" w14:textId="77777777" w:rsidR="008303B2" w:rsidRDefault="008303B2">
    <w:pPr>
      <w:pStyle w:val="Footer"/>
      <w:jc w:val="right"/>
    </w:pPr>
  </w:p>
  <w:p w14:paraId="41CCDCCC" w14:textId="77777777" w:rsidR="008303B2" w:rsidRDefault="008303B2" w:rsidP="00BC0C6B">
    <w:pPr>
      <w:pStyle w:val="Header"/>
    </w:pPr>
    <w:r>
      <w:fldChar w:fldCharType="begin"/>
    </w:r>
    <w:r>
      <w:instrText xml:space="preserve"> PAGE  \* Arabic  \* MERGEFORMAT </w:instrText>
    </w:r>
    <w:r>
      <w:fldChar w:fldCharType="separate"/>
    </w:r>
    <w:r>
      <w:rPr>
        <w:noProof/>
      </w:rPr>
      <w:t>5</w:t>
    </w:r>
    <w:r>
      <w:fldChar w:fldCharType="end"/>
    </w:r>
  </w:p>
  <w:p w14:paraId="6B3F4B5C" w14:textId="77777777" w:rsidR="008303B2" w:rsidRDefault="008303B2" w:rsidP="00BF0039">
    <w:pPr>
      <w:pStyle w:val="Footer"/>
      <w:spacing w:after="0"/>
    </w:pPr>
    <w:r>
      <w:t xml:space="preserve">©2025 KPMG, an Australian partnership and a member firm of the KPMG global organisation of independent member firms affiliated with KPMG International Limited, a private </w:t>
    </w:r>
    <w:r w:rsidRPr="00BF0039">
      <w:t>English company limited by guarantee. All rights reserved. The KPMG name and logo are trademarks used under license by the independent member firms of the KPMG global organisation. Liability limited by a scheme approved under Professional Standards Legislation.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3F7A" w14:textId="77777777" w:rsidR="00BE7358" w:rsidRDefault="00BE735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97CCC" w14:textId="77777777" w:rsidR="00E62421" w:rsidRDefault="00E62421" w:rsidP="00FD0D02">
      <w:pPr>
        <w:spacing w:before="0" w:after="0"/>
      </w:pPr>
      <w:r>
        <w:separator/>
      </w:r>
    </w:p>
  </w:footnote>
  <w:footnote w:type="continuationSeparator" w:id="0">
    <w:p w14:paraId="184E5AF6" w14:textId="77777777" w:rsidR="00E62421" w:rsidRDefault="00E62421" w:rsidP="00FD0D02">
      <w:pPr>
        <w:spacing w:before="0" w:after="0"/>
      </w:pPr>
      <w:r>
        <w:continuationSeparator/>
      </w:r>
    </w:p>
  </w:footnote>
  <w:footnote w:type="continuationNotice" w:id="1">
    <w:p w14:paraId="6D5C94EE" w14:textId="77777777" w:rsidR="00E62421" w:rsidRDefault="00E62421">
      <w:pPr>
        <w:spacing w:before="0" w:after="0"/>
      </w:pPr>
    </w:p>
  </w:footnote>
  <w:footnote w:id="2">
    <w:p w14:paraId="1AF4BE1A" w14:textId="631252D8" w:rsidR="001A6E52" w:rsidRDefault="001A6E52">
      <w:pPr>
        <w:pStyle w:val="FootnoteText"/>
      </w:pPr>
      <w:r>
        <w:rPr>
          <w:rStyle w:val="FootnoteReference"/>
        </w:rPr>
        <w:footnoteRef/>
      </w:r>
      <w:r>
        <w:t xml:space="preserve"> </w:t>
      </w:r>
      <w:r w:rsidR="005031EB" w:rsidRPr="005031EB">
        <w:t xml:space="preserve">Department of Health and Aged Care, About the new Aged Care Act (last updated 27 November 2024), </w:t>
      </w:r>
      <w:hyperlink r:id="rId1" w:history="1">
        <w:r w:rsidR="005031EB" w:rsidRPr="005031EB">
          <w:rPr>
            <w:rStyle w:val="Hyperlink"/>
          </w:rPr>
          <w:t>www.health.gov.au/our</w:t>
        </w:r>
        <w:r w:rsidR="005031EB" w:rsidRPr="005031EB">
          <w:rPr>
            <w:rStyle w:val="Hyperlink"/>
          </w:rPr>
          <w:noBreakHyphen/>
          <w:t>work/aged</w:t>
        </w:r>
        <w:r w:rsidR="005031EB" w:rsidRPr="005031EB">
          <w:rPr>
            <w:rStyle w:val="Hyperlink"/>
          </w:rPr>
          <w:noBreakHyphen/>
          <w:t>care</w:t>
        </w:r>
        <w:r w:rsidR="005031EB" w:rsidRPr="005031EB">
          <w:rPr>
            <w:rStyle w:val="Hyperlink"/>
          </w:rPr>
          <w:noBreakHyphen/>
          <w:t>act/about</w:t>
        </w:r>
      </w:hyperlink>
    </w:p>
  </w:footnote>
  <w:footnote w:id="3">
    <w:p w14:paraId="29F6AF47" w14:textId="5C99A8E5" w:rsidR="00030917" w:rsidRDefault="00030917">
      <w:pPr>
        <w:pStyle w:val="FootnoteText"/>
      </w:pPr>
      <w:r>
        <w:rPr>
          <w:rStyle w:val="FootnoteReference"/>
        </w:rPr>
        <w:footnoteRef/>
      </w:r>
      <w:r w:rsidR="00FA2B4A">
        <w:t xml:space="preserve"> </w:t>
      </w:r>
      <w:r w:rsidR="007E7DA9" w:rsidRPr="007E7DA9">
        <w:t xml:space="preserve">Aged Care Royal Commission, List of Recommendations (published 1 March 2021), </w:t>
      </w:r>
      <w:hyperlink r:id="rId2" w:history="1">
        <w:r w:rsidR="007E7DA9" w:rsidRPr="007E7DA9">
          <w:rPr>
            <w:rStyle w:val="Hyperlink"/>
          </w:rPr>
          <w:t>www.royalcommission.gov.au/system/files/2021</w:t>
        </w:r>
        <w:r w:rsidR="007E7DA9" w:rsidRPr="007E7DA9">
          <w:rPr>
            <w:rStyle w:val="Hyperlink"/>
          </w:rPr>
          <w:noBreakHyphen/>
          <w:t>03/final</w:t>
        </w:r>
        <w:r w:rsidR="007E7DA9" w:rsidRPr="007E7DA9">
          <w:rPr>
            <w:rStyle w:val="Hyperlink"/>
          </w:rPr>
          <w:noBreakHyphen/>
          <w:t>report</w:t>
        </w:r>
        <w:r w:rsidR="007E7DA9" w:rsidRPr="007E7DA9">
          <w:rPr>
            <w:rStyle w:val="Hyperlink"/>
          </w:rPr>
          <w:noBreakHyphen/>
          <w:t>recommendations.pdf</w:t>
        </w:r>
      </w:hyperlink>
    </w:p>
  </w:footnote>
  <w:footnote w:id="4">
    <w:p w14:paraId="7875C0A8" w14:textId="444BBD96" w:rsidR="00874CBA" w:rsidRDefault="00874CBA">
      <w:pPr>
        <w:pStyle w:val="FootnoteText"/>
      </w:pPr>
      <w:r>
        <w:rPr>
          <w:rStyle w:val="FootnoteReference"/>
        </w:rPr>
        <w:footnoteRef/>
      </w:r>
      <w:r>
        <w:t xml:space="preserve"> </w:t>
      </w:r>
      <w:r w:rsidR="00A50201" w:rsidRPr="00A50201">
        <w:t xml:space="preserve">Department of Health and Aged Care, Design Changes for Star Ratings – Consultation Paper, (published November 2024), </w:t>
      </w:r>
      <w:hyperlink r:id="rId3" w:history="1">
        <w:r w:rsidR="00A50201" w:rsidRPr="00A50201">
          <w:rPr>
            <w:rStyle w:val="Hyperlink"/>
          </w:rPr>
          <w:t>www.health.gov.au/sites/default/files/2024</w:t>
        </w:r>
        <w:r w:rsidR="00A50201" w:rsidRPr="00A50201">
          <w:rPr>
            <w:rStyle w:val="Hyperlink"/>
          </w:rPr>
          <w:noBreakHyphen/>
          <w:t>11/design</w:t>
        </w:r>
        <w:r w:rsidR="00A50201" w:rsidRPr="00A50201">
          <w:rPr>
            <w:rStyle w:val="Hyperlink"/>
          </w:rPr>
          <w:noBreakHyphen/>
          <w:t>changes</w:t>
        </w:r>
        <w:r w:rsidR="00A50201" w:rsidRPr="00A50201">
          <w:rPr>
            <w:rStyle w:val="Hyperlink"/>
          </w:rPr>
          <w:noBreakHyphen/>
          <w:t>for</w:t>
        </w:r>
        <w:r w:rsidR="00A50201" w:rsidRPr="00A50201">
          <w:rPr>
            <w:rStyle w:val="Hyperlink"/>
          </w:rPr>
          <w:noBreakHyphen/>
          <w:t>star</w:t>
        </w:r>
        <w:r w:rsidR="00A50201" w:rsidRPr="00A50201">
          <w:rPr>
            <w:rStyle w:val="Hyperlink"/>
          </w:rPr>
          <w:noBreakHyphen/>
          <w:t>ratings</w:t>
        </w:r>
        <w:r w:rsidR="00A50201" w:rsidRPr="00A50201">
          <w:rPr>
            <w:rStyle w:val="Hyperlink"/>
          </w:rPr>
          <w:noBreakHyphen/>
          <w:t>consultation</w:t>
        </w:r>
        <w:r w:rsidR="00A50201" w:rsidRPr="00A50201">
          <w:rPr>
            <w:rStyle w:val="Hyperlink"/>
          </w:rPr>
          <w:noBreakHyphen/>
          <w:t>paper.pdf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E728" w14:textId="0DBFA93A" w:rsidR="00042C09" w:rsidRDefault="005B753C" w:rsidP="005B753C">
    <w:pPr>
      <w:pStyle w:val="Header"/>
      <w:tabs>
        <w:tab w:val="clear" w:pos="4513"/>
        <w:tab w:val="clear" w:pos="9026"/>
        <w:tab w:val="right" w:pos="1020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18EF" w14:textId="77777777" w:rsidR="00ED64CC" w:rsidRPr="00095900" w:rsidRDefault="00ED64CC" w:rsidP="00095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D10A" w14:textId="77777777" w:rsidR="002573F9" w:rsidRDefault="002573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CFE9" w14:textId="5C6CFD85" w:rsidR="00390711" w:rsidRDefault="003907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2849B" w14:textId="77777777" w:rsidR="002573F9" w:rsidRDefault="0025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27A17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01A3B"/>
    <w:multiLevelType w:val="multilevel"/>
    <w:tmpl w:val="6220BB3E"/>
    <w:lvl w:ilvl="0">
      <w:start w:val="1"/>
      <w:numFmt w:val="decimal"/>
      <w:lvlText w:val="%1."/>
      <w:lvlJc w:val="left"/>
      <w:pPr>
        <w:tabs>
          <w:tab w:val="num" w:pos="284"/>
        </w:tabs>
        <w:ind w:left="284" w:hanging="284"/>
      </w:pPr>
      <w:rPr>
        <w:rFonts w:ascii="Arial" w:hAnsi="Arial" w:cs="Arial" w:hint="default"/>
        <w:sz w:val="20"/>
      </w:rPr>
    </w:lvl>
    <w:lvl w:ilvl="1">
      <w:start w:val="1"/>
      <w:numFmt w:val="decimal"/>
      <w:pStyle w:val="ListNumber2"/>
      <w:lvlText w:val="%1.%2."/>
      <w:lvlJc w:val="left"/>
      <w:pPr>
        <w:tabs>
          <w:tab w:val="num" w:pos="567"/>
        </w:tabs>
        <w:ind w:left="851" w:hanging="567"/>
      </w:pPr>
      <w:rPr>
        <w:rFonts w:ascii="Arial" w:hAnsi="Arial" w:cs="Arial" w:hint="default"/>
        <w:sz w:val="20"/>
      </w:rPr>
    </w:lvl>
    <w:lvl w:ilvl="2">
      <w:start w:val="1"/>
      <w:numFmt w:val="decimal"/>
      <w:pStyle w:val="ListNumber3"/>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AB14A50"/>
    <w:multiLevelType w:val="singleLevel"/>
    <w:tmpl w:val="F9DE7CB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12AE5009"/>
    <w:multiLevelType w:val="hybridMultilevel"/>
    <w:tmpl w:val="3646A03A"/>
    <w:lvl w:ilvl="0" w:tplc="69DA3540">
      <w:start w:val="1"/>
      <w:numFmt w:val="bullet"/>
      <w:pStyle w:val="Bullet1stlevel"/>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FE5FDE"/>
    <w:multiLevelType w:val="multilevel"/>
    <w:tmpl w:val="29B0C4A8"/>
    <w:styleLink w:val="Numberedlists"/>
    <w:lvl w:ilvl="0">
      <w:start w:val="1"/>
      <w:numFmt w:val="decimal"/>
      <w:lvlText w:val="%1."/>
      <w:lvlJc w:val="left"/>
      <w:pPr>
        <w:tabs>
          <w:tab w:val="num" w:pos="284"/>
        </w:tabs>
        <w:ind w:left="284" w:hanging="284"/>
      </w:pPr>
      <w:rPr>
        <w:rFonts w:ascii="Arial" w:hAnsi="Arial" w:cs="Arial" w:hint="default"/>
        <w:sz w:val="20"/>
      </w:rPr>
    </w:lvl>
    <w:lvl w:ilvl="1">
      <w:start w:val="1"/>
      <w:numFmt w:val="decimal"/>
      <w:lvlText w:val="%1.%2."/>
      <w:lvlJc w:val="left"/>
      <w:pPr>
        <w:tabs>
          <w:tab w:val="num" w:pos="567"/>
        </w:tabs>
        <w:ind w:left="851" w:hanging="567"/>
      </w:pPr>
      <w:rPr>
        <w:rFonts w:ascii="Arial" w:hAnsi="Arial" w:cs="Arial" w:hint="default"/>
        <w:sz w:val="20"/>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5" w15:restartNumberingAfterBreak="0">
    <w:nsid w:val="2BC14A46"/>
    <w:multiLevelType w:val="singleLevel"/>
    <w:tmpl w:val="D736E4DE"/>
    <w:lvl w:ilvl="0">
      <w:start w:val="1"/>
      <w:numFmt w:val="bullet"/>
      <w:pStyle w:val="ListBullet3"/>
      <w:lvlText w:val="•"/>
      <w:lvlJc w:val="left"/>
      <w:pPr>
        <w:tabs>
          <w:tab w:val="num" w:pos="340"/>
        </w:tabs>
        <w:ind w:left="340" w:hanging="340"/>
      </w:pPr>
      <w:rPr>
        <w:rFonts w:ascii="Arial" w:hAnsi="Arial" w:cs="Arial" w:hint="default"/>
        <w:color w:val="auto"/>
        <w:sz w:val="24"/>
      </w:rPr>
    </w:lvl>
  </w:abstractNum>
  <w:abstractNum w:abstractNumId="6" w15:restartNumberingAfterBreak="0">
    <w:nsid w:val="3BB00425"/>
    <w:multiLevelType w:val="multilevel"/>
    <w:tmpl w:val="0C090001"/>
    <w:styleLink w:val="Bullets"/>
    <w:lvl w:ilvl="0">
      <w:start w:val="1"/>
      <w:numFmt w:val="bullet"/>
      <w:lvlText w:val="•"/>
      <w:lvlJc w:val="left"/>
      <w:pPr>
        <w:ind w:left="360" w:hanging="360"/>
      </w:pPr>
      <w:rPr>
        <w:rFonts w:ascii="Arial" w:hAnsi="Arial" w:hint="default"/>
        <w:color w:val="auto"/>
        <w:sz w:val="24"/>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DAE6F05"/>
    <w:multiLevelType w:val="singleLevel"/>
    <w:tmpl w:val="B7CCB15E"/>
    <w:lvl w:ilvl="0">
      <w:start w:val="1"/>
      <w:numFmt w:val="bullet"/>
      <w:pStyle w:val="ListBullet2"/>
      <w:lvlText w:val="•"/>
      <w:lvlJc w:val="left"/>
      <w:pPr>
        <w:tabs>
          <w:tab w:val="num" w:pos="340"/>
        </w:tabs>
        <w:ind w:left="340" w:hanging="340"/>
      </w:pPr>
      <w:rPr>
        <w:rFonts w:ascii="Arial" w:hAnsi="Arial" w:cs="Arial" w:hint="default"/>
        <w:color w:val="auto"/>
        <w:sz w:val="24"/>
      </w:rPr>
    </w:lvl>
  </w:abstractNum>
  <w:abstractNum w:abstractNumId="8" w15:restartNumberingAfterBreak="0">
    <w:nsid w:val="410A5F73"/>
    <w:multiLevelType w:val="multilevel"/>
    <w:tmpl w:val="52120158"/>
    <w:lvl w:ilvl="0">
      <w:start w:val="1"/>
      <w:numFmt w:val="decimal"/>
      <w:pStyle w:val="Heading1numbers"/>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 w15:restartNumberingAfterBreak="0">
    <w:nsid w:val="435F5116"/>
    <w:multiLevelType w:val="hybridMultilevel"/>
    <w:tmpl w:val="E32EE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1C0AF9"/>
    <w:multiLevelType w:val="singleLevel"/>
    <w:tmpl w:val="0BBEFAC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61956241"/>
    <w:multiLevelType w:val="singleLevel"/>
    <w:tmpl w:val="C36821C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6859723C"/>
    <w:multiLevelType w:val="multilevel"/>
    <w:tmpl w:val="29B0C4A8"/>
    <w:numStyleLink w:val="Numberedlists"/>
  </w:abstractNum>
  <w:abstractNum w:abstractNumId="13" w15:restartNumberingAfterBreak="0">
    <w:nsid w:val="6CE14BF1"/>
    <w:multiLevelType w:val="hybridMultilevel"/>
    <w:tmpl w:val="4A28324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15:restartNumberingAfterBreak="0">
    <w:nsid w:val="76EA43F5"/>
    <w:multiLevelType w:val="multilevel"/>
    <w:tmpl w:val="0310D0AA"/>
    <w:lvl w:ilvl="0">
      <w:start w:val="1"/>
      <w:numFmt w:val="decimal"/>
      <w:pStyle w:val="ListNumb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245963036">
    <w:abstractNumId w:val="6"/>
  </w:num>
  <w:num w:numId="2" w16cid:durableId="1892616148">
    <w:abstractNumId w:val="1"/>
  </w:num>
  <w:num w:numId="3" w16cid:durableId="347145611">
    <w:abstractNumId w:val="4"/>
  </w:num>
  <w:num w:numId="4" w16cid:durableId="1816407522">
    <w:abstractNumId w:val="3"/>
  </w:num>
  <w:num w:numId="5" w16cid:durableId="323121504">
    <w:abstractNumId w:val="8"/>
  </w:num>
  <w:num w:numId="6" w16cid:durableId="1723602015">
    <w:abstractNumId w:val="7"/>
  </w:num>
  <w:num w:numId="7" w16cid:durableId="1698770860">
    <w:abstractNumId w:val="2"/>
  </w:num>
  <w:num w:numId="8" w16cid:durableId="1662614442">
    <w:abstractNumId w:val="0"/>
  </w:num>
  <w:num w:numId="9" w16cid:durableId="1238320748">
    <w:abstractNumId w:val="13"/>
  </w:num>
  <w:num w:numId="10" w16cid:durableId="129832846">
    <w:abstractNumId w:val="12"/>
  </w:num>
  <w:num w:numId="11" w16cid:durableId="398713">
    <w:abstractNumId w:val="14"/>
  </w:num>
  <w:num w:numId="12" w16cid:durableId="1632593103">
    <w:abstractNumId w:val="5"/>
  </w:num>
  <w:num w:numId="13" w16cid:durableId="909274198">
    <w:abstractNumId w:val="11"/>
  </w:num>
  <w:num w:numId="14" w16cid:durableId="1197154244">
    <w:abstractNumId w:val="10"/>
  </w:num>
  <w:num w:numId="15" w16cid:durableId="1955384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VMKI/sBe10yx1GqNrBV1jaY+L0HUkqfyet1K6q9OTLH71bBva3epvPCaB1nntpqvKoEn7zinLyU0yTNdLIelLw==" w:salt="IZzFGaFgdW9XKxptzU8cLg=="/>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4AF"/>
    <w:rsid w:val="00000178"/>
    <w:rsid w:val="000002B0"/>
    <w:rsid w:val="000002DF"/>
    <w:rsid w:val="00000307"/>
    <w:rsid w:val="0000034C"/>
    <w:rsid w:val="00000587"/>
    <w:rsid w:val="00000612"/>
    <w:rsid w:val="000009D6"/>
    <w:rsid w:val="00000AAE"/>
    <w:rsid w:val="00000F29"/>
    <w:rsid w:val="000016E5"/>
    <w:rsid w:val="00001A10"/>
    <w:rsid w:val="00001AE3"/>
    <w:rsid w:val="00001F4F"/>
    <w:rsid w:val="0000212C"/>
    <w:rsid w:val="000022DE"/>
    <w:rsid w:val="0000235D"/>
    <w:rsid w:val="000023CD"/>
    <w:rsid w:val="00002788"/>
    <w:rsid w:val="0000287A"/>
    <w:rsid w:val="00002905"/>
    <w:rsid w:val="0000297B"/>
    <w:rsid w:val="00002BF0"/>
    <w:rsid w:val="00002C93"/>
    <w:rsid w:val="00003084"/>
    <w:rsid w:val="00003134"/>
    <w:rsid w:val="0000335D"/>
    <w:rsid w:val="00003383"/>
    <w:rsid w:val="000035C4"/>
    <w:rsid w:val="00003716"/>
    <w:rsid w:val="00003812"/>
    <w:rsid w:val="00003B45"/>
    <w:rsid w:val="00003BC9"/>
    <w:rsid w:val="00003CBD"/>
    <w:rsid w:val="00003D01"/>
    <w:rsid w:val="00003D0B"/>
    <w:rsid w:val="00003D88"/>
    <w:rsid w:val="00003D91"/>
    <w:rsid w:val="00003EB4"/>
    <w:rsid w:val="00003F87"/>
    <w:rsid w:val="00003FBB"/>
    <w:rsid w:val="0000428C"/>
    <w:rsid w:val="0000478C"/>
    <w:rsid w:val="000047EF"/>
    <w:rsid w:val="0000496A"/>
    <w:rsid w:val="00004A63"/>
    <w:rsid w:val="00004AEB"/>
    <w:rsid w:val="00004B4B"/>
    <w:rsid w:val="00004C06"/>
    <w:rsid w:val="00004CB8"/>
    <w:rsid w:val="00004DC1"/>
    <w:rsid w:val="00004EEF"/>
    <w:rsid w:val="0000517A"/>
    <w:rsid w:val="000053C6"/>
    <w:rsid w:val="00005853"/>
    <w:rsid w:val="00005BAC"/>
    <w:rsid w:val="00005BCF"/>
    <w:rsid w:val="00005CC2"/>
    <w:rsid w:val="00005D2D"/>
    <w:rsid w:val="00005E9E"/>
    <w:rsid w:val="00005F6A"/>
    <w:rsid w:val="00005F8A"/>
    <w:rsid w:val="00005FF2"/>
    <w:rsid w:val="0000603A"/>
    <w:rsid w:val="00006106"/>
    <w:rsid w:val="00006124"/>
    <w:rsid w:val="00006143"/>
    <w:rsid w:val="00006148"/>
    <w:rsid w:val="000065EA"/>
    <w:rsid w:val="00006D9B"/>
    <w:rsid w:val="00006ED6"/>
    <w:rsid w:val="000072A1"/>
    <w:rsid w:val="0000749E"/>
    <w:rsid w:val="00007653"/>
    <w:rsid w:val="00007709"/>
    <w:rsid w:val="00007A8C"/>
    <w:rsid w:val="00007B0A"/>
    <w:rsid w:val="00007BEE"/>
    <w:rsid w:val="00007C02"/>
    <w:rsid w:val="00007FB5"/>
    <w:rsid w:val="0001002E"/>
    <w:rsid w:val="00010319"/>
    <w:rsid w:val="00010427"/>
    <w:rsid w:val="0001045F"/>
    <w:rsid w:val="00010484"/>
    <w:rsid w:val="00010578"/>
    <w:rsid w:val="000106A2"/>
    <w:rsid w:val="00010CF0"/>
    <w:rsid w:val="00010D07"/>
    <w:rsid w:val="00010DD3"/>
    <w:rsid w:val="00010EDF"/>
    <w:rsid w:val="00011049"/>
    <w:rsid w:val="00011244"/>
    <w:rsid w:val="000112AF"/>
    <w:rsid w:val="00011545"/>
    <w:rsid w:val="00011554"/>
    <w:rsid w:val="0001166B"/>
    <w:rsid w:val="00011718"/>
    <w:rsid w:val="000119E9"/>
    <w:rsid w:val="00011C63"/>
    <w:rsid w:val="00011DD1"/>
    <w:rsid w:val="0001202C"/>
    <w:rsid w:val="00012521"/>
    <w:rsid w:val="00012882"/>
    <w:rsid w:val="00012C2E"/>
    <w:rsid w:val="00012EA1"/>
    <w:rsid w:val="0001318D"/>
    <w:rsid w:val="00013340"/>
    <w:rsid w:val="000133B1"/>
    <w:rsid w:val="0001365E"/>
    <w:rsid w:val="00013671"/>
    <w:rsid w:val="00013705"/>
    <w:rsid w:val="0001391B"/>
    <w:rsid w:val="00013B5D"/>
    <w:rsid w:val="00013D56"/>
    <w:rsid w:val="00013E5E"/>
    <w:rsid w:val="00013E79"/>
    <w:rsid w:val="00013ED3"/>
    <w:rsid w:val="00013F65"/>
    <w:rsid w:val="000141B8"/>
    <w:rsid w:val="00014633"/>
    <w:rsid w:val="000149C8"/>
    <w:rsid w:val="00014D2C"/>
    <w:rsid w:val="00014E20"/>
    <w:rsid w:val="00014F8F"/>
    <w:rsid w:val="00015423"/>
    <w:rsid w:val="000157A8"/>
    <w:rsid w:val="00015A44"/>
    <w:rsid w:val="00015AB4"/>
    <w:rsid w:val="00015E7F"/>
    <w:rsid w:val="00016208"/>
    <w:rsid w:val="00016392"/>
    <w:rsid w:val="0001675D"/>
    <w:rsid w:val="000169EA"/>
    <w:rsid w:val="00016A8F"/>
    <w:rsid w:val="00016BB8"/>
    <w:rsid w:val="00016CC0"/>
    <w:rsid w:val="00016D7E"/>
    <w:rsid w:val="00017065"/>
    <w:rsid w:val="000170A9"/>
    <w:rsid w:val="000173E5"/>
    <w:rsid w:val="00017900"/>
    <w:rsid w:val="000205B1"/>
    <w:rsid w:val="00020901"/>
    <w:rsid w:val="00020A7F"/>
    <w:rsid w:val="00020B95"/>
    <w:rsid w:val="00020CB1"/>
    <w:rsid w:val="00020DE5"/>
    <w:rsid w:val="00020DF3"/>
    <w:rsid w:val="000210A7"/>
    <w:rsid w:val="000210C3"/>
    <w:rsid w:val="000211CB"/>
    <w:rsid w:val="00021574"/>
    <w:rsid w:val="00021853"/>
    <w:rsid w:val="00021DDD"/>
    <w:rsid w:val="00021EC7"/>
    <w:rsid w:val="00022312"/>
    <w:rsid w:val="00022327"/>
    <w:rsid w:val="000227B3"/>
    <w:rsid w:val="00022BC8"/>
    <w:rsid w:val="00022C71"/>
    <w:rsid w:val="00022D1E"/>
    <w:rsid w:val="00022EF1"/>
    <w:rsid w:val="00022F96"/>
    <w:rsid w:val="000230D5"/>
    <w:rsid w:val="000232C1"/>
    <w:rsid w:val="00023ACC"/>
    <w:rsid w:val="00023F75"/>
    <w:rsid w:val="000240E6"/>
    <w:rsid w:val="000246E3"/>
    <w:rsid w:val="000249F9"/>
    <w:rsid w:val="00024D9B"/>
    <w:rsid w:val="00024E02"/>
    <w:rsid w:val="00024E27"/>
    <w:rsid w:val="000251D2"/>
    <w:rsid w:val="0002532F"/>
    <w:rsid w:val="000253B0"/>
    <w:rsid w:val="000254B8"/>
    <w:rsid w:val="000254BA"/>
    <w:rsid w:val="000255AB"/>
    <w:rsid w:val="000257AE"/>
    <w:rsid w:val="0002584A"/>
    <w:rsid w:val="00025961"/>
    <w:rsid w:val="00025E2E"/>
    <w:rsid w:val="00025E32"/>
    <w:rsid w:val="00026180"/>
    <w:rsid w:val="00026479"/>
    <w:rsid w:val="0002652A"/>
    <w:rsid w:val="0002663F"/>
    <w:rsid w:val="000268BF"/>
    <w:rsid w:val="00026A25"/>
    <w:rsid w:val="00026B65"/>
    <w:rsid w:val="00026D3C"/>
    <w:rsid w:val="00026D90"/>
    <w:rsid w:val="0002719E"/>
    <w:rsid w:val="00027AD8"/>
    <w:rsid w:val="00027B2B"/>
    <w:rsid w:val="00027E63"/>
    <w:rsid w:val="00027EA4"/>
    <w:rsid w:val="00027FB2"/>
    <w:rsid w:val="0003006C"/>
    <w:rsid w:val="000300F4"/>
    <w:rsid w:val="00030160"/>
    <w:rsid w:val="00030161"/>
    <w:rsid w:val="00030187"/>
    <w:rsid w:val="000302DE"/>
    <w:rsid w:val="00030526"/>
    <w:rsid w:val="0003057A"/>
    <w:rsid w:val="000307E2"/>
    <w:rsid w:val="00030917"/>
    <w:rsid w:val="00030C5D"/>
    <w:rsid w:val="00030CBA"/>
    <w:rsid w:val="00030CD7"/>
    <w:rsid w:val="00031264"/>
    <w:rsid w:val="000312D7"/>
    <w:rsid w:val="000313B2"/>
    <w:rsid w:val="00031452"/>
    <w:rsid w:val="000316BE"/>
    <w:rsid w:val="000316C3"/>
    <w:rsid w:val="000317C3"/>
    <w:rsid w:val="000318F8"/>
    <w:rsid w:val="00031A1D"/>
    <w:rsid w:val="00031A43"/>
    <w:rsid w:val="0003247A"/>
    <w:rsid w:val="00032514"/>
    <w:rsid w:val="000326EE"/>
    <w:rsid w:val="000328D2"/>
    <w:rsid w:val="000328F3"/>
    <w:rsid w:val="00032ADE"/>
    <w:rsid w:val="00032B53"/>
    <w:rsid w:val="00032E3C"/>
    <w:rsid w:val="000331CC"/>
    <w:rsid w:val="000331DE"/>
    <w:rsid w:val="0003323F"/>
    <w:rsid w:val="0003379E"/>
    <w:rsid w:val="00033AAC"/>
    <w:rsid w:val="00033F09"/>
    <w:rsid w:val="00033FAD"/>
    <w:rsid w:val="00033FEC"/>
    <w:rsid w:val="00034549"/>
    <w:rsid w:val="0003473A"/>
    <w:rsid w:val="00034D67"/>
    <w:rsid w:val="00034D77"/>
    <w:rsid w:val="00034FCE"/>
    <w:rsid w:val="0003519E"/>
    <w:rsid w:val="00035371"/>
    <w:rsid w:val="000356FB"/>
    <w:rsid w:val="00035C32"/>
    <w:rsid w:val="00035E6E"/>
    <w:rsid w:val="0003602D"/>
    <w:rsid w:val="00036102"/>
    <w:rsid w:val="00036359"/>
    <w:rsid w:val="000366A2"/>
    <w:rsid w:val="00036AF7"/>
    <w:rsid w:val="00036E7C"/>
    <w:rsid w:val="000371E4"/>
    <w:rsid w:val="00037220"/>
    <w:rsid w:val="000372EC"/>
    <w:rsid w:val="00037519"/>
    <w:rsid w:val="00037706"/>
    <w:rsid w:val="00037EF7"/>
    <w:rsid w:val="00037FE2"/>
    <w:rsid w:val="000401C3"/>
    <w:rsid w:val="0004024D"/>
    <w:rsid w:val="00040408"/>
    <w:rsid w:val="00040481"/>
    <w:rsid w:val="00040857"/>
    <w:rsid w:val="00040AF5"/>
    <w:rsid w:val="00040BAA"/>
    <w:rsid w:val="00040DE3"/>
    <w:rsid w:val="00040F16"/>
    <w:rsid w:val="00040F69"/>
    <w:rsid w:val="000418B3"/>
    <w:rsid w:val="00041924"/>
    <w:rsid w:val="00041BBF"/>
    <w:rsid w:val="0004200D"/>
    <w:rsid w:val="000420C7"/>
    <w:rsid w:val="0004226A"/>
    <w:rsid w:val="0004227B"/>
    <w:rsid w:val="000424F1"/>
    <w:rsid w:val="000428B1"/>
    <w:rsid w:val="00042B43"/>
    <w:rsid w:val="00042C09"/>
    <w:rsid w:val="00042D47"/>
    <w:rsid w:val="0004341D"/>
    <w:rsid w:val="00043680"/>
    <w:rsid w:val="00043A06"/>
    <w:rsid w:val="00043EDA"/>
    <w:rsid w:val="00043FF5"/>
    <w:rsid w:val="000440EF"/>
    <w:rsid w:val="0004413C"/>
    <w:rsid w:val="00044264"/>
    <w:rsid w:val="00044529"/>
    <w:rsid w:val="000446E7"/>
    <w:rsid w:val="000446E8"/>
    <w:rsid w:val="00044737"/>
    <w:rsid w:val="00044757"/>
    <w:rsid w:val="00044849"/>
    <w:rsid w:val="0004499C"/>
    <w:rsid w:val="00044ACD"/>
    <w:rsid w:val="00045386"/>
    <w:rsid w:val="000453FD"/>
    <w:rsid w:val="00045872"/>
    <w:rsid w:val="00045AA4"/>
    <w:rsid w:val="00045BB5"/>
    <w:rsid w:val="00045CBD"/>
    <w:rsid w:val="00045EE3"/>
    <w:rsid w:val="00046017"/>
    <w:rsid w:val="00046053"/>
    <w:rsid w:val="00046536"/>
    <w:rsid w:val="00046584"/>
    <w:rsid w:val="00046751"/>
    <w:rsid w:val="00046B0A"/>
    <w:rsid w:val="00046B54"/>
    <w:rsid w:val="000470D1"/>
    <w:rsid w:val="00047166"/>
    <w:rsid w:val="00047363"/>
    <w:rsid w:val="00047364"/>
    <w:rsid w:val="0004751E"/>
    <w:rsid w:val="000475F4"/>
    <w:rsid w:val="00047619"/>
    <w:rsid w:val="0004787C"/>
    <w:rsid w:val="0004790A"/>
    <w:rsid w:val="00047A88"/>
    <w:rsid w:val="00047D8A"/>
    <w:rsid w:val="00050130"/>
    <w:rsid w:val="000501D2"/>
    <w:rsid w:val="00050205"/>
    <w:rsid w:val="00050407"/>
    <w:rsid w:val="000505D1"/>
    <w:rsid w:val="00050682"/>
    <w:rsid w:val="00050A7C"/>
    <w:rsid w:val="00050C5F"/>
    <w:rsid w:val="00050E78"/>
    <w:rsid w:val="00050E97"/>
    <w:rsid w:val="0005129E"/>
    <w:rsid w:val="0005130D"/>
    <w:rsid w:val="000516AB"/>
    <w:rsid w:val="000516E4"/>
    <w:rsid w:val="00051804"/>
    <w:rsid w:val="00051A7C"/>
    <w:rsid w:val="00051C14"/>
    <w:rsid w:val="000521C4"/>
    <w:rsid w:val="00052389"/>
    <w:rsid w:val="000525FE"/>
    <w:rsid w:val="00052AAC"/>
    <w:rsid w:val="00052F5C"/>
    <w:rsid w:val="00053049"/>
    <w:rsid w:val="00053513"/>
    <w:rsid w:val="0005361F"/>
    <w:rsid w:val="00053D96"/>
    <w:rsid w:val="00054045"/>
    <w:rsid w:val="00054118"/>
    <w:rsid w:val="00054421"/>
    <w:rsid w:val="000544CD"/>
    <w:rsid w:val="00054704"/>
    <w:rsid w:val="00054715"/>
    <w:rsid w:val="000547EB"/>
    <w:rsid w:val="0005483F"/>
    <w:rsid w:val="000548C5"/>
    <w:rsid w:val="00054B0F"/>
    <w:rsid w:val="00054F99"/>
    <w:rsid w:val="00055283"/>
    <w:rsid w:val="000556DC"/>
    <w:rsid w:val="00055971"/>
    <w:rsid w:val="000559EA"/>
    <w:rsid w:val="00055AD9"/>
    <w:rsid w:val="00055CB1"/>
    <w:rsid w:val="0005640B"/>
    <w:rsid w:val="00056458"/>
    <w:rsid w:val="000566CC"/>
    <w:rsid w:val="00056A86"/>
    <w:rsid w:val="00056AF8"/>
    <w:rsid w:val="00056BC9"/>
    <w:rsid w:val="00056FE2"/>
    <w:rsid w:val="00057163"/>
    <w:rsid w:val="00057181"/>
    <w:rsid w:val="0005719D"/>
    <w:rsid w:val="000571D6"/>
    <w:rsid w:val="000572CC"/>
    <w:rsid w:val="00057661"/>
    <w:rsid w:val="00057875"/>
    <w:rsid w:val="000578BB"/>
    <w:rsid w:val="00057B35"/>
    <w:rsid w:val="00057B9D"/>
    <w:rsid w:val="00057E2D"/>
    <w:rsid w:val="0006079F"/>
    <w:rsid w:val="00060C79"/>
    <w:rsid w:val="00060D1C"/>
    <w:rsid w:val="00060F71"/>
    <w:rsid w:val="00061427"/>
    <w:rsid w:val="00061DF7"/>
    <w:rsid w:val="00061F0D"/>
    <w:rsid w:val="00062147"/>
    <w:rsid w:val="000621A8"/>
    <w:rsid w:val="0006228B"/>
    <w:rsid w:val="00062590"/>
    <w:rsid w:val="000626EE"/>
    <w:rsid w:val="000626EF"/>
    <w:rsid w:val="00062B3B"/>
    <w:rsid w:val="00062D79"/>
    <w:rsid w:val="00062DD8"/>
    <w:rsid w:val="00062F07"/>
    <w:rsid w:val="00062FC1"/>
    <w:rsid w:val="000632D8"/>
    <w:rsid w:val="00063743"/>
    <w:rsid w:val="0006377C"/>
    <w:rsid w:val="00063843"/>
    <w:rsid w:val="00063D7D"/>
    <w:rsid w:val="00063FDC"/>
    <w:rsid w:val="0006411E"/>
    <w:rsid w:val="00064301"/>
    <w:rsid w:val="0006431D"/>
    <w:rsid w:val="000644D7"/>
    <w:rsid w:val="00064677"/>
    <w:rsid w:val="000648E4"/>
    <w:rsid w:val="00064976"/>
    <w:rsid w:val="00064AFC"/>
    <w:rsid w:val="00064F85"/>
    <w:rsid w:val="0006512B"/>
    <w:rsid w:val="00065281"/>
    <w:rsid w:val="000654CA"/>
    <w:rsid w:val="0006585E"/>
    <w:rsid w:val="000658DC"/>
    <w:rsid w:val="00065916"/>
    <w:rsid w:val="00065D0E"/>
    <w:rsid w:val="00066261"/>
    <w:rsid w:val="000663C7"/>
    <w:rsid w:val="000663E9"/>
    <w:rsid w:val="00066461"/>
    <w:rsid w:val="0006658D"/>
    <w:rsid w:val="00066738"/>
    <w:rsid w:val="00066949"/>
    <w:rsid w:val="00066B2F"/>
    <w:rsid w:val="00067338"/>
    <w:rsid w:val="000673E0"/>
    <w:rsid w:val="000679E4"/>
    <w:rsid w:val="00070084"/>
    <w:rsid w:val="0007020F"/>
    <w:rsid w:val="000703B0"/>
    <w:rsid w:val="00070652"/>
    <w:rsid w:val="0007092E"/>
    <w:rsid w:val="00070A13"/>
    <w:rsid w:val="00070A8D"/>
    <w:rsid w:val="00070AE5"/>
    <w:rsid w:val="00070BCA"/>
    <w:rsid w:val="00070E97"/>
    <w:rsid w:val="00070FC6"/>
    <w:rsid w:val="00071145"/>
    <w:rsid w:val="000712BD"/>
    <w:rsid w:val="0007158F"/>
    <w:rsid w:val="00071597"/>
    <w:rsid w:val="00071842"/>
    <w:rsid w:val="00071AE0"/>
    <w:rsid w:val="00071DEF"/>
    <w:rsid w:val="00072017"/>
    <w:rsid w:val="000720C3"/>
    <w:rsid w:val="000720E4"/>
    <w:rsid w:val="0007236C"/>
    <w:rsid w:val="000723BA"/>
    <w:rsid w:val="000724F7"/>
    <w:rsid w:val="00072687"/>
    <w:rsid w:val="00072E5A"/>
    <w:rsid w:val="00072E7E"/>
    <w:rsid w:val="00073389"/>
    <w:rsid w:val="00073744"/>
    <w:rsid w:val="0007387B"/>
    <w:rsid w:val="00073CF6"/>
    <w:rsid w:val="00073D67"/>
    <w:rsid w:val="00073EA4"/>
    <w:rsid w:val="00073F77"/>
    <w:rsid w:val="0007471C"/>
    <w:rsid w:val="0007472D"/>
    <w:rsid w:val="00074FB5"/>
    <w:rsid w:val="000750B7"/>
    <w:rsid w:val="00075128"/>
    <w:rsid w:val="0007517B"/>
    <w:rsid w:val="0007575F"/>
    <w:rsid w:val="000757A7"/>
    <w:rsid w:val="0007595A"/>
    <w:rsid w:val="00075D3F"/>
    <w:rsid w:val="00075E5C"/>
    <w:rsid w:val="000760AE"/>
    <w:rsid w:val="00076314"/>
    <w:rsid w:val="000767E7"/>
    <w:rsid w:val="0007697D"/>
    <w:rsid w:val="00076A3C"/>
    <w:rsid w:val="00076C54"/>
    <w:rsid w:val="00076D60"/>
    <w:rsid w:val="00076F4A"/>
    <w:rsid w:val="00077786"/>
    <w:rsid w:val="00077B76"/>
    <w:rsid w:val="00077E5D"/>
    <w:rsid w:val="00077E97"/>
    <w:rsid w:val="0008014B"/>
    <w:rsid w:val="000801D6"/>
    <w:rsid w:val="000802B4"/>
    <w:rsid w:val="0008037F"/>
    <w:rsid w:val="000803AD"/>
    <w:rsid w:val="000808A2"/>
    <w:rsid w:val="00080A6F"/>
    <w:rsid w:val="00080D06"/>
    <w:rsid w:val="00080DBC"/>
    <w:rsid w:val="00080F5E"/>
    <w:rsid w:val="000811BC"/>
    <w:rsid w:val="00081561"/>
    <w:rsid w:val="000815A5"/>
    <w:rsid w:val="000815C3"/>
    <w:rsid w:val="0008164E"/>
    <w:rsid w:val="000816A3"/>
    <w:rsid w:val="00081722"/>
    <w:rsid w:val="000818CE"/>
    <w:rsid w:val="000818FD"/>
    <w:rsid w:val="0008199E"/>
    <w:rsid w:val="00081DFF"/>
    <w:rsid w:val="000820CC"/>
    <w:rsid w:val="00082229"/>
    <w:rsid w:val="00082245"/>
    <w:rsid w:val="0008224D"/>
    <w:rsid w:val="0008257D"/>
    <w:rsid w:val="00082623"/>
    <w:rsid w:val="0008264F"/>
    <w:rsid w:val="00082706"/>
    <w:rsid w:val="000829B5"/>
    <w:rsid w:val="00082A67"/>
    <w:rsid w:val="00082ABA"/>
    <w:rsid w:val="00082DB6"/>
    <w:rsid w:val="00082F34"/>
    <w:rsid w:val="000830B1"/>
    <w:rsid w:val="000830EC"/>
    <w:rsid w:val="0008344D"/>
    <w:rsid w:val="000839C2"/>
    <w:rsid w:val="000839E1"/>
    <w:rsid w:val="00083D71"/>
    <w:rsid w:val="00083EC8"/>
    <w:rsid w:val="00083F4E"/>
    <w:rsid w:val="00084024"/>
    <w:rsid w:val="00084054"/>
    <w:rsid w:val="00084087"/>
    <w:rsid w:val="00084254"/>
    <w:rsid w:val="0008452D"/>
    <w:rsid w:val="0008465F"/>
    <w:rsid w:val="000846B0"/>
    <w:rsid w:val="000846E0"/>
    <w:rsid w:val="00084BC9"/>
    <w:rsid w:val="00084CAE"/>
    <w:rsid w:val="00084D86"/>
    <w:rsid w:val="00084D89"/>
    <w:rsid w:val="00084FEB"/>
    <w:rsid w:val="00085241"/>
    <w:rsid w:val="00085491"/>
    <w:rsid w:val="0008563C"/>
    <w:rsid w:val="000856A6"/>
    <w:rsid w:val="00085BAE"/>
    <w:rsid w:val="00085BBD"/>
    <w:rsid w:val="00085BC3"/>
    <w:rsid w:val="00085F0F"/>
    <w:rsid w:val="000861DD"/>
    <w:rsid w:val="000862B0"/>
    <w:rsid w:val="00086588"/>
    <w:rsid w:val="000867B6"/>
    <w:rsid w:val="000868E7"/>
    <w:rsid w:val="00086941"/>
    <w:rsid w:val="00086B17"/>
    <w:rsid w:val="00086B62"/>
    <w:rsid w:val="00086FD1"/>
    <w:rsid w:val="0008708D"/>
    <w:rsid w:val="0008717F"/>
    <w:rsid w:val="000871D5"/>
    <w:rsid w:val="000872CE"/>
    <w:rsid w:val="00087340"/>
    <w:rsid w:val="0008783C"/>
    <w:rsid w:val="00087988"/>
    <w:rsid w:val="00087EA4"/>
    <w:rsid w:val="00090005"/>
    <w:rsid w:val="0009028D"/>
    <w:rsid w:val="000903F3"/>
    <w:rsid w:val="000905EB"/>
    <w:rsid w:val="00090644"/>
    <w:rsid w:val="000908D2"/>
    <w:rsid w:val="00090E7D"/>
    <w:rsid w:val="00090EC8"/>
    <w:rsid w:val="00090F0D"/>
    <w:rsid w:val="00090FE5"/>
    <w:rsid w:val="00091092"/>
    <w:rsid w:val="00091276"/>
    <w:rsid w:val="00091315"/>
    <w:rsid w:val="000915F0"/>
    <w:rsid w:val="000916FE"/>
    <w:rsid w:val="00091731"/>
    <w:rsid w:val="00091D29"/>
    <w:rsid w:val="00091D55"/>
    <w:rsid w:val="00091D9C"/>
    <w:rsid w:val="000920A2"/>
    <w:rsid w:val="000921B1"/>
    <w:rsid w:val="000922E4"/>
    <w:rsid w:val="000923CC"/>
    <w:rsid w:val="00092717"/>
    <w:rsid w:val="00092740"/>
    <w:rsid w:val="00092753"/>
    <w:rsid w:val="0009278E"/>
    <w:rsid w:val="000927EF"/>
    <w:rsid w:val="000929CF"/>
    <w:rsid w:val="00092BDF"/>
    <w:rsid w:val="00092C63"/>
    <w:rsid w:val="00092E6B"/>
    <w:rsid w:val="00092FD4"/>
    <w:rsid w:val="00092FF1"/>
    <w:rsid w:val="000930C0"/>
    <w:rsid w:val="000939FA"/>
    <w:rsid w:val="00093B3F"/>
    <w:rsid w:val="00093BAF"/>
    <w:rsid w:val="00093D75"/>
    <w:rsid w:val="00093E03"/>
    <w:rsid w:val="000941AC"/>
    <w:rsid w:val="000942A3"/>
    <w:rsid w:val="000942B2"/>
    <w:rsid w:val="0009430E"/>
    <w:rsid w:val="000943EF"/>
    <w:rsid w:val="00094641"/>
    <w:rsid w:val="00094808"/>
    <w:rsid w:val="00094977"/>
    <w:rsid w:val="0009497E"/>
    <w:rsid w:val="00094C23"/>
    <w:rsid w:val="00094E1E"/>
    <w:rsid w:val="000958EC"/>
    <w:rsid w:val="00095900"/>
    <w:rsid w:val="00095A1E"/>
    <w:rsid w:val="00095B49"/>
    <w:rsid w:val="00095D63"/>
    <w:rsid w:val="000962BD"/>
    <w:rsid w:val="00096462"/>
    <w:rsid w:val="000964A8"/>
    <w:rsid w:val="000965A5"/>
    <w:rsid w:val="0009666A"/>
    <w:rsid w:val="000967E5"/>
    <w:rsid w:val="00096828"/>
    <w:rsid w:val="00096842"/>
    <w:rsid w:val="00096A46"/>
    <w:rsid w:val="00096BE2"/>
    <w:rsid w:val="00096C7D"/>
    <w:rsid w:val="00096D8B"/>
    <w:rsid w:val="0009706D"/>
    <w:rsid w:val="00097173"/>
    <w:rsid w:val="000972D2"/>
    <w:rsid w:val="00097306"/>
    <w:rsid w:val="000973C4"/>
    <w:rsid w:val="00097BE3"/>
    <w:rsid w:val="00097C5D"/>
    <w:rsid w:val="000A0112"/>
    <w:rsid w:val="000A0344"/>
    <w:rsid w:val="000A03FA"/>
    <w:rsid w:val="000A0467"/>
    <w:rsid w:val="000A0581"/>
    <w:rsid w:val="000A05E8"/>
    <w:rsid w:val="000A0610"/>
    <w:rsid w:val="000A0669"/>
    <w:rsid w:val="000A0836"/>
    <w:rsid w:val="000A084E"/>
    <w:rsid w:val="000A0A58"/>
    <w:rsid w:val="000A0AFC"/>
    <w:rsid w:val="000A0EB9"/>
    <w:rsid w:val="000A10B0"/>
    <w:rsid w:val="000A1130"/>
    <w:rsid w:val="000A1170"/>
    <w:rsid w:val="000A11BF"/>
    <w:rsid w:val="000A11E2"/>
    <w:rsid w:val="000A14DC"/>
    <w:rsid w:val="000A1559"/>
    <w:rsid w:val="000A18D1"/>
    <w:rsid w:val="000A1C41"/>
    <w:rsid w:val="000A1E3E"/>
    <w:rsid w:val="000A1EE2"/>
    <w:rsid w:val="000A1FAD"/>
    <w:rsid w:val="000A231D"/>
    <w:rsid w:val="000A291E"/>
    <w:rsid w:val="000A29E0"/>
    <w:rsid w:val="000A2A4B"/>
    <w:rsid w:val="000A2B19"/>
    <w:rsid w:val="000A2CC5"/>
    <w:rsid w:val="000A2CD6"/>
    <w:rsid w:val="000A2CDA"/>
    <w:rsid w:val="000A2F04"/>
    <w:rsid w:val="000A3089"/>
    <w:rsid w:val="000A30E2"/>
    <w:rsid w:val="000A3158"/>
    <w:rsid w:val="000A32BF"/>
    <w:rsid w:val="000A3386"/>
    <w:rsid w:val="000A36FE"/>
    <w:rsid w:val="000A3936"/>
    <w:rsid w:val="000A394A"/>
    <w:rsid w:val="000A3CF1"/>
    <w:rsid w:val="000A3E76"/>
    <w:rsid w:val="000A440B"/>
    <w:rsid w:val="000A4486"/>
    <w:rsid w:val="000A45B4"/>
    <w:rsid w:val="000A4624"/>
    <w:rsid w:val="000A483D"/>
    <w:rsid w:val="000A4DD1"/>
    <w:rsid w:val="000A52C8"/>
    <w:rsid w:val="000A5529"/>
    <w:rsid w:val="000A5760"/>
    <w:rsid w:val="000A57A6"/>
    <w:rsid w:val="000A5965"/>
    <w:rsid w:val="000A59D3"/>
    <w:rsid w:val="000A5E66"/>
    <w:rsid w:val="000A60B3"/>
    <w:rsid w:val="000A6435"/>
    <w:rsid w:val="000A665E"/>
    <w:rsid w:val="000A689E"/>
    <w:rsid w:val="000A68E1"/>
    <w:rsid w:val="000A6DB9"/>
    <w:rsid w:val="000A6EF5"/>
    <w:rsid w:val="000A7081"/>
    <w:rsid w:val="000A71F5"/>
    <w:rsid w:val="000A7259"/>
    <w:rsid w:val="000A7424"/>
    <w:rsid w:val="000A7542"/>
    <w:rsid w:val="000A7B48"/>
    <w:rsid w:val="000B05CE"/>
    <w:rsid w:val="000B0666"/>
    <w:rsid w:val="000B06B8"/>
    <w:rsid w:val="000B07BF"/>
    <w:rsid w:val="000B0941"/>
    <w:rsid w:val="000B09AB"/>
    <w:rsid w:val="000B0A0B"/>
    <w:rsid w:val="000B0E4C"/>
    <w:rsid w:val="000B0E84"/>
    <w:rsid w:val="000B0EF7"/>
    <w:rsid w:val="000B1112"/>
    <w:rsid w:val="000B18FE"/>
    <w:rsid w:val="000B1A8B"/>
    <w:rsid w:val="000B1CC4"/>
    <w:rsid w:val="000B1F66"/>
    <w:rsid w:val="000B23AC"/>
    <w:rsid w:val="000B23FD"/>
    <w:rsid w:val="000B2459"/>
    <w:rsid w:val="000B26D6"/>
    <w:rsid w:val="000B2978"/>
    <w:rsid w:val="000B2BDC"/>
    <w:rsid w:val="000B2E8A"/>
    <w:rsid w:val="000B2FFE"/>
    <w:rsid w:val="000B328A"/>
    <w:rsid w:val="000B33D6"/>
    <w:rsid w:val="000B3440"/>
    <w:rsid w:val="000B36C0"/>
    <w:rsid w:val="000B3820"/>
    <w:rsid w:val="000B3864"/>
    <w:rsid w:val="000B3A38"/>
    <w:rsid w:val="000B3A6A"/>
    <w:rsid w:val="000B3AEF"/>
    <w:rsid w:val="000B3D4C"/>
    <w:rsid w:val="000B3F46"/>
    <w:rsid w:val="000B4023"/>
    <w:rsid w:val="000B41B6"/>
    <w:rsid w:val="000B41ED"/>
    <w:rsid w:val="000B432E"/>
    <w:rsid w:val="000B453D"/>
    <w:rsid w:val="000B471F"/>
    <w:rsid w:val="000B4876"/>
    <w:rsid w:val="000B4EAC"/>
    <w:rsid w:val="000B51E5"/>
    <w:rsid w:val="000B52F9"/>
    <w:rsid w:val="000B542E"/>
    <w:rsid w:val="000B58E6"/>
    <w:rsid w:val="000B5AB5"/>
    <w:rsid w:val="000B6181"/>
    <w:rsid w:val="000B61D8"/>
    <w:rsid w:val="000B64A1"/>
    <w:rsid w:val="000B64AD"/>
    <w:rsid w:val="000B6532"/>
    <w:rsid w:val="000B662A"/>
    <w:rsid w:val="000B6AD8"/>
    <w:rsid w:val="000B6BF5"/>
    <w:rsid w:val="000B6C32"/>
    <w:rsid w:val="000B6C5D"/>
    <w:rsid w:val="000B6FB7"/>
    <w:rsid w:val="000B7237"/>
    <w:rsid w:val="000B7475"/>
    <w:rsid w:val="000B7500"/>
    <w:rsid w:val="000B755E"/>
    <w:rsid w:val="000B797D"/>
    <w:rsid w:val="000B7D8A"/>
    <w:rsid w:val="000B7DD8"/>
    <w:rsid w:val="000B7E47"/>
    <w:rsid w:val="000B7E5F"/>
    <w:rsid w:val="000C05CF"/>
    <w:rsid w:val="000C097D"/>
    <w:rsid w:val="000C0E0D"/>
    <w:rsid w:val="000C13EA"/>
    <w:rsid w:val="000C184F"/>
    <w:rsid w:val="000C1917"/>
    <w:rsid w:val="000C1BAC"/>
    <w:rsid w:val="000C1C29"/>
    <w:rsid w:val="000C1CAA"/>
    <w:rsid w:val="000C1D0B"/>
    <w:rsid w:val="000C1F5E"/>
    <w:rsid w:val="000C1F68"/>
    <w:rsid w:val="000C1FA7"/>
    <w:rsid w:val="000C2047"/>
    <w:rsid w:val="000C2548"/>
    <w:rsid w:val="000C27FC"/>
    <w:rsid w:val="000C29EB"/>
    <w:rsid w:val="000C29F7"/>
    <w:rsid w:val="000C2D7F"/>
    <w:rsid w:val="000C2E1E"/>
    <w:rsid w:val="000C2EA0"/>
    <w:rsid w:val="000C2F4F"/>
    <w:rsid w:val="000C2F57"/>
    <w:rsid w:val="000C2FC4"/>
    <w:rsid w:val="000C306B"/>
    <w:rsid w:val="000C3BEC"/>
    <w:rsid w:val="000C3D39"/>
    <w:rsid w:val="000C3E06"/>
    <w:rsid w:val="000C4029"/>
    <w:rsid w:val="000C452F"/>
    <w:rsid w:val="000C4616"/>
    <w:rsid w:val="000C46C2"/>
    <w:rsid w:val="000C48FB"/>
    <w:rsid w:val="000C4A9B"/>
    <w:rsid w:val="000C4DA0"/>
    <w:rsid w:val="000C5351"/>
    <w:rsid w:val="000C55B6"/>
    <w:rsid w:val="000C569B"/>
    <w:rsid w:val="000C5861"/>
    <w:rsid w:val="000C5A26"/>
    <w:rsid w:val="000C5A91"/>
    <w:rsid w:val="000C5C9F"/>
    <w:rsid w:val="000C5D26"/>
    <w:rsid w:val="000C5EA0"/>
    <w:rsid w:val="000C5F83"/>
    <w:rsid w:val="000C6058"/>
    <w:rsid w:val="000C630F"/>
    <w:rsid w:val="000C66B4"/>
    <w:rsid w:val="000C6827"/>
    <w:rsid w:val="000C6A95"/>
    <w:rsid w:val="000C6C84"/>
    <w:rsid w:val="000C6C96"/>
    <w:rsid w:val="000C6F84"/>
    <w:rsid w:val="000C75B7"/>
    <w:rsid w:val="000C78BA"/>
    <w:rsid w:val="000D00EA"/>
    <w:rsid w:val="000D075A"/>
    <w:rsid w:val="000D08C1"/>
    <w:rsid w:val="000D0A2F"/>
    <w:rsid w:val="000D0D19"/>
    <w:rsid w:val="000D0E4B"/>
    <w:rsid w:val="000D12F8"/>
    <w:rsid w:val="000D1405"/>
    <w:rsid w:val="000D1584"/>
    <w:rsid w:val="000D1700"/>
    <w:rsid w:val="000D1798"/>
    <w:rsid w:val="000D1830"/>
    <w:rsid w:val="000D2017"/>
    <w:rsid w:val="000D2404"/>
    <w:rsid w:val="000D25F3"/>
    <w:rsid w:val="000D2608"/>
    <w:rsid w:val="000D2759"/>
    <w:rsid w:val="000D2A04"/>
    <w:rsid w:val="000D2A2C"/>
    <w:rsid w:val="000D2B5E"/>
    <w:rsid w:val="000D2C19"/>
    <w:rsid w:val="000D2D8B"/>
    <w:rsid w:val="000D2F57"/>
    <w:rsid w:val="000D3014"/>
    <w:rsid w:val="000D3225"/>
    <w:rsid w:val="000D33A9"/>
    <w:rsid w:val="000D33B0"/>
    <w:rsid w:val="000D3479"/>
    <w:rsid w:val="000D34F5"/>
    <w:rsid w:val="000D352D"/>
    <w:rsid w:val="000D36F7"/>
    <w:rsid w:val="000D3741"/>
    <w:rsid w:val="000D3890"/>
    <w:rsid w:val="000D38FC"/>
    <w:rsid w:val="000D39E6"/>
    <w:rsid w:val="000D3B74"/>
    <w:rsid w:val="000D3BA1"/>
    <w:rsid w:val="000D3BB1"/>
    <w:rsid w:val="000D3C38"/>
    <w:rsid w:val="000D3CC8"/>
    <w:rsid w:val="000D3EF9"/>
    <w:rsid w:val="000D3EFF"/>
    <w:rsid w:val="000D4067"/>
    <w:rsid w:val="000D4074"/>
    <w:rsid w:val="000D42CF"/>
    <w:rsid w:val="000D4360"/>
    <w:rsid w:val="000D43D0"/>
    <w:rsid w:val="000D46EE"/>
    <w:rsid w:val="000D4B94"/>
    <w:rsid w:val="000D5112"/>
    <w:rsid w:val="000D5122"/>
    <w:rsid w:val="000D5156"/>
    <w:rsid w:val="000D532E"/>
    <w:rsid w:val="000D53BC"/>
    <w:rsid w:val="000D543B"/>
    <w:rsid w:val="000D556A"/>
    <w:rsid w:val="000D5574"/>
    <w:rsid w:val="000D5588"/>
    <w:rsid w:val="000D5902"/>
    <w:rsid w:val="000D5ACF"/>
    <w:rsid w:val="000D5B8A"/>
    <w:rsid w:val="000D5E01"/>
    <w:rsid w:val="000D5EEB"/>
    <w:rsid w:val="000D5F47"/>
    <w:rsid w:val="000D5FF7"/>
    <w:rsid w:val="000D608C"/>
    <w:rsid w:val="000D60B4"/>
    <w:rsid w:val="000D6454"/>
    <w:rsid w:val="000D65BD"/>
    <w:rsid w:val="000D68EB"/>
    <w:rsid w:val="000D6A1F"/>
    <w:rsid w:val="000D6B4B"/>
    <w:rsid w:val="000D6B56"/>
    <w:rsid w:val="000D7014"/>
    <w:rsid w:val="000D78E9"/>
    <w:rsid w:val="000D7A2B"/>
    <w:rsid w:val="000D7A9D"/>
    <w:rsid w:val="000D7C69"/>
    <w:rsid w:val="000D7DB9"/>
    <w:rsid w:val="000D7E83"/>
    <w:rsid w:val="000E0204"/>
    <w:rsid w:val="000E0263"/>
    <w:rsid w:val="000E0487"/>
    <w:rsid w:val="000E082F"/>
    <w:rsid w:val="000E0A6C"/>
    <w:rsid w:val="000E0CC2"/>
    <w:rsid w:val="000E0DFE"/>
    <w:rsid w:val="000E0F60"/>
    <w:rsid w:val="000E111A"/>
    <w:rsid w:val="000E1497"/>
    <w:rsid w:val="000E1706"/>
    <w:rsid w:val="000E17B7"/>
    <w:rsid w:val="000E1872"/>
    <w:rsid w:val="000E18BF"/>
    <w:rsid w:val="000E1939"/>
    <w:rsid w:val="000E1CF9"/>
    <w:rsid w:val="000E234D"/>
    <w:rsid w:val="000E2BD3"/>
    <w:rsid w:val="000E3059"/>
    <w:rsid w:val="000E358E"/>
    <w:rsid w:val="000E3593"/>
    <w:rsid w:val="000E368C"/>
    <w:rsid w:val="000E36DC"/>
    <w:rsid w:val="000E379B"/>
    <w:rsid w:val="000E3962"/>
    <w:rsid w:val="000E3A7B"/>
    <w:rsid w:val="000E3A9F"/>
    <w:rsid w:val="000E3B14"/>
    <w:rsid w:val="000E3D07"/>
    <w:rsid w:val="000E429B"/>
    <w:rsid w:val="000E42FD"/>
    <w:rsid w:val="000E43EF"/>
    <w:rsid w:val="000E44BD"/>
    <w:rsid w:val="000E46D7"/>
    <w:rsid w:val="000E4A43"/>
    <w:rsid w:val="000E5102"/>
    <w:rsid w:val="000E5308"/>
    <w:rsid w:val="000E57AA"/>
    <w:rsid w:val="000E57AB"/>
    <w:rsid w:val="000E57D6"/>
    <w:rsid w:val="000E5B4E"/>
    <w:rsid w:val="000E5BAC"/>
    <w:rsid w:val="000E5D4A"/>
    <w:rsid w:val="000E5E4F"/>
    <w:rsid w:val="000E60B9"/>
    <w:rsid w:val="000E624A"/>
    <w:rsid w:val="000E66B3"/>
    <w:rsid w:val="000E67E7"/>
    <w:rsid w:val="000E6921"/>
    <w:rsid w:val="000E6924"/>
    <w:rsid w:val="000E6AEF"/>
    <w:rsid w:val="000E6D76"/>
    <w:rsid w:val="000E6F7E"/>
    <w:rsid w:val="000E75C0"/>
    <w:rsid w:val="000E75C2"/>
    <w:rsid w:val="000E760D"/>
    <w:rsid w:val="000E7610"/>
    <w:rsid w:val="000E780B"/>
    <w:rsid w:val="000E7937"/>
    <w:rsid w:val="000E7965"/>
    <w:rsid w:val="000E7AB2"/>
    <w:rsid w:val="000E7C21"/>
    <w:rsid w:val="000E7C70"/>
    <w:rsid w:val="000E7C8F"/>
    <w:rsid w:val="000E7EAC"/>
    <w:rsid w:val="000E7F78"/>
    <w:rsid w:val="000F01CE"/>
    <w:rsid w:val="000F023D"/>
    <w:rsid w:val="000F033B"/>
    <w:rsid w:val="000F0415"/>
    <w:rsid w:val="000F05B8"/>
    <w:rsid w:val="000F0661"/>
    <w:rsid w:val="000F0F2A"/>
    <w:rsid w:val="000F0FD1"/>
    <w:rsid w:val="000F1152"/>
    <w:rsid w:val="000F15F2"/>
    <w:rsid w:val="000F18CF"/>
    <w:rsid w:val="000F1B00"/>
    <w:rsid w:val="000F1B39"/>
    <w:rsid w:val="000F1F3B"/>
    <w:rsid w:val="000F2055"/>
    <w:rsid w:val="000F260A"/>
    <w:rsid w:val="000F290D"/>
    <w:rsid w:val="000F2DAC"/>
    <w:rsid w:val="000F3077"/>
    <w:rsid w:val="000F3749"/>
    <w:rsid w:val="000F3774"/>
    <w:rsid w:val="000F3842"/>
    <w:rsid w:val="000F3A58"/>
    <w:rsid w:val="000F3FA7"/>
    <w:rsid w:val="000F4061"/>
    <w:rsid w:val="000F4214"/>
    <w:rsid w:val="000F44C8"/>
    <w:rsid w:val="000F45D8"/>
    <w:rsid w:val="000F46A6"/>
    <w:rsid w:val="000F474D"/>
    <w:rsid w:val="000F4A0A"/>
    <w:rsid w:val="000F4E29"/>
    <w:rsid w:val="000F4EB3"/>
    <w:rsid w:val="000F4FDF"/>
    <w:rsid w:val="000F502E"/>
    <w:rsid w:val="000F5155"/>
    <w:rsid w:val="000F5170"/>
    <w:rsid w:val="000F51CB"/>
    <w:rsid w:val="000F51F9"/>
    <w:rsid w:val="000F523E"/>
    <w:rsid w:val="000F56E4"/>
    <w:rsid w:val="000F5BB2"/>
    <w:rsid w:val="000F5F4C"/>
    <w:rsid w:val="000F63F8"/>
    <w:rsid w:val="000F640F"/>
    <w:rsid w:val="000F665E"/>
    <w:rsid w:val="000F6673"/>
    <w:rsid w:val="000F72C2"/>
    <w:rsid w:val="000F72FF"/>
    <w:rsid w:val="000F7418"/>
    <w:rsid w:val="000F764F"/>
    <w:rsid w:val="000F7681"/>
    <w:rsid w:val="000F76E7"/>
    <w:rsid w:val="000F7F91"/>
    <w:rsid w:val="0010029D"/>
    <w:rsid w:val="001003A7"/>
    <w:rsid w:val="00100590"/>
    <w:rsid w:val="0010087E"/>
    <w:rsid w:val="00100B92"/>
    <w:rsid w:val="00100D0F"/>
    <w:rsid w:val="00100FAA"/>
    <w:rsid w:val="001011DD"/>
    <w:rsid w:val="00101566"/>
    <w:rsid w:val="0010158F"/>
    <w:rsid w:val="00101C1C"/>
    <w:rsid w:val="00101D0C"/>
    <w:rsid w:val="00101F28"/>
    <w:rsid w:val="00101FFC"/>
    <w:rsid w:val="001020C1"/>
    <w:rsid w:val="0010257B"/>
    <w:rsid w:val="0010274A"/>
    <w:rsid w:val="001027CE"/>
    <w:rsid w:val="0010283E"/>
    <w:rsid w:val="00102AFC"/>
    <w:rsid w:val="00102C07"/>
    <w:rsid w:val="00102C14"/>
    <w:rsid w:val="00102E46"/>
    <w:rsid w:val="00102E96"/>
    <w:rsid w:val="00103120"/>
    <w:rsid w:val="0010333C"/>
    <w:rsid w:val="00103683"/>
    <w:rsid w:val="00103B5E"/>
    <w:rsid w:val="00103E78"/>
    <w:rsid w:val="00104634"/>
    <w:rsid w:val="001046A0"/>
    <w:rsid w:val="00104705"/>
    <w:rsid w:val="001049EC"/>
    <w:rsid w:val="00104BA9"/>
    <w:rsid w:val="00104C06"/>
    <w:rsid w:val="00104CC1"/>
    <w:rsid w:val="00104D66"/>
    <w:rsid w:val="00104D6C"/>
    <w:rsid w:val="00104F73"/>
    <w:rsid w:val="00105167"/>
    <w:rsid w:val="001052DC"/>
    <w:rsid w:val="00105565"/>
    <w:rsid w:val="001056B5"/>
    <w:rsid w:val="001056EE"/>
    <w:rsid w:val="001056F5"/>
    <w:rsid w:val="00105953"/>
    <w:rsid w:val="00105C35"/>
    <w:rsid w:val="00105D8B"/>
    <w:rsid w:val="00105F8A"/>
    <w:rsid w:val="00105F8D"/>
    <w:rsid w:val="0010620D"/>
    <w:rsid w:val="0010643B"/>
    <w:rsid w:val="00106451"/>
    <w:rsid w:val="00106533"/>
    <w:rsid w:val="00106559"/>
    <w:rsid w:val="001065E6"/>
    <w:rsid w:val="001066DB"/>
    <w:rsid w:val="0010692A"/>
    <w:rsid w:val="001069E3"/>
    <w:rsid w:val="00106ABF"/>
    <w:rsid w:val="00106DFF"/>
    <w:rsid w:val="00106E11"/>
    <w:rsid w:val="00107146"/>
    <w:rsid w:val="0010723D"/>
    <w:rsid w:val="001073FC"/>
    <w:rsid w:val="001075C8"/>
    <w:rsid w:val="001077A5"/>
    <w:rsid w:val="001078AB"/>
    <w:rsid w:val="00107C36"/>
    <w:rsid w:val="00107C94"/>
    <w:rsid w:val="00107D20"/>
    <w:rsid w:val="00107D2C"/>
    <w:rsid w:val="00107F49"/>
    <w:rsid w:val="00107F87"/>
    <w:rsid w:val="00110452"/>
    <w:rsid w:val="0011061E"/>
    <w:rsid w:val="00110A01"/>
    <w:rsid w:val="00110B52"/>
    <w:rsid w:val="00110B56"/>
    <w:rsid w:val="00110F42"/>
    <w:rsid w:val="00111063"/>
    <w:rsid w:val="001111B2"/>
    <w:rsid w:val="00111357"/>
    <w:rsid w:val="001114F3"/>
    <w:rsid w:val="00111608"/>
    <w:rsid w:val="00111667"/>
    <w:rsid w:val="00111905"/>
    <w:rsid w:val="001119D3"/>
    <w:rsid w:val="00111D8F"/>
    <w:rsid w:val="00112063"/>
    <w:rsid w:val="001121E4"/>
    <w:rsid w:val="0011238C"/>
    <w:rsid w:val="001127C1"/>
    <w:rsid w:val="0011297E"/>
    <w:rsid w:val="00112DF1"/>
    <w:rsid w:val="00112E4A"/>
    <w:rsid w:val="00112F9A"/>
    <w:rsid w:val="0011306A"/>
    <w:rsid w:val="001138D0"/>
    <w:rsid w:val="00113BC7"/>
    <w:rsid w:val="00113CC9"/>
    <w:rsid w:val="00113D29"/>
    <w:rsid w:val="00113D87"/>
    <w:rsid w:val="00113F7B"/>
    <w:rsid w:val="00114067"/>
    <w:rsid w:val="001140F9"/>
    <w:rsid w:val="001142CB"/>
    <w:rsid w:val="001144F0"/>
    <w:rsid w:val="00114501"/>
    <w:rsid w:val="00114747"/>
    <w:rsid w:val="00114902"/>
    <w:rsid w:val="001149AE"/>
    <w:rsid w:val="00114FF2"/>
    <w:rsid w:val="00115050"/>
    <w:rsid w:val="001152E7"/>
    <w:rsid w:val="00115492"/>
    <w:rsid w:val="00115F17"/>
    <w:rsid w:val="00115F47"/>
    <w:rsid w:val="00115FDD"/>
    <w:rsid w:val="00116230"/>
    <w:rsid w:val="00116310"/>
    <w:rsid w:val="00116325"/>
    <w:rsid w:val="001164C9"/>
    <w:rsid w:val="001164F0"/>
    <w:rsid w:val="00116572"/>
    <w:rsid w:val="00116661"/>
    <w:rsid w:val="001167A6"/>
    <w:rsid w:val="00116966"/>
    <w:rsid w:val="00116995"/>
    <w:rsid w:val="00116C17"/>
    <w:rsid w:val="00116DD0"/>
    <w:rsid w:val="00116E04"/>
    <w:rsid w:val="00117060"/>
    <w:rsid w:val="001172B7"/>
    <w:rsid w:val="00117424"/>
    <w:rsid w:val="001178B8"/>
    <w:rsid w:val="00117AC9"/>
    <w:rsid w:val="00117CCB"/>
    <w:rsid w:val="00117E90"/>
    <w:rsid w:val="00120005"/>
    <w:rsid w:val="00120100"/>
    <w:rsid w:val="00120293"/>
    <w:rsid w:val="00120863"/>
    <w:rsid w:val="00120F2A"/>
    <w:rsid w:val="00120FEC"/>
    <w:rsid w:val="00121060"/>
    <w:rsid w:val="001210FE"/>
    <w:rsid w:val="0012132C"/>
    <w:rsid w:val="001214D4"/>
    <w:rsid w:val="0012152E"/>
    <w:rsid w:val="0012167D"/>
    <w:rsid w:val="0012189B"/>
    <w:rsid w:val="00121C7A"/>
    <w:rsid w:val="00121DCE"/>
    <w:rsid w:val="00121E4E"/>
    <w:rsid w:val="00121F84"/>
    <w:rsid w:val="001221EB"/>
    <w:rsid w:val="00122610"/>
    <w:rsid w:val="00122651"/>
    <w:rsid w:val="00122D7C"/>
    <w:rsid w:val="001230BD"/>
    <w:rsid w:val="0012328A"/>
    <w:rsid w:val="001232CF"/>
    <w:rsid w:val="0012349D"/>
    <w:rsid w:val="001234A4"/>
    <w:rsid w:val="0012353D"/>
    <w:rsid w:val="001237EF"/>
    <w:rsid w:val="00123EDA"/>
    <w:rsid w:val="00123F2E"/>
    <w:rsid w:val="00124118"/>
    <w:rsid w:val="0012412A"/>
    <w:rsid w:val="00124278"/>
    <w:rsid w:val="0012433E"/>
    <w:rsid w:val="00124377"/>
    <w:rsid w:val="001243E8"/>
    <w:rsid w:val="00124503"/>
    <w:rsid w:val="001245A8"/>
    <w:rsid w:val="001249BA"/>
    <w:rsid w:val="00124E33"/>
    <w:rsid w:val="00124E82"/>
    <w:rsid w:val="00125134"/>
    <w:rsid w:val="001251ED"/>
    <w:rsid w:val="00125872"/>
    <w:rsid w:val="001258FF"/>
    <w:rsid w:val="00125B3D"/>
    <w:rsid w:val="00125D2C"/>
    <w:rsid w:val="001260D8"/>
    <w:rsid w:val="001261D9"/>
    <w:rsid w:val="0012628D"/>
    <w:rsid w:val="0012642E"/>
    <w:rsid w:val="00126813"/>
    <w:rsid w:val="00126881"/>
    <w:rsid w:val="001268D5"/>
    <w:rsid w:val="00126B47"/>
    <w:rsid w:val="00126B48"/>
    <w:rsid w:val="00126DFA"/>
    <w:rsid w:val="00127070"/>
    <w:rsid w:val="00127073"/>
    <w:rsid w:val="00127082"/>
    <w:rsid w:val="00127406"/>
    <w:rsid w:val="001276DC"/>
    <w:rsid w:val="00127ACB"/>
    <w:rsid w:val="00127C4D"/>
    <w:rsid w:val="00127DAD"/>
    <w:rsid w:val="00127F33"/>
    <w:rsid w:val="00127F6A"/>
    <w:rsid w:val="001302C5"/>
    <w:rsid w:val="0013047F"/>
    <w:rsid w:val="00130B97"/>
    <w:rsid w:val="00131190"/>
    <w:rsid w:val="00131586"/>
    <w:rsid w:val="001315CE"/>
    <w:rsid w:val="001315EB"/>
    <w:rsid w:val="001316C6"/>
    <w:rsid w:val="00131DBC"/>
    <w:rsid w:val="00131FCE"/>
    <w:rsid w:val="00132514"/>
    <w:rsid w:val="00132648"/>
    <w:rsid w:val="00132665"/>
    <w:rsid w:val="00132787"/>
    <w:rsid w:val="00132813"/>
    <w:rsid w:val="00132CE7"/>
    <w:rsid w:val="00132D84"/>
    <w:rsid w:val="00132E7F"/>
    <w:rsid w:val="0013304A"/>
    <w:rsid w:val="001332D2"/>
    <w:rsid w:val="00133550"/>
    <w:rsid w:val="0013394B"/>
    <w:rsid w:val="00133A1F"/>
    <w:rsid w:val="00133CD0"/>
    <w:rsid w:val="00133D7C"/>
    <w:rsid w:val="00133DD0"/>
    <w:rsid w:val="00134684"/>
    <w:rsid w:val="001347F8"/>
    <w:rsid w:val="00134B14"/>
    <w:rsid w:val="001350A1"/>
    <w:rsid w:val="001350D6"/>
    <w:rsid w:val="001353D5"/>
    <w:rsid w:val="0013543F"/>
    <w:rsid w:val="0013568A"/>
    <w:rsid w:val="0013580C"/>
    <w:rsid w:val="00135812"/>
    <w:rsid w:val="00135878"/>
    <w:rsid w:val="00135ADA"/>
    <w:rsid w:val="0013608D"/>
    <w:rsid w:val="001361B0"/>
    <w:rsid w:val="001361ED"/>
    <w:rsid w:val="0013626C"/>
    <w:rsid w:val="001362D8"/>
    <w:rsid w:val="0013635F"/>
    <w:rsid w:val="0013636A"/>
    <w:rsid w:val="001363B9"/>
    <w:rsid w:val="00137041"/>
    <w:rsid w:val="00137122"/>
    <w:rsid w:val="001374AA"/>
    <w:rsid w:val="001376AB"/>
    <w:rsid w:val="001376BD"/>
    <w:rsid w:val="0013782C"/>
    <w:rsid w:val="00137A95"/>
    <w:rsid w:val="00137D64"/>
    <w:rsid w:val="00137DBB"/>
    <w:rsid w:val="00140335"/>
    <w:rsid w:val="001403AE"/>
    <w:rsid w:val="00140607"/>
    <w:rsid w:val="00140ADF"/>
    <w:rsid w:val="00140BC0"/>
    <w:rsid w:val="00140D84"/>
    <w:rsid w:val="00140E27"/>
    <w:rsid w:val="00141082"/>
    <w:rsid w:val="001412CE"/>
    <w:rsid w:val="00141624"/>
    <w:rsid w:val="00141636"/>
    <w:rsid w:val="001419FA"/>
    <w:rsid w:val="00141A77"/>
    <w:rsid w:val="00141B85"/>
    <w:rsid w:val="00141D4F"/>
    <w:rsid w:val="00141EAE"/>
    <w:rsid w:val="00141FED"/>
    <w:rsid w:val="0014200C"/>
    <w:rsid w:val="00142104"/>
    <w:rsid w:val="001423F4"/>
    <w:rsid w:val="001427B9"/>
    <w:rsid w:val="00142A63"/>
    <w:rsid w:val="00142AB2"/>
    <w:rsid w:val="00142AFB"/>
    <w:rsid w:val="00142BD3"/>
    <w:rsid w:val="00142D21"/>
    <w:rsid w:val="00142E35"/>
    <w:rsid w:val="00142E3A"/>
    <w:rsid w:val="00142F2C"/>
    <w:rsid w:val="00142FDA"/>
    <w:rsid w:val="001433C1"/>
    <w:rsid w:val="001439FF"/>
    <w:rsid w:val="00143A15"/>
    <w:rsid w:val="00143CBE"/>
    <w:rsid w:val="00143EF1"/>
    <w:rsid w:val="00144029"/>
    <w:rsid w:val="0014411E"/>
    <w:rsid w:val="00144129"/>
    <w:rsid w:val="00144546"/>
    <w:rsid w:val="0014459A"/>
    <w:rsid w:val="00144D9F"/>
    <w:rsid w:val="00144F33"/>
    <w:rsid w:val="0014517C"/>
    <w:rsid w:val="001452DF"/>
    <w:rsid w:val="001456E5"/>
    <w:rsid w:val="001459D5"/>
    <w:rsid w:val="00145A93"/>
    <w:rsid w:val="00145C7E"/>
    <w:rsid w:val="00145D47"/>
    <w:rsid w:val="00145D99"/>
    <w:rsid w:val="00145E25"/>
    <w:rsid w:val="00145EBE"/>
    <w:rsid w:val="00146093"/>
    <w:rsid w:val="001463A0"/>
    <w:rsid w:val="001465CC"/>
    <w:rsid w:val="00146602"/>
    <w:rsid w:val="00146965"/>
    <w:rsid w:val="00146A77"/>
    <w:rsid w:val="00146CBD"/>
    <w:rsid w:val="00146EBF"/>
    <w:rsid w:val="001470E0"/>
    <w:rsid w:val="0014728E"/>
    <w:rsid w:val="001476B0"/>
    <w:rsid w:val="0014788C"/>
    <w:rsid w:val="00147955"/>
    <w:rsid w:val="00147D51"/>
    <w:rsid w:val="0015026C"/>
    <w:rsid w:val="0015059B"/>
    <w:rsid w:val="00150CD0"/>
    <w:rsid w:val="00150D13"/>
    <w:rsid w:val="00150F37"/>
    <w:rsid w:val="001511BF"/>
    <w:rsid w:val="00151510"/>
    <w:rsid w:val="00151975"/>
    <w:rsid w:val="001519F5"/>
    <w:rsid w:val="00151EA4"/>
    <w:rsid w:val="0015275E"/>
    <w:rsid w:val="00152995"/>
    <w:rsid w:val="00152AF9"/>
    <w:rsid w:val="00152C7B"/>
    <w:rsid w:val="00152D73"/>
    <w:rsid w:val="0015316A"/>
    <w:rsid w:val="001537B7"/>
    <w:rsid w:val="001537E9"/>
    <w:rsid w:val="00153D56"/>
    <w:rsid w:val="00153D8E"/>
    <w:rsid w:val="001541B7"/>
    <w:rsid w:val="00154258"/>
    <w:rsid w:val="00154309"/>
    <w:rsid w:val="001543FF"/>
    <w:rsid w:val="0015458E"/>
    <w:rsid w:val="0015481E"/>
    <w:rsid w:val="001548CC"/>
    <w:rsid w:val="00154C02"/>
    <w:rsid w:val="00154D19"/>
    <w:rsid w:val="00154D50"/>
    <w:rsid w:val="00155000"/>
    <w:rsid w:val="001553A2"/>
    <w:rsid w:val="001554B6"/>
    <w:rsid w:val="001554F2"/>
    <w:rsid w:val="00155B9C"/>
    <w:rsid w:val="00155D27"/>
    <w:rsid w:val="00155FF4"/>
    <w:rsid w:val="00156285"/>
    <w:rsid w:val="00156683"/>
    <w:rsid w:val="00156928"/>
    <w:rsid w:val="001569B2"/>
    <w:rsid w:val="00156AFD"/>
    <w:rsid w:val="00156E43"/>
    <w:rsid w:val="00156E7D"/>
    <w:rsid w:val="00156ED5"/>
    <w:rsid w:val="001576B2"/>
    <w:rsid w:val="001578A1"/>
    <w:rsid w:val="00157BED"/>
    <w:rsid w:val="00157C72"/>
    <w:rsid w:val="00157ED6"/>
    <w:rsid w:val="001601AF"/>
    <w:rsid w:val="0016024B"/>
    <w:rsid w:val="00160631"/>
    <w:rsid w:val="00160A7D"/>
    <w:rsid w:val="00160B54"/>
    <w:rsid w:val="00160BC5"/>
    <w:rsid w:val="00160E94"/>
    <w:rsid w:val="0016115A"/>
    <w:rsid w:val="0016139E"/>
    <w:rsid w:val="00161686"/>
    <w:rsid w:val="00161BEC"/>
    <w:rsid w:val="00161CC0"/>
    <w:rsid w:val="00161CF6"/>
    <w:rsid w:val="00161E00"/>
    <w:rsid w:val="0016234A"/>
    <w:rsid w:val="0016267D"/>
    <w:rsid w:val="0016271E"/>
    <w:rsid w:val="0016282F"/>
    <w:rsid w:val="001629E8"/>
    <w:rsid w:val="00162AEC"/>
    <w:rsid w:val="00162BA5"/>
    <w:rsid w:val="001633B8"/>
    <w:rsid w:val="001634E4"/>
    <w:rsid w:val="00163736"/>
    <w:rsid w:val="0016385C"/>
    <w:rsid w:val="001638B2"/>
    <w:rsid w:val="00163A0D"/>
    <w:rsid w:val="00163DCD"/>
    <w:rsid w:val="00163DF8"/>
    <w:rsid w:val="001644FD"/>
    <w:rsid w:val="00164573"/>
    <w:rsid w:val="0016466D"/>
    <w:rsid w:val="0016482F"/>
    <w:rsid w:val="001648F7"/>
    <w:rsid w:val="001649DD"/>
    <w:rsid w:val="00164BCA"/>
    <w:rsid w:val="00164EB3"/>
    <w:rsid w:val="00164F1B"/>
    <w:rsid w:val="00165146"/>
    <w:rsid w:val="0016524D"/>
    <w:rsid w:val="001659B6"/>
    <w:rsid w:val="001659F8"/>
    <w:rsid w:val="00165DA4"/>
    <w:rsid w:val="00165ECA"/>
    <w:rsid w:val="0016678B"/>
    <w:rsid w:val="00166843"/>
    <w:rsid w:val="00166F61"/>
    <w:rsid w:val="0016738B"/>
    <w:rsid w:val="00167AE2"/>
    <w:rsid w:val="00167D39"/>
    <w:rsid w:val="0017004C"/>
    <w:rsid w:val="00170181"/>
    <w:rsid w:val="00170408"/>
    <w:rsid w:val="00170458"/>
    <w:rsid w:val="0017058B"/>
    <w:rsid w:val="00170698"/>
    <w:rsid w:val="001706D0"/>
    <w:rsid w:val="00170C58"/>
    <w:rsid w:val="00170DBD"/>
    <w:rsid w:val="0017104C"/>
    <w:rsid w:val="00171240"/>
    <w:rsid w:val="00171523"/>
    <w:rsid w:val="001715EC"/>
    <w:rsid w:val="001716E6"/>
    <w:rsid w:val="00171767"/>
    <w:rsid w:val="0017193E"/>
    <w:rsid w:val="00171D1D"/>
    <w:rsid w:val="00171F0A"/>
    <w:rsid w:val="0017225A"/>
    <w:rsid w:val="001726DE"/>
    <w:rsid w:val="00172DEC"/>
    <w:rsid w:val="00172E2F"/>
    <w:rsid w:val="00173354"/>
    <w:rsid w:val="001733F5"/>
    <w:rsid w:val="00173474"/>
    <w:rsid w:val="00173483"/>
    <w:rsid w:val="00173487"/>
    <w:rsid w:val="001737F3"/>
    <w:rsid w:val="00173C3A"/>
    <w:rsid w:val="00173F1B"/>
    <w:rsid w:val="00174072"/>
    <w:rsid w:val="001743C5"/>
    <w:rsid w:val="0017453D"/>
    <w:rsid w:val="00174677"/>
    <w:rsid w:val="001747F1"/>
    <w:rsid w:val="00174886"/>
    <w:rsid w:val="0017488B"/>
    <w:rsid w:val="00174B26"/>
    <w:rsid w:val="00174CD5"/>
    <w:rsid w:val="00174EA9"/>
    <w:rsid w:val="00174FA4"/>
    <w:rsid w:val="001753BB"/>
    <w:rsid w:val="00175439"/>
    <w:rsid w:val="001754A2"/>
    <w:rsid w:val="001757A4"/>
    <w:rsid w:val="00175B80"/>
    <w:rsid w:val="0017604F"/>
    <w:rsid w:val="00176052"/>
    <w:rsid w:val="001761E7"/>
    <w:rsid w:val="0017646C"/>
    <w:rsid w:val="0017650E"/>
    <w:rsid w:val="00176B22"/>
    <w:rsid w:val="00176CCC"/>
    <w:rsid w:val="00176DF1"/>
    <w:rsid w:val="001771B1"/>
    <w:rsid w:val="001773B3"/>
    <w:rsid w:val="001773BB"/>
    <w:rsid w:val="00177722"/>
    <w:rsid w:val="00177851"/>
    <w:rsid w:val="0017789E"/>
    <w:rsid w:val="0017797E"/>
    <w:rsid w:val="00177BEF"/>
    <w:rsid w:val="00177D42"/>
    <w:rsid w:val="00177D71"/>
    <w:rsid w:val="00180025"/>
    <w:rsid w:val="001801EA"/>
    <w:rsid w:val="00180578"/>
    <w:rsid w:val="0018077B"/>
    <w:rsid w:val="00180A72"/>
    <w:rsid w:val="00180D64"/>
    <w:rsid w:val="00180F43"/>
    <w:rsid w:val="00181073"/>
    <w:rsid w:val="0018128E"/>
    <w:rsid w:val="001814AD"/>
    <w:rsid w:val="001814FE"/>
    <w:rsid w:val="001815C9"/>
    <w:rsid w:val="00181651"/>
    <w:rsid w:val="001816FF"/>
    <w:rsid w:val="00181D63"/>
    <w:rsid w:val="0018214C"/>
    <w:rsid w:val="00182277"/>
    <w:rsid w:val="0018251E"/>
    <w:rsid w:val="001827BE"/>
    <w:rsid w:val="001827F4"/>
    <w:rsid w:val="00182845"/>
    <w:rsid w:val="0018288B"/>
    <w:rsid w:val="00182DAC"/>
    <w:rsid w:val="00182E0D"/>
    <w:rsid w:val="00182EB1"/>
    <w:rsid w:val="00183037"/>
    <w:rsid w:val="001831E3"/>
    <w:rsid w:val="00183393"/>
    <w:rsid w:val="0018339C"/>
    <w:rsid w:val="00183629"/>
    <w:rsid w:val="00183961"/>
    <w:rsid w:val="00183E9A"/>
    <w:rsid w:val="00184258"/>
    <w:rsid w:val="0018428E"/>
    <w:rsid w:val="00184447"/>
    <w:rsid w:val="00184780"/>
    <w:rsid w:val="0018483B"/>
    <w:rsid w:val="001848D7"/>
    <w:rsid w:val="001849BE"/>
    <w:rsid w:val="00185134"/>
    <w:rsid w:val="001856D7"/>
    <w:rsid w:val="001858E9"/>
    <w:rsid w:val="00185943"/>
    <w:rsid w:val="00185BB7"/>
    <w:rsid w:val="00185BFB"/>
    <w:rsid w:val="00185EE8"/>
    <w:rsid w:val="00186051"/>
    <w:rsid w:val="0018611F"/>
    <w:rsid w:val="001863E0"/>
    <w:rsid w:val="00186B13"/>
    <w:rsid w:val="00186B9F"/>
    <w:rsid w:val="00187242"/>
    <w:rsid w:val="0018758A"/>
    <w:rsid w:val="001876F2"/>
    <w:rsid w:val="001877D8"/>
    <w:rsid w:val="0018783D"/>
    <w:rsid w:val="00187930"/>
    <w:rsid w:val="00187C62"/>
    <w:rsid w:val="00190139"/>
    <w:rsid w:val="00190AAA"/>
    <w:rsid w:val="00190BFC"/>
    <w:rsid w:val="00190C77"/>
    <w:rsid w:val="00190F53"/>
    <w:rsid w:val="00191577"/>
    <w:rsid w:val="001916FD"/>
    <w:rsid w:val="00191906"/>
    <w:rsid w:val="00191964"/>
    <w:rsid w:val="001919AF"/>
    <w:rsid w:val="00191A3A"/>
    <w:rsid w:val="0019218B"/>
    <w:rsid w:val="0019272F"/>
    <w:rsid w:val="001927FA"/>
    <w:rsid w:val="00192839"/>
    <w:rsid w:val="00192869"/>
    <w:rsid w:val="00193007"/>
    <w:rsid w:val="001931CB"/>
    <w:rsid w:val="00193291"/>
    <w:rsid w:val="001938A2"/>
    <w:rsid w:val="00193942"/>
    <w:rsid w:val="00193AFD"/>
    <w:rsid w:val="00193FE8"/>
    <w:rsid w:val="001940D0"/>
    <w:rsid w:val="0019419B"/>
    <w:rsid w:val="001941AD"/>
    <w:rsid w:val="001942D0"/>
    <w:rsid w:val="00194309"/>
    <w:rsid w:val="001943F2"/>
    <w:rsid w:val="0019461A"/>
    <w:rsid w:val="00194675"/>
    <w:rsid w:val="0019475A"/>
    <w:rsid w:val="00194852"/>
    <w:rsid w:val="00194956"/>
    <w:rsid w:val="00194B09"/>
    <w:rsid w:val="00194B81"/>
    <w:rsid w:val="00194CCF"/>
    <w:rsid w:val="001952BE"/>
    <w:rsid w:val="00195360"/>
    <w:rsid w:val="00195739"/>
    <w:rsid w:val="00195744"/>
    <w:rsid w:val="00195891"/>
    <w:rsid w:val="0019590F"/>
    <w:rsid w:val="0019597B"/>
    <w:rsid w:val="00196084"/>
    <w:rsid w:val="00196100"/>
    <w:rsid w:val="0019680C"/>
    <w:rsid w:val="0019686E"/>
    <w:rsid w:val="00196BAD"/>
    <w:rsid w:val="00196CF8"/>
    <w:rsid w:val="00196DBB"/>
    <w:rsid w:val="00197108"/>
    <w:rsid w:val="00197120"/>
    <w:rsid w:val="0019722C"/>
    <w:rsid w:val="001972BF"/>
    <w:rsid w:val="0019747F"/>
    <w:rsid w:val="001974A5"/>
    <w:rsid w:val="001975B4"/>
    <w:rsid w:val="001975CD"/>
    <w:rsid w:val="001976C5"/>
    <w:rsid w:val="00197975"/>
    <w:rsid w:val="001979E7"/>
    <w:rsid w:val="00197DE7"/>
    <w:rsid w:val="00197E8A"/>
    <w:rsid w:val="00197F8F"/>
    <w:rsid w:val="001A001F"/>
    <w:rsid w:val="001A0457"/>
    <w:rsid w:val="001A04CD"/>
    <w:rsid w:val="001A05A1"/>
    <w:rsid w:val="001A0698"/>
    <w:rsid w:val="001A06FA"/>
    <w:rsid w:val="001A07C7"/>
    <w:rsid w:val="001A0A5D"/>
    <w:rsid w:val="001A0C04"/>
    <w:rsid w:val="001A0CED"/>
    <w:rsid w:val="001A0ED9"/>
    <w:rsid w:val="001A11ED"/>
    <w:rsid w:val="001A11FB"/>
    <w:rsid w:val="001A12A1"/>
    <w:rsid w:val="001A13F3"/>
    <w:rsid w:val="001A14EC"/>
    <w:rsid w:val="001A1719"/>
    <w:rsid w:val="001A179A"/>
    <w:rsid w:val="001A19D5"/>
    <w:rsid w:val="001A1A1A"/>
    <w:rsid w:val="001A1AAB"/>
    <w:rsid w:val="001A1AF8"/>
    <w:rsid w:val="001A1F72"/>
    <w:rsid w:val="001A2051"/>
    <w:rsid w:val="001A20A6"/>
    <w:rsid w:val="001A2354"/>
    <w:rsid w:val="001A2A4F"/>
    <w:rsid w:val="001A2C96"/>
    <w:rsid w:val="001A2D03"/>
    <w:rsid w:val="001A2DC2"/>
    <w:rsid w:val="001A2DFF"/>
    <w:rsid w:val="001A2F65"/>
    <w:rsid w:val="001A30CD"/>
    <w:rsid w:val="001A33B5"/>
    <w:rsid w:val="001A33C4"/>
    <w:rsid w:val="001A393C"/>
    <w:rsid w:val="001A3BED"/>
    <w:rsid w:val="001A3C56"/>
    <w:rsid w:val="001A3CBA"/>
    <w:rsid w:val="001A3D1C"/>
    <w:rsid w:val="001A478A"/>
    <w:rsid w:val="001A4974"/>
    <w:rsid w:val="001A4E51"/>
    <w:rsid w:val="001A5039"/>
    <w:rsid w:val="001A5068"/>
    <w:rsid w:val="001A5363"/>
    <w:rsid w:val="001A5501"/>
    <w:rsid w:val="001A5704"/>
    <w:rsid w:val="001A5D95"/>
    <w:rsid w:val="001A6057"/>
    <w:rsid w:val="001A608E"/>
    <w:rsid w:val="001A6191"/>
    <w:rsid w:val="001A6204"/>
    <w:rsid w:val="001A64C3"/>
    <w:rsid w:val="001A651E"/>
    <w:rsid w:val="001A6812"/>
    <w:rsid w:val="001A68A7"/>
    <w:rsid w:val="001A6E52"/>
    <w:rsid w:val="001A6EB0"/>
    <w:rsid w:val="001A70FA"/>
    <w:rsid w:val="001A71D1"/>
    <w:rsid w:val="001A7719"/>
    <w:rsid w:val="001A7A2C"/>
    <w:rsid w:val="001A7B97"/>
    <w:rsid w:val="001A7D51"/>
    <w:rsid w:val="001A7DCF"/>
    <w:rsid w:val="001A7E2E"/>
    <w:rsid w:val="001B0071"/>
    <w:rsid w:val="001B0188"/>
    <w:rsid w:val="001B038E"/>
    <w:rsid w:val="001B03A5"/>
    <w:rsid w:val="001B04CE"/>
    <w:rsid w:val="001B0530"/>
    <w:rsid w:val="001B06B6"/>
    <w:rsid w:val="001B0726"/>
    <w:rsid w:val="001B08EC"/>
    <w:rsid w:val="001B09B0"/>
    <w:rsid w:val="001B0EE9"/>
    <w:rsid w:val="001B1104"/>
    <w:rsid w:val="001B1335"/>
    <w:rsid w:val="001B1659"/>
    <w:rsid w:val="001B166A"/>
    <w:rsid w:val="001B1B61"/>
    <w:rsid w:val="001B1C5C"/>
    <w:rsid w:val="001B1CB5"/>
    <w:rsid w:val="001B1F61"/>
    <w:rsid w:val="001B1F84"/>
    <w:rsid w:val="001B210E"/>
    <w:rsid w:val="001B2255"/>
    <w:rsid w:val="001B22B5"/>
    <w:rsid w:val="001B22F9"/>
    <w:rsid w:val="001B274B"/>
    <w:rsid w:val="001B29AE"/>
    <w:rsid w:val="001B2B93"/>
    <w:rsid w:val="001B2DDB"/>
    <w:rsid w:val="001B2E60"/>
    <w:rsid w:val="001B2EBA"/>
    <w:rsid w:val="001B3411"/>
    <w:rsid w:val="001B3427"/>
    <w:rsid w:val="001B34CC"/>
    <w:rsid w:val="001B34EC"/>
    <w:rsid w:val="001B3577"/>
    <w:rsid w:val="001B3639"/>
    <w:rsid w:val="001B369C"/>
    <w:rsid w:val="001B3843"/>
    <w:rsid w:val="001B38AC"/>
    <w:rsid w:val="001B3C44"/>
    <w:rsid w:val="001B48E0"/>
    <w:rsid w:val="001B49E1"/>
    <w:rsid w:val="001B4A14"/>
    <w:rsid w:val="001B4A65"/>
    <w:rsid w:val="001B4EF9"/>
    <w:rsid w:val="001B586A"/>
    <w:rsid w:val="001B5BB5"/>
    <w:rsid w:val="001B5F78"/>
    <w:rsid w:val="001B60C8"/>
    <w:rsid w:val="001B6435"/>
    <w:rsid w:val="001B6684"/>
    <w:rsid w:val="001B6A5A"/>
    <w:rsid w:val="001B6A6E"/>
    <w:rsid w:val="001B7183"/>
    <w:rsid w:val="001B7400"/>
    <w:rsid w:val="001B74F9"/>
    <w:rsid w:val="001B7553"/>
    <w:rsid w:val="001B7F74"/>
    <w:rsid w:val="001C0162"/>
    <w:rsid w:val="001C0275"/>
    <w:rsid w:val="001C0580"/>
    <w:rsid w:val="001C0634"/>
    <w:rsid w:val="001C0657"/>
    <w:rsid w:val="001C08DB"/>
    <w:rsid w:val="001C1077"/>
    <w:rsid w:val="001C11FA"/>
    <w:rsid w:val="001C120C"/>
    <w:rsid w:val="001C130F"/>
    <w:rsid w:val="001C13C6"/>
    <w:rsid w:val="001C1444"/>
    <w:rsid w:val="001C1AF5"/>
    <w:rsid w:val="001C1C08"/>
    <w:rsid w:val="001C1C8A"/>
    <w:rsid w:val="001C1E17"/>
    <w:rsid w:val="001C235D"/>
    <w:rsid w:val="001C2390"/>
    <w:rsid w:val="001C23CF"/>
    <w:rsid w:val="001C2699"/>
    <w:rsid w:val="001C2C6C"/>
    <w:rsid w:val="001C2C99"/>
    <w:rsid w:val="001C2E3B"/>
    <w:rsid w:val="001C2EF1"/>
    <w:rsid w:val="001C2FEF"/>
    <w:rsid w:val="001C3232"/>
    <w:rsid w:val="001C32CD"/>
    <w:rsid w:val="001C34F2"/>
    <w:rsid w:val="001C3545"/>
    <w:rsid w:val="001C36B3"/>
    <w:rsid w:val="001C3B75"/>
    <w:rsid w:val="001C3C57"/>
    <w:rsid w:val="001C3DC7"/>
    <w:rsid w:val="001C3E92"/>
    <w:rsid w:val="001C3EAA"/>
    <w:rsid w:val="001C3F0C"/>
    <w:rsid w:val="001C402F"/>
    <w:rsid w:val="001C42E4"/>
    <w:rsid w:val="001C43F1"/>
    <w:rsid w:val="001C446A"/>
    <w:rsid w:val="001C4828"/>
    <w:rsid w:val="001C493E"/>
    <w:rsid w:val="001C49F4"/>
    <w:rsid w:val="001C4AD4"/>
    <w:rsid w:val="001C4FAF"/>
    <w:rsid w:val="001C5038"/>
    <w:rsid w:val="001C504C"/>
    <w:rsid w:val="001C510B"/>
    <w:rsid w:val="001C55FB"/>
    <w:rsid w:val="001C562A"/>
    <w:rsid w:val="001C5670"/>
    <w:rsid w:val="001C58F3"/>
    <w:rsid w:val="001C5A06"/>
    <w:rsid w:val="001C5AFA"/>
    <w:rsid w:val="001C5DBE"/>
    <w:rsid w:val="001C5F42"/>
    <w:rsid w:val="001C665E"/>
    <w:rsid w:val="001C6769"/>
    <w:rsid w:val="001C678A"/>
    <w:rsid w:val="001C6B9F"/>
    <w:rsid w:val="001C6C2A"/>
    <w:rsid w:val="001C6F00"/>
    <w:rsid w:val="001C7198"/>
    <w:rsid w:val="001C7466"/>
    <w:rsid w:val="001C7542"/>
    <w:rsid w:val="001C757E"/>
    <w:rsid w:val="001C758B"/>
    <w:rsid w:val="001C75E8"/>
    <w:rsid w:val="001C76BE"/>
    <w:rsid w:val="001C76C9"/>
    <w:rsid w:val="001C7706"/>
    <w:rsid w:val="001C7E87"/>
    <w:rsid w:val="001C7FC9"/>
    <w:rsid w:val="001D0082"/>
    <w:rsid w:val="001D00E9"/>
    <w:rsid w:val="001D0326"/>
    <w:rsid w:val="001D045C"/>
    <w:rsid w:val="001D04A6"/>
    <w:rsid w:val="001D06EB"/>
    <w:rsid w:val="001D0CC0"/>
    <w:rsid w:val="001D0D5A"/>
    <w:rsid w:val="001D0DDA"/>
    <w:rsid w:val="001D0EA4"/>
    <w:rsid w:val="001D0F73"/>
    <w:rsid w:val="001D11F3"/>
    <w:rsid w:val="001D125D"/>
    <w:rsid w:val="001D1385"/>
    <w:rsid w:val="001D140C"/>
    <w:rsid w:val="001D1538"/>
    <w:rsid w:val="001D1ABF"/>
    <w:rsid w:val="001D1AD7"/>
    <w:rsid w:val="001D1B97"/>
    <w:rsid w:val="001D1DA6"/>
    <w:rsid w:val="001D1F53"/>
    <w:rsid w:val="001D1FBB"/>
    <w:rsid w:val="001D200F"/>
    <w:rsid w:val="001D2108"/>
    <w:rsid w:val="001D21C1"/>
    <w:rsid w:val="001D2361"/>
    <w:rsid w:val="001D2369"/>
    <w:rsid w:val="001D237D"/>
    <w:rsid w:val="001D2761"/>
    <w:rsid w:val="001D2AB5"/>
    <w:rsid w:val="001D2B90"/>
    <w:rsid w:val="001D3065"/>
    <w:rsid w:val="001D36CE"/>
    <w:rsid w:val="001D3866"/>
    <w:rsid w:val="001D3BB2"/>
    <w:rsid w:val="001D3BC2"/>
    <w:rsid w:val="001D3BD0"/>
    <w:rsid w:val="001D3C0F"/>
    <w:rsid w:val="001D3C6A"/>
    <w:rsid w:val="001D3DAB"/>
    <w:rsid w:val="001D3E58"/>
    <w:rsid w:val="001D405B"/>
    <w:rsid w:val="001D415C"/>
    <w:rsid w:val="001D47B7"/>
    <w:rsid w:val="001D47E2"/>
    <w:rsid w:val="001D4C54"/>
    <w:rsid w:val="001D4D9A"/>
    <w:rsid w:val="001D5658"/>
    <w:rsid w:val="001D573B"/>
    <w:rsid w:val="001D5786"/>
    <w:rsid w:val="001D5915"/>
    <w:rsid w:val="001D5941"/>
    <w:rsid w:val="001D5977"/>
    <w:rsid w:val="001D5B37"/>
    <w:rsid w:val="001D5DBF"/>
    <w:rsid w:val="001D6114"/>
    <w:rsid w:val="001D6163"/>
    <w:rsid w:val="001D617B"/>
    <w:rsid w:val="001D69A4"/>
    <w:rsid w:val="001D6A89"/>
    <w:rsid w:val="001D6F28"/>
    <w:rsid w:val="001D6F9B"/>
    <w:rsid w:val="001D7024"/>
    <w:rsid w:val="001D71A3"/>
    <w:rsid w:val="001D728E"/>
    <w:rsid w:val="001D740D"/>
    <w:rsid w:val="001D741D"/>
    <w:rsid w:val="001D7493"/>
    <w:rsid w:val="001D750F"/>
    <w:rsid w:val="001D7990"/>
    <w:rsid w:val="001D7ACA"/>
    <w:rsid w:val="001D7B72"/>
    <w:rsid w:val="001D7C17"/>
    <w:rsid w:val="001D7F35"/>
    <w:rsid w:val="001E0234"/>
    <w:rsid w:val="001E02B9"/>
    <w:rsid w:val="001E0512"/>
    <w:rsid w:val="001E08A1"/>
    <w:rsid w:val="001E0B0E"/>
    <w:rsid w:val="001E0C0A"/>
    <w:rsid w:val="001E0E03"/>
    <w:rsid w:val="001E0E1F"/>
    <w:rsid w:val="001E103B"/>
    <w:rsid w:val="001E1611"/>
    <w:rsid w:val="001E1E7E"/>
    <w:rsid w:val="001E1E97"/>
    <w:rsid w:val="001E20DD"/>
    <w:rsid w:val="001E210D"/>
    <w:rsid w:val="001E237E"/>
    <w:rsid w:val="001E2F7B"/>
    <w:rsid w:val="001E3139"/>
    <w:rsid w:val="001E3510"/>
    <w:rsid w:val="001E36D2"/>
    <w:rsid w:val="001E3801"/>
    <w:rsid w:val="001E3865"/>
    <w:rsid w:val="001E3A3F"/>
    <w:rsid w:val="001E3FBB"/>
    <w:rsid w:val="001E4053"/>
    <w:rsid w:val="001E4092"/>
    <w:rsid w:val="001E41F8"/>
    <w:rsid w:val="001E4427"/>
    <w:rsid w:val="001E45D0"/>
    <w:rsid w:val="001E4686"/>
    <w:rsid w:val="001E46BE"/>
    <w:rsid w:val="001E49D6"/>
    <w:rsid w:val="001E4A1F"/>
    <w:rsid w:val="001E4AE5"/>
    <w:rsid w:val="001E4C21"/>
    <w:rsid w:val="001E5004"/>
    <w:rsid w:val="001E503E"/>
    <w:rsid w:val="001E5089"/>
    <w:rsid w:val="001E51C4"/>
    <w:rsid w:val="001E526E"/>
    <w:rsid w:val="001E5276"/>
    <w:rsid w:val="001E5392"/>
    <w:rsid w:val="001E5727"/>
    <w:rsid w:val="001E5790"/>
    <w:rsid w:val="001E5861"/>
    <w:rsid w:val="001E58BA"/>
    <w:rsid w:val="001E5BA3"/>
    <w:rsid w:val="001E5D51"/>
    <w:rsid w:val="001E5D75"/>
    <w:rsid w:val="001E60D0"/>
    <w:rsid w:val="001E6314"/>
    <w:rsid w:val="001E6529"/>
    <w:rsid w:val="001E6952"/>
    <w:rsid w:val="001E69C7"/>
    <w:rsid w:val="001E6C00"/>
    <w:rsid w:val="001E6D75"/>
    <w:rsid w:val="001E6DE6"/>
    <w:rsid w:val="001E6E21"/>
    <w:rsid w:val="001E72E6"/>
    <w:rsid w:val="001E73C8"/>
    <w:rsid w:val="001E746F"/>
    <w:rsid w:val="001E7BBA"/>
    <w:rsid w:val="001E7C2E"/>
    <w:rsid w:val="001E7DCF"/>
    <w:rsid w:val="001E7DFA"/>
    <w:rsid w:val="001E7F41"/>
    <w:rsid w:val="001E7F98"/>
    <w:rsid w:val="001F0011"/>
    <w:rsid w:val="001F0138"/>
    <w:rsid w:val="001F0293"/>
    <w:rsid w:val="001F0374"/>
    <w:rsid w:val="001F076E"/>
    <w:rsid w:val="001F08FC"/>
    <w:rsid w:val="001F096D"/>
    <w:rsid w:val="001F12CD"/>
    <w:rsid w:val="001F1456"/>
    <w:rsid w:val="001F1524"/>
    <w:rsid w:val="001F1564"/>
    <w:rsid w:val="001F1690"/>
    <w:rsid w:val="001F1981"/>
    <w:rsid w:val="001F1BB1"/>
    <w:rsid w:val="001F209A"/>
    <w:rsid w:val="001F2239"/>
    <w:rsid w:val="001F23C5"/>
    <w:rsid w:val="001F24A5"/>
    <w:rsid w:val="001F26F3"/>
    <w:rsid w:val="001F2998"/>
    <w:rsid w:val="001F29CF"/>
    <w:rsid w:val="001F2AD0"/>
    <w:rsid w:val="001F2D65"/>
    <w:rsid w:val="001F2EDE"/>
    <w:rsid w:val="001F2FD1"/>
    <w:rsid w:val="001F3111"/>
    <w:rsid w:val="001F376B"/>
    <w:rsid w:val="001F3B6B"/>
    <w:rsid w:val="001F3DDA"/>
    <w:rsid w:val="001F3FDF"/>
    <w:rsid w:val="001F4111"/>
    <w:rsid w:val="001F4784"/>
    <w:rsid w:val="001F47AE"/>
    <w:rsid w:val="001F4845"/>
    <w:rsid w:val="001F4AFF"/>
    <w:rsid w:val="001F4FC3"/>
    <w:rsid w:val="001F508A"/>
    <w:rsid w:val="001F523C"/>
    <w:rsid w:val="001F52AC"/>
    <w:rsid w:val="001F540E"/>
    <w:rsid w:val="001F5456"/>
    <w:rsid w:val="001F5485"/>
    <w:rsid w:val="001F5767"/>
    <w:rsid w:val="001F5AD2"/>
    <w:rsid w:val="001F5EC6"/>
    <w:rsid w:val="001F6192"/>
    <w:rsid w:val="001F6316"/>
    <w:rsid w:val="001F634D"/>
    <w:rsid w:val="001F655D"/>
    <w:rsid w:val="001F65B1"/>
    <w:rsid w:val="001F679A"/>
    <w:rsid w:val="001F69A4"/>
    <w:rsid w:val="001F6BD5"/>
    <w:rsid w:val="001F712A"/>
    <w:rsid w:val="001F7173"/>
    <w:rsid w:val="001F73F8"/>
    <w:rsid w:val="001F7426"/>
    <w:rsid w:val="001F7442"/>
    <w:rsid w:val="001F7446"/>
    <w:rsid w:val="001F7665"/>
    <w:rsid w:val="001F7DA1"/>
    <w:rsid w:val="001F7DB3"/>
    <w:rsid w:val="001F7E29"/>
    <w:rsid w:val="002004C8"/>
    <w:rsid w:val="0020072C"/>
    <w:rsid w:val="00200D87"/>
    <w:rsid w:val="002011C3"/>
    <w:rsid w:val="002012A7"/>
    <w:rsid w:val="00201581"/>
    <w:rsid w:val="0020164B"/>
    <w:rsid w:val="00201B06"/>
    <w:rsid w:val="002021AA"/>
    <w:rsid w:val="002023AC"/>
    <w:rsid w:val="00202429"/>
    <w:rsid w:val="0020271D"/>
    <w:rsid w:val="002029C3"/>
    <w:rsid w:val="002029EA"/>
    <w:rsid w:val="00202AEA"/>
    <w:rsid w:val="00202BE7"/>
    <w:rsid w:val="00202EFE"/>
    <w:rsid w:val="00203034"/>
    <w:rsid w:val="002030F4"/>
    <w:rsid w:val="0020333A"/>
    <w:rsid w:val="00203595"/>
    <w:rsid w:val="00203709"/>
    <w:rsid w:val="00203B4A"/>
    <w:rsid w:val="00203B53"/>
    <w:rsid w:val="00203DF2"/>
    <w:rsid w:val="00203E0B"/>
    <w:rsid w:val="00203EFC"/>
    <w:rsid w:val="00203F68"/>
    <w:rsid w:val="0020410D"/>
    <w:rsid w:val="00204153"/>
    <w:rsid w:val="00204243"/>
    <w:rsid w:val="00204375"/>
    <w:rsid w:val="00204823"/>
    <w:rsid w:val="0020492F"/>
    <w:rsid w:val="00204AC3"/>
    <w:rsid w:val="00204C5C"/>
    <w:rsid w:val="00204C77"/>
    <w:rsid w:val="00204F16"/>
    <w:rsid w:val="00204F30"/>
    <w:rsid w:val="00205047"/>
    <w:rsid w:val="0020523F"/>
    <w:rsid w:val="00205852"/>
    <w:rsid w:val="00205C6D"/>
    <w:rsid w:val="0020603F"/>
    <w:rsid w:val="002061E5"/>
    <w:rsid w:val="00206291"/>
    <w:rsid w:val="0020685C"/>
    <w:rsid w:val="00206B3A"/>
    <w:rsid w:val="00206F8F"/>
    <w:rsid w:val="00207059"/>
    <w:rsid w:val="0020729B"/>
    <w:rsid w:val="00207347"/>
    <w:rsid w:val="00207426"/>
    <w:rsid w:val="00207AF5"/>
    <w:rsid w:val="00207B16"/>
    <w:rsid w:val="00207D88"/>
    <w:rsid w:val="002100DE"/>
    <w:rsid w:val="0021047C"/>
    <w:rsid w:val="002105EE"/>
    <w:rsid w:val="00210640"/>
    <w:rsid w:val="002106B0"/>
    <w:rsid w:val="00210757"/>
    <w:rsid w:val="00210888"/>
    <w:rsid w:val="002109DA"/>
    <w:rsid w:val="00210BBE"/>
    <w:rsid w:val="00210BC3"/>
    <w:rsid w:val="00210CB1"/>
    <w:rsid w:val="0021102C"/>
    <w:rsid w:val="002114EE"/>
    <w:rsid w:val="00211909"/>
    <w:rsid w:val="00211989"/>
    <w:rsid w:val="00211A0C"/>
    <w:rsid w:val="00211C32"/>
    <w:rsid w:val="00211F17"/>
    <w:rsid w:val="00211F95"/>
    <w:rsid w:val="00212422"/>
    <w:rsid w:val="0021263D"/>
    <w:rsid w:val="0021265A"/>
    <w:rsid w:val="0021268C"/>
    <w:rsid w:val="0021293C"/>
    <w:rsid w:val="00212ABE"/>
    <w:rsid w:val="00212B18"/>
    <w:rsid w:val="00212B99"/>
    <w:rsid w:val="00212F19"/>
    <w:rsid w:val="00213198"/>
    <w:rsid w:val="0021379D"/>
    <w:rsid w:val="002139FF"/>
    <w:rsid w:val="00213A05"/>
    <w:rsid w:val="00213D91"/>
    <w:rsid w:val="00213E12"/>
    <w:rsid w:val="00214299"/>
    <w:rsid w:val="002142D6"/>
    <w:rsid w:val="0021486C"/>
    <w:rsid w:val="002148A0"/>
    <w:rsid w:val="00214981"/>
    <w:rsid w:val="002149DF"/>
    <w:rsid w:val="00214A98"/>
    <w:rsid w:val="00214D31"/>
    <w:rsid w:val="00214EA7"/>
    <w:rsid w:val="00214F56"/>
    <w:rsid w:val="002151D4"/>
    <w:rsid w:val="00215263"/>
    <w:rsid w:val="002157A0"/>
    <w:rsid w:val="002159A7"/>
    <w:rsid w:val="00215A54"/>
    <w:rsid w:val="00215B49"/>
    <w:rsid w:val="00215E6A"/>
    <w:rsid w:val="00215F2C"/>
    <w:rsid w:val="00215FA3"/>
    <w:rsid w:val="00216017"/>
    <w:rsid w:val="002162FD"/>
    <w:rsid w:val="002168FB"/>
    <w:rsid w:val="00216ABD"/>
    <w:rsid w:val="00216AD7"/>
    <w:rsid w:val="00216BA3"/>
    <w:rsid w:val="00216BF3"/>
    <w:rsid w:val="00216EBD"/>
    <w:rsid w:val="00216FCF"/>
    <w:rsid w:val="00217887"/>
    <w:rsid w:val="00217AC0"/>
    <w:rsid w:val="00217DD5"/>
    <w:rsid w:val="00220330"/>
    <w:rsid w:val="0022048F"/>
    <w:rsid w:val="0022069D"/>
    <w:rsid w:val="00220764"/>
    <w:rsid w:val="00220AA8"/>
    <w:rsid w:val="00220C0B"/>
    <w:rsid w:val="00220C27"/>
    <w:rsid w:val="00220C7B"/>
    <w:rsid w:val="00220D39"/>
    <w:rsid w:val="00220D8D"/>
    <w:rsid w:val="00220DA7"/>
    <w:rsid w:val="00220DF1"/>
    <w:rsid w:val="00220E72"/>
    <w:rsid w:val="00220F54"/>
    <w:rsid w:val="00221177"/>
    <w:rsid w:val="002214F1"/>
    <w:rsid w:val="002215E1"/>
    <w:rsid w:val="002216FC"/>
    <w:rsid w:val="002218EA"/>
    <w:rsid w:val="0022193F"/>
    <w:rsid w:val="00221A43"/>
    <w:rsid w:val="00221C1E"/>
    <w:rsid w:val="00221CC4"/>
    <w:rsid w:val="00221CCE"/>
    <w:rsid w:val="00221EEA"/>
    <w:rsid w:val="00221F6F"/>
    <w:rsid w:val="00221FE3"/>
    <w:rsid w:val="002220C8"/>
    <w:rsid w:val="002221B4"/>
    <w:rsid w:val="002221DC"/>
    <w:rsid w:val="00222C22"/>
    <w:rsid w:val="00222C41"/>
    <w:rsid w:val="00222D35"/>
    <w:rsid w:val="00222E16"/>
    <w:rsid w:val="00223321"/>
    <w:rsid w:val="002234C5"/>
    <w:rsid w:val="0022357F"/>
    <w:rsid w:val="0022370A"/>
    <w:rsid w:val="00223E28"/>
    <w:rsid w:val="0022406E"/>
    <w:rsid w:val="00224157"/>
    <w:rsid w:val="002246BC"/>
    <w:rsid w:val="0022490E"/>
    <w:rsid w:val="002249D6"/>
    <w:rsid w:val="00224AD0"/>
    <w:rsid w:val="00224D39"/>
    <w:rsid w:val="00224DDD"/>
    <w:rsid w:val="002256F6"/>
    <w:rsid w:val="00225AC3"/>
    <w:rsid w:val="00225BF4"/>
    <w:rsid w:val="00225BFD"/>
    <w:rsid w:val="00225D04"/>
    <w:rsid w:val="00225E17"/>
    <w:rsid w:val="00225F27"/>
    <w:rsid w:val="0022628A"/>
    <w:rsid w:val="00226365"/>
    <w:rsid w:val="002263CA"/>
    <w:rsid w:val="00226611"/>
    <w:rsid w:val="0022697E"/>
    <w:rsid w:val="00226BA0"/>
    <w:rsid w:val="00226BEF"/>
    <w:rsid w:val="00226CDB"/>
    <w:rsid w:val="00227050"/>
    <w:rsid w:val="0022729B"/>
    <w:rsid w:val="00227519"/>
    <w:rsid w:val="00227D92"/>
    <w:rsid w:val="00227EE1"/>
    <w:rsid w:val="00230277"/>
    <w:rsid w:val="0023035B"/>
    <w:rsid w:val="00230685"/>
    <w:rsid w:val="002308FF"/>
    <w:rsid w:val="00230C1F"/>
    <w:rsid w:val="00230E31"/>
    <w:rsid w:val="00230EBA"/>
    <w:rsid w:val="00231197"/>
    <w:rsid w:val="00231251"/>
    <w:rsid w:val="00231260"/>
    <w:rsid w:val="00231562"/>
    <w:rsid w:val="002315BB"/>
    <w:rsid w:val="002315BE"/>
    <w:rsid w:val="0023172A"/>
    <w:rsid w:val="002318FD"/>
    <w:rsid w:val="00231F26"/>
    <w:rsid w:val="00231F69"/>
    <w:rsid w:val="0023266C"/>
    <w:rsid w:val="00232A27"/>
    <w:rsid w:val="00232AFE"/>
    <w:rsid w:val="00232D6D"/>
    <w:rsid w:val="00232F8E"/>
    <w:rsid w:val="0023302C"/>
    <w:rsid w:val="002330E5"/>
    <w:rsid w:val="00233216"/>
    <w:rsid w:val="00233332"/>
    <w:rsid w:val="0023360C"/>
    <w:rsid w:val="0023389B"/>
    <w:rsid w:val="002338B2"/>
    <w:rsid w:val="00233E51"/>
    <w:rsid w:val="00233E64"/>
    <w:rsid w:val="0023403F"/>
    <w:rsid w:val="00234282"/>
    <w:rsid w:val="00234CB8"/>
    <w:rsid w:val="00234D02"/>
    <w:rsid w:val="00234D59"/>
    <w:rsid w:val="00235025"/>
    <w:rsid w:val="002352C0"/>
    <w:rsid w:val="002354BF"/>
    <w:rsid w:val="002359F8"/>
    <w:rsid w:val="00235B37"/>
    <w:rsid w:val="00235C2B"/>
    <w:rsid w:val="00235CD9"/>
    <w:rsid w:val="00236065"/>
    <w:rsid w:val="002360E8"/>
    <w:rsid w:val="002361D4"/>
    <w:rsid w:val="00236305"/>
    <w:rsid w:val="002363A4"/>
    <w:rsid w:val="00236AFB"/>
    <w:rsid w:val="00236B5A"/>
    <w:rsid w:val="00236EC3"/>
    <w:rsid w:val="00236F61"/>
    <w:rsid w:val="002372DE"/>
    <w:rsid w:val="002374B4"/>
    <w:rsid w:val="002379D5"/>
    <w:rsid w:val="00237B37"/>
    <w:rsid w:val="00237DF0"/>
    <w:rsid w:val="00237E33"/>
    <w:rsid w:val="00237FDC"/>
    <w:rsid w:val="0024002A"/>
    <w:rsid w:val="00240079"/>
    <w:rsid w:val="002401DA"/>
    <w:rsid w:val="002401F9"/>
    <w:rsid w:val="0024074C"/>
    <w:rsid w:val="00240892"/>
    <w:rsid w:val="00241164"/>
    <w:rsid w:val="0024117B"/>
    <w:rsid w:val="002411B9"/>
    <w:rsid w:val="00241651"/>
    <w:rsid w:val="00241932"/>
    <w:rsid w:val="0024196B"/>
    <w:rsid w:val="00241CCA"/>
    <w:rsid w:val="00241FC4"/>
    <w:rsid w:val="00241FDA"/>
    <w:rsid w:val="0024262E"/>
    <w:rsid w:val="00242732"/>
    <w:rsid w:val="00242904"/>
    <w:rsid w:val="00242976"/>
    <w:rsid w:val="00242A42"/>
    <w:rsid w:val="00242AD6"/>
    <w:rsid w:val="00242E7A"/>
    <w:rsid w:val="002431DD"/>
    <w:rsid w:val="00243287"/>
    <w:rsid w:val="00243368"/>
    <w:rsid w:val="002437B2"/>
    <w:rsid w:val="00243C0C"/>
    <w:rsid w:val="00243D26"/>
    <w:rsid w:val="00243D73"/>
    <w:rsid w:val="00243DFA"/>
    <w:rsid w:val="00243F4F"/>
    <w:rsid w:val="00243F88"/>
    <w:rsid w:val="002440DA"/>
    <w:rsid w:val="0024417E"/>
    <w:rsid w:val="0024420E"/>
    <w:rsid w:val="002444AF"/>
    <w:rsid w:val="002448DC"/>
    <w:rsid w:val="00244C13"/>
    <w:rsid w:val="00244CD9"/>
    <w:rsid w:val="00244E6E"/>
    <w:rsid w:val="00244E74"/>
    <w:rsid w:val="00245011"/>
    <w:rsid w:val="002453EE"/>
    <w:rsid w:val="002454CC"/>
    <w:rsid w:val="00245852"/>
    <w:rsid w:val="00245B3F"/>
    <w:rsid w:val="00245BFA"/>
    <w:rsid w:val="00245CD5"/>
    <w:rsid w:val="00245EA5"/>
    <w:rsid w:val="00245EDA"/>
    <w:rsid w:val="0024612F"/>
    <w:rsid w:val="0024613B"/>
    <w:rsid w:val="002461BF"/>
    <w:rsid w:val="00246229"/>
    <w:rsid w:val="00246545"/>
    <w:rsid w:val="00246568"/>
    <w:rsid w:val="002465A2"/>
    <w:rsid w:val="002467C1"/>
    <w:rsid w:val="002467CE"/>
    <w:rsid w:val="00246918"/>
    <w:rsid w:val="00246A20"/>
    <w:rsid w:val="00246A9C"/>
    <w:rsid w:val="00246C63"/>
    <w:rsid w:val="00246CE0"/>
    <w:rsid w:val="00246DE2"/>
    <w:rsid w:val="00246EC3"/>
    <w:rsid w:val="00247156"/>
    <w:rsid w:val="0024736D"/>
    <w:rsid w:val="002476AB"/>
    <w:rsid w:val="002477E6"/>
    <w:rsid w:val="002478C4"/>
    <w:rsid w:val="00247A68"/>
    <w:rsid w:val="00247AA9"/>
    <w:rsid w:val="00247C2D"/>
    <w:rsid w:val="00247D16"/>
    <w:rsid w:val="00247D84"/>
    <w:rsid w:val="00247FDE"/>
    <w:rsid w:val="002504FD"/>
    <w:rsid w:val="002507B2"/>
    <w:rsid w:val="0025095E"/>
    <w:rsid w:val="00250AC5"/>
    <w:rsid w:val="00250B58"/>
    <w:rsid w:val="00250BC2"/>
    <w:rsid w:val="00250C81"/>
    <w:rsid w:val="00251266"/>
    <w:rsid w:val="0025140C"/>
    <w:rsid w:val="00251467"/>
    <w:rsid w:val="00251528"/>
    <w:rsid w:val="0025163E"/>
    <w:rsid w:val="00251B59"/>
    <w:rsid w:val="00251B67"/>
    <w:rsid w:val="00251C07"/>
    <w:rsid w:val="00251CBA"/>
    <w:rsid w:val="00251E3B"/>
    <w:rsid w:val="00251F31"/>
    <w:rsid w:val="00251FEF"/>
    <w:rsid w:val="002520FA"/>
    <w:rsid w:val="00252122"/>
    <w:rsid w:val="002522D0"/>
    <w:rsid w:val="0025232C"/>
    <w:rsid w:val="002523B6"/>
    <w:rsid w:val="00252AF8"/>
    <w:rsid w:val="00252B76"/>
    <w:rsid w:val="00252B9A"/>
    <w:rsid w:val="00253035"/>
    <w:rsid w:val="0025307E"/>
    <w:rsid w:val="002532F3"/>
    <w:rsid w:val="00253320"/>
    <w:rsid w:val="00253584"/>
    <w:rsid w:val="00253EA2"/>
    <w:rsid w:val="00254112"/>
    <w:rsid w:val="002547BE"/>
    <w:rsid w:val="00254ABA"/>
    <w:rsid w:val="00254B7D"/>
    <w:rsid w:val="00254DA5"/>
    <w:rsid w:val="00254F28"/>
    <w:rsid w:val="0025522B"/>
    <w:rsid w:val="00255279"/>
    <w:rsid w:val="002553D3"/>
    <w:rsid w:val="002553ED"/>
    <w:rsid w:val="00255423"/>
    <w:rsid w:val="00255DC6"/>
    <w:rsid w:val="00255ED3"/>
    <w:rsid w:val="002560CB"/>
    <w:rsid w:val="00256573"/>
    <w:rsid w:val="002565DF"/>
    <w:rsid w:val="002569FE"/>
    <w:rsid w:val="00256CC2"/>
    <w:rsid w:val="00256E38"/>
    <w:rsid w:val="00256E91"/>
    <w:rsid w:val="00257259"/>
    <w:rsid w:val="0025733F"/>
    <w:rsid w:val="002573F9"/>
    <w:rsid w:val="0025753C"/>
    <w:rsid w:val="00257626"/>
    <w:rsid w:val="00257724"/>
    <w:rsid w:val="002577A5"/>
    <w:rsid w:val="00257864"/>
    <w:rsid w:val="0025797E"/>
    <w:rsid w:val="00257B2A"/>
    <w:rsid w:val="00257C3F"/>
    <w:rsid w:val="00257EF2"/>
    <w:rsid w:val="00257F3E"/>
    <w:rsid w:val="00260176"/>
    <w:rsid w:val="00260574"/>
    <w:rsid w:val="00260A77"/>
    <w:rsid w:val="00260AE7"/>
    <w:rsid w:val="00260B16"/>
    <w:rsid w:val="00260EF2"/>
    <w:rsid w:val="00260F0A"/>
    <w:rsid w:val="002610B3"/>
    <w:rsid w:val="0026110F"/>
    <w:rsid w:val="002616D5"/>
    <w:rsid w:val="002619CF"/>
    <w:rsid w:val="00261B64"/>
    <w:rsid w:val="00261D7E"/>
    <w:rsid w:val="00261EF1"/>
    <w:rsid w:val="0026201C"/>
    <w:rsid w:val="00262048"/>
    <w:rsid w:val="002623CC"/>
    <w:rsid w:val="002624BE"/>
    <w:rsid w:val="002624DE"/>
    <w:rsid w:val="0026275F"/>
    <w:rsid w:val="00262AC3"/>
    <w:rsid w:val="00262D20"/>
    <w:rsid w:val="00263081"/>
    <w:rsid w:val="00263332"/>
    <w:rsid w:val="00263535"/>
    <w:rsid w:val="00263673"/>
    <w:rsid w:val="00263AFF"/>
    <w:rsid w:val="00263CBA"/>
    <w:rsid w:val="00264074"/>
    <w:rsid w:val="0026469C"/>
    <w:rsid w:val="002648D9"/>
    <w:rsid w:val="0026498A"/>
    <w:rsid w:val="00264AA1"/>
    <w:rsid w:val="00264C69"/>
    <w:rsid w:val="00264CFA"/>
    <w:rsid w:val="00264E93"/>
    <w:rsid w:val="00264E9C"/>
    <w:rsid w:val="00265009"/>
    <w:rsid w:val="00265048"/>
    <w:rsid w:val="002656EB"/>
    <w:rsid w:val="0026583A"/>
    <w:rsid w:val="00265A78"/>
    <w:rsid w:val="00265CDF"/>
    <w:rsid w:val="00265D8C"/>
    <w:rsid w:val="00265DEA"/>
    <w:rsid w:val="0026602C"/>
    <w:rsid w:val="002660A1"/>
    <w:rsid w:val="0026618C"/>
    <w:rsid w:val="0026620C"/>
    <w:rsid w:val="00266373"/>
    <w:rsid w:val="0026637B"/>
    <w:rsid w:val="002664FC"/>
    <w:rsid w:val="00266530"/>
    <w:rsid w:val="002665F9"/>
    <w:rsid w:val="002667C3"/>
    <w:rsid w:val="00266ED1"/>
    <w:rsid w:val="00267024"/>
    <w:rsid w:val="0026730C"/>
    <w:rsid w:val="00267CC1"/>
    <w:rsid w:val="00267DAC"/>
    <w:rsid w:val="00267DEA"/>
    <w:rsid w:val="00267FAD"/>
    <w:rsid w:val="00270284"/>
    <w:rsid w:val="00270402"/>
    <w:rsid w:val="00270432"/>
    <w:rsid w:val="00270435"/>
    <w:rsid w:val="0027061C"/>
    <w:rsid w:val="00270661"/>
    <w:rsid w:val="00270B17"/>
    <w:rsid w:val="00270D6B"/>
    <w:rsid w:val="00270E66"/>
    <w:rsid w:val="00270EE8"/>
    <w:rsid w:val="0027105E"/>
    <w:rsid w:val="002714F6"/>
    <w:rsid w:val="00271538"/>
    <w:rsid w:val="00271B57"/>
    <w:rsid w:val="00271CE0"/>
    <w:rsid w:val="00271D54"/>
    <w:rsid w:val="00271E6B"/>
    <w:rsid w:val="00272197"/>
    <w:rsid w:val="0027236C"/>
    <w:rsid w:val="002723CE"/>
    <w:rsid w:val="00272624"/>
    <w:rsid w:val="0027282D"/>
    <w:rsid w:val="00272BDC"/>
    <w:rsid w:val="00272E51"/>
    <w:rsid w:val="00272F01"/>
    <w:rsid w:val="002732E7"/>
    <w:rsid w:val="002733B3"/>
    <w:rsid w:val="002736A4"/>
    <w:rsid w:val="0027377C"/>
    <w:rsid w:val="00273A7A"/>
    <w:rsid w:val="00273CEE"/>
    <w:rsid w:val="00273EC7"/>
    <w:rsid w:val="00273EEF"/>
    <w:rsid w:val="00274209"/>
    <w:rsid w:val="002747B4"/>
    <w:rsid w:val="002747BD"/>
    <w:rsid w:val="0027484C"/>
    <w:rsid w:val="00274B79"/>
    <w:rsid w:val="00274CED"/>
    <w:rsid w:val="00274CF1"/>
    <w:rsid w:val="00274CFA"/>
    <w:rsid w:val="00274D25"/>
    <w:rsid w:val="00275382"/>
    <w:rsid w:val="002754A3"/>
    <w:rsid w:val="002755BC"/>
    <w:rsid w:val="002755F6"/>
    <w:rsid w:val="002757EB"/>
    <w:rsid w:val="002759BA"/>
    <w:rsid w:val="00275BF9"/>
    <w:rsid w:val="00275FCD"/>
    <w:rsid w:val="002760F4"/>
    <w:rsid w:val="002760FC"/>
    <w:rsid w:val="00276107"/>
    <w:rsid w:val="002764C8"/>
    <w:rsid w:val="0027672A"/>
    <w:rsid w:val="00276875"/>
    <w:rsid w:val="0027696A"/>
    <w:rsid w:val="00276A38"/>
    <w:rsid w:val="00276A84"/>
    <w:rsid w:val="00276CAB"/>
    <w:rsid w:val="0027726F"/>
    <w:rsid w:val="00277272"/>
    <w:rsid w:val="002773E3"/>
    <w:rsid w:val="00277442"/>
    <w:rsid w:val="002774CF"/>
    <w:rsid w:val="00277514"/>
    <w:rsid w:val="00277561"/>
    <w:rsid w:val="002775FC"/>
    <w:rsid w:val="00277A09"/>
    <w:rsid w:val="00277AE1"/>
    <w:rsid w:val="002804E8"/>
    <w:rsid w:val="002805F3"/>
    <w:rsid w:val="00280D16"/>
    <w:rsid w:val="002810AD"/>
    <w:rsid w:val="00281425"/>
    <w:rsid w:val="00281A3A"/>
    <w:rsid w:val="00281A6A"/>
    <w:rsid w:val="00281F82"/>
    <w:rsid w:val="0028206B"/>
    <w:rsid w:val="00282162"/>
    <w:rsid w:val="002823E7"/>
    <w:rsid w:val="002823F1"/>
    <w:rsid w:val="002824B3"/>
    <w:rsid w:val="002824F9"/>
    <w:rsid w:val="00282503"/>
    <w:rsid w:val="0028264E"/>
    <w:rsid w:val="002828CE"/>
    <w:rsid w:val="002828D5"/>
    <w:rsid w:val="002829FA"/>
    <w:rsid w:val="00282A36"/>
    <w:rsid w:val="00282B97"/>
    <w:rsid w:val="00282C71"/>
    <w:rsid w:val="00282D5C"/>
    <w:rsid w:val="00282E50"/>
    <w:rsid w:val="0028319A"/>
    <w:rsid w:val="00283290"/>
    <w:rsid w:val="002837A5"/>
    <w:rsid w:val="00283929"/>
    <w:rsid w:val="00283AF3"/>
    <w:rsid w:val="002842F6"/>
    <w:rsid w:val="002846F9"/>
    <w:rsid w:val="00284A18"/>
    <w:rsid w:val="00284BC4"/>
    <w:rsid w:val="00284D38"/>
    <w:rsid w:val="00285068"/>
    <w:rsid w:val="00285273"/>
    <w:rsid w:val="002853E6"/>
    <w:rsid w:val="00285405"/>
    <w:rsid w:val="002855C4"/>
    <w:rsid w:val="002858BC"/>
    <w:rsid w:val="00285F13"/>
    <w:rsid w:val="00286312"/>
    <w:rsid w:val="00286419"/>
    <w:rsid w:val="002864B6"/>
    <w:rsid w:val="00286935"/>
    <w:rsid w:val="002869F6"/>
    <w:rsid w:val="00286A1C"/>
    <w:rsid w:val="00286BF9"/>
    <w:rsid w:val="002875AB"/>
    <w:rsid w:val="0028765F"/>
    <w:rsid w:val="002878B4"/>
    <w:rsid w:val="0028796F"/>
    <w:rsid w:val="002901D7"/>
    <w:rsid w:val="00290383"/>
    <w:rsid w:val="00290427"/>
    <w:rsid w:val="0029095E"/>
    <w:rsid w:val="00290B1E"/>
    <w:rsid w:val="00290C53"/>
    <w:rsid w:val="00290FDE"/>
    <w:rsid w:val="00291021"/>
    <w:rsid w:val="00291055"/>
    <w:rsid w:val="0029110D"/>
    <w:rsid w:val="0029152C"/>
    <w:rsid w:val="002918AA"/>
    <w:rsid w:val="00291BDB"/>
    <w:rsid w:val="00291DE9"/>
    <w:rsid w:val="00291EAB"/>
    <w:rsid w:val="00291FE6"/>
    <w:rsid w:val="0029201E"/>
    <w:rsid w:val="00292165"/>
    <w:rsid w:val="00292181"/>
    <w:rsid w:val="002921EE"/>
    <w:rsid w:val="00292236"/>
    <w:rsid w:val="0029232B"/>
    <w:rsid w:val="002924F9"/>
    <w:rsid w:val="0029297E"/>
    <w:rsid w:val="00292A00"/>
    <w:rsid w:val="00292CE1"/>
    <w:rsid w:val="00292D48"/>
    <w:rsid w:val="00292E65"/>
    <w:rsid w:val="00292F37"/>
    <w:rsid w:val="0029307D"/>
    <w:rsid w:val="002936F9"/>
    <w:rsid w:val="00293970"/>
    <w:rsid w:val="00293B69"/>
    <w:rsid w:val="00293D96"/>
    <w:rsid w:val="00293E98"/>
    <w:rsid w:val="00293FC3"/>
    <w:rsid w:val="0029449B"/>
    <w:rsid w:val="002945EB"/>
    <w:rsid w:val="002946DB"/>
    <w:rsid w:val="0029485E"/>
    <w:rsid w:val="0029499F"/>
    <w:rsid w:val="00294B1D"/>
    <w:rsid w:val="00294BB9"/>
    <w:rsid w:val="00294C92"/>
    <w:rsid w:val="00294DB6"/>
    <w:rsid w:val="00294E39"/>
    <w:rsid w:val="00294E55"/>
    <w:rsid w:val="00294EED"/>
    <w:rsid w:val="00294F91"/>
    <w:rsid w:val="002951E7"/>
    <w:rsid w:val="002953DE"/>
    <w:rsid w:val="00295458"/>
    <w:rsid w:val="0029547A"/>
    <w:rsid w:val="00295901"/>
    <w:rsid w:val="00295A76"/>
    <w:rsid w:val="00295D63"/>
    <w:rsid w:val="00296070"/>
    <w:rsid w:val="00296115"/>
    <w:rsid w:val="00296193"/>
    <w:rsid w:val="002965CE"/>
    <w:rsid w:val="00296677"/>
    <w:rsid w:val="002966A9"/>
    <w:rsid w:val="00296B47"/>
    <w:rsid w:val="00296E5A"/>
    <w:rsid w:val="00297AC9"/>
    <w:rsid w:val="00297AEA"/>
    <w:rsid w:val="002A0217"/>
    <w:rsid w:val="002A0274"/>
    <w:rsid w:val="002A0548"/>
    <w:rsid w:val="002A0ABB"/>
    <w:rsid w:val="002A0ACB"/>
    <w:rsid w:val="002A0C98"/>
    <w:rsid w:val="002A10F7"/>
    <w:rsid w:val="002A1233"/>
    <w:rsid w:val="002A13CD"/>
    <w:rsid w:val="002A147F"/>
    <w:rsid w:val="002A14AF"/>
    <w:rsid w:val="002A15AF"/>
    <w:rsid w:val="002A20D7"/>
    <w:rsid w:val="002A22FD"/>
    <w:rsid w:val="002A23D1"/>
    <w:rsid w:val="002A2668"/>
    <w:rsid w:val="002A28CE"/>
    <w:rsid w:val="002A2938"/>
    <w:rsid w:val="002A2A54"/>
    <w:rsid w:val="002A2C2D"/>
    <w:rsid w:val="002A3404"/>
    <w:rsid w:val="002A347E"/>
    <w:rsid w:val="002A35D3"/>
    <w:rsid w:val="002A3675"/>
    <w:rsid w:val="002A37D1"/>
    <w:rsid w:val="002A3862"/>
    <w:rsid w:val="002A38A4"/>
    <w:rsid w:val="002A3B3E"/>
    <w:rsid w:val="002A3DDE"/>
    <w:rsid w:val="002A3E5A"/>
    <w:rsid w:val="002A3E6C"/>
    <w:rsid w:val="002A4650"/>
    <w:rsid w:val="002A4A8D"/>
    <w:rsid w:val="002A4B70"/>
    <w:rsid w:val="002A4E36"/>
    <w:rsid w:val="002A4ED4"/>
    <w:rsid w:val="002A4EF7"/>
    <w:rsid w:val="002A4FC7"/>
    <w:rsid w:val="002A531C"/>
    <w:rsid w:val="002A5404"/>
    <w:rsid w:val="002A56D7"/>
    <w:rsid w:val="002A5751"/>
    <w:rsid w:val="002A5AEF"/>
    <w:rsid w:val="002A5C9A"/>
    <w:rsid w:val="002A5CD6"/>
    <w:rsid w:val="002A5E98"/>
    <w:rsid w:val="002A5EE5"/>
    <w:rsid w:val="002A5F94"/>
    <w:rsid w:val="002A604B"/>
    <w:rsid w:val="002A6075"/>
    <w:rsid w:val="002A63A0"/>
    <w:rsid w:val="002A64AC"/>
    <w:rsid w:val="002A652D"/>
    <w:rsid w:val="002A6735"/>
    <w:rsid w:val="002A6830"/>
    <w:rsid w:val="002A6A35"/>
    <w:rsid w:val="002A6A47"/>
    <w:rsid w:val="002A6B0E"/>
    <w:rsid w:val="002A6EE8"/>
    <w:rsid w:val="002A7390"/>
    <w:rsid w:val="002A73BA"/>
    <w:rsid w:val="002A73C0"/>
    <w:rsid w:val="002A73EA"/>
    <w:rsid w:val="002A74A1"/>
    <w:rsid w:val="002A7510"/>
    <w:rsid w:val="002A7805"/>
    <w:rsid w:val="002A7E0A"/>
    <w:rsid w:val="002A7F5B"/>
    <w:rsid w:val="002B0012"/>
    <w:rsid w:val="002B02E2"/>
    <w:rsid w:val="002B047D"/>
    <w:rsid w:val="002B07CF"/>
    <w:rsid w:val="002B095B"/>
    <w:rsid w:val="002B09D3"/>
    <w:rsid w:val="002B0BC9"/>
    <w:rsid w:val="002B0BFF"/>
    <w:rsid w:val="002B0C25"/>
    <w:rsid w:val="002B0D17"/>
    <w:rsid w:val="002B0ED7"/>
    <w:rsid w:val="002B0EFA"/>
    <w:rsid w:val="002B1099"/>
    <w:rsid w:val="002B11C6"/>
    <w:rsid w:val="002B13A2"/>
    <w:rsid w:val="002B1681"/>
    <w:rsid w:val="002B16CC"/>
    <w:rsid w:val="002B1ADA"/>
    <w:rsid w:val="002B1D8F"/>
    <w:rsid w:val="002B20BC"/>
    <w:rsid w:val="002B212F"/>
    <w:rsid w:val="002B2243"/>
    <w:rsid w:val="002B22D8"/>
    <w:rsid w:val="002B28B8"/>
    <w:rsid w:val="002B2901"/>
    <w:rsid w:val="002B2BBB"/>
    <w:rsid w:val="002B2C30"/>
    <w:rsid w:val="002B2CCF"/>
    <w:rsid w:val="002B329B"/>
    <w:rsid w:val="002B35DE"/>
    <w:rsid w:val="002B372B"/>
    <w:rsid w:val="002B393A"/>
    <w:rsid w:val="002B3A3C"/>
    <w:rsid w:val="002B3ADA"/>
    <w:rsid w:val="002B3D45"/>
    <w:rsid w:val="002B3D75"/>
    <w:rsid w:val="002B3E8C"/>
    <w:rsid w:val="002B3FE7"/>
    <w:rsid w:val="002B40DE"/>
    <w:rsid w:val="002B44FD"/>
    <w:rsid w:val="002B4557"/>
    <w:rsid w:val="002B457A"/>
    <w:rsid w:val="002B4A40"/>
    <w:rsid w:val="002B4BA5"/>
    <w:rsid w:val="002B4C09"/>
    <w:rsid w:val="002B4C7C"/>
    <w:rsid w:val="002B50D1"/>
    <w:rsid w:val="002B53E1"/>
    <w:rsid w:val="002B576E"/>
    <w:rsid w:val="002B577A"/>
    <w:rsid w:val="002B592D"/>
    <w:rsid w:val="002B5B4E"/>
    <w:rsid w:val="002B5BB3"/>
    <w:rsid w:val="002B5C17"/>
    <w:rsid w:val="002B5C22"/>
    <w:rsid w:val="002B5EF1"/>
    <w:rsid w:val="002B6158"/>
    <w:rsid w:val="002B62A9"/>
    <w:rsid w:val="002B632D"/>
    <w:rsid w:val="002B6397"/>
    <w:rsid w:val="002B643D"/>
    <w:rsid w:val="002B65B0"/>
    <w:rsid w:val="002B6AF4"/>
    <w:rsid w:val="002B6BDD"/>
    <w:rsid w:val="002B6D91"/>
    <w:rsid w:val="002B6E72"/>
    <w:rsid w:val="002B6E99"/>
    <w:rsid w:val="002B6EDB"/>
    <w:rsid w:val="002B6FB5"/>
    <w:rsid w:val="002B708E"/>
    <w:rsid w:val="002B712C"/>
    <w:rsid w:val="002B71CB"/>
    <w:rsid w:val="002B78DE"/>
    <w:rsid w:val="002B79AC"/>
    <w:rsid w:val="002B7A8A"/>
    <w:rsid w:val="002B7C05"/>
    <w:rsid w:val="002B7E0E"/>
    <w:rsid w:val="002B7F7C"/>
    <w:rsid w:val="002C02E6"/>
    <w:rsid w:val="002C03E8"/>
    <w:rsid w:val="002C040D"/>
    <w:rsid w:val="002C04FA"/>
    <w:rsid w:val="002C0659"/>
    <w:rsid w:val="002C086F"/>
    <w:rsid w:val="002C0BFD"/>
    <w:rsid w:val="002C0F50"/>
    <w:rsid w:val="002C1026"/>
    <w:rsid w:val="002C1227"/>
    <w:rsid w:val="002C12A0"/>
    <w:rsid w:val="002C1493"/>
    <w:rsid w:val="002C15F3"/>
    <w:rsid w:val="002C1687"/>
    <w:rsid w:val="002C1741"/>
    <w:rsid w:val="002C2078"/>
    <w:rsid w:val="002C208A"/>
    <w:rsid w:val="002C247D"/>
    <w:rsid w:val="002C25F5"/>
    <w:rsid w:val="002C284E"/>
    <w:rsid w:val="002C29E3"/>
    <w:rsid w:val="002C2A46"/>
    <w:rsid w:val="002C2B48"/>
    <w:rsid w:val="002C30A4"/>
    <w:rsid w:val="002C3261"/>
    <w:rsid w:val="002C34EF"/>
    <w:rsid w:val="002C35B4"/>
    <w:rsid w:val="002C3B28"/>
    <w:rsid w:val="002C3B8C"/>
    <w:rsid w:val="002C3FF8"/>
    <w:rsid w:val="002C43AA"/>
    <w:rsid w:val="002C455D"/>
    <w:rsid w:val="002C46B8"/>
    <w:rsid w:val="002C4719"/>
    <w:rsid w:val="002C47D8"/>
    <w:rsid w:val="002C483D"/>
    <w:rsid w:val="002C48AD"/>
    <w:rsid w:val="002C4A66"/>
    <w:rsid w:val="002C4BEB"/>
    <w:rsid w:val="002C4C82"/>
    <w:rsid w:val="002C4CEB"/>
    <w:rsid w:val="002C4D50"/>
    <w:rsid w:val="002C501C"/>
    <w:rsid w:val="002C5138"/>
    <w:rsid w:val="002C54DA"/>
    <w:rsid w:val="002C596C"/>
    <w:rsid w:val="002C5A90"/>
    <w:rsid w:val="002C5D56"/>
    <w:rsid w:val="002C609F"/>
    <w:rsid w:val="002C6122"/>
    <w:rsid w:val="002C62EA"/>
    <w:rsid w:val="002C661A"/>
    <w:rsid w:val="002C665F"/>
    <w:rsid w:val="002C66A8"/>
    <w:rsid w:val="002C6770"/>
    <w:rsid w:val="002C679D"/>
    <w:rsid w:val="002C6915"/>
    <w:rsid w:val="002C6DFE"/>
    <w:rsid w:val="002C6DFF"/>
    <w:rsid w:val="002C6ED7"/>
    <w:rsid w:val="002C72E0"/>
    <w:rsid w:val="002C76A5"/>
    <w:rsid w:val="002C76E8"/>
    <w:rsid w:val="002C7A64"/>
    <w:rsid w:val="002C7BDF"/>
    <w:rsid w:val="002C7D0E"/>
    <w:rsid w:val="002C7D22"/>
    <w:rsid w:val="002C7E06"/>
    <w:rsid w:val="002C7F1D"/>
    <w:rsid w:val="002C7F8B"/>
    <w:rsid w:val="002D021E"/>
    <w:rsid w:val="002D0456"/>
    <w:rsid w:val="002D0636"/>
    <w:rsid w:val="002D0BA1"/>
    <w:rsid w:val="002D1060"/>
    <w:rsid w:val="002D120A"/>
    <w:rsid w:val="002D1239"/>
    <w:rsid w:val="002D13CC"/>
    <w:rsid w:val="002D13DE"/>
    <w:rsid w:val="002D148A"/>
    <w:rsid w:val="002D16A3"/>
    <w:rsid w:val="002D16D2"/>
    <w:rsid w:val="002D1979"/>
    <w:rsid w:val="002D1983"/>
    <w:rsid w:val="002D198D"/>
    <w:rsid w:val="002D1B07"/>
    <w:rsid w:val="002D1BE1"/>
    <w:rsid w:val="002D1FBD"/>
    <w:rsid w:val="002D2350"/>
    <w:rsid w:val="002D2473"/>
    <w:rsid w:val="002D2715"/>
    <w:rsid w:val="002D2838"/>
    <w:rsid w:val="002D2B9A"/>
    <w:rsid w:val="002D2BF1"/>
    <w:rsid w:val="002D2ECE"/>
    <w:rsid w:val="002D309E"/>
    <w:rsid w:val="002D3182"/>
    <w:rsid w:val="002D32EA"/>
    <w:rsid w:val="002D3417"/>
    <w:rsid w:val="002D370D"/>
    <w:rsid w:val="002D399D"/>
    <w:rsid w:val="002D3BF6"/>
    <w:rsid w:val="002D4137"/>
    <w:rsid w:val="002D42E8"/>
    <w:rsid w:val="002D42F2"/>
    <w:rsid w:val="002D46C9"/>
    <w:rsid w:val="002D47A6"/>
    <w:rsid w:val="002D49FB"/>
    <w:rsid w:val="002D4B09"/>
    <w:rsid w:val="002D4BEC"/>
    <w:rsid w:val="002D4F12"/>
    <w:rsid w:val="002D518A"/>
    <w:rsid w:val="002D53C1"/>
    <w:rsid w:val="002D5752"/>
    <w:rsid w:val="002D5D3D"/>
    <w:rsid w:val="002D5E69"/>
    <w:rsid w:val="002D636D"/>
    <w:rsid w:val="002D64A9"/>
    <w:rsid w:val="002D6829"/>
    <w:rsid w:val="002D6939"/>
    <w:rsid w:val="002D6D42"/>
    <w:rsid w:val="002D6D78"/>
    <w:rsid w:val="002D6E07"/>
    <w:rsid w:val="002D75AC"/>
    <w:rsid w:val="002D76F9"/>
    <w:rsid w:val="002D77DD"/>
    <w:rsid w:val="002D78ED"/>
    <w:rsid w:val="002D78FB"/>
    <w:rsid w:val="002D7927"/>
    <w:rsid w:val="002D7EE3"/>
    <w:rsid w:val="002E0045"/>
    <w:rsid w:val="002E00AA"/>
    <w:rsid w:val="002E00AB"/>
    <w:rsid w:val="002E0598"/>
    <w:rsid w:val="002E08E5"/>
    <w:rsid w:val="002E0AAF"/>
    <w:rsid w:val="002E0BE2"/>
    <w:rsid w:val="002E0C49"/>
    <w:rsid w:val="002E0F00"/>
    <w:rsid w:val="002E1669"/>
    <w:rsid w:val="002E17E4"/>
    <w:rsid w:val="002E1883"/>
    <w:rsid w:val="002E1AD0"/>
    <w:rsid w:val="002E1D35"/>
    <w:rsid w:val="002E1DD6"/>
    <w:rsid w:val="002E1DF9"/>
    <w:rsid w:val="002E1DFC"/>
    <w:rsid w:val="002E1F21"/>
    <w:rsid w:val="002E205F"/>
    <w:rsid w:val="002E2099"/>
    <w:rsid w:val="002E2180"/>
    <w:rsid w:val="002E21FC"/>
    <w:rsid w:val="002E2518"/>
    <w:rsid w:val="002E2569"/>
    <w:rsid w:val="002E2CA7"/>
    <w:rsid w:val="002E305E"/>
    <w:rsid w:val="002E3096"/>
    <w:rsid w:val="002E3200"/>
    <w:rsid w:val="002E3930"/>
    <w:rsid w:val="002E39DF"/>
    <w:rsid w:val="002E3C7C"/>
    <w:rsid w:val="002E3C9F"/>
    <w:rsid w:val="002E3E57"/>
    <w:rsid w:val="002E4045"/>
    <w:rsid w:val="002E409D"/>
    <w:rsid w:val="002E40AB"/>
    <w:rsid w:val="002E423B"/>
    <w:rsid w:val="002E42C4"/>
    <w:rsid w:val="002E4301"/>
    <w:rsid w:val="002E4A16"/>
    <w:rsid w:val="002E4DB4"/>
    <w:rsid w:val="002E4DFE"/>
    <w:rsid w:val="002E4F04"/>
    <w:rsid w:val="002E50CF"/>
    <w:rsid w:val="002E51E1"/>
    <w:rsid w:val="002E527F"/>
    <w:rsid w:val="002E52A8"/>
    <w:rsid w:val="002E5454"/>
    <w:rsid w:val="002E5503"/>
    <w:rsid w:val="002E579A"/>
    <w:rsid w:val="002E5B03"/>
    <w:rsid w:val="002E5BE8"/>
    <w:rsid w:val="002E5BF4"/>
    <w:rsid w:val="002E5CD8"/>
    <w:rsid w:val="002E5F1A"/>
    <w:rsid w:val="002E6082"/>
    <w:rsid w:val="002E60C8"/>
    <w:rsid w:val="002E63F0"/>
    <w:rsid w:val="002E6415"/>
    <w:rsid w:val="002E6730"/>
    <w:rsid w:val="002E6845"/>
    <w:rsid w:val="002E6BC0"/>
    <w:rsid w:val="002E6CC3"/>
    <w:rsid w:val="002E72DC"/>
    <w:rsid w:val="002E73A3"/>
    <w:rsid w:val="002E751A"/>
    <w:rsid w:val="002E7589"/>
    <w:rsid w:val="002E7939"/>
    <w:rsid w:val="002E7B7B"/>
    <w:rsid w:val="002F0093"/>
    <w:rsid w:val="002F0106"/>
    <w:rsid w:val="002F02B3"/>
    <w:rsid w:val="002F063B"/>
    <w:rsid w:val="002F0707"/>
    <w:rsid w:val="002F0820"/>
    <w:rsid w:val="002F09B1"/>
    <w:rsid w:val="002F0A38"/>
    <w:rsid w:val="002F0BE6"/>
    <w:rsid w:val="002F0D3B"/>
    <w:rsid w:val="002F0E26"/>
    <w:rsid w:val="002F0EB8"/>
    <w:rsid w:val="002F10C9"/>
    <w:rsid w:val="002F10F8"/>
    <w:rsid w:val="002F1199"/>
    <w:rsid w:val="002F11FB"/>
    <w:rsid w:val="002F16C3"/>
    <w:rsid w:val="002F19F7"/>
    <w:rsid w:val="002F1B76"/>
    <w:rsid w:val="002F1BF5"/>
    <w:rsid w:val="002F1E70"/>
    <w:rsid w:val="002F266C"/>
    <w:rsid w:val="002F2678"/>
    <w:rsid w:val="002F2871"/>
    <w:rsid w:val="002F2FDE"/>
    <w:rsid w:val="002F345C"/>
    <w:rsid w:val="002F3465"/>
    <w:rsid w:val="002F3ACB"/>
    <w:rsid w:val="002F3C71"/>
    <w:rsid w:val="002F401D"/>
    <w:rsid w:val="002F4065"/>
    <w:rsid w:val="002F48D1"/>
    <w:rsid w:val="002F4BBE"/>
    <w:rsid w:val="002F4DC9"/>
    <w:rsid w:val="002F5795"/>
    <w:rsid w:val="002F5F2D"/>
    <w:rsid w:val="002F60A2"/>
    <w:rsid w:val="002F6271"/>
    <w:rsid w:val="002F6449"/>
    <w:rsid w:val="002F6730"/>
    <w:rsid w:val="002F674D"/>
    <w:rsid w:val="002F6DE5"/>
    <w:rsid w:val="002F709E"/>
    <w:rsid w:val="002F70E8"/>
    <w:rsid w:val="002F713E"/>
    <w:rsid w:val="002F72CA"/>
    <w:rsid w:val="002F7764"/>
    <w:rsid w:val="002F77AF"/>
    <w:rsid w:val="002F77E0"/>
    <w:rsid w:val="002F7902"/>
    <w:rsid w:val="002F7AFF"/>
    <w:rsid w:val="002F7C38"/>
    <w:rsid w:val="002F7CB0"/>
    <w:rsid w:val="002F7F7F"/>
    <w:rsid w:val="003004BA"/>
    <w:rsid w:val="0030086F"/>
    <w:rsid w:val="00300B26"/>
    <w:rsid w:val="00300CD6"/>
    <w:rsid w:val="00300D5E"/>
    <w:rsid w:val="00300E54"/>
    <w:rsid w:val="00300FE1"/>
    <w:rsid w:val="00301027"/>
    <w:rsid w:val="0030108E"/>
    <w:rsid w:val="003012D6"/>
    <w:rsid w:val="00301395"/>
    <w:rsid w:val="003015C0"/>
    <w:rsid w:val="003018F3"/>
    <w:rsid w:val="0030198F"/>
    <w:rsid w:val="00301A44"/>
    <w:rsid w:val="00301CD7"/>
    <w:rsid w:val="00301CE4"/>
    <w:rsid w:val="00301DB7"/>
    <w:rsid w:val="00301DF8"/>
    <w:rsid w:val="00302146"/>
    <w:rsid w:val="00302442"/>
    <w:rsid w:val="0030282C"/>
    <w:rsid w:val="00302D88"/>
    <w:rsid w:val="00302DEE"/>
    <w:rsid w:val="00302DFB"/>
    <w:rsid w:val="00302EEB"/>
    <w:rsid w:val="00302F73"/>
    <w:rsid w:val="003032D0"/>
    <w:rsid w:val="003033EF"/>
    <w:rsid w:val="00303480"/>
    <w:rsid w:val="00303538"/>
    <w:rsid w:val="003035F2"/>
    <w:rsid w:val="003039D1"/>
    <w:rsid w:val="00303AEF"/>
    <w:rsid w:val="00303BC1"/>
    <w:rsid w:val="00304442"/>
    <w:rsid w:val="0030444A"/>
    <w:rsid w:val="00304474"/>
    <w:rsid w:val="00304752"/>
    <w:rsid w:val="00304F07"/>
    <w:rsid w:val="0030508B"/>
    <w:rsid w:val="00305499"/>
    <w:rsid w:val="00305675"/>
    <w:rsid w:val="0030580D"/>
    <w:rsid w:val="0030593D"/>
    <w:rsid w:val="003059A6"/>
    <w:rsid w:val="00305BFC"/>
    <w:rsid w:val="00305CAE"/>
    <w:rsid w:val="00305DDE"/>
    <w:rsid w:val="003062CA"/>
    <w:rsid w:val="00306637"/>
    <w:rsid w:val="00306657"/>
    <w:rsid w:val="003066EE"/>
    <w:rsid w:val="0030677A"/>
    <w:rsid w:val="0030699F"/>
    <w:rsid w:val="00306A1C"/>
    <w:rsid w:val="00306ACE"/>
    <w:rsid w:val="00306BBA"/>
    <w:rsid w:val="00306BE4"/>
    <w:rsid w:val="00306C23"/>
    <w:rsid w:val="00306CAB"/>
    <w:rsid w:val="00306E99"/>
    <w:rsid w:val="003073EE"/>
    <w:rsid w:val="003075C7"/>
    <w:rsid w:val="003076E3"/>
    <w:rsid w:val="00307CD5"/>
    <w:rsid w:val="00307D99"/>
    <w:rsid w:val="003104CC"/>
    <w:rsid w:val="003104F0"/>
    <w:rsid w:val="00310541"/>
    <w:rsid w:val="003105DC"/>
    <w:rsid w:val="003106D2"/>
    <w:rsid w:val="003106FC"/>
    <w:rsid w:val="0031073A"/>
    <w:rsid w:val="003107A8"/>
    <w:rsid w:val="003108B7"/>
    <w:rsid w:val="003108CD"/>
    <w:rsid w:val="00310C15"/>
    <w:rsid w:val="00310E04"/>
    <w:rsid w:val="00310EF4"/>
    <w:rsid w:val="0031112B"/>
    <w:rsid w:val="003111C1"/>
    <w:rsid w:val="003115BB"/>
    <w:rsid w:val="003116C4"/>
    <w:rsid w:val="0031180D"/>
    <w:rsid w:val="00311F98"/>
    <w:rsid w:val="003123DB"/>
    <w:rsid w:val="0031254C"/>
    <w:rsid w:val="00312A2C"/>
    <w:rsid w:val="00312A86"/>
    <w:rsid w:val="00312DA8"/>
    <w:rsid w:val="00313142"/>
    <w:rsid w:val="003131E3"/>
    <w:rsid w:val="00313713"/>
    <w:rsid w:val="003138EC"/>
    <w:rsid w:val="00313962"/>
    <w:rsid w:val="003139BD"/>
    <w:rsid w:val="003139C6"/>
    <w:rsid w:val="00313C4C"/>
    <w:rsid w:val="00313D5D"/>
    <w:rsid w:val="00313F8A"/>
    <w:rsid w:val="003143D8"/>
    <w:rsid w:val="003144EE"/>
    <w:rsid w:val="00314E9E"/>
    <w:rsid w:val="00314EED"/>
    <w:rsid w:val="00314F58"/>
    <w:rsid w:val="00314FFE"/>
    <w:rsid w:val="0031507F"/>
    <w:rsid w:val="003150F8"/>
    <w:rsid w:val="00315227"/>
    <w:rsid w:val="0031528B"/>
    <w:rsid w:val="0031538A"/>
    <w:rsid w:val="00315404"/>
    <w:rsid w:val="0031564B"/>
    <w:rsid w:val="00315688"/>
    <w:rsid w:val="003157DB"/>
    <w:rsid w:val="00315BC2"/>
    <w:rsid w:val="003160F3"/>
    <w:rsid w:val="00316163"/>
    <w:rsid w:val="00316539"/>
    <w:rsid w:val="003166D8"/>
    <w:rsid w:val="00316AE7"/>
    <w:rsid w:val="00316BC0"/>
    <w:rsid w:val="00316CF6"/>
    <w:rsid w:val="00316D28"/>
    <w:rsid w:val="00316D4D"/>
    <w:rsid w:val="00316EE3"/>
    <w:rsid w:val="00316F83"/>
    <w:rsid w:val="00316FC1"/>
    <w:rsid w:val="0031714D"/>
    <w:rsid w:val="00317519"/>
    <w:rsid w:val="0031769E"/>
    <w:rsid w:val="003178B4"/>
    <w:rsid w:val="003179E1"/>
    <w:rsid w:val="00317A31"/>
    <w:rsid w:val="00317CC3"/>
    <w:rsid w:val="0032008E"/>
    <w:rsid w:val="00320128"/>
    <w:rsid w:val="003202AE"/>
    <w:rsid w:val="00320329"/>
    <w:rsid w:val="0032035B"/>
    <w:rsid w:val="00320539"/>
    <w:rsid w:val="00320540"/>
    <w:rsid w:val="00320714"/>
    <w:rsid w:val="00320741"/>
    <w:rsid w:val="003208E8"/>
    <w:rsid w:val="00320E96"/>
    <w:rsid w:val="0032127E"/>
    <w:rsid w:val="003213A8"/>
    <w:rsid w:val="00321540"/>
    <w:rsid w:val="003216F4"/>
    <w:rsid w:val="00321754"/>
    <w:rsid w:val="00321A96"/>
    <w:rsid w:val="00321B12"/>
    <w:rsid w:val="00321FCF"/>
    <w:rsid w:val="003220BB"/>
    <w:rsid w:val="003227EA"/>
    <w:rsid w:val="003228B1"/>
    <w:rsid w:val="003229B4"/>
    <w:rsid w:val="003229BC"/>
    <w:rsid w:val="00322ACD"/>
    <w:rsid w:val="00322F0C"/>
    <w:rsid w:val="0032311F"/>
    <w:rsid w:val="00323693"/>
    <w:rsid w:val="00323902"/>
    <w:rsid w:val="003239F4"/>
    <w:rsid w:val="00323DA8"/>
    <w:rsid w:val="00323EB6"/>
    <w:rsid w:val="00324965"/>
    <w:rsid w:val="00324B2F"/>
    <w:rsid w:val="00324D53"/>
    <w:rsid w:val="00324F54"/>
    <w:rsid w:val="00325046"/>
    <w:rsid w:val="003253D6"/>
    <w:rsid w:val="003253F0"/>
    <w:rsid w:val="00325509"/>
    <w:rsid w:val="003258C5"/>
    <w:rsid w:val="0032595D"/>
    <w:rsid w:val="00325B7B"/>
    <w:rsid w:val="00325E31"/>
    <w:rsid w:val="00325F98"/>
    <w:rsid w:val="003262B9"/>
    <w:rsid w:val="00326477"/>
    <w:rsid w:val="003267DC"/>
    <w:rsid w:val="0032689D"/>
    <w:rsid w:val="00326A8E"/>
    <w:rsid w:val="00326F99"/>
    <w:rsid w:val="003271C1"/>
    <w:rsid w:val="003273EB"/>
    <w:rsid w:val="00327412"/>
    <w:rsid w:val="003275C2"/>
    <w:rsid w:val="00327626"/>
    <w:rsid w:val="003277B6"/>
    <w:rsid w:val="003279A3"/>
    <w:rsid w:val="00327D39"/>
    <w:rsid w:val="00327F38"/>
    <w:rsid w:val="00327FBC"/>
    <w:rsid w:val="00330219"/>
    <w:rsid w:val="00330367"/>
    <w:rsid w:val="00330701"/>
    <w:rsid w:val="003308BA"/>
    <w:rsid w:val="00330B08"/>
    <w:rsid w:val="00330C0C"/>
    <w:rsid w:val="0033102E"/>
    <w:rsid w:val="003313FC"/>
    <w:rsid w:val="00331426"/>
    <w:rsid w:val="00331621"/>
    <w:rsid w:val="0033164F"/>
    <w:rsid w:val="00331691"/>
    <w:rsid w:val="00331777"/>
    <w:rsid w:val="00331912"/>
    <w:rsid w:val="00331ED9"/>
    <w:rsid w:val="00331EDE"/>
    <w:rsid w:val="003322E1"/>
    <w:rsid w:val="00332314"/>
    <w:rsid w:val="00332685"/>
    <w:rsid w:val="00332694"/>
    <w:rsid w:val="00332828"/>
    <w:rsid w:val="0033287C"/>
    <w:rsid w:val="00332AA5"/>
    <w:rsid w:val="00332CA6"/>
    <w:rsid w:val="00332D15"/>
    <w:rsid w:val="00332DBE"/>
    <w:rsid w:val="00332DEC"/>
    <w:rsid w:val="003333F1"/>
    <w:rsid w:val="00333522"/>
    <w:rsid w:val="003335F9"/>
    <w:rsid w:val="0033360D"/>
    <w:rsid w:val="00333819"/>
    <w:rsid w:val="003339C1"/>
    <w:rsid w:val="00333C4E"/>
    <w:rsid w:val="00333EC4"/>
    <w:rsid w:val="00334111"/>
    <w:rsid w:val="0033417B"/>
    <w:rsid w:val="00334382"/>
    <w:rsid w:val="003344C6"/>
    <w:rsid w:val="003346A8"/>
    <w:rsid w:val="00334750"/>
    <w:rsid w:val="00334AC5"/>
    <w:rsid w:val="00334B30"/>
    <w:rsid w:val="00334D0D"/>
    <w:rsid w:val="00334D96"/>
    <w:rsid w:val="00334DD4"/>
    <w:rsid w:val="00334F14"/>
    <w:rsid w:val="003352F0"/>
    <w:rsid w:val="00335CD9"/>
    <w:rsid w:val="00335DE2"/>
    <w:rsid w:val="00336238"/>
    <w:rsid w:val="003362F0"/>
    <w:rsid w:val="00336ACE"/>
    <w:rsid w:val="00336B94"/>
    <w:rsid w:val="00336CE8"/>
    <w:rsid w:val="00336D98"/>
    <w:rsid w:val="00336E50"/>
    <w:rsid w:val="00336F9D"/>
    <w:rsid w:val="0033758B"/>
    <w:rsid w:val="0033781A"/>
    <w:rsid w:val="00337877"/>
    <w:rsid w:val="003379F4"/>
    <w:rsid w:val="00337A15"/>
    <w:rsid w:val="00337A26"/>
    <w:rsid w:val="00337B76"/>
    <w:rsid w:val="00337CF8"/>
    <w:rsid w:val="00337EE6"/>
    <w:rsid w:val="003406F2"/>
    <w:rsid w:val="003407C8"/>
    <w:rsid w:val="003408AD"/>
    <w:rsid w:val="00340C1F"/>
    <w:rsid w:val="003413B7"/>
    <w:rsid w:val="0034151D"/>
    <w:rsid w:val="00341A2E"/>
    <w:rsid w:val="00341DFF"/>
    <w:rsid w:val="0034207E"/>
    <w:rsid w:val="003422EB"/>
    <w:rsid w:val="0034246D"/>
    <w:rsid w:val="00342758"/>
    <w:rsid w:val="00342A3B"/>
    <w:rsid w:val="00342A97"/>
    <w:rsid w:val="00342ACD"/>
    <w:rsid w:val="00342C97"/>
    <w:rsid w:val="00342C9F"/>
    <w:rsid w:val="00343024"/>
    <w:rsid w:val="003430F4"/>
    <w:rsid w:val="003432E6"/>
    <w:rsid w:val="003432E8"/>
    <w:rsid w:val="0034333C"/>
    <w:rsid w:val="0034336F"/>
    <w:rsid w:val="00343617"/>
    <w:rsid w:val="003439A8"/>
    <w:rsid w:val="00343B7E"/>
    <w:rsid w:val="00343E7D"/>
    <w:rsid w:val="00343E82"/>
    <w:rsid w:val="003441E3"/>
    <w:rsid w:val="0034447D"/>
    <w:rsid w:val="003445BA"/>
    <w:rsid w:val="00344FD7"/>
    <w:rsid w:val="00345475"/>
    <w:rsid w:val="003454F1"/>
    <w:rsid w:val="00345754"/>
    <w:rsid w:val="003457DD"/>
    <w:rsid w:val="003457F9"/>
    <w:rsid w:val="003459DB"/>
    <w:rsid w:val="00345B1A"/>
    <w:rsid w:val="00345B85"/>
    <w:rsid w:val="00345D7B"/>
    <w:rsid w:val="00345F50"/>
    <w:rsid w:val="0034642E"/>
    <w:rsid w:val="0034644E"/>
    <w:rsid w:val="003464CB"/>
    <w:rsid w:val="00346512"/>
    <w:rsid w:val="00346721"/>
    <w:rsid w:val="00346784"/>
    <w:rsid w:val="0034689A"/>
    <w:rsid w:val="00346967"/>
    <w:rsid w:val="00346AE5"/>
    <w:rsid w:val="00346CAC"/>
    <w:rsid w:val="00346D1D"/>
    <w:rsid w:val="00346E2C"/>
    <w:rsid w:val="00346E46"/>
    <w:rsid w:val="00346E83"/>
    <w:rsid w:val="00347246"/>
    <w:rsid w:val="00347324"/>
    <w:rsid w:val="003475A7"/>
    <w:rsid w:val="00347FF7"/>
    <w:rsid w:val="003505B2"/>
    <w:rsid w:val="0035073F"/>
    <w:rsid w:val="003507F1"/>
    <w:rsid w:val="0035086C"/>
    <w:rsid w:val="00350AD0"/>
    <w:rsid w:val="00350C3F"/>
    <w:rsid w:val="0035103D"/>
    <w:rsid w:val="003511B0"/>
    <w:rsid w:val="0035128C"/>
    <w:rsid w:val="00351422"/>
    <w:rsid w:val="00351465"/>
    <w:rsid w:val="00351630"/>
    <w:rsid w:val="003518F2"/>
    <w:rsid w:val="003519BE"/>
    <w:rsid w:val="003519C1"/>
    <w:rsid w:val="00351D48"/>
    <w:rsid w:val="00351F59"/>
    <w:rsid w:val="00352146"/>
    <w:rsid w:val="00352483"/>
    <w:rsid w:val="0035262B"/>
    <w:rsid w:val="003526BA"/>
    <w:rsid w:val="00352AAA"/>
    <w:rsid w:val="00353007"/>
    <w:rsid w:val="00353156"/>
    <w:rsid w:val="0035349E"/>
    <w:rsid w:val="003534AE"/>
    <w:rsid w:val="00353953"/>
    <w:rsid w:val="00353A6A"/>
    <w:rsid w:val="00353E12"/>
    <w:rsid w:val="003540D7"/>
    <w:rsid w:val="0035414C"/>
    <w:rsid w:val="003543BE"/>
    <w:rsid w:val="00354585"/>
    <w:rsid w:val="0035458E"/>
    <w:rsid w:val="0035472D"/>
    <w:rsid w:val="00354A31"/>
    <w:rsid w:val="00354C4F"/>
    <w:rsid w:val="00354C58"/>
    <w:rsid w:val="00354E76"/>
    <w:rsid w:val="00354E84"/>
    <w:rsid w:val="00354FDF"/>
    <w:rsid w:val="00355000"/>
    <w:rsid w:val="00355043"/>
    <w:rsid w:val="0035520F"/>
    <w:rsid w:val="003552F9"/>
    <w:rsid w:val="0035531D"/>
    <w:rsid w:val="0035537A"/>
    <w:rsid w:val="00355547"/>
    <w:rsid w:val="00355701"/>
    <w:rsid w:val="00355998"/>
    <w:rsid w:val="003566FF"/>
    <w:rsid w:val="00356785"/>
    <w:rsid w:val="003568B3"/>
    <w:rsid w:val="003568D9"/>
    <w:rsid w:val="003568E1"/>
    <w:rsid w:val="00356951"/>
    <w:rsid w:val="00356969"/>
    <w:rsid w:val="00356A9A"/>
    <w:rsid w:val="00356AF3"/>
    <w:rsid w:val="00356D43"/>
    <w:rsid w:val="00356DDB"/>
    <w:rsid w:val="00357139"/>
    <w:rsid w:val="003572E9"/>
    <w:rsid w:val="003573E0"/>
    <w:rsid w:val="003578EE"/>
    <w:rsid w:val="00357E58"/>
    <w:rsid w:val="0036024A"/>
    <w:rsid w:val="00360883"/>
    <w:rsid w:val="003608D0"/>
    <w:rsid w:val="00360B04"/>
    <w:rsid w:val="00360D85"/>
    <w:rsid w:val="00361000"/>
    <w:rsid w:val="00361019"/>
    <w:rsid w:val="00361243"/>
    <w:rsid w:val="003613D1"/>
    <w:rsid w:val="0036164F"/>
    <w:rsid w:val="0036165B"/>
    <w:rsid w:val="00361717"/>
    <w:rsid w:val="00361782"/>
    <w:rsid w:val="00361830"/>
    <w:rsid w:val="00361898"/>
    <w:rsid w:val="003618A1"/>
    <w:rsid w:val="00361D12"/>
    <w:rsid w:val="00361D4C"/>
    <w:rsid w:val="00361E8C"/>
    <w:rsid w:val="00361F2E"/>
    <w:rsid w:val="0036210A"/>
    <w:rsid w:val="00362456"/>
    <w:rsid w:val="003628C5"/>
    <w:rsid w:val="00363346"/>
    <w:rsid w:val="003633E7"/>
    <w:rsid w:val="0036342B"/>
    <w:rsid w:val="003634D8"/>
    <w:rsid w:val="003634DD"/>
    <w:rsid w:val="00363522"/>
    <w:rsid w:val="003636CF"/>
    <w:rsid w:val="003637E9"/>
    <w:rsid w:val="00363877"/>
    <w:rsid w:val="00363CDB"/>
    <w:rsid w:val="00363D83"/>
    <w:rsid w:val="00363ED6"/>
    <w:rsid w:val="00363F84"/>
    <w:rsid w:val="00364058"/>
    <w:rsid w:val="003642B7"/>
    <w:rsid w:val="0036432C"/>
    <w:rsid w:val="0036433D"/>
    <w:rsid w:val="00364422"/>
    <w:rsid w:val="003644C5"/>
    <w:rsid w:val="003648A8"/>
    <w:rsid w:val="00364A82"/>
    <w:rsid w:val="00364C83"/>
    <w:rsid w:val="00364D19"/>
    <w:rsid w:val="00364DB5"/>
    <w:rsid w:val="00365071"/>
    <w:rsid w:val="003653FC"/>
    <w:rsid w:val="003656C3"/>
    <w:rsid w:val="00365713"/>
    <w:rsid w:val="003657A3"/>
    <w:rsid w:val="003659AA"/>
    <w:rsid w:val="00365A5D"/>
    <w:rsid w:val="00365DE8"/>
    <w:rsid w:val="003660B1"/>
    <w:rsid w:val="003663D4"/>
    <w:rsid w:val="00366611"/>
    <w:rsid w:val="0036662E"/>
    <w:rsid w:val="0036672E"/>
    <w:rsid w:val="00366792"/>
    <w:rsid w:val="0036693C"/>
    <w:rsid w:val="00366AA3"/>
    <w:rsid w:val="0036724E"/>
    <w:rsid w:val="003672D4"/>
    <w:rsid w:val="0036778B"/>
    <w:rsid w:val="003678AE"/>
    <w:rsid w:val="00367D09"/>
    <w:rsid w:val="00367E6B"/>
    <w:rsid w:val="00367FCD"/>
    <w:rsid w:val="00370167"/>
    <w:rsid w:val="003703AB"/>
    <w:rsid w:val="00370EC3"/>
    <w:rsid w:val="00370FAE"/>
    <w:rsid w:val="00371084"/>
    <w:rsid w:val="003711C0"/>
    <w:rsid w:val="00371293"/>
    <w:rsid w:val="00371384"/>
    <w:rsid w:val="003715EC"/>
    <w:rsid w:val="003716A8"/>
    <w:rsid w:val="00371B3D"/>
    <w:rsid w:val="00371C4B"/>
    <w:rsid w:val="00371EC9"/>
    <w:rsid w:val="00371F0E"/>
    <w:rsid w:val="003720C3"/>
    <w:rsid w:val="00372186"/>
    <w:rsid w:val="003721F5"/>
    <w:rsid w:val="003723F0"/>
    <w:rsid w:val="003727E0"/>
    <w:rsid w:val="00372A1E"/>
    <w:rsid w:val="00372B81"/>
    <w:rsid w:val="00372CFE"/>
    <w:rsid w:val="00372E14"/>
    <w:rsid w:val="00373041"/>
    <w:rsid w:val="00373181"/>
    <w:rsid w:val="00373588"/>
    <w:rsid w:val="00373824"/>
    <w:rsid w:val="00373960"/>
    <w:rsid w:val="00373A6F"/>
    <w:rsid w:val="00373E4B"/>
    <w:rsid w:val="00374033"/>
    <w:rsid w:val="00374077"/>
    <w:rsid w:val="00374196"/>
    <w:rsid w:val="003743D1"/>
    <w:rsid w:val="0037464B"/>
    <w:rsid w:val="00374CA7"/>
    <w:rsid w:val="00375008"/>
    <w:rsid w:val="0037523D"/>
    <w:rsid w:val="0037526B"/>
    <w:rsid w:val="00375587"/>
    <w:rsid w:val="0037583D"/>
    <w:rsid w:val="00375986"/>
    <w:rsid w:val="00375ACA"/>
    <w:rsid w:val="00375C0C"/>
    <w:rsid w:val="00375DF4"/>
    <w:rsid w:val="00375FA0"/>
    <w:rsid w:val="003765F2"/>
    <w:rsid w:val="0037689A"/>
    <w:rsid w:val="003768E3"/>
    <w:rsid w:val="00376918"/>
    <w:rsid w:val="003769AB"/>
    <w:rsid w:val="00376D4B"/>
    <w:rsid w:val="00376E9F"/>
    <w:rsid w:val="00376EB6"/>
    <w:rsid w:val="00376F3C"/>
    <w:rsid w:val="0037706D"/>
    <w:rsid w:val="00377300"/>
    <w:rsid w:val="003777BB"/>
    <w:rsid w:val="003777F7"/>
    <w:rsid w:val="00377DCC"/>
    <w:rsid w:val="00377E21"/>
    <w:rsid w:val="00377EB2"/>
    <w:rsid w:val="003800F2"/>
    <w:rsid w:val="00380389"/>
    <w:rsid w:val="003803EF"/>
    <w:rsid w:val="0038044F"/>
    <w:rsid w:val="0038047D"/>
    <w:rsid w:val="003804F0"/>
    <w:rsid w:val="00380505"/>
    <w:rsid w:val="00380945"/>
    <w:rsid w:val="0038099D"/>
    <w:rsid w:val="003809F6"/>
    <w:rsid w:val="00380D15"/>
    <w:rsid w:val="003810A3"/>
    <w:rsid w:val="00381330"/>
    <w:rsid w:val="00381442"/>
    <w:rsid w:val="003818BC"/>
    <w:rsid w:val="00381BFA"/>
    <w:rsid w:val="00381CAF"/>
    <w:rsid w:val="0038232D"/>
    <w:rsid w:val="0038252D"/>
    <w:rsid w:val="0038273C"/>
    <w:rsid w:val="00382A52"/>
    <w:rsid w:val="00382A87"/>
    <w:rsid w:val="00382AE8"/>
    <w:rsid w:val="00382DED"/>
    <w:rsid w:val="00382E84"/>
    <w:rsid w:val="00383218"/>
    <w:rsid w:val="0038363B"/>
    <w:rsid w:val="00383AD1"/>
    <w:rsid w:val="00383E32"/>
    <w:rsid w:val="00384063"/>
    <w:rsid w:val="003840DF"/>
    <w:rsid w:val="00384219"/>
    <w:rsid w:val="00384399"/>
    <w:rsid w:val="0038490A"/>
    <w:rsid w:val="00384C65"/>
    <w:rsid w:val="00384D5D"/>
    <w:rsid w:val="003851A6"/>
    <w:rsid w:val="003851F3"/>
    <w:rsid w:val="00385407"/>
    <w:rsid w:val="003854DF"/>
    <w:rsid w:val="00385740"/>
    <w:rsid w:val="00385857"/>
    <w:rsid w:val="00385EFF"/>
    <w:rsid w:val="003867D1"/>
    <w:rsid w:val="00386935"/>
    <w:rsid w:val="00386B88"/>
    <w:rsid w:val="0038749D"/>
    <w:rsid w:val="00387597"/>
    <w:rsid w:val="0038788E"/>
    <w:rsid w:val="00387AA0"/>
    <w:rsid w:val="00387D45"/>
    <w:rsid w:val="00387FCC"/>
    <w:rsid w:val="0039007B"/>
    <w:rsid w:val="0039018E"/>
    <w:rsid w:val="003901CB"/>
    <w:rsid w:val="0039022E"/>
    <w:rsid w:val="00390366"/>
    <w:rsid w:val="0039045C"/>
    <w:rsid w:val="003904BD"/>
    <w:rsid w:val="00390711"/>
    <w:rsid w:val="0039084D"/>
    <w:rsid w:val="00390990"/>
    <w:rsid w:val="00390C16"/>
    <w:rsid w:val="00390C59"/>
    <w:rsid w:val="00390E4D"/>
    <w:rsid w:val="00390F48"/>
    <w:rsid w:val="00390F66"/>
    <w:rsid w:val="0039116E"/>
    <w:rsid w:val="0039124C"/>
    <w:rsid w:val="00391327"/>
    <w:rsid w:val="00391380"/>
    <w:rsid w:val="00391560"/>
    <w:rsid w:val="00391CF0"/>
    <w:rsid w:val="00392004"/>
    <w:rsid w:val="00392022"/>
    <w:rsid w:val="0039211A"/>
    <w:rsid w:val="00392792"/>
    <w:rsid w:val="00392BD6"/>
    <w:rsid w:val="00392CC3"/>
    <w:rsid w:val="00392E88"/>
    <w:rsid w:val="00392F59"/>
    <w:rsid w:val="0039346D"/>
    <w:rsid w:val="0039371E"/>
    <w:rsid w:val="00393B54"/>
    <w:rsid w:val="00393B70"/>
    <w:rsid w:val="00393C55"/>
    <w:rsid w:val="00393DBB"/>
    <w:rsid w:val="00393E5A"/>
    <w:rsid w:val="003941AC"/>
    <w:rsid w:val="003941FC"/>
    <w:rsid w:val="003942B7"/>
    <w:rsid w:val="00394574"/>
    <w:rsid w:val="003946F2"/>
    <w:rsid w:val="003949A4"/>
    <w:rsid w:val="00394E62"/>
    <w:rsid w:val="00394EAD"/>
    <w:rsid w:val="00394F2D"/>
    <w:rsid w:val="00395050"/>
    <w:rsid w:val="0039534D"/>
    <w:rsid w:val="0039550F"/>
    <w:rsid w:val="00395520"/>
    <w:rsid w:val="00395550"/>
    <w:rsid w:val="0039560E"/>
    <w:rsid w:val="00395868"/>
    <w:rsid w:val="00395E94"/>
    <w:rsid w:val="00395EB5"/>
    <w:rsid w:val="00395EE9"/>
    <w:rsid w:val="003960FA"/>
    <w:rsid w:val="00396239"/>
    <w:rsid w:val="003962E5"/>
    <w:rsid w:val="00396840"/>
    <w:rsid w:val="0039737D"/>
    <w:rsid w:val="00397817"/>
    <w:rsid w:val="0039786B"/>
    <w:rsid w:val="00397A09"/>
    <w:rsid w:val="00397A2E"/>
    <w:rsid w:val="00397AE0"/>
    <w:rsid w:val="00397E82"/>
    <w:rsid w:val="00397FB0"/>
    <w:rsid w:val="00397FD0"/>
    <w:rsid w:val="003A02F8"/>
    <w:rsid w:val="003A03FD"/>
    <w:rsid w:val="003A080D"/>
    <w:rsid w:val="003A0904"/>
    <w:rsid w:val="003A0989"/>
    <w:rsid w:val="003A09C4"/>
    <w:rsid w:val="003A0CDD"/>
    <w:rsid w:val="003A1022"/>
    <w:rsid w:val="003A1237"/>
    <w:rsid w:val="003A1550"/>
    <w:rsid w:val="003A187C"/>
    <w:rsid w:val="003A1A38"/>
    <w:rsid w:val="003A2092"/>
    <w:rsid w:val="003A2554"/>
    <w:rsid w:val="003A257D"/>
    <w:rsid w:val="003A266D"/>
    <w:rsid w:val="003A26DC"/>
    <w:rsid w:val="003A2C2D"/>
    <w:rsid w:val="003A2C6A"/>
    <w:rsid w:val="003A2C93"/>
    <w:rsid w:val="003A2E32"/>
    <w:rsid w:val="003A2E74"/>
    <w:rsid w:val="003A3346"/>
    <w:rsid w:val="003A3575"/>
    <w:rsid w:val="003A3674"/>
    <w:rsid w:val="003A3682"/>
    <w:rsid w:val="003A3B39"/>
    <w:rsid w:val="003A3C8F"/>
    <w:rsid w:val="003A3DEF"/>
    <w:rsid w:val="003A42EC"/>
    <w:rsid w:val="003A472E"/>
    <w:rsid w:val="003A48DA"/>
    <w:rsid w:val="003A49D0"/>
    <w:rsid w:val="003A4AD9"/>
    <w:rsid w:val="003A4E8B"/>
    <w:rsid w:val="003A539E"/>
    <w:rsid w:val="003A54B2"/>
    <w:rsid w:val="003A54B5"/>
    <w:rsid w:val="003A5655"/>
    <w:rsid w:val="003A58C6"/>
    <w:rsid w:val="003A5CAF"/>
    <w:rsid w:val="003A5F8E"/>
    <w:rsid w:val="003A609B"/>
    <w:rsid w:val="003A66F9"/>
    <w:rsid w:val="003A6ADC"/>
    <w:rsid w:val="003A6B42"/>
    <w:rsid w:val="003A6DF5"/>
    <w:rsid w:val="003A72E8"/>
    <w:rsid w:val="003A7630"/>
    <w:rsid w:val="003A76E6"/>
    <w:rsid w:val="003A7728"/>
    <w:rsid w:val="003A77A8"/>
    <w:rsid w:val="003A7CF5"/>
    <w:rsid w:val="003A7D36"/>
    <w:rsid w:val="003A7D82"/>
    <w:rsid w:val="003B042A"/>
    <w:rsid w:val="003B09A7"/>
    <w:rsid w:val="003B0B42"/>
    <w:rsid w:val="003B0C34"/>
    <w:rsid w:val="003B1072"/>
    <w:rsid w:val="003B1295"/>
    <w:rsid w:val="003B129C"/>
    <w:rsid w:val="003B15EF"/>
    <w:rsid w:val="003B168C"/>
    <w:rsid w:val="003B1719"/>
    <w:rsid w:val="003B1741"/>
    <w:rsid w:val="003B17BD"/>
    <w:rsid w:val="003B1ADB"/>
    <w:rsid w:val="003B1B6D"/>
    <w:rsid w:val="003B1C39"/>
    <w:rsid w:val="003B1D8F"/>
    <w:rsid w:val="003B1D9B"/>
    <w:rsid w:val="003B1F03"/>
    <w:rsid w:val="003B221E"/>
    <w:rsid w:val="003B26AE"/>
    <w:rsid w:val="003B27B6"/>
    <w:rsid w:val="003B29EC"/>
    <w:rsid w:val="003B2A3E"/>
    <w:rsid w:val="003B2B90"/>
    <w:rsid w:val="003B2F6D"/>
    <w:rsid w:val="003B3017"/>
    <w:rsid w:val="003B3852"/>
    <w:rsid w:val="003B3F15"/>
    <w:rsid w:val="003B424C"/>
    <w:rsid w:val="003B459E"/>
    <w:rsid w:val="003B45E9"/>
    <w:rsid w:val="003B46D2"/>
    <w:rsid w:val="003B46F0"/>
    <w:rsid w:val="003B47BC"/>
    <w:rsid w:val="003B48E1"/>
    <w:rsid w:val="003B4917"/>
    <w:rsid w:val="003B4A2F"/>
    <w:rsid w:val="003B4C2B"/>
    <w:rsid w:val="003B4C6C"/>
    <w:rsid w:val="003B4CDD"/>
    <w:rsid w:val="003B4E2D"/>
    <w:rsid w:val="003B4E82"/>
    <w:rsid w:val="003B5097"/>
    <w:rsid w:val="003B50D0"/>
    <w:rsid w:val="003B50F7"/>
    <w:rsid w:val="003B537A"/>
    <w:rsid w:val="003B53D8"/>
    <w:rsid w:val="003B5628"/>
    <w:rsid w:val="003B59BE"/>
    <w:rsid w:val="003B59C3"/>
    <w:rsid w:val="003B59FB"/>
    <w:rsid w:val="003B5A95"/>
    <w:rsid w:val="003B5E29"/>
    <w:rsid w:val="003B5ECB"/>
    <w:rsid w:val="003B615D"/>
    <w:rsid w:val="003B6176"/>
    <w:rsid w:val="003B6466"/>
    <w:rsid w:val="003B65A8"/>
    <w:rsid w:val="003B6844"/>
    <w:rsid w:val="003B6C5C"/>
    <w:rsid w:val="003B6DA7"/>
    <w:rsid w:val="003B7327"/>
    <w:rsid w:val="003B73B6"/>
    <w:rsid w:val="003B752F"/>
    <w:rsid w:val="003B79F1"/>
    <w:rsid w:val="003B7A54"/>
    <w:rsid w:val="003B7A97"/>
    <w:rsid w:val="003B7E25"/>
    <w:rsid w:val="003B7ECB"/>
    <w:rsid w:val="003B7F91"/>
    <w:rsid w:val="003C0042"/>
    <w:rsid w:val="003C0161"/>
    <w:rsid w:val="003C06FD"/>
    <w:rsid w:val="003C0BCE"/>
    <w:rsid w:val="003C0C0B"/>
    <w:rsid w:val="003C0CF4"/>
    <w:rsid w:val="003C1091"/>
    <w:rsid w:val="003C10A7"/>
    <w:rsid w:val="003C1229"/>
    <w:rsid w:val="003C174F"/>
    <w:rsid w:val="003C176E"/>
    <w:rsid w:val="003C17FF"/>
    <w:rsid w:val="003C1806"/>
    <w:rsid w:val="003C181D"/>
    <w:rsid w:val="003C186E"/>
    <w:rsid w:val="003C18B0"/>
    <w:rsid w:val="003C1BFF"/>
    <w:rsid w:val="003C1EA6"/>
    <w:rsid w:val="003C1F05"/>
    <w:rsid w:val="003C1F93"/>
    <w:rsid w:val="003C20BB"/>
    <w:rsid w:val="003C2276"/>
    <w:rsid w:val="003C2585"/>
    <w:rsid w:val="003C2787"/>
    <w:rsid w:val="003C29FC"/>
    <w:rsid w:val="003C2F6C"/>
    <w:rsid w:val="003C306F"/>
    <w:rsid w:val="003C3187"/>
    <w:rsid w:val="003C3585"/>
    <w:rsid w:val="003C380C"/>
    <w:rsid w:val="003C3E4F"/>
    <w:rsid w:val="003C3EC3"/>
    <w:rsid w:val="003C4164"/>
    <w:rsid w:val="003C481E"/>
    <w:rsid w:val="003C4B45"/>
    <w:rsid w:val="003C4C34"/>
    <w:rsid w:val="003C4E01"/>
    <w:rsid w:val="003C4E21"/>
    <w:rsid w:val="003C4EF8"/>
    <w:rsid w:val="003C5076"/>
    <w:rsid w:val="003C5140"/>
    <w:rsid w:val="003C53A9"/>
    <w:rsid w:val="003C5DC3"/>
    <w:rsid w:val="003C5E8C"/>
    <w:rsid w:val="003C5F7F"/>
    <w:rsid w:val="003C6104"/>
    <w:rsid w:val="003C6166"/>
    <w:rsid w:val="003C6254"/>
    <w:rsid w:val="003C67A5"/>
    <w:rsid w:val="003C6A6C"/>
    <w:rsid w:val="003C6A6D"/>
    <w:rsid w:val="003C6E2E"/>
    <w:rsid w:val="003C6FD8"/>
    <w:rsid w:val="003C701F"/>
    <w:rsid w:val="003C72AD"/>
    <w:rsid w:val="003C7354"/>
    <w:rsid w:val="003C7399"/>
    <w:rsid w:val="003C7426"/>
    <w:rsid w:val="003C7500"/>
    <w:rsid w:val="003C750D"/>
    <w:rsid w:val="003C777A"/>
    <w:rsid w:val="003C7860"/>
    <w:rsid w:val="003C799D"/>
    <w:rsid w:val="003C7C06"/>
    <w:rsid w:val="003C7D0C"/>
    <w:rsid w:val="003C7E85"/>
    <w:rsid w:val="003D00F6"/>
    <w:rsid w:val="003D01E1"/>
    <w:rsid w:val="003D0A30"/>
    <w:rsid w:val="003D0B87"/>
    <w:rsid w:val="003D0BA4"/>
    <w:rsid w:val="003D0EF7"/>
    <w:rsid w:val="003D117E"/>
    <w:rsid w:val="003D1201"/>
    <w:rsid w:val="003D1388"/>
    <w:rsid w:val="003D1A80"/>
    <w:rsid w:val="003D1BB2"/>
    <w:rsid w:val="003D1D35"/>
    <w:rsid w:val="003D1D3C"/>
    <w:rsid w:val="003D2007"/>
    <w:rsid w:val="003D2061"/>
    <w:rsid w:val="003D2137"/>
    <w:rsid w:val="003D213A"/>
    <w:rsid w:val="003D236E"/>
    <w:rsid w:val="003D24B3"/>
    <w:rsid w:val="003D27F7"/>
    <w:rsid w:val="003D28FB"/>
    <w:rsid w:val="003D2A9F"/>
    <w:rsid w:val="003D2C77"/>
    <w:rsid w:val="003D2DB6"/>
    <w:rsid w:val="003D306A"/>
    <w:rsid w:val="003D33ED"/>
    <w:rsid w:val="003D39C5"/>
    <w:rsid w:val="003D3D4A"/>
    <w:rsid w:val="003D3D6A"/>
    <w:rsid w:val="003D3EC7"/>
    <w:rsid w:val="003D457F"/>
    <w:rsid w:val="003D4671"/>
    <w:rsid w:val="003D4780"/>
    <w:rsid w:val="003D479F"/>
    <w:rsid w:val="003D4AEE"/>
    <w:rsid w:val="003D4C74"/>
    <w:rsid w:val="003D4CB2"/>
    <w:rsid w:val="003D513D"/>
    <w:rsid w:val="003D5596"/>
    <w:rsid w:val="003D5746"/>
    <w:rsid w:val="003D5886"/>
    <w:rsid w:val="003D58F6"/>
    <w:rsid w:val="003D5957"/>
    <w:rsid w:val="003D5F55"/>
    <w:rsid w:val="003D5F77"/>
    <w:rsid w:val="003D6367"/>
    <w:rsid w:val="003D63E0"/>
    <w:rsid w:val="003D6483"/>
    <w:rsid w:val="003D65FB"/>
    <w:rsid w:val="003D68C5"/>
    <w:rsid w:val="003D6BA1"/>
    <w:rsid w:val="003D6CCF"/>
    <w:rsid w:val="003D6F1C"/>
    <w:rsid w:val="003D6F82"/>
    <w:rsid w:val="003D71B6"/>
    <w:rsid w:val="003D73A0"/>
    <w:rsid w:val="003D7869"/>
    <w:rsid w:val="003D7874"/>
    <w:rsid w:val="003D797B"/>
    <w:rsid w:val="003D7A99"/>
    <w:rsid w:val="003D7B32"/>
    <w:rsid w:val="003D7B3B"/>
    <w:rsid w:val="003D7DED"/>
    <w:rsid w:val="003D7DF6"/>
    <w:rsid w:val="003D7FB5"/>
    <w:rsid w:val="003E00D6"/>
    <w:rsid w:val="003E0132"/>
    <w:rsid w:val="003E0481"/>
    <w:rsid w:val="003E0732"/>
    <w:rsid w:val="003E0748"/>
    <w:rsid w:val="003E09F3"/>
    <w:rsid w:val="003E0AA5"/>
    <w:rsid w:val="003E0CB4"/>
    <w:rsid w:val="003E0F49"/>
    <w:rsid w:val="003E1037"/>
    <w:rsid w:val="003E137E"/>
    <w:rsid w:val="003E149F"/>
    <w:rsid w:val="003E1ABB"/>
    <w:rsid w:val="003E1C09"/>
    <w:rsid w:val="003E1C66"/>
    <w:rsid w:val="003E1FFC"/>
    <w:rsid w:val="003E2244"/>
    <w:rsid w:val="003E227D"/>
    <w:rsid w:val="003E2422"/>
    <w:rsid w:val="003E2C68"/>
    <w:rsid w:val="003E3085"/>
    <w:rsid w:val="003E3241"/>
    <w:rsid w:val="003E3266"/>
    <w:rsid w:val="003E33A1"/>
    <w:rsid w:val="003E3401"/>
    <w:rsid w:val="003E3556"/>
    <w:rsid w:val="003E368C"/>
    <w:rsid w:val="003E37CF"/>
    <w:rsid w:val="003E37DD"/>
    <w:rsid w:val="003E3C38"/>
    <w:rsid w:val="003E3C4F"/>
    <w:rsid w:val="003E3C6A"/>
    <w:rsid w:val="003E3DFB"/>
    <w:rsid w:val="003E3E09"/>
    <w:rsid w:val="003E3EBC"/>
    <w:rsid w:val="003E4155"/>
    <w:rsid w:val="003E425E"/>
    <w:rsid w:val="003E49FE"/>
    <w:rsid w:val="003E4D22"/>
    <w:rsid w:val="003E5536"/>
    <w:rsid w:val="003E559D"/>
    <w:rsid w:val="003E562B"/>
    <w:rsid w:val="003E5791"/>
    <w:rsid w:val="003E57A5"/>
    <w:rsid w:val="003E5894"/>
    <w:rsid w:val="003E58A9"/>
    <w:rsid w:val="003E592B"/>
    <w:rsid w:val="003E5A8D"/>
    <w:rsid w:val="003E5BC8"/>
    <w:rsid w:val="003E5E29"/>
    <w:rsid w:val="003E5ED8"/>
    <w:rsid w:val="003E5F27"/>
    <w:rsid w:val="003E60B7"/>
    <w:rsid w:val="003E6163"/>
    <w:rsid w:val="003E6196"/>
    <w:rsid w:val="003E65AA"/>
    <w:rsid w:val="003E6956"/>
    <w:rsid w:val="003E6CEA"/>
    <w:rsid w:val="003E6EF1"/>
    <w:rsid w:val="003E703C"/>
    <w:rsid w:val="003E7422"/>
    <w:rsid w:val="003E75A6"/>
    <w:rsid w:val="003E76E3"/>
    <w:rsid w:val="003E78ED"/>
    <w:rsid w:val="003E7B6A"/>
    <w:rsid w:val="003E7E94"/>
    <w:rsid w:val="003E7FE5"/>
    <w:rsid w:val="003F01EE"/>
    <w:rsid w:val="003F0217"/>
    <w:rsid w:val="003F04B5"/>
    <w:rsid w:val="003F084C"/>
    <w:rsid w:val="003F12DD"/>
    <w:rsid w:val="003F1476"/>
    <w:rsid w:val="003F151D"/>
    <w:rsid w:val="003F15D1"/>
    <w:rsid w:val="003F160E"/>
    <w:rsid w:val="003F166A"/>
    <w:rsid w:val="003F188F"/>
    <w:rsid w:val="003F1893"/>
    <w:rsid w:val="003F1C0E"/>
    <w:rsid w:val="003F1D0A"/>
    <w:rsid w:val="003F1D13"/>
    <w:rsid w:val="003F1D18"/>
    <w:rsid w:val="003F1EC4"/>
    <w:rsid w:val="003F211C"/>
    <w:rsid w:val="003F2321"/>
    <w:rsid w:val="003F2390"/>
    <w:rsid w:val="003F24B7"/>
    <w:rsid w:val="003F2523"/>
    <w:rsid w:val="003F2536"/>
    <w:rsid w:val="003F25F5"/>
    <w:rsid w:val="003F27DC"/>
    <w:rsid w:val="003F290E"/>
    <w:rsid w:val="003F2B01"/>
    <w:rsid w:val="003F2E07"/>
    <w:rsid w:val="003F2EB0"/>
    <w:rsid w:val="003F2F65"/>
    <w:rsid w:val="003F30B5"/>
    <w:rsid w:val="003F347E"/>
    <w:rsid w:val="003F3626"/>
    <w:rsid w:val="003F38FE"/>
    <w:rsid w:val="003F39CE"/>
    <w:rsid w:val="003F3DA3"/>
    <w:rsid w:val="003F3DC8"/>
    <w:rsid w:val="003F3E3E"/>
    <w:rsid w:val="003F3E47"/>
    <w:rsid w:val="003F3F51"/>
    <w:rsid w:val="003F3FE7"/>
    <w:rsid w:val="003F42E4"/>
    <w:rsid w:val="003F42FF"/>
    <w:rsid w:val="003F4368"/>
    <w:rsid w:val="003F45C6"/>
    <w:rsid w:val="003F4E73"/>
    <w:rsid w:val="003F4F4B"/>
    <w:rsid w:val="003F4FFB"/>
    <w:rsid w:val="003F542E"/>
    <w:rsid w:val="003F559F"/>
    <w:rsid w:val="003F55C1"/>
    <w:rsid w:val="003F5C62"/>
    <w:rsid w:val="003F5CD7"/>
    <w:rsid w:val="003F5EA6"/>
    <w:rsid w:val="003F6253"/>
    <w:rsid w:val="003F63B0"/>
    <w:rsid w:val="003F6444"/>
    <w:rsid w:val="003F6689"/>
    <w:rsid w:val="003F6764"/>
    <w:rsid w:val="003F689C"/>
    <w:rsid w:val="003F68FC"/>
    <w:rsid w:val="003F693C"/>
    <w:rsid w:val="003F69C6"/>
    <w:rsid w:val="003F6A0B"/>
    <w:rsid w:val="003F6B9D"/>
    <w:rsid w:val="003F6C56"/>
    <w:rsid w:val="003F6CBF"/>
    <w:rsid w:val="003F6D36"/>
    <w:rsid w:val="003F6E8A"/>
    <w:rsid w:val="003F6EE4"/>
    <w:rsid w:val="003F71CE"/>
    <w:rsid w:val="003F737E"/>
    <w:rsid w:val="003F74D8"/>
    <w:rsid w:val="003F75DF"/>
    <w:rsid w:val="003F7B87"/>
    <w:rsid w:val="003F7BA7"/>
    <w:rsid w:val="003F7C00"/>
    <w:rsid w:val="003F7C3F"/>
    <w:rsid w:val="003F7DAE"/>
    <w:rsid w:val="003F7F22"/>
    <w:rsid w:val="003F7FCF"/>
    <w:rsid w:val="00400567"/>
    <w:rsid w:val="00400579"/>
    <w:rsid w:val="004005B6"/>
    <w:rsid w:val="00400779"/>
    <w:rsid w:val="004007B4"/>
    <w:rsid w:val="00400C46"/>
    <w:rsid w:val="00400CC3"/>
    <w:rsid w:val="00400D97"/>
    <w:rsid w:val="00400E37"/>
    <w:rsid w:val="00400FAD"/>
    <w:rsid w:val="00401103"/>
    <w:rsid w:val="00401173"/>
    <w:rsid w:val="004014B6"/>
    <w:rsid w:val="00401763"/>
    <w:rsid w:val="004017A1"/>
    <w:rsid w:val="004017B1"/>
    <w:rsid w:val="004017D5"/>
    <w:rsid w:val="004017E2"/>
    <w:rsid w:val="00401839"/>
    <w:rsid w:val="004018F4"/>
    <w:rsid w:val="00401ABF"/>
    <w:rsid w:val="00401BF4"/>
    <w:rsid w:val="00401DD6"/>
    <w:rsid w:val="00401F82"/>
    <w:rsid w:val="00401FA7"/>
    <w:rsid w:val="00401FAF"/>
    <w:rsid w:val="00402037"/>
    <w:rsid w:val="00402094"/>
    <w:rsid w:val="0040226E"/>
    <w:rsid w:val="00402286"/>
    <w:rsid w:val="00402382"/>
    <w:rsid w:val="00402435"/>
    <w:rsid w:val="0040256F"/>
    <w:rsid w:val="004029B5"/>
    <w:rsid w:val="00402E7C"/>
    <w:rsid w:val="00403225"/>
    <w:rsid w:val="004032EA"/>
    <w:rsid w:val="004034F6"/>
    <w:rsid w:val="004035CA"/>
    <w:rsid w:val="00403785"/>
    <w:rsid w:val="00403895"/>
    <w:rsid w:val="004042DF"/>
    <w:rsid w:val="00404611"/>
    <w:rsid w:val="00404BC4"/>
    <w:rsid w:val="00404D27"/>
    <w:rsid w:val="00404D93"/>
    <w:rsid w:val="00404FEF"/>
    <w:rsid w:val="00405144"/>
    <w:rsid w:val="0040537D"/>
    <w:rsid w:val="0040550C"/>
    <w:rsid w:val="00405630"/>
    <w:rsid w:val="0040563B"/>
    <w:rsid w:val="00405A5F"/>
    <w:rsid w:val="00405A67"/>
    <w:rsid w:val="00405AE0"/>
    <w:rsid w:val="00405B2D"/>
    <w:rsid w:val="00405E30"/>
    <w:rsid w:val="00405F8A"/>
    <w:rsid w:val="0040608E"/>
    <w:rsid w:val="004060D5"/>
    <w:rsid w:val="004061F5"/>
    <w:rsid w:val="00406409"/>
    <w:rsid w:val="00406548"/>
    <w:rsid w:val="00406592"/>
    <w:rsid w:val="00406618"/>
    <w:rsid w:val="00406CC5"/>
    <w:rsid w:val="00406D72"/>
    <w:rsid w:val="00406DA4"/>
    <w:rsid w:val="00406F0F"/>
    <w:rsid w:val="00407010"/>
    <w:rsid w:val="0040723C"/>
    <w:rsid w:val="00407506"/>
    <w:rsid w:val="004075C9"/>
    <w:rsid w:val="00407627"/>
    <w:rsid w:val="00407966"/>
    <w:rsid w:val="00407991"/>
    <w:rsid w:val="00407E51"/>
    <w:rsid w:val="00407EA2"/>
    <w:rsid w:val="00407EA3"/>
    <w:rsid w:val="004102CF"/>
    <w:rsid w:val="004105DF"/>
    <w:rsid w:val="00410678"/>
    <w:rsid w:val="004108F7"/>
    <w:rsid w:val="00410B1D"/>
    <w:rsid w:val="00410DC7"/>
    <w:rsid w:val="00410DD2"/>
    <w:rsid w:val="0041126D"/>
    <w:rsid w:val="004112BB"/>
    <w:rsid w:val="00411371"/>
    <w:rsid w:val="0041168B"/>
    <w:rsid w:val="0041172B"/>
    <w:rsid w:val="00411C9C"/>
    <w:rsid w:val="00411D4C"/>
    <w:rsid w:val="00411F15"/>
    <w:rsid w:val="0041215B"/>
    <w:rsid w:val="004122E2"/>
    <w:rsid w:val="004122E7"/>
    <w:rsid w:val="00412448"/>
    <w:rsid w:val="0041259A"/>
    <w:rsid w:val="00412A25"/>
    <w:rsid w:val="00412B06"/>
    <w:rsid w:val="00412B55"/>
    <w:rsid w:val="00412BE9"/>
    <w:rsid w:val="00412F9B"/>
    <w:rsid w:val="00412FC6"/>
    <w:rsid w:val="004130BB"/>
    <w:rsid w:val="004130C4"/>
    <w:rsid w:val="00413301"/>
    <w:rsid w:val="004133FA"/>
    <w:rsid w:val="00413477"/>
    <w:rsid w:val="0041382D"/>
    <w:rsid w:val="004138C2"/>
    <w:rsid w:val="00413DE8"/>
    <w:rsid w:val="00413E16"/>
    <w:rsid w:val="00413EB4"/>
    <w:rsid w:val="00413FA6"/>
    <w:rsid w:val="004149AB"/>
    <w:rsid w:val="00414B3B"/>
    <w:rsid w:val="00414B9B"/>
    <w:rsid w:val="00414C95"/>
    <w:rsid w:val="00414EB2"/>
    <w:rsid w:val="00414F1D"/>
    <w:rsid w:val="00415350"/>
    <w:rsid w:val="0041568B"/>
    <w:rsid w:val="00415A7D"/>
    <w:rsid w:val="00415A85"/>
    <w:rsid w:val="00415FAE"/>
    <w:rsid w:val="004161B9"/>
    <w:rsid w:val="00416385"/>
    <w:rsid w:val="00416446"/>
    <w:rsid w:val="004166CC"/>
    <w:rsid w:val="00416740"/>
    <w:rsid w:val="0041681F"/>
    <w:rsid w:val="00416BA1"/>
    <w:rsid w:val="00416BB4"/>
    <w:rsid w:val="00417048"/>
    <w:rsid w:val="00417292"/>
    <w:rsid w:val="00417371"/>
    <w:rsid w:val="004173ED"/>
    <w:rsid w:val="004176BA"/>
    <w:rsid w:val="00417A39"/>
    <w:rsid w:val="00417D6A"/>
    <w:rsid w:val="00417F3C"/>
    <w:rsid w:val="00420116"/>
    <w:rsid w:val="00420138"/>
    <w:rsid w:val="00420237"/>
    <w:rsid w:val="004202A8"/>
    <w:rsid w:val="00420503"/>
    <w:rsid w:val="00420728"/>
    <w:rsid w:val="004209A0"/>
    <w:rsid w:val="00420A0E"/>
    <w:rsid w:val="00420BF6"/>
    <w:rsid w:val="00420E07"/>
    <w:rsid w:val="0042125F"/>
    <w:rsid w:val="004212FE"/>
    <w:rsid w:val="004217C6"/>
    <w:rsid w:val="00421971"/>
    <w:rsid w:val="00421E3C"/>
    <w:rsid w:val="0042207D"/>
    <w:rsid w:val="00422374"/>
    <w:rsid w:val="00422387"/>
    <w:rsid w:val="00422702"/>
    <w:rsid w:val="00422BE9"/>
    <w:rsid w:val="00422E65"/>
    <w:rsid w:val="00422EFB"/>
    <w:rsid w:val="00423435"/>
    <w:rsid w:val="004234AF"/>
    <w:rsid w:val="004237BF"/>
    <w:rsid w:val="00423A14"/>
    <w:rsid w:val="00423A3B"/>
    <w:rsid w:val="00423B7A"/>
    <w:rsid w:val="00423BCA"/>
    <w:rsid w:val="00423D24"/>
    <w:rsid w:val="00423D51"/>
    <w:rsid w:val="00424531"/>
    <w:rsid w:val="00424675"/>
    <w:rsid w:val="00424714"/>
    <w:rsid w:val="00424B64"/>
    <w:rsid w:val="00424BA8"/>
    <w:rsid w:val="00424EF5"/>
    <w:rsid w:val="00425112"/>
    <w:rsid w:val="004254E4"/>
    <w:rsid w:val="0042570A"/>
    <w:rsid w:val="00425943"/>
    <w:rsid w:val="00425DF0"/>
    <w:rsid w:val="00425EB6"/>
    <w:rsid w:val="00426281"/>
    <w:rsid w:val="0042628A"/>
    <w:rsid w:val="00426513"/>
    <w:rsid w:val="00426904"/>
    <w:rsid w:val="00426BFA"/>
    <w:rsid w:val="00426CE3"/>
    <w:rsid w:val="004274AD"/>
    <w:rsid w:val="00427902"/>
    <w:rsid w:val="004279BB"/>
    <w:rsid w:val="00427CBF"/>
    <w:rsid w:val="00427DBD"/>
    <w:rsid w:val="00427E98"/>
    <w:rsid w:val="00427E99"/>
    <w:rsid w:val="0043014C"/>
    <w:rsid w:val="00430296"/>
    <w:rsid w:val="004302DB"/>
    <w:rsid w:val="00430400"/>
    <w:rsid w:val="00430817"/>
    <w:rsid w:val="004308B7"/>
    <w:rsid w:val="0043094F"/>
    <w:rsid w:val="00430F7D"/>
    <w:rsid w:val="00431139"/>
    <w:rsid w:val="004313BE"/>
    <w:rsid w:val="004313DD"/>
    <w:rsid w:val="00431637"/>
    <w:rsid w:val="004318B7"/>
    <w:rsid w:val="00431A16"/>
    <w:rsid w:val="00431D1F"/>
    <w:rsid w:val="00431E1D"/>
    <w:rsid w:val="00432160"/>
    <w:rsid w:val="00432479"/>
    <w:rsid w:val="004324C9"/>
    <w:rsid w:val="0043283B"/>
    <w:rsid w:val="00432A00"/>
    <w:rsid w:val="00432C68"/>
    <w:rsid w:val="00432E3B"/>
    <w:rsid w:val="00432FF9"/>
    <w:rsid w:val="00433168"/>
    <w:rsid w:val="0043318A"/>
    <w:rsid w:val="00433300"/>
    <w:rsid w:val="00433465"/>
    <w:rsid w:val="0043362F"/>
    <w:rsid w:val="0043395B"/>
    <w:rsid w:val="00433A58"/>
    <w:rsid w:val="00433A9D"/>
    <w:rsid w:val="00433C58"/>
    <w:rsid w:val="00433C5C"/>
    <w:rsid w:val="00433DEE"/>
    <w:rsid w:val="00433E76"/>
    <w:rsid w:val="004343C7"/>
    <w:rsid w:val="00434440"/>
    <w:rsid w:val="0043454D"/>
    <w:rsid w:val="004345B7"/>
    <w:rsid w:val="004345D6"/>
    <w:rsid w:val="004347DC"/>
    <w:rsid w:val="004349DB"/>
    <w:rsid w:val="00434A69"/>
    <w:rsid w:val="00434B10"/>
    <w:rsid w:val="00434D13"/>
    <w:rsid w:val="0043503C"/>
    <w:rsid w:val="00435190"/>
    <w:rsid w:val="00435256"/>
    <w:rsid w:val="00435505"/>
    <w:rsid w:val="0043556E"/>
    <w:rsid w:val="00435651"/>
    <w:rsid w:val="00435670"/>
    <w:rsid w:val="004356F3"/>
    <w:rsid w:val="00435A91"/>
    <w:rsid w:val="00435DA0"/>
    <w:rsid w:val="00435ED9"/>
    <w:rsid w:val="0043627A"/>
    <w:rsid w:val="0043633F"/>
    <w:rsid w:val="00436396"/>
    <w:rsid w:val="0043654E"/>
    <w:rsid w:val="004368BB"/>
    <w:rsid w:val="00436A70"/>
    <w:rsid w:val="00436B34"/>
    <w:rsid w:val="00436B79"/>
    <w:rsid w:val="00436C56"/>
    <w:rsid w:val="00436D05"/>
    <w:rsid w:val="00436F59"/>
    <w:rsid w:val="00437025"/>
    <w:rsid w:val="00437075"/>
    <w:rsid w:val="004370C5"/>
    <w:rsid w:val="00437AAA"/>
    <w:rsid w:val="00437CA4"/>
    <w:rsid w:val="00437EBA"/>
    <w:rsid w:val="00440277"/>
    <w:rsid w:val="00440799"/>
    <w:rsid w:val="00440916"/>
    <w:rsid w:val="00440C41"/>
    <w:rsid w:val="00441507"/>
    <w:rsid w:val="0044154A"/>
    <w:rsid w:val="00441C7F"/>
    <w:rsid w:val="00441FDD"/>
    <w:rsid w:val="004420C9"/>
    <w:rsid w:val="00442343"/>
    <w:rsid w:val="0044245E"/>
    <w:rsid w:val="00442493"/>
    <w:rsid w:val="0044250C"/>
    <w:rsid w:val="004425C5"/>
    <w:rsid w:val="0044278F"/>
    <w:rsid w:val="004427B0"/>
    <w:rsid w:val="00442AE7"/>
    <w:rsid w:val="00442C49"/>
    <w:rsid w:val="00442D72"/>
    <w:rsid w:val="00442DB0"/>
    <w:rsid w:val="00442E56"/>
    <w:rsid w:val="00442ED4"/>
    <w:rsid w:val="004431D4"/>
    <w:rsid w:val="00443A7B"/>
    <w:rsid w:val="00443D58"/>
    <w:rsid w:val="0044422D"/>
    <w:rsid w:val="004442DC"/>
    <w:rsid w:val="004446DB"/>
    <w:rsid w:val="0044487E"/>
    <w:rsid w:val="00444D0D"/>
    <w:rsid w:val="00444D5F"/>
    <w:rsid w:val="00445030"/>
    <w:rsid w:val="004455A4"/>
    <w:rsid w:val="00445B3B"/>
    <w:rsid w:val="00445BE1"/>
    <w:rsid w:val="00445C3A"/>
    <w:rsid w:val="00445D8B"/>
    <w:rsid w:val="00445F44"/>
    <w:rsid w:val="004462C0"/>
    <w:rsid w:val="004462CC"/>
    <w:rsid w:val="00446584"/>
    <w:rsid w:val="0044669E"/>
    <w:rsid w:val="004468C2"/>
    <w:rsid w:val="00446A27"/>
    <w:rsid w:val="00446C12"/>
    <w:rsid w:val="00447062"/>
    <w:rsid w:val="00447220"/>
    <w:rsid w:val="004472A0"/>
    <w:rsid w:val="00447457"/>
    <w:rsid w:val="00447578"/>
    <w:rsid w:val="00447C95"/>
    <w:rsid w:val="00447D72"/>
    <w:rsid w:val="004505F5"/>
    <w:rsid w:val="004506B0"/>
    <w:rsid w:val="004508E0"/>
    <w:rsid w:val="00450A20"/>
    <w:rsid w:val="00450BA9"/>
    <w:rsid w:val="00450E6B"/>
    <w:rsid w:val="004512B4"/>
    <w:rsid w:val="0045185C"/>
    <w:rsid w:val="00451A00"/>
    <w:rsid w:val="00451A2E"/>
    <w:rsid w:val="00451A54"/>
    <w:rsid w:val="00451BE6"/>
    <w:rsid w:val="004521DF"/>
    <w:rsid w:val="004521F2"/>
    <w:rsid w:val="00452212"/>
    <w:rsid w:val="0045247A"/>
    <w:rsid w:val="00452BF0"/>
    <w:rsid w:val="00452F14"/>
    <w:rsid w:val="00452FBF"/>
    <w:rsid w:val="00452FCC"/>
    <w:rsid w:val="0045316D"/>
    <w:rsid w:val="00453491"/>
    <w:rsid w:val="004537DE"/>
    <w:rsid w:val="00453839"/>
    <w:rsid w:val="00453D8A"/>
    <w:rsid w:val="00453FEF"/>
    <w:rsid w:val="0045419A"/>
    <w:rsid w:val="00454721"/>
    <w:rsid w:val="0045489E"/>
    <w:rsid w:val="004548FE"/>
    <w:rsid w:val="00454C54"/>
    <w:rsid w:val="00454DF4"/>
    <w:rsid w:val="00454E8B"/>
    <w:rsid w:val="00454F5F"/>
    <w:rsid w:val="0045519C"/>
    <w:rsid w:val="00455221"/>
    <w:rsid w:val="004552B6"/>
    <w:rsid w:val="0045533A"/>
    <w:rsid w:val="00455575"/>
    <w:rsid w:val="00455742"/>
    <w:rsid w:val="004559D9"/>
    <w:rsid w:val="00455ED6"/>
    <w:rsid w:val="004561B8"/>
    <w:rsid w:val="004566A1"/>
    <w:rsid w:val="00456721"/>
    <w:rsid w:val="004567E2"/>
    <w:rsid w:val="00456878"/>
    <w:rsid w:val="0045698D"/>
    <w:rsid w:val="00456B63"/>
    <w:rsid w:val="0045706C"/>
    <w:rsid w:val="00457877"/>
    <w:rsid w:val="00457928"/>
    <w:rsid w:val="00457A06"/>
    <w:rsid w:val="00457B02"/>
    <w:rsid w:val="00457C0C"/>
    <w:rsid w:val="004600CF"/>
    <w:rsid w:val="004600FB"/>
    <w:rsid w:val="00460408"/>
    <w:rsid w:val="004606EC"/>
    <w:rsid w:val="004607A8"/>
    <w:rsid w:val="004607E7"/>
    <w:rsid w:val="00460C24"/>
    <w:rsid w:val="00460DA7"/>
    <w:rsid w:val="0046185C"/>
    <w:rsid w:val="00461872"/>
    <w:rsid w:val="00461AC0"/>
    <w:rsid w:val="00461D6E"/>
    <w:rsid w:val="00461E4A"/>
    <w:rsid w:val="00461F0F"/>
    <w:rsid w:val="00461FDD"/>
    <w:rsid w:val="004620C0"/>
    <w:rsid w:val="00462213"/>
    <w:rsid w:val="004625FC"/>
    <w:rsid w:val="00462645"/>
    <w:rsid w:val="00462A8D"/>
    <w:rsid w:val="00462AB4"/>
    <w:rsid w:val="00462BDF"/>
    <w:rsid w:val="00462D62"/>
    <w:rsid w:val="00462DD4"/>
    <w:rsid w:val="004631DA"/>
    <w:rsid w:val="0046348A"/>
    <w:rsid w:val="0046350E"/>
    <w:rsid w:val="00463595"/>
    <w:rsid w:val="00463BD3"/>
    <w:rsid w:val="00463D89"/>
    <w:rsid w:val="0046407A"/>
    <w:rsid w:val="0046417F"/>
    <w:rsid w:val="0046464D"/>
    <w:rsid w:val="00464711"/>
    <w:rsid w:val="004647D7"/>
    <w:rsid w:val="00464858"/>
    <w:rsid w:val="0046485B"/>
    <w:rsid w:val="00464DE1"/>
    <w:rsid w:val="00464F38"/>
    <w:rsid w:val="004651C9"/>
    <w:rsid w:val="00465383"/>
    <w:rsid w:val="004653F0"/>
    <w:rsid w:val="00465448"/>
    <w:rsid w:val="004658B0"/>
    <w:rsid w:val="00465A6C"/>
    <w:rsid w:val="00465E9D"/>
    <w:rsid w:val="00465F70"/>
    <w:rsid w:val="00465F9F"/>
    <w:rsid w:val="004661F1"/>
    <w:rsid w:val="0046630C"/>
    <w:rsid w:val="004663CA"/>
    <w:rsid w:val="004664D5"/>
    <w:rsid w:val="004668FC"/>
    <w:rsid w:val="00466DD0"/>
    <w:rsid w:val="00467071"/>
    <w:rsid w:val="004678F9"/>
    <w:rsid w:val="00467A75"/>
    <w:rsid w:val="00467B7D"/>
    <w:rsid w:val="00467BD5"/>
    <w:rsid w:val="0047014E"/>
    <w:rsid w:val="00470225"/>
    <w:rsid w:val="00470354"/>
    <w:rsid w:val="00470C6C"/>
    <w:rsid w:val="00470C80"/>
    <w:rsid w:val="00470FE4"/>
    <w:rsid w:val="0047185A"/>
    <w:rsid w:val="00471BCC"/>
    <w:rsid w:val="00471C9A"/>
    <w:rsid w:val="00472026"/>
    <w:rsid w:val="00472126"/>
    <w:rsid w:val="004722BD"/>
    <w:rsid w:val="0047255F"/>
    <w:rsid w:val="004725D3"/>
    <w:rsid w:val="004727E6"/>
    <w:rsid w:val="0047289E"/>
    <w:rsid w:val="004729B0"/>
    <w:rsid w:val="00472A05"/>
    <w:rsid w:val="00472B84"/>
    <w:rsid w:val="00472E29"/>
    <w:rsid w:val="00472E2B"/>
    <w:rsid w:val="00472EDF"/>
    <w:rsid w:val="00472EFF"/>
    <w:rsid w:val="00473272"/>
    <w:rsid w:val="004735D3"/>
    <w:rsid w:val="0047369A"/>
    <w:rsid w:val="004737FF"/>
    <w:rsid w:val="004739AE"/>
    <w:rsid w:val="004739B3"/>
    <w:rsid w:val="004739F4"/>
    <w:rsid w:val="00473B83"/>
    <w:rsid w:val="00473C4B"/>
    <w:rsid w:val="004741A0"/>
    <w:rsid w:val="0047427D"/>
    <w:rsid w:val="0047428A"/>
    <w:rsid w:val="00474304"/>
    <w:rsid w:val="0047430D"/>
    <w:rsid w:val="004744E0"/>
    <w:rsid w:val="00474641"/>
    <w:rsid w:val="004748FC"/>
    <w:rsid w:val="00474965"/>
    <w:rsid w:val="00474E6D"/>
    <w:rsid w:val="00474E9B"/>
    <w:rsid w:val="00474F0B"/>
    <w:rsid w:val="00474F8E"/>
    <w:rsid w:val="0047539D"/>
    <w:rsid w:val="004754B0"/>
    <w:rsid w:val="00475564"/>
    <w:rsid w:val="00475AD0"/>
    <w:rsid w:val="00475BC9"/>
    <w:rsid w:val="00475D13"/>
    <w:rsid w:val="00475DD8"/>
    <w:rsid w:val="00475E48"/>
    <w:rsid w:val="00475F02"/>
    <w:rsid w:val="00475F10"/>
    <w:rsid w:val="00476172"/>
    <w:rsid w:val="00476246"/>
    <w:rsid w:val="00476365"/>
    <w:rsid w:val="004764E5"/>
    <w:rsid w:val="0047684D"/>
    <w:rsid w:val="00476F91"/>
    <w:rsid w:val="00477282"/>
    <w:rsid w:val="00477671"/>
    <w:rsid w:val="00477717"/>
    <w:rsid w:val="004777DC"/>
    <w:rsid w:val="00477A74"/>
    <w:rsid w:val="00477BBA"/>
    <w:rsid w:val="00477C6B"/>
    <w:rsid w:val="00477DC8"/>
    <w:rsid w:val="00477ECC"/>
    <w:rsid w:val="00480581"/>
    <w:rsid w:val="004805A5"/>
    <w:rsid w:val="00480787"/>
    <w:rsid w:val="004807A4"/>
    <w:rsid w:val="004807BA"/>
    <w:rsid w:val="00480B6C"/>
    <w:rsid w:val="00480CEE"/>
    <w:rsid w:val="00480FDE"/>
    <w:rsid w:val="0048114C"/>
    <w:rsid w:val="004814C4"/>
    <w:rsid w:val="0048167E"/>
    <w:rsid w:val="0048178B"/>
    <w:rsid w:val="004818BE"/>
    <w:rsid w:val="00481B50"/>
    <w:rsid w:val="00481F0E"/>
    <w:rsid w:val="0048240B"/>
    <w:rsid w:val="0048256B"/>
    <w:rsid w:val="00482670"/>
    <w:rsid w:val="00482794"/>
    <w:rsid w:val="00482A52"/>
    <w:rsid w:val="00482C9C"/>
    <w:rsid w:val="00482CD0"/>
    <w:rsid w:val="00482CD7"/>
    <w:rsid w:val="00482E05"/>
    <w:rsid w:val="00482E63"/>
    <w:rsid w:val="004830BA"/>
    <w:rsid w:val="004830DB"/>
    <w:rsid w:val="00483411"/>
    <w:rsid w:val="00483BCC"/>
    <w:rsid w:val="00483BF9"/>
    <w:rsid w:val="00483E8A"/>
    <w:rsid w:val="00483FC7"/>
    <w:rsid w:val="0048400E"/>
    <w:rsid w:val="0048414C"/>
    <w:rsid w:val="00484182"/>
    <w:rsid w:val="00484257"/>
    <w:rsid w:val="0048436E"/>
    <w:rsid w:val="0048437B"/>
    <w:rsid w:val="00484450"/>
    <w:rsid w:val="004846DD"/>
    <w:rsid w:val="00484871"/>
    <w:rsid w:val="0048489C"/>
    <w:rsid w:val="004848C8"/>
    <w:rsid w:val="00484A60"/>
    <w:rsid w:val="00484C21"/>
    <w:rsid w:val="00484E2A"/>
    <w:rsid w:val="00484E7D"/>
    <w:rsid w:val="00484EE3"/>
    <w:rsid w:val="00484F30"/>
    <w:rsid w:val="0048502E"/>
    <w:rsid w:val="00485142"/>
    <w:rsid w:val="00485437"/>
    <w:rsid w:val="00485AA7"/>
    <w:rsid w:val="00485F5E"/>
    <w:rsid w:val="00485FC9"/>
    <w:rsid w:val="00486886"/>
    <w:rsid w:val="004868AF"/>
    <w:rsid w:val="00486A2C"/>
    <w:rsid w:val="00486A73"/>
    <w:rsid w:val="00486D01"/>
    <w:rsid w:val="00486FF9"/>
    <w:rsid w:val="00487009"/>
    <w:rsid w:val="00487082"/>
    <w:rsid w:val="00487102"/>
    <w:rsid w:val="00487605"/>
    <w:rsid w:val="00487893"/>
    <w:rsid w:val="0048790A"/>
    <w:rsid w:val="00487A72"/>
    <w:rsid w:val="00487AA1"/>
    <w:rsid w:val="00487CBB"/>
    <w:rsid w:val="00490114"/>
    <w:rsid w:val="004903F7"/>
    <w:rsid w:val="0049074E"/>
    <w:rsid w:val="00490758"/>
    <w:rsid w:val="00490873"/>
    <w:rsid w:val="00490F2C"/>
    <w:rsid w:val="0049102B"/>
    <w:rsid w:val="004914F8"/>
    <w:rsid w:val="0049162D"/>
    <w:rsid w:val="0049176E"/>
    <w:rsid w:val="004917B6"/>
    <w:rsid w:val="00491C84"/>
    <w:rsid w:val="00491D9F"/>
    <w:rsid w:val="00491DFA"/>
    <w:rsid w:val="00491F36"/>
    <w:rsid w:val="00491FCB"/>
    <w:rsid w:val="004927E3"/>
    <w:rsid w:val="004929AA"/>
    <w:rsid w:val="00492A85"/>
    <w:rsid w:val="00492B67"/>
    <w:rsid w:val="00492BA7"/>
    <w:rsid w:val="00492DC6"/>
    <w:rsid w:val="0049302A"/>
    <w:rsid w:val="00493067"/>
    <w:rsid w:val="004930BA"/>
    <w:rsid w:val="00493185"/>
    <w:rsid w:val="00493279"/>
    <w:rsid w:val="0049337F"/>
    <w:rsid w:val="00493483"/>
    <w:rsid w:val="00493603"/>
    <w:rsid w:val="00493825"/>
    <w:rsid w:val="00493C00"/>
    <w:rsid w:val="00493CCE"/>
    <w:rsid w:val="00493D8C"/>
    <w:rsid w:val="00493F84"/>
    <w:rsid w:val="0049411F"/>
    <w:rsid w:val="00494477"/>
    <w:rsid w:val="004944CC"/>
    <w:rsid w:val="0049450A"/>
    <w:rsid w:val="00494784"/>
    <w:rsid w:val="00494A38"/>
    <w:rsid w:val="00494B0C"/>
    <w:rsid w:val="00494B7D"/>
    <w:rsid w:val="00494C8D"/>
    <w:rsid w:val="00494D58"/>
    <w:rsid w:val="00494E9D"/>
    <w:rsid w:val="00494EB5"/>
    <w:rsid w:val="004950BB"/>
    <w:rsid w:val="004950FE"/>
    <w:rsid w:val="004951C7"/>
    <w:rsid w:val="004953CA"/>
    <w:rsid w:val="00495472"/>
    <w:rsid w:val="004954A0"/>
    <w:rsid w:val="004955F8"/>
    <w:rsid w:val="004955FE"/>
    <w:rsid w:val="0049565E"/>
    <w:rsid w:val="0049593E"/>
    <w:rsid w:val="00495D6B"/>
    <w:rsid w:val="00495E22"/>
    <w:rsid w:val="00495F94"/>
    <w:rsid w:val="00495FFB"/>
    <w:rsid w:val="00496188"/>
    <w:rsid w:val="00496645"/>
    <w:rsid w:val="00496689"/>
    <w:rsid w:val="004966B3"/>
    <w:rsid w:val="0049675E"/>
    <w:rsid w:val="00496BC4"/>
    <w:rsid w:val="00496BC9"/>
    <w:rsid w:val="00496C41"/>
    <w:rsid w:val="00496C57"/>
    <w:rsid w:val="00496EE8"/>
    <w:rsid w:val="00496FDD"/>
    <w:rsid w:val="004970AB"/>
    <w:rsid w:val="004971A6"/>
    <w:rsid w:val="004977CC"/>
    <w:rsid w:val="00497931"/>
    <w:rsid w:val="004A00A6"/>
    <w:rsid w:val="004A00E7"/>
    <w:rsid w:val="004A01D0"/>
    <w:rsid w:val="004A0242"/>
    <w:rsid w:val="004A0361"/>
    <w:rsid w:val="004A039F"/>
    <w:rsid w:val="004A0CE7"/>
    <w:rsid w:val="004A0D6E"/>
    <w:rsid w:val="004A105F"/>
    <w:rsid w:val="004A1772"/>
    <w:rsid w:val="004A17F7"/>
    <w:rsid w:val="004A1A94"/>
    <w:rsid w:val="004A1ADE"/>
    <w:rsid w:val="004A1D4D"/>
    <w:rsid w:val="004A22A0"/>
    <w:rsid w:val="004A2621"/>
    <w:rsid w:val="004A27F6"/>
    <w:rsid w:val="004A283A"/>
    <w:rsid w:val="004A2906"/>
    <w:rsid w:val="004A2D5D"/>
    <w:rsid w:val="004A2D87"/>
    <w:rsid w:val="004A2E20"/>
    <w:rsid w:val="004A2E86"/>
    <w:rsid w:val="004A2F48"/>
    <w:rsid w:val="004A2F98"/>
    <w:rsid w:val="004A2FAA"/>
    <w:rsid w:val="004A3118"/>
    <w:rsid w:val="004A3140"/>
    <w:rsid w:val="004A3314"/>
    <w:rsid w:val="004A3645"/>
    <w:rsid w:val="004A3662"/>
    <w:rsid w:val="004A38A4"/>
    <w:rsid w:val="004A39E2"/>
    <w:rsid w:val="004A3E09"/>
    <w:rsid w:val="004A401A"/>
    <w:rsid w:val="004A4483"/>
    <w:rsid w:val="004A46C6"/>
    <w:rsid w:val="004A4F23"/>
    <w:rsid w:val="004A4F64"/>
    <w:rsid w:val="004A5215"/>
    <w:rsid w:val="004A523F"/>
    <w:rsid w:val="004A5518"/>
    <w:rsid w:val="004A5579"/>
    <w:rsid w:val="004A5899"/>
    <w:rsid w:val="004A5C0B"/>
    <w:rsid w:val="004A6169"/>
    <w:rsid w:val="004A6310"/>
    <w:rsid w:val="004A6609"/>
    <w:rsid w:val="004A6E3F"/>
    <w:rsid w:val="004A6E46"/>
    <w:rsid w:val="004A76FB"/>
    <w:rsid w:val="004A7711"/>
    <w:rsid w:val="004B00BC"/>
    <w:rsid w:val="004B03E4"/>
    <w:rsid w:val="004B0649"/>
    <w:rsid w:val="004B070F"/>
    <w:rsid w:val="004B0872"/>
    <w:rsid w:val="004B0962"/>
    <w:rsid w:val="004B0A2C"/>
    <w:rsid w:val="004B0AE3"/>
    <w:rsid w:val="004B0B11"/>
    <w:rsid w:val="004B0EDF"/>
    <w:rsid w:val="004B1162"/>
    <w:rsid w:val="004B118D"/>
    <w:rsid w:val="004B13D5"/>
    <w:rsid w:val="004B1500"/>
    <w:rsid w:val="004B1984"/>
    <w:rsid w:val="004B1A35"/>
    <w:rsid w:val="004B201A"/>
    <w:rsid w:val="004B2036"/>
    <w:rsid w:val="004B2156"/>
    <w:rsid w:val="004B21B7"/>
    <w:rsid w:val="004B221D"/>
    <w:rsid w:val="004B2321"/>
    <w:rsid w:val="004B240F"/>
    <w:rsid w:val="004B24A6"/>
    <w:rsid w:val="004B27AD"/>
    <w:rsid w:val="004B27BE"/>
    <w:rsid w:val="004B27F9"/>
    <w:rsid w:val="004B2C2C"/>
    <w:rsid w:val="004B3201"/>
    <w:rsid w:val="004B3231"/>
    <w:rsid w:val="004B323D"/>
    <w:rsid w:val="004B3451"/>
    <w:rsid w:val="004B415B"/>
    <w:rsid w:val="004B4581"/>
    <w:rsid w:val="004B4621"/>
    <w:rsid w:val="004B4626"/>
    <w:rsid w:val="004B4B41"/>
    <w:rsid w:val="004B4E33"/>
    <w:rsid w:val="004B52F2"/>
    <w:rsid w:val="004B54E3"/>
    <w:rsid w:val="004B551B"/>
    <w:rsid w:val="004B5557"/>
    <w:rsid w:val="004B5958"/>
    <w:rsid w:val="004B5ACB"/>
    <w:rsid w:val="004B5B32"/>
    <w:rsid w:val="004B5F1A"/>
    <w:rsid w:val="004B5F25"/>
    <w:rsid w:val="004B5FDE"/>
    <w:rsid w:val="004B63D7"/>
    <w:rsid w:val="004B646E"/>
    <w:rsid w:val="004B6739"/>
    <w:rsid w:val="004B6963"/>
    <w:rsid w:val="004B69D8"/>
    <w:rsid w:val="004B6A26"/>
    <w:rsid w:val="004B6BFE"/>
    <w:rsid w:val="004B6CB4"/>
    <w:rsid w:val="004B6DAC"/>
    <w:rsid w:val="004B7258"/>
    <w:rsid w:val="004B74EA"/>
    <w:rsid w:val="004B75D4"/>
    <w:rsid w:val="004B7857"/>
    <w:rsid w:val="004B79A0"/>
    <w:rsid w:val="004B7A98"/>
    <w:rsid w:val="004B7D60"/>
    <w:rsid w:val="004C0169"/>
    <w:rsid w:val="004C05FB"/>
    <w:rsid w:val="004C062B"/>
    <w:rsid w:val="004C094C"/>
    <w:rsid w:val="004C0A23"/>
    <w:rsid w:val="004C0A3D"/>
    <w:rsid w:val="004C0A63"/>
    <w:rsid w:val="004C0A71"/>
    <w:rsid w:val="004C0AAB"/>
    <w:rsid w:val="004C0B14"/>
    <w:rsid w:val="004C0CFA"/>
    <w:rsid w:val="004C0D12"/>
    <w:rsid w:val="004C0E7B"/>
    <w:rsid w:val="004C0F4D"/>
    <w:rsid w:val="004C120D"/>
    <w:rsid w:val="004C12E1"/>
    <w:rsid w:val="004C166F"/>
    <w:rsid w:val="004C17D1"/>
    <w:rsid w:val="004C1874"/>
    <w:rsid w:val="004C1AAB"/>
    <w:rsid w:val="004C1DCF"/>
    <w:rsid w:val="004C1E77"/>
    <w:rsid w:val="004C1EFD"/>
    <w:rsid w:val="004C20D6"/>
    <w:rsid w:val="004C2164"/>
    <w:rsid w:val="004C2184"/>
    <w:rsid w:val="004C248F"/>
    <w:rsid w:val="004C2A95"/>
    <w:rsid w:val="004C2D8C"/>
    <w:rsid w:val="004C312B"/>
    <w:rsid w:val="004C3177"/>
    <w:rsid w:val="004C34A0"/>
    <w:rsid w:val="004C3ACF"/>
    <w:rsid w:val="004C3BCA"/>
    <w:rsid w:val="004C3C7C"/>
    <w:rsid w:val="004C3FBA"/>
    <w:rsid w:val="004C41B5"/>
    <w:rsid w:val="004C4614"/>
    <w:rsid w:val="004C481C"/>
    <w:rsid w:val="004C4A0B"/>
    <w:rsid w:val="004C4A64"/>
    <w:rsid w:val="004C4A72"/>
    <w:rsid w:val="004C4B93"/>
    <w:rsid w:val="004C4C90"/>
    <w:rsid w:val="004C4F1E"/>
    <w:rsid w:val="004C4F4A"/>
    <w:rsid w:val="004C5266"/>
    <w:rsid w:val="004C54B4"/>
    <w:rsid w:val="004C5516"/>
    <w:rsid w:val="004C556C"/>
    <w:rsid w:val="004C56DF"/>
    <w:rsid w:val="004C5919"/>
    <w:rsid w:val="004C5ADB"/>
    <w:rsid w:val="004C5EEC"/>
    <w:rsid w:val="004C6184"/>
    <w:rsid w:val="004C6815"/>
    <w:rsid w:val="004C6CEE"/>
    <w:rsid w:val="004C6D91"/>
    <w:rsid w:val="004C6E73"/>
    <w:rsid w:val="004C6FBD"/>
    <w:rsid w:val="004C722F"/>
    <w:rsid w:val="004C7729"/>
    <w:rsid w:val="004C7979"/>
    <w:rsid w:val="004C7B42"/>
    <w:rsid w:val="004C7BF7"/>
    <w:rsid w:val="004C7C2A"/>
    <w:rsid w:val="004C7CAB"/>
    <w:rsid w:val="004C7E92"/>
    <w:rsid w:val="004C7F11"/>
    <w:rsid w:val="004C7FC2"/>
    <w:rsid w:val="004D0137"/>
    <w:rsid w:val="004D0152"/>
    <w:rsid w:val="004D01C1"/>
    <w:rsid w:val="004D042F"/>
    <w:rsid w:val="004D053B"/>
    <w:rsid w:val="004D06E1"/>
    <w:rsid w:val="004D08BA"/>
    <w:rsid w:val="004D0BEB"/>
    <w:rsid w:val="004D0D08"/>
    <w:rsid w:val="004D0FD0"/>
    <w:rsid w:val="004D1493"/>
    <w:rsid w:val="004D1950"/>
    <w:rsid w:val="004D1BB5"/>
    <w:rsid w:val="004D1D1F"/>
    <w:rsid w:val="004D1E79"/>
    <w:rsid w:val="004D202D"/>
    <w:rsid w:val="004D21A6"/>
    <w:rsid w:val="004D2A0A"/>
    <w:rsid w:val="004D2AC0"/>
    <w:rsid w:val="004D2E07"/>
    <w:rsid w:val="004D31CD"/>
    <w:rsid w:val="004D3627"/>
    <w:rsid w:val="004D3B6D"/>
    <w:rsid w:val="004D3F37"/>
    <w:rsid w:val="004D40FD"/>
    <w:rsid w:val="004D4112"/>
    <w:rsid w:val="004D4172"/>
    <w:rsid w:val="004D4416"/>
    <w:rsid w:val="004D44A9"/>
    <w:rsid w:val="004D451A"/>
    <w:rsid w:val="004D46B7"/>
    <w:rsid w:val="004D4AD7"/>
    <w:rsid w:val="004D4C24"/>
    <w:rsid w:val="004D4C33"/>
    <w:rsid w:val="004D5073"/>
    <w:rsid w:val="004D51A6"/>
    <w:rsid w:val="004D51B8"/>
    <w:rsid w:val="004D5524"/>
    <w:rsid w:val="004D5553"/>
    <w:rsid w:val="004D5586"/>
    <w:rsid w:val="004D55E8"/>
    <w:rsid w:val="004D55EE"/>
    <w:rsid w:val="004D58B0"/>
    <w:rsid w:val="004D58C4"/>
    <w:rsid w:val="004D58E4"/>
    <w:rsid w:val="004D5C1E"/>
    <w:rsid w:val="004D61B3"/>
    <w:rsid w:val="004D63B8"/>
    <w:rsid w:val="004D6695"/>
    <w:rsid w:val="004D6924"/>
    <w:rsid w:val="004D6963"/>
    <w:rsid w:val="004D697D"/>
    <w:rsid w:val="004D6C8F"/>
    <w:rsid w:val="004D6F7E"/>
    <w:rsid w:val="004D77C3"/>
    <w:rsid w:val="004D782A"/>
    <w:rsid w:val="004D78AD"/>
    <w:rsid w:val="004D7961"/>
    <w:rsid w:val="004D79BE"/>
    <w:rsid w:val="004D7C8B"/>
    <w:rsid w:val="004D7C93"/>
    <w:rsid w:val="004D7C9D"/>
    <w:rsid w:val="004E01BF"/>
    <w:rsid w:val="004E0377"/>
    <w:rsid w:val="004E0637"/>
    <w:rsid w:val="004E074C"/>
    <w:rsid w:val="004E0C24"/>
    <w:rsid w:val="004E0DE6"/>
    <w:rsid w:val="004E0F21"/>
    <w:rsid w:val="004E1045"/>
    <w:rsid w:val="004E1474"/>
    <w:rsid w:val="004E1517"/>
    <w:rsid w:val="004E1674"/>
    <w:rsid w:val="004E1700"/>
    <w:rsid w:val="004E1794"/>
    <w:rsid w:val="004E183D"/>
    <w:rsid w:val="004E199D"/>
    <w:rsid w:val="004E1A6F"/>
    <w:rsid w:val="004E1BEC"/>
    <w:rsid w:val="004E1CB2"/>
    <w:rsid w:val="004E1F38"/>
    <w:rsid w:val="004E1FDC"/>
    <w:rsid w:val="004E23CB"/>
    <w:rsid w:val="004E245C"/>
    <w:rsid w:val="004E26B2"/>
    <w:rsid w:val="004E26E4"/>
    <w:rsid w:val="004E29F4"/>
    <w:rsid w:val="004E2A74"/>
    <w:rsid w:val="004E2A98"/>
    <w:rsid w:val="004E2AFD"/>
    <w:rsid w:val="004E2DFD"/>
    <w:rsid w:val="004E2E9F"/>
    <w:rsid w:val="004E3214"/>
    <w:rsid w:val="004E330E"/>
    <w:rsid w:val="004E337B"/>
    <w:rsid w:val="004E3415"/>
    <w:rsid w:val="004E348B"/>
    <w:rsid w:val="004E3695"/>
    <w:rsid w:val="004E379F"/>
    <w:rsid w:val="004E37BD"/>
    <w:rsid w:val="004E3A99"/>
    <w:rsid w:val="004E3DCB"/>
    <w:rsid w:val="004E3DE5"/>
    <w:rsid w:val="004E4058"/>
    <w:rsid w:val="004E4095"/>
    <w:rsid w:val="004E419A"/>
    <w:rsid w:val="004E41FC"/>
    <w:rsid w:val="004E45B5"/>
    <w:rsid w:val="004E4773"/>
    <w:rsid w:val="004E4950"/>
    <w:rsid w:val="004E496A"/>
    <w:rsid w:val="004E4AB6"/>
    <w:rsid w:val="004E4C8C"/>
    <w:rsid w:val="004E51FB"/>
    <w:rsid w:val="004E5273"/>
    <w:rsid w:val="004E6149"/>
    <w:rsid w:val="004E62F9"/>
    <w:rsid w:val="004E638B"/>
    <w:rsid w:val="004E6B20"/>
    <w:rsid w:val="004E6B5F"/>
    <w:rsid w:val="004E6E14"/>
    <w:rsid w:val="004E6F24"/>
    <w:rsid w:val="004E7107"/>
    <w:rsid w:val="004E7158"/>
    <w:rsid w:val="004E7352"/>
    <w:rsid w:val="004E7B86"/>
    <w:rsid w:val="004E7CA6"/>
    <w:rsid w:val="004E7F2E"/>
    <w:rsid w:val="004F0097"/>
    <w:rsid w:val="004F027C"/>
    <w:rsid w:val="004F0345"/>
    <w:rsid w:val="004F044B"/>
    <w:rsid w:val="004F04D3"/>
    <w:rsid w:val="004F06B5"/>
    <w:rsid w:val="004F0705"/>
    <w:rsid w:val="004F072B"/>
    <w:rsid w:val="004F0985"/>
    <w:rsid w:val="004F0B18"/>
    <w:rsid w:val="004F0C1E"/>
    <w:rsid w:val="004F0C43"/>
    <w:rsid w:val="004F0D0A"/>
    <w:rsid w:val="004F0D80"/>
    <w:rsid w:val="004F0E7F"/>
    <w:rsid w:val="004F0EEB"/>
    <w:rsid w:val="004F116F"/>
    <w:rsid w:val="004F118C"/>
    <w:rsid w:val="004F1254"/>
    <w:rsid w:val="004F1D22"/>
    <w:rsid w:val="004F1EB0"/>
    <w:rsid w:val="004F1FA3"/>
    <w:rsid w:val="004F201D"/>
    <w:rsid w:val="004F22E5"/>
    <w:rsid w:val="004F2587"/>
    <w:rsid w:val="004F258B"/>
    <w:rsid w:val="004F2CC5"/>
    <w:rsid w:val="004F2D90"/>
    <w:rsid w:val="004F2F2B"/>
    <w:rsid w:val="004F314A"/>
    <w:rsid w:val="004F34E6"/>
    <w:rsid w:val="004F366B"/>
    <w:rsid w:val="004F380A"/>
    <w:rsid w:val="004F382D"/>
    <w:rsid w:val="004F3E0A"/>
    <w:rsid w:val="004F3EA1"/>
    <w:rsid w:val="004F3FF1"/>
    <w:rsid w:val="004F41AE"/>
    <w:rsid w:val="004F4350"/>
    <w:rsid w:val="004F4428"/>
    <w:rsid w:val="004F4860"/>
    <w:rsid w:val="004F4D99"/>
    <w:rsid w:val="004F4E79"/>
    <w:rsid w:val="004F513E"/>
    <w:rsid w:val="004F53F6"/>
    <w:rsid w:val="004F552E"/>
    <w:rsid w:val="004F5589"/>
    <w:rsid w:val="004F56DD"/>
    <w:rsid w:val="004F5EE3"/>
    <w:rsid w:val="004F5F56"/>
    <w:rsid w:val="004F6068"/>
    <w:rsid w:val="004F63A8"/>
    <w:rsid w:val="004F640C"/>
    <w:rsid w:val="004F6530"/>
    <w:rsid w:val="004F65BF"/>
    <w:rsid w:val="004F69BE"/>
    <w:rsid w:val="004F6DBD"/>
    <w:rsid w:val="004F6E28"/>
    <w:rsid w:val="004F7103"/>
    <w:rsid w:val="004F7120"/>
    <w:rsid w:val="004F731C"/>
    <w:rsid w:val="004F73D9"/>
    <w:rsid w:val="004F74B9"/>
    <w:rsid w:val="004F757B"/>
    <w:rsid w:val="004F75AE"/>
    <w:rsid w:val="004F75B1"/>
    <w:rsid w:val="004F772A"/>
    <w:rsid w:val="004F7736"/>
    <w:rsid w:val="004F7C2F"/>
    <w:rsid w:val="00500094"/>
    <w:rsid w:val="0050011C"/>
    <w:rsid w:val="00500624"/>
    <w:rsid w:val="00500638"/>
    <w:rsid w:val="00500691"/>
    <w:rsid w:val="0050072C"/>
    <w:rsid w:val="005007B4"/>
    <w:rsid w:val="00500831"/>
    <w:rsid w:val="0050086F"/>
    <w:rsid w:val="005009F5"/>
    <w:rsid w:val="00500CD4"/>
    <w:rsid w:val="00500FFC"/>
    <w:rsid w:val="00501442"/>
    <w:rsid w:val="005014E1"/>
    <w:rsid w:val="00501A5A"/>
    <w:rsid w:val="00501B01"/>
    <w:rsid w:val="00501C72"/>
    <w:rsid w:val="00501DDD"/>
    <w:rsid w:val="00501ED7"/>
    <w:rsid w:val="00501EFF"/>
    <w:rsid w:val="00502091"/>
    <w:rsid w:val="005020B8"/>
    <w:rsid w:val="005022E0"/>
    <w:rsid w:val="0050232F"/>
    <w:rsid w:val="00502339"/>
    <w:rsid w:val="005024D7"/>
    <w:rsid w:val="005025F8"/>
    <w:rsid w:val="00502848"/>
    <w:rsid w:val="005031EB"/>
    <w:rsid w:val="00503332"/>
    <w:rsid w:val="00503368"/>
    <w:rsid w:val="00503C4F"/>
    <w:rsid w:val="00503D97"/>
    <w:rsid w:val="00503E3F"/>
    <w:rsid w:val="00503F9B"/>
    <w:rsid w:val="0050408B"/>
    <w:rsid w:val="005043B6"/>
    <w:rsid w:val="00504D96"/>
    <w:rsid w:val="005053F5"/>
    <w:rsid w:val="00505A02"/>
    <w:rsid w:val="00505B24"/>
    <w:rsid w:val="00505E4D"/>
    <w:rsid w:val="00505E81"/>
    <w:rsid w:val="0050606C"/>
    <w:rsid w:val="00506135"/>
    <w:rsid w:val="0050628B"/>
    <w:rsid w:val="005065E6"/>
    <w:rsid w:val="00506A05"/>
    <w:rsid w:val="00506B3E"/>
    <w:rsid w:val="00506B4A"/>
    <w:rsid w:val="00506C4F"/>
    <w:rsid w:val="005071FA"/>
    <w:rsid w:val="00507551"/>
    <w:rsid w:val="00507734"/>
    <w:rsid w:val="005078C8"/>
    <w:rsid w:val="00507C87"/>
    <w:rsid w:val="0051011A"/>
    <w:rsid w:val="00510313"/>
    <w:rsid w:val="00510319"/>
    <w:rsid w:val="005104A6"/>
    <w:rsid w:val="005105B9"/>
    <w:rsid w:val="00510629"/>
    <w:rsid w:val="00510632"/>
    <w:rsid w:val="00510704"/>
    <w:rsid w:val="00510736"/>
    <w:rsid w:val="005108B1"/>
    <w:rsid w:val="005108D8"/>
    <w:rsid w:val="00510994"/>
    <w:rsid w:val="00510A55"/>
    <w:rsid w:val="0051100E"/>
    <w:rsid w:val="00511114"/>
    <w:rsid w:val="00511179"/>
    <w:rsid w:val="00511272"/>
    <w:rsid w:val="0051130A"/>
    <w:rsid w:val="00511435"/>
    <w:rsid w:val="005116D7"/>
    <w:rsid w:val="00511747"/>
    <w:rsid w:val="00511778"/>
    <w:rsid w:val="00511B76"/>
    <w:rsid w:val="00511C91"/>
    <w:rsid w:val="00511D63"/>
    <w:rsid w:val="005123B6"/>
    <w:rsid w:val="005123E2"/>
    <w:rsid w:val="00512747"/>
    <w:rsid w:val="00512EC7"/>
    <w:rsid w:val="00513005"/>
    <w:rsid w:val="005132B6"/>
    <w:rsid w:val="005135B7"/>
    <w:rsid w:val="0051376A"/>
    <w:rsid w:val="00513917"/>
    <w:rsid w:val="0051395F"/>
    <w:rsid w:val="00513A0E"/>
    <w:rsid w:val="00513AE8"/>
    <w:rsid w:val="00513E90"/>
    <w:rsid w:val="00513F90"/>
    <w:rsid w:val="00513FE6"/>
    <w:rsid w:val="00514249"/>
    <w:rsid w:val="005145AF"/>
    <w:rsid w:val="00514C16"/>
    <w:rsid w:val="00514DAC"/>
    <w:rsid w:val="00514E3A"/>
    <w:rsid w:val="00514E6A"/>
    <w:rsid w:val="00514F94"/>
    <w:rsid w:val="005150AF"/>
    <w:rsid w:val="005152E8"/>
    <w:rsid w:val="00515312"/>
    <w:rsid w:val="0051541E"/>
    <w:rsid w:val="005154AB"/>
    <w:rsid w:val="0051550F"/>
    <w:rsid w:val="005155A8"/>
    <w:rsid w:val="00515730"/>
    <w:rsid w:val="00515851"/>
    <w:rsid w:val="005158E1"/>
    <w:rsid w:val="00515A33"/>
    <w:rsid w:val="00515AFE"/>
    <w:rsid w:val="00515C13"/>
    <w:rsid w:val="00515D23"/>
    <w:rsid w:val="00515D43"/>
    <w:rsid w:val="00515E88"/>
    <w:rsid w:val="00516001"/>
    <w:rsid w:val="00516025"/>
    <w:rsid w:val="00516133"/>
    <w:rsid w:val="00516166"/>
    <w:rsid w:val="00516227"/>
    <w:rsid w:val="0051631E"/>
    <w:rsid w:val="00516524"/>
    <w:rsid w:val="0051662A"/>
    <w:rsid w:val="0051698A"/>
    <w:rsid w:val="00516A69"/>
    <w:rsid w:val="00516AC3"/>
    <w:rsid w:val="00516D8C"/>
    <w:rsid w:val="00516DB2"/>
    <w:rsid w:val="00516FC0"/>
    <w:rsid w:val="00516FCA"/>
    <w:rsid w:val="00517157"/>
    <w:rsid w:val="005171F7"/>
    <w:rsid w:val="00517205"/>
    <w:rsid w:val="00517581"/>
    <w:rsid w:val="00517A3B"/>
    <w:rsid w:val="00517EDF"/>
    <w:rsid w:val="0052007C"/>
    <w:rsid w:val="00520A7D"/>
    <w:rsid w:val="00520B8E"/>
    <w:rsid w:val="00520BD6"/>
    <w:rsid w:val="00520E71"/>
    <w:rsid w:val="00520E96"/>
    <w:rsid w:val="00520EF4"/>
    <w:rsid w:val="00521324"/>
    <w:rsid w:val="005214BF"/>
    <w:rsid w:val="00521683"/>
    <w:rsid w:val="005216BA"/>
    <w:rsid w:val="00521734"/>
    <w:rsid w:val="00521E1B"/>
    <w:rsid w:val="00521F35"/>
    <w:rsid w:val="00522260"/>
    <w:rsid w:val="005226A8"/>
    <w:rsid w:val="00522AEE"/>
    <w:rsid w:val="005233DF"/>
    <w:rsid w:val="005233ED"/>
    <w:rsid w:val="00523596"/>
    <w:rsid w:val="0052395F"/>
    <w:rsid w:val="00523CC0"/>
    <w:rsid w:val="00523ECF"/>
    <w:rsid w:val="00523F89"/>
    <w:rsid w:val="00524730"/>
    <w:rsid w:val="00524C4E"/>
    <w:rsid w:val="00524D45"/>
    <w:rsid w:val="00524DC9"/>
    <w:rsid w:val="005252B3"/>
    <w:rsid w:val="00525348"/>
    <w:rsid w:val="00525856"/>
    <w:rsid w:val="00525B1F"/>
    <w:rsid w:val="00525D62"/>
    <w:rsid w:val="00525F43"/>
    <w:rsid w:val="005263E5"/>
    <w:rsid w:val="005264B9"/>
    <w:rsid w:val="005266BC"/>
    <w:rsid w:val="00526A28"/>
    <w:rsid w:val="00526D62"/>
    <w:rsid w:val="0052700D"/>
    <w:rsid w:val="0052712E"/>
    <w:rsid w:val="00527268"/>
    <w:rsid w:val="005272F3"/>
    <w:rsid w:val="005274BE"/>
    <w:rsid w:val="0052793E"/>
    <w:rsid w:val="00527AD1"/>
    <w:rsid w:val="00527DE6"/>
    <w:rsid w:val="00527E49"/>
    <w:rsid w:val="00527F4E"/>
    <w:rsid w:val="00530149"/>
    <w:rsid w:val="0053017D"/>
    <w:rsid w:val="005301DA"/>
    <w:rsid w:val="00530333"/>
    <w:rsid w:val="00530404"/>
    <w:rsid w:val="0053068C"/>
    <w:rsid w:val="005307AE"/>
    <w:rsid w:val="00530B8B"/>
    <w:rsid w:val="00530E17"/>
    <w:rsid w:val="00530E72"/>
    <w:rsid w:val="00531088"/>
    <w:rsid w:val="005311D4"/>
    <w:rsid w:val="005311D5"/>
    <w:rsid w:val="00531310"/>
    <w:rsid w:val="00531571"/>
    <w:rsid w:val="0053174E"/>
    <w:rsid w:val="00531B1E"/>
    <w:rsid w:val="00531C2F"/>
    <w:rsid w:val="00531C97"/>
    <w:rsid w:val="00531E0A"/>
    <w:rsid w:val="0053253B"/>
    <w:rsid w:val="0053254C"/>
    <w:rsid w:val="00532754"/>
    <w:rsid w:val="005327B1"/>
    <w:rsid w:val="00532D3E"/>
    <w:rsid w:val="00533045"/>
    <w:rsid w:val="005330D5"/>
    <w:rsid w:val="005331C0"/>
    <w:rsid w:val="0053324F"/>
    <w:rsid w:val="00533352"/>
    <w:rsid w:val="00533354"/>
    <w:rsid w:val="005334D3"/>
    <w:rsid w:val="005335A6"/>
    <w:rsid w:val="00533997"/>
    <w:rsid w:val="00533B04"/>
    <w:rsid w:val="00533B5B"/>
    <w:rsid w:val="00533C86"/>
    <w:rsid w:val="00534065"/>
    <w:rsid w:val="0053412B"/>
    <w:rsid w:val="005341F5"/>
    <w:rsid w:val="00534254"/>
    <w:rsid w:val="005342AF"/>
    <w:rsid w:val="005342B7"/>
    <w:rsid w:val="00534370"/>
    <w:rsid w:val="0053447E"/>
    <w:rsid w:val="005345D2"/>
    <w:rsid w:val="0053492D"/>
    <w:rsid w:val="00534B6D"/>
    <w:rsid w:val="005350CF"/>
    <w:rsid w:val="00535347"/>
    <w:rsid w:val="005353A8"/>
    <w:rsid w:val="005353B1"/>
    <w:rsid w:val="00535693"/>
    <w:rsid w:val="005356C6"/>
    <w:rsid w:val="005358D7"/>
    <w:rsid w:val="00535B45"/>
    <w:rsid w:val="00535BA9"/>
    <w:rsid w:val="00536066"/>
    <w:rsid w:val="0053631B"/>
    <w:rsid w:val="005364CA"/>
    <w:rsid w:val="0053653B"/>
    <w:rsid w:val="005365D1"/>
    <w:rsid w:val="005365ED"/>
    <w:rsid w:val="00536617"/>
    <w:rsid w:val="0053666D"/>
    <w:rsid w:val="00536AB7"/>
    <w:rsid w:val="00537072"/>
    <w:rsid w:val="0053708D"/>
    <w:rsid w:val="005373FF"/>
    <w:rsid w:val="00537789"/>
    <w:rsid w:val="005378D7"/>
    <w:rsid w:val="0053795D"/>
    <w:rsid w:val="00537A15"/>
    <w:rsid w:val="00537A95"/>
    <w:rsid w:val="00537F37"/>
    <w:rsid w:val="00537FD4"/>
    <w:rsid w:val="005400FE"/>
    <w:rsid w:val="00540384"/>
    <w:rsid w:val="00540801"/>
    <w:rsid w:val="00540887"/>
    <w:rsid w:val="00540C01"/>
    <w:rsid w:val="00540CB0"/>
    <w:rsid w:val="00540E7C"/>
    <w:rsid w:val="00540F39"/>
    <w:rsid w:val="0054103D"/>
    <w:rsid w:val="005414AB"/>
    <w:rsid w:val="00541578"/>
    <w:rsid w:val="00541B42"/>
    <w:rsid w:val="00541CF2"/>
    <w:rsid w:val="00541DF9"/>
    <w:rsid w:val="00541ED8"/>
    <w:rsid w:val="00542054"/>
    <w:rsid w:val="005427C5"/>
    <w:rsid w:val="005428BE"/>
    <w:rsid w:val="00542AA5"/>
    <w:rsid w:val="00542E4A"/>
    <w:rsid w:val="00542F18"/>
    <w:rsid w:val="00542F7F"/>
    <w:rsid w:val="0054319D"/>
    <w:rsid w:val="005434A8"/>
    <w:rsid w:val="0054356A"/>
    <w:rsid w:val="0054365B"/>
    <w:rsid w:val="005437F7"/>
    <w:rsid w:val="00543864"/>
    <w:rsid w:val="00543D52"/>
    <w:rsid w:val="00543E38"/>
    <w:rsid w:val="0054416E"/>
    <w:rsid w:val="005441AA"/>
    <w:rsid w:val="005442D5"/>
    <w:rsid w:val="00544621"/>
    <w:rsid w:val="005446A7"/>
    <w:rsid w:val="00544716"/>
    <w:rsid w:val="00544953"/>
    <w:rsid w:val="00544D74"/>
    <w:rsid w:val="00544E62"/>
    <w:rsid w:val="005452B1"/>
    <w:rsid w:val="0054540E"/>
    <w:rsid w:val="005454D0"/>
    <w:rsid w:val="0054563C"/>
    <w:rsid w:val="005456AF"/>
    <w:rsid w:val="005456DB"/>
    <w:rsid w:val="00545715"/>
    <w:rsid w:val="005457F3"/>
    <w:rsid w:val="0054587F"/>
    <w:rsid w:val="00545931"/>
    <w:rsid w:val="00545B28"/>
    <w:rsid w:val="00545DD8"/>
    <w:rsid w:val="00545DF6"/>
    <w:rsid w:val="00545EA9"/>
    <w:rsid w:val="00545F9E"/>
    <w:rsid w:val="005462BF"/>
    <w:rsid w:val="00546383"/>
    <w:rsid w:val="005466D4"/>
    <w:rsid w:val="00546A7C"/>
    <w:rsid w:val="00546D36"/>
    <w:rsid w:val="00546DE6"/>
    <w:rsid w:val="00546E2B"/>
    <w:rsid w:val="00546E9C"/>
    <w:rsid w:val="00547057"/>
    <w:rsid w:val="0054707E"/>
    <w:rsid w:val="00547162"/>
    <w:rsid w:val="00547180"/>
    <w:rsid w:val="00547528"/>
    <w:rsid w:val="00547566"/>
    <w:rsid w:val="005478DE"/>
    <w:rsid w:val="00547A8F"/>
    <w:rsid w:val="00547AD5"/>
    <w:rsid w:val="00547B63"/>
    <w:rsid w:val="00547C02"/>
    <w:rsid w:val="0055011E"/>
    <w:rsid w:val="00550226"/>
    <w:rsid w:val="00550418"/>
    <w:rsid w:val="00550C19"/>
    <w:rsid w:val="00550D0F"/>
    <w:rsid w:val="00550D50"/>
    <w:rsid w:val="005510EE"/>
    <w:rsid w:val="00551111"/>
    <w:rsid w:val="0055132C"/>
    <w:rsid w:val="005513D8"/>
    <w:rsid w:val="00551E19"/>
    <w:rsid w:val="00552501"/>
    <w:rsid w:val="0055261B"/>
    <w:rsid w:val="00552745"/>
    <w:rsid w:val="005529ED"/>
    <w:rsid w:val="00552AF5"/>
    <w:rsid w:val="00552BAF"/>
    <w:rsid w:val="00552D59"/>
    <w:rsid w:val="00552E3F"/>
    <w:rsid w:val="005531C5"/>
    <w:rsid w:val="00553339"/>
    <w:rsid w:val="00553467"/>
    <w:rsid w:val="00553601"/>
    <w:rsid w:val="00553A1C"/>
    <w:rsid w:val="00553B54"/>
    <w:rsid w:val="00553EBA"/>
    <w:rsid w:val="0055433F"/>
    <w:rsid w:val="005543B6"/>
    <w:rsid w:val="005543CA"/>
    <w:rsid w:val="005544EC"/>
    <w:rsid w:val="005545E2"/>
    <w:rsid w:val="00554661"/>
    <w:rsid w:val="00554879"/>
    <w:rsid w:val="00554B9A"/>
    <w:rsid w:val="00554F5B"/>
    <w:rsid w:val="005550D5"/>
    <w:rsid w:val="00555126"/>
    <w:rsid w:val="005552C5"/>
    <w:rsid w:val="00555336"/>
    <w:rsid w:val="00555619"/>
    <w:rsid w:val="005557A9"/>
    <w:rsid w:val="00555ADA"/>
    <w:rsid w:val="00555B61"/>
    <w:rsid w:val="00555E4C"/>
    <w:rsid w:val="00555EC8"/>
    <w:rsid w:val="00556055"/>
    <w:rsid w:val="00556166"/>
    <w:rsid w:val="005562DE"/>
    <w:rsid w:val="005565A0"/>
    <w:rsid w:val="005565D1"/>
    <w:rsid w:val="00556723"/>
    <w:rsid w:val="00556ADC"/>
    <w:rsid w:val="00556AE0"/>
    <w:rsid w:val="00556B4D"/>
    <w:rsid w:val="00556D95"/>
    <w:rsid w:val="00556FAF"/>
    <w:rsid w:val="005570DD"/>
    <w:rsid w:val="00557381"/>
    <w:rsid w:val="0055762B"/>
    <w:rsid w:val="00557911"/>
    <w:rsid w:val="0055793A"/>
    <w:rsid w:val="00557DBB"/>
    <w:rsid w:val="00557E09"/>
    <w:rsid w:val="00557F6F"/>
    <w:rsid w:val="005603DB"/>
    <w:rsid w:val="005604C0"/>
    <w:rsid w:val="00560563"/>
    <w:rsid w:val="005605ED"/>
    <w:rsid w:val="00560893"/>
    <w:rsid w:val="005609A6"/>
    <w:rsid w:val="00560B28"/>
    <w:rsid w:val="00560EC9"/>
    <w:rsid w:val="00561176"/>
    <w:rsid w:val="00561764"/>
    <w:rsid w:val="005617D4"/>
    <w:rsid w:val="005618DC"/>
    <w:rsid w:val="0056193A"/>
    <w:rsid w:val="0056209D"/>
    <w:rsid w:val="0056215C"/>
    <w:rsid w:val="00562257"/>
    <w:rsid w:val="0056260E"/>
    <w:rsid w:val="00562634"/>
    <w:rsid w:val="00562719"/>
    <w:rsid w:val="00562733"/>
    <w:rsid w:val="00562A4C"/>
    <w:rsid w:val="00562AE3"/>
    <w:rsid w:val="00562BE4"/>
    <w:rsid w:val="00562EB5"/>
    <w:rsid w:val="00563172"/>
    <w:rsid w:val="00563490"/>
    <w:rsid w:val="005635A8"/>
    <w:rsid w:val="005637B1"/>
    <w:rsid w:val="00563808"/>
    <w:rsid w:val="00563901"/>
    <w:rsid w:val="00563BC6"/>
    <w:rsid w:val="00563E19"/>
    <w:rsid w:val="0056480F"/>
    <w:rsid w:val="005649BB"/>
    <w:rsid w:val="00564A7D"/>
    <w:rsid w:val="00564ABB"/>
    <w:rsid w:val="00564B7E"/>
    <w:rsid w:val="005650A9"/>
    <w:rsid w:val="005651DF"/>
    <w:rsid w:val="00565463"/>
    <w:rsid w:val="00565658"/>
    <w:rsid w:val="00565740"/>
    <w:rsid w:val="0056596C"/>
    <w:rsid w:val="00565A53"/>
    <w:rsid w:val="00565AB4"/>
    <w:rsid w:val="00565D05"/>
    <w:rsid w:val="00565F63"/>
    <w:rsid w:val="0056619A"/>
    <w:rsid w:val="005662FD"/>
    <w:rsid w:val="00566316"/>
    <w:rsid w:val="005664ED"/>
    <w:rsid w:val="0056663B"/>
    <w:rsid w:val="005668AC"/>
    <w:rsid w:val="00566B1C"/>
    <w:rsid w:val="00566B48"/>
    <w:rsid w:val="00566BB2"/>
    <w:rsid w:val="005673C6"/>
    <w:rsid w:val="005676CB"/>
    <w:rsid w:val="00567BD5"/>
    <w:rsid w:val="00567E3A"/>
    <w:rsid w:val="00567EFA"/>
    <w:rsid w:val="00567F72"/>
    <w:rsid w:val="0057009F"/>
    <w:rsid w:val="00570128"/>
    <w:rsid w:val="0057053D"/>
    <w:rsid w:val="005705CC"/>
    <w:rsid w:val="005707B3"/>
    <w:rsid w:val="005709B1"/>
    <w:rsid w:val="005709DA"/>
    <w:rsid w:val="00570BA8"/>
    <w:rsid w:val="00570F9D"/>
    <w:rsid w:val="0057108A"/>
    <w:rsid w:val="0057140B"/>
    <w:rsid w:val="0057145C"/>
    <w:rsid w:val="0057154C"/>
    <w:rsid w:val="005718CE"/>
    <w:rsid w:val="00571A1A"/>
    <w:rsid w:val="00571ADA"/>
    <w:rsid w:val="00571CBB"/>
    <w:rsid w:val="00571CDD"/>
    <w:rsid w:val="00571D48"/>
    <w:rsid w:val="00571D98"/>
    <w:rsid w:val="00571EB5"/>
    <w:rsid w:val="00572238"/>
    <w:rsid w:val="00572473"/>
    <w:rsid w:val="005728BB"/>
    <w:rsid w:val="00572C33"/>
    <w:rsid w:val="00572D78"/>
    <w:rsid w:val="00572EEA"/>
    <w:rsid w:val="005736CE"/>
    <w:rsid w:val="005736EF"/>
    <w:rsid w:val="0057379C"/>
    <w:rsid w:val="00573BDD"/>
    <w:rsid w:val="00573CBB"/>
    <w:rsid w:val="00573EA9"/>
    <w:rsid w:val="005743AA"/>
    <w:rsid w:val="00574447"/>
    <w:rsid w:val="00574604"/>
    <w:rsid w:val="00574910"/>
    <w:rsid w:val="00574A1A"/>
    <w:rsid w:val="00574AF8"/>
    <w:rsid w:val="005751B3"/>
    <w:rsid w:val="00575414"/>
    <w:rsid w:val="0057553C"/>
    <w:rsid w:val="005759CE"/>
    <w:rsid w:val="00575BDB"/>
    <w:rsid w:val="00575DA6"/>
    <w:rsid w:val="00575E89"/>
    <w:rsid w:val="005760C8"/>
    <w:rsid w:val="0057616C"/>
    <w:rsid w:val="0057663F"/>
    <w:rsid w:val="005766F9"/>
    <w:rsid w:val="00576730"/>
    <w:rsid w:val="005767DC"/>
    <w:rsid w:val="00576E67"/>
    <w:rsid w:val="005774A7"/>
    <w:rsid w:val="0057750F"/>
    <w:rsid w:val="0057756D"/>
    <w:rsid w:val="00577A2E"/>
    <w:rsid w:val="00577C8C"/>
    <w:rsid w:val="00577D33"/>
    <w:rsid w:val="00577D47"/>
    <w:rsid w:val="00577DAF"/>
    <w:rsid w:val="00577DB5"/>
    <w:rsid w:val="00577EE1"/>
    <w:rsid w:val="00577F1A"/>
    <w:rsid w:val="005800A8"/>
    <w:rsid w:val="005804A4"/>
    <w:rsid w:val="00580716"/>
    <w:rsid w:val="005807B4"/>
    <w:rsid w:val="00580836"/>
    <w:rsid w:val="00580940"/>
    <w:rsid w:val="005809B5"/>
    <w:rsid w:val="00580AD9"/>
    <w:rsid w:val="00580CA8"/>
    <w:rsid w:val="0058111D"/>
    <w:rsid w:val="005811BB"/>
    <w:rsid w:val="0058121B"/>
    <w:rsid w:val="0058124F"/>
    <w:rsid w:val="005815C1"/>
    <w:rsid w:val="005817ED"/>
    <w:rsid w:val="0058199F"/>
    <w:rsid w:val="00581C8C"/>
    <w:rsid w:val="00581E2E"/>
    <w:rsid w:val="00581E66"/>
    <w:rsid w:val="005823D7"/>
    <w:rsid w:val="00582467"/>
    <w:rsid w:val="00582756"/>
    <w:rsid w:val="005827F5"/>
    <w:rsid w:val="00582C89"/>
    <w:rsid w:val="00582DC3"/>
    <w:rsid w:val="00582E6A"/>
    <w:rsid w:val="00582ED6"/>
    <w:rsid w:val="005830B8"/>
    <w:rsid w:val="00583379"/>
    <w:rsid w:val="00583391"/>
    <w:rsid w:val="00583803"/>
    <w:rsid w:val="00583A45"/>
    <w:rsid w:val="00583B68"/>
    <w:rsid w:val="00583C4A"/>
    <w:rsid w:val="00583DC4"/>
    <w:rsid w:val="00583E3D"/>
    <w:rsid w:val="00584030"/>
    <w:rsid w:val="00584271"/>
    <w:rsid w:val="00584634"/>
    <w:rsid w:val="005846DA"/>
    <w:rsid w:val="005846E6"/>
    <w:rsid w:val="0058485B"/>
    <w:rsid w:val="00584904"/>
    <w:rsid w:val="00584AA0"/>
    <w:rsid w:val="00584E25"/>
    <w:rsid w:val="00584EA5"/>
    <w:rsid w:val="00585052"/>
    <w:rsid w:val="005850F6"/>
    <w:rsid w:val="005854B5"/>
    <w:rsid w:val="005855CF"/>
    <w:rsid w:val="005858D6"/>
    <w:rsid w:val="0058590D"/>
    <w:rsid w:val="00585988"/>
    <w:rsid w:val="005859C1"/>
    <w:rsid w:val="00585AEA"/>
    <w:rsid w:val="00585B53"/>
    <w:rsid w:val="00585D67"/>
    <w:rsid w:val="00585DE4"/>
    <w:rsid w:val="00586031"/>
    <w:rsid w:val="00586271"/>
    <w:rsid w:val="005862A6"/>
    <w:rsid w:val="00586386"/>
    <w:rsid w:val="005865A5"/>
    <w:rsid w:val="00586788"/>
    <w:rsid w:val="005868EF"/>
    <w:rsid w:val="00586B1D"/>
    <w:rsid w:val="00586BE0"/>
    <w:rsid w:val="005871EB"/>
    <w:rsid w:val="005872F0"/>
    <w:rsid w:val="005874CA"/>
    <w:rsid w:val="00587512"/>
    <w:rsid w:val="005875EF"/>
    <w:rsid w:val="005878FE"/>
    <w:rsid w:val="00587925"/>
    <w:rsid w:val="00587A44"/>
    <w:rsid w:val="00587DF9"/>
    <w:rsid w:val="00587F20"/>
    <w:rsid w:val="00590046"/>
    <w:rsid w:val="0059007F"/>
    <w:rsid w:val="0059009E"/>
    <w:rsid w:val="00590375"/>
    <w:rsid w:val="00590995"/>
    <w:rsid w:val="005909EC"/>
    <w:rsid w:val="00590DF6"/>
    <w:rsid w:val="00590F26"/>
    <w:rsid w:val="0059159B"/>
    <w:rsid w:val="005915E7"/>
    <w:rsid w:val="00591BE8"/>
    <w:rsid w:val="00591DB2"/>
    <w:rsid w:val="00591F41"/>
    <w:rsid w:val="00591FF8"/>
    <w:rsid w:val="00592116"/>
    <w:rsid w:val="00592186"/>
    <w:rsid w:val="0059253B"/>
    <w:rsid w:val="00592558"/>
    <w:rsid w:val="005926E1"/>
    <w:rsid w:val="00592804"/>
    <w:rsid w:val="00592BA6"/>
    <w:rsid w:val="00592BEF"/>
    <w:rsid w:val="00592CA6"/>
    <w:rsid w:val="00593789"/>
    <w:rsid w:val="0059382B"/>
    <w:rsid w:val="0059388E"/>
    <w:rsid w:val="0059392D"/>
    <w:rsid w:val="00593BA7"/>
    <w:rsid w:val="00593C4F"/>
    <w:rsid w:val="00593C9D"/>
    <w:rsid w:val="00593DE9"/>
    <w:rsid w:val="00593FE3"/>
    <w:rsid w:val="005940D5"/>
    <w:rsid w:val="00594674"/>
    <w:rsid w:val="00594755"/>
    <w:rsid w:val="0059497D"/>
    <w:rsid w:val="00594986"/>
    <w:rsid w:val="005949DB"/>
    <w:rsid w:val="00594CAC"/>
    <w:rsid w:val="00594DA0"/>
    <w:rsid w:val="00594EAF"/>
    <w:rsid w:val="005952EA"/>
    <w:rsid w:val="00595625"/>
    <w:rsid w:val="00595AE2"/>
    <w:rsid w:val="00595E2D"/>
    <w:rsid w:val="00595E48"/>
    <w:rsid w:val="00595E8C"/>
    <w:rsid w:val="005961D7"/>
    <w:rsid w:val="0059624E"/>
    <w:rsid w:val="00596464"/>
    <w:rsid w:val="005964BA"/>
    <w:rsid w:val="0059658C"/>
    <w:rsid w:val="0059678A"/>
    <w:rsid w:val="005968FE"/>
    <w:rsid w:val="00596CE5"/>
    <w:rsid w:val="005971E3"/>
    <w:rsid w:val="00597223"/>
    <w:rsid w:val="00597865"/>
    <w:rsid w:val="00597A7F"/>
    <w:rsid w:val="00597B7A"/>
    <w:rsid w:val="005A010A"/>
    <w:rsid w:val="005A02B2"/>
    <w:rsid w:val="005A0A2A"/>
    <w:rsid w:val="005A11A4"/>
    <w:rsid w:val="005A11A8"/>
    <w:rsid w:val="005A11AF"/>
    <w:rsid w:val="005A12B6"/>
    <w:rsid w:val="005A1899"/>
    <w:rsid w:val="005A19B3"/>
    <w:rsid w:val="005A1AFC"/>
    <w:rsid w:val="005A1B34"/>
    <w:rsid w:val="005A1F1B"/>
    <w:rsid w:val="005A2038"/>
    <w:rsid w:val="005A230F"/>
    <w:rsid w:val="005A233C"/>
    <w:rsid w:val="005A242D"/>
    <w:rsid w:val="005A2463"/>
    <w:rsid w:val="005A2566"/>
    <w:rsid w:val="005A2680"/>
    <w:rsid w:val="005A2717"/>
    <w:rsid w:val="005A29E4"/>
    <w:rsid w:val="005A2DF4"/>
    <w:rsid w:val="005A2FA1"/>
    <w:rsid w:val="005A3069"/>
    <w:rsid w:val="005A3740"/>
    <w:rsid w:val="005A39E7"/>
    <w:rsid w:val="005A39FB"/>
    <w:rsid w:val="005A3A96"/>
    <w:rsid w:val="005A3C99"/>
    <w:rsid w:val="005A3E75"/>
    <w:rsid w:val="005A43CB"/>
    <w:rsid w:val="005A458C"/>
    <w:rsid w:val="005A47D0"/>
    <w:rsid w:val="005A48FC"/>
    <w:rsid w:val="005A4AD7"/>
    <w:rsid w:val="005A4C7A"/>
    <w:rsid w:val="005A4EA8"/>
    <w:rsid w:val="005A4ED3"/>
    <w:rsid w:val="005A53CF"/>
    <w:rsid w:val="005A5CF4"/>
    <w:rsid w:val="005A600F"/>
    <w:rsid w:val="005A62F7"/>
    <w:rsid w:val="005A640F"/>
    <w:rsid w:val="005A6438"/>
    <w:rsid w:val="005A645C"/>
    <w:rsid w:val="005A6471"/>
    <w:rsid w:val="005A64B3"/>
    <w:rsid w:val="005A658F"/>
    <w:rsid w:val="005A6D8B"/>
    <w:rsid w:val="005A6DE0"/>
    <w:rsid w:val="005A7146"/>
    <w:rsid w:val="005A7174"/>
    <w:rsid w:val="005A71A3"/>
    <w:rsid w:val="005A7401"/>
    <w:rsid w:val="005A743A"/>
    <w:rsid w:val="005A7CBE"/>
    <w:rsid w:val="005A7D6F"/>
    <w:rsid w:val="005A7FFB"/>
    <w:rsid w:val="005B086C"/>
    <w:rsid w:val="005B0E3D"/>
    <w:rsid w:val="005B103C"/>
    <w:rsid w:val="005B1137"/>
    <w:rsid w:val="005B1293"/>
    <w:rsid w:val="005B149A"/>
    <w:rsid w:val="005B15EE"/>
    <w:rsid w:val="005B1685"/>
    <w:rsid w:val="005B1A31"/>
    <w:rsid w:val="005B1BD7"/>
    <w:rsid w:val="005B1C54"/>
    <w:rsid w:val="005B210F"/>
    <w:rsid w:val="005B2188"/>
    <w:rsid w:val="005B22F0"/>
    <w:rsid w:val="005B230E"/>
    <w:rsid w:val="005B2374"/>
    <w:rsid w:val="005B2707"/>
    <w:rsid w:val="005B286D"/>
    <w:rsid w:val="005B288B"/>
    <w:rsid w:val="005B29F7"/>
    <w:rsid w:val="005B2DA9"/>
    <w:rsid w:val="005B2DAE"/>
    <w:rsid w:val="005B2F8D"/>
    <w:rsid w:val="005B2FF7"/>
    <w:rsid w:val="005B336D"/>
    <w:rsid w:val="005B3670"/>
    <w:rsid w:val="005B38CE"/>
    <w:rsid w:val="005B3901"/>
    <w:rsid w:val="005B39C6"/>
    <w:rsid w:val="005B3B46"/>
    <w:rsid w:val="005B3CD4"/>
    <w:rsid w:val="005B3E0B"/>
    <w:rsid w:val="005B40A3"/>
    <w:rsid w:val="005B41EB"/>
    <w:rsid w:val="005B46C5"/>
    <w:rsid w:val="005B4715"/>
    <w:rsid w:val="005B4755"/>
    <w:rsid w:val="005B47E2"/>
    <w:rsid w:val="005B4AA5"/>
    <w:rsid w:val="005B4E2A"/>
    <w:rsid w:val="005B4F4E"/>
    <w:rsid w:val="005B50A7"/>
    <w:rsid w:val="005B5381"/>
    <w:rsid w:val="005B53CF"/>
    <w:rsid w:val="005B542C"/>
    <w:rsid w:val="005B5564"/>
    <w:rsid w:val="005B57BC"/>
    <w:rsid w:val="005B58A2"/>
    <w:rsid w:val="005B596C"/>
    <w:rsid w:val="005B5A04"/>
    <w:rsid w:val="005B5ADB"/>
    <w:rsid w:val="005B5BDD"/>
    <w:rsid w:val="005B5BED"/>
    <w:rsid w:val="005B5D99"/>
    <w:rsid w:val="005B5DAA"/>
    <w:rsid w:val="005B5F0D"/>
    <w:rsid w:val="005B6745"/>
    <w:rsid w:val="005B6907"/>
    <w:rsid w:val="005B6BB4"/>
    <w:rsid w:val="005B7184"/>
    <w:rsid w:val="005B724D"/>
    <w:rsid w:val="005B731A"/>
    <w:rsid w:val="005B747F"/>
    <w:rsid w:val="005B753C"/>
    <w:rsid w:val="005B758D"/>
    <w:rsid w:val="005B7B45"/>
    <w:rsid w:val="005B7CAF"/>
    <w:rsid w:val="005B7D62"/>
    <w:rsid w:val="005C01F7"/>
    <w:rsid w:val="005C03C8"/>
    <w:rsid w:val="005C0457"/>
    <w:rsid w:val="005C0732"/>
    <w:rsid w:val="005C0C30"/>
    <w:rsid w:val="005C11E8"/>
    <w:rsid w:val="005C1353"/>
    <w:rsid w:val="005C194F"/>
    <w:rsid w:val="005C1C34"/>
    <w:rsid w:val="005C1C46"/>
    <w:rsid w:val="005C1C5D"/>
    <w:rsid w:val="005C1CAF"/>
    <w:rsid w:val="005C1DC9"/>
    <w:rsid w:val="005C21CD"/>
    <w:rsid w:val="005C24C3"/>
    <w:rsid w:val="005C2754"/>
    <w:rsid w:val="005C28BC"/>
    <w:rsid w:val="005C2AB8"/>
    <w:rsid w:val="005C2B91"/>
    <w:rsid w:val="005C2C57"/>
    <w:rsid w:val="005C2EA0"/>
    <w:rsid w:val="005C3219"/>
    <w:rsid w:val="005C3317"/>
    <w:rsid w:val="005C3539"/>
    <w:rsid w:val="005C3577"/>
    <w:rsid w:val="005C377B"/>
    <w:rsid w:val="005C3AD1"/>
    <w:rsid w:val="005C3B31"/>
    <w:rsid w:val="005C3FB9"/>
    <w:rsid w:val="005C42F7"/>
    <w:rsid w:val="005C44D6"/>
    <w:rsid w:val="005C46FB"/>
    <w:rsid w:val="005C474C"/>
    <w:rsid w:val="005C4BFE"/>
    <w:rsid w:val="005C4C02"/>
    <w:rsid w:val="005C4D19"/>
    <w:rsid w:val="005C4D47"/>
    <w:rsid w:val="005C55FF"/>
    <w:rsid w:val="005C580F"/>
    <w:rsid w:val="005C5961"/>
    <w:rsid w:val="005C5A1A"/>
    <w:rsid w:val="005C5C73"/>
    <w:rsid w:val="005C5F17"/>
    <w:rsid w:val="005C5F42"/>
    <w:rsid w:val="005C6050"/>
    <w:rsid w:val="005C608A"/>
    <w:rsid w:val="005C613B"/>
    <w:rsid w:val="005C635F"/>
    <w:rsid w:val="005C64BE"/>
    <w:rsid w:val="005C6530"/>
    <w:rsid w:val="005C6705"/>
    <w:rsid w:val="005C6872"/>
    <w:rsid w:val="005C6893"/>
    <w:rsid w:val="005C690B"/>
    <w:rsid w:val="005C6B8B"/>
    <w:rsid w:val="005C6C85"/>
    <w:rsid w:val="005C6E91"/>
    <w:rsid w:val="005C705D"/>
    <w:rsid w:val="005C7231"/>
    <w:rsid w:val="005C7331"/>
    <w:rsid w:val="005C76C3"/>
    <w:rsid w:val="005C7822"/>
    <w:rsid w:val="005C786E"/>
    <w:rsid w:val="005C7AE2"/>
    <w:rsid w:val="005C7BCF"/>
    <w:rsid w:val="005C7FFE"/>
    <w:rsid w:val="005D00E9"/>
    <w:rsid w:val="005D01B7"/>
    <w:rsid w:val="005D02C5"/>
    <w:rsid w:val="005D0397"/>
    <w:rsid w:val="005D05DF"/>
    <w:rsid w:val="005D0A86"/>
    <w:rsid w:val="005D0B6E"/>
    <w:rsid w:val="005D0FD6"/>
    <w:rsid w:val="005D10E4"/>
    <w:rsid w:val="005D1872"/>
    <w:rsid w:val="005D1A94"/>
    <w:rsid w:val="005D2060"/>
    <w:rsid w:val="005D209F"/>
    <w:rsid w:val="005D2202"/>
    <w:rsid w:val="005D2586"/>
    <w:rsid w:val="005D2729"/>
    <w:rsid w:val="005D273D"/>
    <w:rsid w:val="005D2C1A"/>
    <w:rsid w:val="005D2EB5"/>
    <w:rsid w:val="005D2EBA"/>
    <w:rsid w:val="005D3028"/>
    <w:rsid w:val="005D32C6"/>
    <w:rsid w:val="005D3394"/>
    <w:rsid w:val="005D36AD"/>
    <w:rsid w:val="005D38C7"/>
    <w:rsid w:val="005D3A77"/>
    <w:rsid w:val="005D3B5C"/>
    <w:rsid w:val="005D3F1D"/>
    <w:rsid w:val="005D41FF"/>
    <w:rsid w:val="005D4249"/>
    <w:rsid w:val="005D42C7"/>
    <w:rsid w:val="005D42E0"/>
    <w:rsid w:val="005D459B"/>
    <w:rsid w:val="005D45E1"/>
    <w:rsid w:val="005D46DD"/>
    <w:rsid w:val="005D48F7"/>
    <w:rsid w:val="005D4BB1"/>
    <w:rsid w:val="005D4D20"/>
    <w:rsid w:val="005D4F78"/>
    <w:rsid w:val="005D4FB9"/>
    <w:rsid w:val="005D53D5"/>
    <w:rsid w:val="005D555D"/>
    <w:rsid w:val="005D5609"/>
    <w:rsid w:val="005D5679"/>
    <w:rsid w:val="005D5699"/>
    <w:rsid w:val="005D5712"/>
    <w:rsid w:val="005D5AD2"/>
    <w:rsid w:val="005D5BFD"/>
    <w:rsid w:val="005D5C68"/>
    <w:rsid w:val="005D5EB6"/>
    <w:rsid w:val="005D5EEF"/>
    <w:rsid w:val="005D637B"/>
    <w:rsid w:val="005D6622"/>
    <w:rsid w:val="005D6AFF"/>
    <w:rsid w:val="005D706E"/>
    <w:rsid w:val="005D70B3"/>
    <w:rsid w:val="005D73FE"/>
    <w:rsid w:val="005D74E6"/>
    <w:rsid w:val="005D76BB"/>
    <w:rsid w:val="005D7783"/>
    <w:rsid w:val="005D7822"/>
    <w:rsid w:val="005D7B87"/>
    <w:rsid w:val="005D7C51"/>
    <w:rsid w:val="005D7E78"/>
    <w:rsid w:val="005D7F43"/>
    <w:rsid w:val="005E0205"/>
    <w:rsid w:val="005E0348"/>
    <w:rsid w:val="005E0464"/>
    <w:rsid w:val="005E063A"/>
    <w:rsid w:val="005E08EB"/>
    <w:rsid w:val="005E0925"/>
    <w:rsid w:val="005E0AA6"/>
    <w:rsid w:val="005E0EBD"/>
    <w:rsid w:val="005E1562"/>
    <w:rsid w:val="005E15AA"/>
    <w:rsid w:val="005E184A"/>
    <w:rsid w:val="005E196C"/>
    <w:rsid w:val="005E1E17"/>
    <w:rsid w:val="005E1E19"/>
    <w:rsid w:val="005E1F45"/>
    <w:rsid w:val="005E202C"/>
    <w:rsid w:val="005E206C"/>
    <w:rsid w:val="005E2134"/>
    <w:rsid w:val="005E22E2"/>
    <w:rsid w:val="005E2536"/>
    <w:rsid w:val="005E25D6"/>
    <w:rsid w:val="005E2631"/>
    <w:rsid w:val="005E2716"/>
    <w:rsid w:val="005E289A"/>
    <w:rsid w:val="005E2CAB"/>
    <w:rsid w:val="005E2E3A"/>
    <w:rsid w:val="005E2F49"/>
    <w:rsid w:val="005E2FCF"/>
    <w:rsid w:val="005E3064"/>
    <w:rsid w:val="005E3248"/>
    <w:rsid w:val="005E32AA"/>
    <w:rsid w:val="005E3682"/>
    <w:rsid w:val="005E391A"/>
    <w:rsid w:val="005E3A16"/>
    <w:rsid w:val="005E3AC1"/>
    <w:rsid w:val="005E3C01"/>
    <w:rsid w:val="005E3C33"/>
    <w:rsid w:val="005E3D0B"/>
    <w:rsid w:val="005E3E04"/>
    <w:rsid w:val="005E3E9A"/>
    <w:rsid w:val="005E40E0"/>
    <w:rsid w:val="005E42B1"/>
    <w:rsid w:val="005E44BC"/>
    <w:rsid w:val="005E455E"/>
    <w:rsid w:val="005E46B1"/>
    <w:rsid w:val="005E47C9"/>
    <w:rsid w:val="005E47D5"/>
    <w:rsid w:val="005E49AD"/>
    <w:rsid w:val="005E4B9F"/>
    <w:rsid w:val="005E4C8E"/>
    <w:rsid w:val="005E4CEB"/>
    <w:rsid w:val="005E4EC3"/>
    <w:rsid w:val="005E505E"/>
    <w:rsid w:val="005E54C7"/>
    <w:rsid w:val="005E5518"/>
    <w:rsid w:val="005E565E"/>
    <w:rsid w:val="005E591A"/>
    <w:rsid w:val="005E5FBD"/>
    <w:rsid w:val="005E6536"/>
    <w:rsid w:val="005E65D0"/>
    <w:rsid w:val="005E6611"/>
    <w:rsid w:val="005E662F"/>
    <w:rsid w:val="005E6760"/>
    <w:rsid w:val="005E687A"/>
    <w:rsid w:val="005E691E"/>
    <w:rsid w:val="005E6CE8"/>
    <w:rsid w:val="005E6E67"/>
    <w:rsid w:val="005E720D"/>
    <w:rsid w:val="005E7255"/>
    <w:rsid w:val="005E75A2"/>
    <w:rsid w:val="005E7889"/>
    <w:rsid w:val="005E7994"/>
    <w:rsid w:val="005E7B56"/>
    <w:rsid w:val="005F015A"/>
    <w:rsid w:val="005F0368"/>
    <w:rsid w:val="005F0487"/>
    <w:rsid w:val="005F04E7"/>
    <w:rsid w:val="005F087E"/>
    <w:rsid w:val="005F09B4"/>
    <w:rsid w:val="005F0D42"/>
    <w:rsid w:val="005F0DBA"/>
    <w:rsid w:val="005F0F98"/>
    <w:rsid w:val="005F1258"/>
    <w:rsid w:val="005F14B3"/>
    <w:rsid w:val="005F14E0"/>
    <w:rsid w:val="005F156C"/>
    <w:rsid w:val="005F16CA"/>
    <w:rsid w:val="005F16F2"/>
    <w:rsid w:val="005F1D89"/>
    <w:rsid w:val="005F20F4"/>
    <w:rsid w:val="005F211F"/>
    <w:rsid w:val="005F226E"/>
    <w:rsid w:val="005F2512"/>
    <w:rsid w:val="005F255C"/>
    <w:rsid w:val="005F289E"/>
    <w:rsid w:val="005F2FF4"/>
    <w:rsid w:val="005F30A2"/>
    <w:rsid w:val="005F315C"/>
    <w:rsid w:val="005F3441"/>
    <w:rsid w:val="005F3A8D"/>
    <w:rsid w:val="005F3CA8"/>
    <w:rsid w:val="005F3FF4"/>
    <w:rsid w:val="005F40AF"/>
    <w:rsid w:val="005F425B"/>
    <w:rsid w:val="005F42F8"/>
    <w:rsid w:val="005F4402"/>
    <w:rsid w:val="005F45D5"/>
    <w:rsid w:val="005F493F"/>
    <w:rsid w:val="005F4A6D"/>
    <w:rsid w:val="005F4A91"/>
    <w:rsid w:val="005F4B90"/>
    <w:rsid w:val="005F4D09"/>
    <w:rsid w:val="005F4E6B"/>
    <w:rsid w:val="005F4E8F"/>
    <w:rsid w:val="005F507F"/>
    <w:rsid w:val="005F519A"/>
    <w:rsid w:val="005F523C"/>
    <w:rsid w:val="005F59F2"/>
    <w:rsid w:val="005F5D83"/>
    <w:rsid w:val="005F5DB7"/>
    <w:rsid w:val="005F5F63"/>
    <w:rsid w:val="005F6072"/>
    <w:rsid w:val="005F6219"/>
    <w:rsid w:val="005F65D3"/>
    <w:rsid w:val="005F66D4"/>
    <w:rsid w:val="005F6729"/>
    <w:rsid w:val="005F67A4"/>
    <w:rsid w:val="005F6892"/>
    <w:rsid w:val="005F68F6"/>
    <w:rsid w:val="005F6A16"/>
    <w:rsid w:val="005F6B01"/>
    <w:rsid w:val="005F6D47"/>
    <w:rsid w:val="005F6FA1"/>
    <w:rsid w:val="005F741B"/>
    <w:rsid w:val="005F74AC"/>
    <w:rsid w:val="005F7B4D"/>
    <w:rsid w:val="005F7B6A"/>
    <w:rsid w:val="005F7B6F"/>
    <w:rsid w:val="005F7F1B"/>
    <w:rsid w:val="0060001A"/>
    <w:rsid w:val="006000C3"/>
    <w:rsid w:val="006000E1"/>
    <w:rsid w:val="00600525"/>
    <w:rsid w:val="006005F0"/>
    <w:rsid w:val="006009CC"/>
    <w:rsid w:val="00600BB8"/>
    <w:rsid w:val="00600BBD"/>
    <w:rsid w:val="00600C67"/>
    <w:rsid w:val="00600C85"/>
    <w:rsid w:val="00600CC4"/>
    <w:rsid w:val="00600E46"/>
    <w:rsid w:val="00600EEE"/>
    <w:rsid w:val="00600F45"/>
    <w:rsid w:val="00600F4E"/>
    <w:rsid w:val="0060101B"/>
    <w:rsid w:val="00601087"/>
    <w:rsid w:val="006010E1"/>
    <w:rsid w:val="006010F8"/>
    <w:rsid w:val="006011EA"/>
    <w:rsid w:val="00601404"/>
    <w:rsid w:val="006014D4"/>
    <w:rsid w:val="006015A3"/>
    <w:rsid w:val="006015B1"/>
    <w:rsid w:val="006016D2"/>
    <w:rsid w:val="00601A30"/>
    <w:rsid w:val="00601C42"/>
    <w:rsid w:val="00601CAD"/>
    <w:rsid w:val="0060211C"/>
    <w:rsid w:val="0060215B"/>
    <w:rsid w:val="00602251"/>
    <w:rsid w:val="00602366"/>
    <w:rsid w:val="00602723"/>
    <w:rsid w:val="00602C67"/>
    <w:rsid w:val="00602F20"/>
    <w:rsid w:val="006030EE"/>
    <w:rsid w:val="0060373F"/>
    <w:rsid w:val="0060414D"/>
    <w:rsid w:val="00604211"/>
    <w:rsid w:val="00604618"/>
    <w:rsid w:val="0060463B"/>
    <w:rsid w:val="00604711"/>
    <w:rsid w:val="00604812"/>
    <w:rsid w:val="00604948"/>
    <w:rsid w:val="00604998"/>
    <w:rsid w:val="00604A90"/>
    <w:rsid w:val="00604DB9"/>
    <w:rsid w:val="00604F6A"/>
    <w:rsid w:val="00604FC6"/>
    <w:rsid w:val="00605118"/>
    <w:rsid w:val="00605169"/>
    <w:rsid w:val="00605771"/>
    <w:rsid w:val="00605A34"/>
    <w:rsid w:val="00605C9A"/>
    <w:rsid w:val="00605E87"/>
    <w:rsid w:val="00605FDF"/>
    <w:rsid w:val="00606119"/>
    <w:rsid w:val="0060612E"/>
    <w:rsid w:val="00606253"/>
    <w:rsid w:val="006062BB"/>
    <w:rsid w:val="00606543"/>
    <w:rsid w:val="006066A2"/>
    <w:rsid w:val="00606995"/>
    <w:rsid w:val="00606A16"/>
    <w:rsid w:val="00606B70"/>
    <w:rsid w:val="00606BB8"/>
    <w:rsid w:val="00606DDB"/>
    <w:rsid w:val="00606EAC"/>
    <w:rsid w:val="00606EE0"/>
    <w:rsid w:val="00606FCC"/>
    <w:rsid w:val="00606FF5"/>
    <w:rsid w:val="00607430"/>
    <w:rsid w:val="0060754D"/>
    <w:rsid w:val="00607598"/>
    <w:rsid w:val="006077EF"/>
    <w:rsid w:val="00607B2D"/>
    <w:rsid w:val="00607DDA"/>
    <w:rsid w:val="00610280"/>
    <w:rsid w:val="0061056B"/>
    <w:rsid w:val="006105B3"/>
    <w:rsid w:val="00610818"/>
    <w:rsid w:val="00610935"/>
    <w:rsid w:val="006109E7"/>
    <w:rsid w:val="00610BE4"/>
    <w:rsid w:val="00610DB8"/>
    <w:rsid w:val="00610F51"/>
    <w:rsid w:val="00611522"/>
    <w:rsid w:val="00611592"/>
    <w:rsid w:val="006116F7"/>
    <w:rsid w:val="00611990"/>
    <w:rsid w:val="00611CD8"/>
    <w:rsid w:val="006120AA"/>
    <w:rsid w:val="00612547"/>
    <w:rsid w:val="00612AA7"/>
    <w:rsid w:val="00612B0F"/>
    <w:rsid w:val="00612B28"/>
    <w:rsid w:val="0061331A"/>
    <w:rsid w:val="006136F3"/>
    <w:rsid w:val="00613773"/>
    <w:rsid w:val="0061385F"/>
    <w:rsid w:val="00613BE6"/>
    <w:rsid w:val="00613FF2"/>
    <w:rsid w:val="00614021"/>
    <w:rsid w:val="00614056"/>
    <w:rsid w:val="006141C0"/>
    <w:rsid w:val="006142E1"/>
    <w:rsid w:val="006146CD"/>
    <w:rsid w:val="00614837"/>
    <w:rsid w:val="00614841"/>
    <w:rsid w:val="006148BB"/>
    <w:rsid w:val="00614D50"/>
    <w:rsid w:val="00615131"/>
    <w:rsid w:val="00615196"/>
    <w:rsid w:val="006152EF"/>
    <w:rsid w:val="00615603"/>
    <w:rsid w:val="0061562A"/>
    <w:rsid w:val="00615BE2"/>
    <w:rsid w:val="00615C3F"/>
    <w:rsid w:val="00616091"/>
    <w:rsid w:val="006162AE"/>
    <w:rsid w:val="00616443"/>
    <w:rsid w:val="00616660"/>
    <w:rsid w:val="006169C7"/>
    <w:rsid w:val="00616B62"/>
    <w:rsid w:val="00616BC5"/>
    <w:rsid w:val="00616D1A"/>
    <w:rsid w:val="00616E62"/>
    <w:rsid w:val="00616EFD"/>
    <w:rsid w:val="00616F4D"/>
    <w:rsid w:val="00617F8A"/>
    <w:rsid w:val="0062008D"/>
    <w:rsid w:val="006200FC"/>
    <w:rsid w:val="00620477"/>
    <w:rsid w:val="006204FD"/>
    <w:rsid w:val="006206C6"/>
    <w:rsid w:val="006207F4"/>
    <w:rsid w:val="00620836"/>
    <w:rsid w:val="00620CB9"/>
    <w:rsid w:val="006214AC"/>
    <w:rsid w:val="00621749"/>
    <w:rsid w:val="00621E1E"/>
    <w:rsid w:val="00622128"/>
    <w:rsid w:val="00622394"/>
    <w:rsid w:val="006223C2"/>
    <w:rsid w:val="006224FE"/>
    <w:rsid w:val="00622BBE"/>
    <w:rsid w:val="00622CC1"/>
    <w:rsid w:val="00622E36"/>
    <w:rsid w:val="00622F49"/>
    <w:rsid w:val="00622F83"/>
    <w:rsid w:val="00623043"/>
    <w:rsid w:val="00623143"/>
    <w:rsid w:val="0062320C"/>
    <w:rsid w:val="006236A9"/>
    <w:rsid w:val="006239CE"/>
    <w:rsid w:val="006239FD"/>
    <w:rsid w:val="00623A6F"/>
    <w:rsid w:val="006242F2"/>
    <w:rsid w:val="0062448C"/>
    <w:rsid w:val="0062464C"/>
    <w:rsid w:val="006248EA"/>
    <w:rsid w:val="00624907"/>
    <w:rsid w:val="00624984"/>
    <w:rsid w:val="00624A59"/>
    <w:rsid w:val="00624BB4"/>
    <w:rsid w:val="00624CF9"/>
    <w:rsid w:val="00624D3F"/>
    <w:rsid w:val="00624E05"/>
    <w:rsid w:val="006250A1"/>
    <w:rsid w:val="00625183"/>
    <w:rsid w:val="00625AF1"/>
    <w:rsid w:val="00625B4A"/>
    <w:rsid w:val="00625BD9"/>
    <w:rsid w:val="00625CFE"/>
    <w:rsid w:val="00625E6F"/>
    <w:rsid w:val="00625FBA"/>
    <w:rsid w:val="00625FD4"/>
    <w:rsid w:val="00626378"/>
    <w:rsid w:val="006266C8"/>
    <w:rsid w:val="006268D0"/>
    <w:rsid w:val="006269C8"/>
    <w:rsid w:val="006269D1"/>
    <w:rsid w:val="00626AF6"/>
    <w:rsid w:val="006271B5"/>
    <w:rsid w:val="00627670"/>
    <w:rsid w:val="006277A9"/>
    <w:rsid w:val="0062782B"/>
    <w:rsid w:val="0062798D"/>
    <w:rsid w:val="00627B2A"/>
    <w:rsid w:val="00627EAA"/>
    <w:rsid w:val="00630047"/>
    <w:rsid w:val="00630088"/>
    <w:rsid w:val="00630104"/>
    <w:rsid w:val="00630255"/>
    <w:rsid w:val="006302D6"/>
    <w:rsid w:val="00630327"/>
    <w:rsid w:val="00630433"/>
    <w:rsid w:val="00630789"/>
    <w:rsid w:val="00630A15"/>
    <w:rsid w:val="00630AED"/>
    <w:rsid w:val="00630B6E"/>
    <w:rsid w:val="00630C26"/>
    <w:rsid w:val="00630CF6"/>
    <w:rsid w:val="00630E6F"/>
    <w:rsid w:val="0063106F"/>
    <w:rsid w:val="0063108D"/>
    <w:rsid w:val="00631E5A"/>
    <w:rsid w:val="00631E72"/>
    <w:rsid w:val="00632048"/>
    <w:rsid w:val="00632356"/>
    <w:rsid w:val="006323C8"/>
    <w:rsid w:val="006324A3"/>
    <w:rsid w:val="006327F3"/>
    <w:rsid w:val="0063283F"/>
    <w:rsid w:val="0063293E"/>
    <w:rsid w:val="00632ED6"/>
    <w:rsid w:val="00632FE5"/>
    <w:rsid w:val="0063309B"/>
    <w:rsid w:val="006330C9"/>
    <w:rsid w:val="00633349"/>
    <w:rsid w:val="00633353"/>
    <w:rsid w:val="006333F7"/>
    <w:rsid w:val="00633414"/>
    <w:rsid w:val="00633534"/>
    <w:rsid w:val="00633644"/>
    <w:rsid w:val="006337A1"/>
    <w:rsid w:val="00633CF7"/>
    <w:rsid w:val="00633EF6"/>
    <w:rsid w:val="00634037"/>
    <w:rsid w:val="00634052"/>
    <w:rsid w:val="00634340"/>
    <w:rsid w:val="0063466B"/>
    <w:rsid w:val="006347BA"/>
    <w:rsid w:val="006347D5"/>
    <w:rsid w:val="00634B67"/>
    <w:rsid w:val="00634B97"/>
    <w:rsid w:val="00634DB1"/>
    <w:rsid w:val="00634FBE"/>
    <w:rsid w:val="006350BE"/>
    <w:rsid w:val="0063520E"/>
    <w:rsid w:val="0063538F"/>
    <w:rsid w:val="006355EE"/>
    <w:rsid w:val="0063590A"/>
    <w:rsid w:val="00635A36"/>
    <w:rsid w:val="00635A6C"/>
    <w:rsid w:val="00635C85"/>
    <w:rsid w:val="00635CEB"/>
    <w:rsid w:val="00635DFF"/>
    <w:rsid w:val="00635E67"/>
    <w:rsid w:val="00635EAD"/>
    <w:rsid w:val="006362F4"/>
    <w:rsid w:val="006363D6"/>
    <w:rsid w:val="006363F4"/>
    <w:rsid w:val="0063643D"/>
    <w:rsid w:val="0063665E"/>
    <w:rsid w:val="00636971"/>
    <w:rsid w:val="00636A33"/>
    <w:rsid w:val="00636BCB"/>
    <w:rsid w:val="00636C5A"/>
    <w:rsid w:val="00636D70"/>
    <w:rsid w:val="006372D4"/>
    <w:rsid w:val="006373EB"/>
    <w:rsid w:val="00637440"/>
    <w:rsid w:val="0063752A"/>
    <w:rsid w:val="0063795D"/>
    <w:rsid w:val="00637C95"/>
    <w:rsid w:val="00637EB9"/>
    <w:rsid w:val="00640031"/>
    <w:rsid w:val="0064032B"/>
    <w:rsid w:val="00640347"/>
    <w:rsid w:val="006405C9"/>
    <w:rsid w:val="00640C6F"/>
    <w:rsid w:val="00640C74"/>
    <w:rsid w:val="00640CF1"/>
    <w:rsid w:val="00640DBD"/>
    <w:rsid w:val="00640DD3"/>
    <w:rsid w:val="00640E6B"/>
    <w:rsid w:val="00641609"/>
    <w:rsid w:val="006417A8"/>
    <w:rsid w:val="006417B5"/>
    <w:rsid w:val="006419EF"/>
    <w:rsid w:val="00641B6A"/>
    <w:rsid w:val="00641C4E"/>
    <w:rsid w:val="00641D73"/>
    <w:rsid w:val="00641E4C"/>
    <w:rsid w:val="00641EE6"/>
    <w:rsid w:val="006420CC"/>
    <w:rsid w:val="00642780"/>
    <w:rsid w:val="00642A95"/>
    <w:rsid w:val="00642B8F"/>
    <w:rsid w:val="00642BC2"/>
    <w:rsid w:val="00642C36"/>
    <w:rsid w:val="00642E3C"/>
    <w:rsid w:val="00642F7E"/>
    <w:rsid w:val="006430F4"/>
    <w:rsid w:val="00643132"/>
    <w:rsid w:val="00643303"/>
    <w:rsid w:val="00643612"/>
    <w:rsid w:val="00643659"/>
    <w:rsid w:val="00643755"/>
    <w:rsid w:val="00643790"/>
    <w:rsid w:val="006438CF"/>
    <w:rsid w:val="006438D9"/>
    <w:rsid w:val="00643948"/>
    <w:rsid w:val="00643A81"/>
    <w:rsid w:val="00643BB9"/>
    <w:rsid w:val="00643D90"/>
    <w:rsid w:val="00643EB3"/>
    <w:rsid w:val="00643FBA"/>
    <w:rsid w:val="00644061"/>
    <w:rsid w:val="006440C7"/>
    <w:rsid w:val="00644225"/>
    <w:rsid w:val="0064422E"/>
    <w:rsid w:val="0064433E"/>
    <w:rsid w:val="00644610"/>
    <w:rsid w:val="006447C5"/>
    <w:rsid w:val="00644959"/>
    <w:rsid w:val="00644E89"/>
    <w:rsid w:val="00644ECA"/>
    <w:rsid w:val="00644FEB"/>
    <w:rsid w:val="006453B7"/>
    <w:rsid w:val="006454AC"/>
    <w:rsid w:val="006455FA"/>
    <w:rsid w:val="00645808"/>
    <w:rsid w:val="00645B1D"/>
    <w:rsid w:val="00645BDF"/>
    <w:rsid w:val="00645C41"/>
    <w:rsid w:val="00645FDF"/>
    <w:rsid w:val="00646098"/>
    <w:rsid w:val="006460FC"/>
    <w:rsid w:val="00646515"/>
    <w:rsid w:val="00646C49"/>
    <w:rsid w:val="00647085"/>
    <w:rsid w:val="00647515"/>
    <w:rsid w:val="00647522"/>
    <w:rsid w:val="00647617"/>
    <w:rsid w:val="006476B4"/>
    <w:rsid w:val="006477C1"/>
    <w:rsid w:val="00647852"/>
    <w:rsid w:val="006479AD"/>
    <w:rsid w:val="006501B6"/>
    <w:rsid w:val="00650502"/>
    <w:rsid w:val="00650548"/>
    <w:rsid w:val="006505BB"/>
    <w:rsid w:val="00650751"/>
    <w:rsid w:val="00650875"/>
    <w:rsid w:val="00650A71"/>
    <w:rsid w:val="00650CCE"/>
    <w:rsid w:val="00650D9E"/>
    <w:rsid w:val="006511EB"/>
    <w:rsid w:val="00651224"/>
    <w:rsid w:val="00651571"/>
    <w:rsid w:val="00651704"/>
    <w:rsid w:val="00651B88"/>
    <w:rsid w:val="00651C55"/>
    <w:rsid w:val="00651D54"/>
    <w:rsid w:val="00651EA4"/>
    <w:rsid w:val="00651EA6"/>
    <w:rsid w:val="00651FEC"/>
    <w:rsid w:val="006521D6"/>
    <w:rsid w:val="006522CA"/>
    <w:rsid w:val="00652425"/>
    <w:rsid w:val="006527DE"/>
    <w:rsid w:val="006528FC"/>
    <w:rsid w:val="00652A4C"/>
    <w:rsid w:val="00652F7D"/>
    <w:rsid w:val="00653002"/>
    <w:rsid w:val="00653309"/>
    <w:rsid w:val="0065367F"/>
    <w:rsid w:val="006536AC"/>
    <w:rsid w:val="006536D9"/>
    <w:rsid w:val="00653A05"/>
    <w:rsid w:val="00653A4F"/>
    <w:rsid w:val="00653CBC"/>
    <w:rsid w:val="00653CE8"/>
    <w:rsid w:val="00653CEF"/>
    <w:rsid w:val="00653EA9"/>
    <w:rsid w:val="00653F0C"/>
    <w:rsid w:val="006540C8"/>
    <w:rsid w:val="0065421E"/>
    <w:rsid w:val="0065433D"/>
    <w:rsid w:val="00654362"/>
    <w:rsid w:val="0065447D"/>
    <w:rsid w:val="0065453B"/>
    <w:rsid w:val="00654569"/>
    <w:rsid w:val="006545A9"/>
    <w:rsid w:val="006547A6"/>
    <w:rsid w:val="00654CD7"/>
    <w:rsid w:val="00654F1E"/>
    <w:rsid w:val="00655247"/>
    <w:rsid w:val="00655428"/>
    <w:rsid w:val="0065547B"/>
    <w:rsid w:val="00655490"/>
    <w:rsid w:val="00655936"/>
    <w:rsid w:val="0065597D"/>
    <w:rsid w:val="00655B79"/>
    <w:rsid w:val="00655D3B"/>
    <w:rsid w:val="0065619C"/>
    <w:rsid w:val="00656326"/>
    <w:rsid w:val="00656797"/>
    <w:rsid w:val="00656844"/>
    <w:rsid w:val="00656BAC"/>
    <w:rsid w:val="00656EBA"/>
    <w:rsid w:val="00656FAB"/>
    <w:rsid w:val="00657000"/>
    <w:rsid w:val="006571F6"/>
    <w:rsid w:val="0065746F"/>
    <w:rsid w:val="0065750E"/>
    <w:rsid w:val="0065751D"/>
    <w:rsid w:val="00657ABB"/>
    <w:rsid w:val="00657B19"/>
    <w:rsid w:val="00657B2C"/>
    <w:rsid w:val="00657C36"/>
    <w:rsid w:val="00657F73"/>
    <w:rsid w:val="006606C1"/>
    <w:rsid w:val="00660857"/>
    <w:rsid w:val="0066103E"/>
    <w:rsid w:val="00661155"/>
    <w:rsid w:val="0066137F"/>
    <w:rsid w:val="00661463"/>
    <w:rsid w:val="0066156E"/>
    <w:rsid w:val="00661591"/>
    <w:rsid w:val="00661656"/>
    <w:rsid w:val="00661685"/>
    <w:rsid w:val="00661715"/>
    <w:rsid w:val="006618EC"/>
    <w:rsid w:val="00661900"/>
    <w:rsid w:val="00661A86"/>
    <w:rsid w:val="0066231B"/>
    <w:rsid w:val="0066244D"/>
    <w:rsid w:val="006626AC"/>
    <w:rsid w:val="00662A34"/>
    <w:rsid w:val="00662B3B"/>
    <w:rsid w:val="00662B59"/>
    <w:rsid w:val="00662CD9"/>
    <w:rsid w:val="00662D38"/>
    <w:rsid w:val="00662DD8"/>
    <w:rsid w:val="00662E7C"/>
    <w:rsid w:val="00662F7F"/>
    <w:rsid w:val="006630AE"/>
    <w:rsid w:val="00663118"/>
    <w:rsid w:val="00663513"/>
    <w:rsid w:val="00663655"/>
    <w:rsid w:val="00663756"/>
    <w:rsid w:val="0066375D"/>
    <w:rsid w:val="00663A46"/>
    <w:rsid w:val="00663C05"/>
    <w:rsid w:val="00663E02"/>
    <w:rsid w:val="0066413F"/>
    <w:rsid w:val="0066437C"/>
    <w:rsid w:val="00664716"/>
    <w:rsid w:val="00664B18"/>
    <w:rsid w:val="00664E30"/>
    <w:rsid w:val="0066540E"/>
    <w:rsid w:val="00665639"/>
    <w:rsid w:val="00665692"/>
    <w:rsid w:val="006656D1"/>
    <w:rsid w:val="00665773"/>
    <w:rsid w:val="00665893"/>
    <w:rsid w:val="0066597B"/>
    <w:rsid w:val="00665A48"/>
    <w:rsid w:val="0066614A"/>
    <w:rsid w:val="00666632"/>
    <w:rsid w:val="0066669D"/>
    <w:rsid w:val="00666A3F"/>
    <w:rsid w:val="00666C1D"/>
    <w:rsid w:val="00666CD8"/>
    <w:rsid w:val="00666D57"/>
    <w:rsid w:val="00666D63"/>
    <w:rsid w:val="00666E46"/>
    <w:rsid w:val="00666F9B"/>
    <w:rsid w:val="0066726A"/>
    <w:rsid w:val="00667292"/>
    <w:rsid w:val="006672FA"/>
    <w:rsid w:val="00667674"/>
    <w:rsid w:val="0066772E"/>
    <w:rsid w:val="006679A4"/>
    <w:rsid w:val="00667A92"/>
    <w:rsid w:val="00667ABE"/>
    <w:rsid w:val="00667B4B"/>
    <w:rsid w:val="00667D56"/>
    <w:rsid w:val="00667E2B"/>
    <w:rsid w:val="00667ED1"/>
    <w:rsid w:val="00667F97"/>
    <w:rsid w:val="006702C3"/>
    <w:rsid w:val="0067040B"/>
    <w:rsid w:val="006705EB"/>
    <w:rsid w:val="00670832"/>
    <w:rsid w:val="00670AEE"/>
    <w:rsid w:val="00670C86"/>
    <w:rsid w:val="00670DC6"/>
    <w:rsid w:val="006711EE"/>
    <w:rsid w:val="006713FA"/>
    <w:rsid w:val="00671650"/>
    <w:rsid w:val="00671AFE"/>
    <w:rsid w:val="00671BD5"/>
    <w:rsid w:val="00671EB5"/>
    <w:rsid w:val="00672121"/>
    <w:rsid w:val="0067214F"/>
    <w:rsid w:val="00672247"/>
    <w:rsid w:val="00672320"/>
    <w:rsid w:val="00672330"/>
    <w:rsid w:val="00672428"/>
    <w:rsid w:val="00672527"/>
    <w:rsid w:val="006726AF"/>
    <w:rsid w:val="00672725"/>
    <w:rsid w:val="00672A15"/>
    <w:rsid w:val="00672B0F"/>
    <w:rsid w:val="00672B67"/>
    <w:rsid w:val="00672DE3"/>
    <w:rsid w:val="00672ECE"/>
    <w:rsid w:val="00672EE0"/>
    <w:rsid w:val="00672F2A"/>
    <w:rsid w:val="0067307E"/>
    <w:rsid w:val="006732C8"/>
    <w:rsid w:val="0067361E"/>
    <w:rsid w:val="00673793"/>
    <w:rsid w:val="00673D2C"/>
    <w:rsid w:val="00673E43"/>
    <w:rsid w:val="00673EB6"/>
    <w:rsid w:val="006748DA"/>
    <w:rsid w:val="00674BE7"/>
    <w:rsid w:val="00674E77"/>
    <w:rsid w:val="00674FB5"/>
    <w:rsid w:val="006750FB"/>
    <w:rsid w:val="0067541D"/>
    <w:rsid w:val="0067542F"/>
    <w:rsid w:val="00675790"/>
    <w:rsid w:val="00675894"/>
    <w:rsid w:val="006759D9"/>
    <w:rsid w:val="006762FA"/>
    <w:rsid w:val="00676530"/>
    <w:rsid w:val="006765A1"/>
    <w:rsid w:val="00676AC2"/>
    <w:rsid w:val="00676B3C"/>
    <w:rsid w:val="00676CFA"/>
    <w:rsid w:val="00676FDB"/>
    <w:rsid w:val="00677004"/>
    <w:rsid w:val="00677016"/>
    <w:rsid w:val="00677315"/>
    <w:rsid w:val="00677407"/>
    <w:rsid w:val="006776CC"/>
    <w:rsid w:val="00677813"/>
    <w:rsid w:val="00677876"/>
    <w:rsid w:val="00677A46"/>
    <w:rsid w:val="00677B16"/>
    <w:rsid w:val="00677DF4"/>
    <w:rsid w:val="00680294"/>
    <w:rsid w:val="00680338"/>
    <w:rsid w:val="006804EF"/>
    <w:rsid w:val="0068071B"/>
    <w:rsid w:val="006807D6"/>
    <w:rsid w:val="00680913"/>
    <w:rsid w:val="0068093C"/>
    <w:rsid w:val="00680986"/>
    <w:rsid w:val="00680AB0"/>
    <w:rsid w:val="00680B26"/>
    <w:rsid w:val="00680B78"/>
    <w:rsid w:val="00680C03"/>
    <w:rsid w:val="00680DFC"/>
    <w:rsid w:val="00680DFF"/>
    <w:rsid w:val="00680F1D"/>
    <w:rsid w:val="0068132E"/>
    <w:rsid w:val="0068157F"/>
    <w:rsid w:val="00681613"/>
    <w:rsid w:val="00681787"/>
    <w:rsid w:val="00681972"/>
    <w:rsid w:val="00681CED"/>
    <w:rsid w:val="00681DD4"/>
    <w:rsid w:val="00681E48"/>
    <w:rsid w:val="006820A6"/>
    <w:rsid w:val="006822E0"/>
    <w:rsid w:val="006825FA"/>
    <w:rsid w:val="0068270B"/>
    <w:rsid w:val="006827FD"/>
    <w:rsid w:val="00682BBC"/>
    <w:rsid w:val="00682C50"/>
    <w:rsid w:val="00682FF5"/>
    <w:rsid w:val="006831EC"/>
    <w:rsid w:val="006833F2"/>
    <w:rsid w:val="006833F9"/>
    <w:rsid w:val="00683594"/>
    <w:rsid w:val="00683603"/>
    <w:rsid w:val="00683740"/>
    <w:rsid w:val="00683755"/>
    <w:rsid w:val="0068382D"/>
    <w:rsid w:val="006839DC"/>
    <w:rsid w:val="00683CDB"/>
    <w:rsid w:val="00683F45"/>
    <w:rsid w:val="00683F97"/>
    <w:rsid w:val="00684271"/>
    <w:rsid w:val="006842F0"/>
    <w:rsid w:val="006843A9"/>
    <w:rsid w:val="0068457D"/>
    <w:rsid w:val="00684A2E"/>
    <w:rsid w:val="00684EC2"/>
    <w:rsid w:val="00684FD8"/>
    <w:rsid w:val="006850D4"/>
    <w:rsid w:val="0068511F"/>
    <w:rsid w:val="0068521C"/>
    <w:rsid w:val="00685253"/>
    <w:rsid w:val="00685431"/>
    <w:rsid w:val="00685554"/>
    <w:rsid w:val="006855D0"/>
    <w:rsid w:val="006858C0"/>
    <w:rsid w:val="00685958"/>
    <w:rsid w:val="00685B18"/>
    <w:rsid w:val="00685B2F"/>
    <w:rsid w:val="00685BB6"/>
    <w:rsid w:val="00685BC6"/>
    <w:rsid w:val="00685F2C"/>
    <w:rsid w:val="0068610B"/>
    <w:rsid w:val="00686151"/>
    <w:rsid w:val="00686282"/>
    <w:rsid w:val="0068656E"/>
    <w:rsid w:val="006866B5"/>
    <w:rsid w:val="006868FA"/>
    <w:rsid w:val="0068692B"/>
    <w:rsid w:val="00687594"/>
    <w:rsid w:val="006877F6"/>
    <w:rsid w:val="006879EA"/>
    <w:rsid w:val="00687BA4"/>
    <w:rsid w:val="00690017"/>
    <w:rsid w:val="00690544"/>
    <w:rsid w:val="0069057E"/>
    <w:rsid w:val="006907FD"/>
    <w:rsid w:val="00690884"/>
    <w:rsid w:val="00690B1E"/>
    <w:rsid w:val="00690DA4"/>
    <w:rsid w:val="00690EE6"/>
    <w:rsid w:val="00691121"/>
    <w:rsid w:val="006911C2"/>
    <w:rsid w:val="006912F8"/>
    <w:rsid w:val="00691629"/>
    <w:rsid w:val="006916E6"/>
    <w:rsid w:val="0069174B"/>
    <w:rsid w:val="00691823"/>
    <w:rsid w:val="00691D6E"/>
    <w:rsid w:val="00691E5D"/>
    <w:rsid w:val="00691F18"/>
    <w:rsid w:val="00691F76"/>
    <w:rsid w:val="006924A3"/>
    <w:rsid w:val="00692582"/>
    <w:rsid w:val="006926E0"/>
    <w:rsid w:val="00692AA0"/>
    <w:rsid w:val="00692AAA"/>
    <w:rsid w:val="00692BBB"/>
    <w:rsid w:val="00692D2D"/>
    <w:rsid w:val="00693038"/>
    <w:rsid w:val="006930C4"/>
    <w:rsid w:val="006930D5"/>
    <w:rsid w:val="00693241"/>
    <w:rsid w:val="00693307"/>
    <w:rsid w:val="006933C0"/>
    <w:rsid w:val="00693419"/>
    <w:rsid w:val="00693564"/>
    <w:rsid w:val="00693612"/>
    <w:rsid w:val="00693FB0"/>
    <w:rsid w:val="0069439D"/>
    <w:rsid w:val="00694605"/>
    <w:rsid w:val="0069461D"/>
    <w:rsid w:val="00694E05"/>
    <w:rsid w:val="00694F1B"/>
    <w:rsid w:val="00694F5E"/>
    <w:rsid w:val="006953DF"/>
    <w:rsid w:val="00695428"/>
    <w:rsid w:val="006955F6"/>
    <w:rsid w:val="0069595E"/>
    <w:rsid w:val="006959B5"/>
    <w:rsid w:val="00695B27"/>
    <w:rsid w:val="00695C50"/>
    <w:rsid w:val="00696021"/>
    <w:rsid w:val="006960AF"/>
    <w:rsid w:val="006960ED"/>
    <w:rsid w:val="0069628A"/>
    <w:rsid w:val="00696655"/>
    <w:rsid w:val="00696F23"/>
    <w:rsid w:val="00696F4D"/>
    <w:rsid w:val="006971F8"/>
    <w:rsid w:val="00697281"/>
    <w:rsid w:val="00697282"/>
    <w:rsid w:val="00697283"/>
    <w:rsid w:val="006972A2"/>
    <w:rsid w:val="0069746E"/>
    <w:rsid w:val="006974E9"/>
    <w:rsid w:val="00697969"/>
    <w:rsid w:val="006979AB"/>
    <w:rsid w:val="00697A31"/>
    <w:rsid w:val="00697A50"/>
    <w:rsid w:val="00697B1F"/>
    <w:rsid w:val="00697B40"/>
    <w:rsid w:val="00697DB6"/>
    <w:rsid w:val="00697DF5"/>
    <w:rsid w:val="00697E0A"/>
    <w:rsid w:val="006A02D8"/>
    <w:rsid w:val="006A02E7"/>
    <w:rsid w:val="006A0308"/>
    <w:rsid w:val="006A0401"/>
    <w:rsid w:val="006A058F"/>
    <w:rsid w:val="006A0820"/>
    <w:rsid w:val="006A0925"/>
    <w:rsid w:val="006A0A24"/>
    <w:rsid w:val="006A0B31"/>
    <w:rsid w:val="006A0B71"/>
    <w:rsid w:val="006A0B98"/>
    <w:rsid w:val="006A0C22"/>
    <w:rsid w:val="006A0E8D"/>
    <w:rsid w:val="006A112C"/>
    <w:rsid w:val="006A1131"/>
    <w:rsid w:val="006A1182"/>
    <w:rsid w:val="006A128F"/>
    <w:rsid w:val="006A1484"/>
    <w:rsid w:val="006A155F"/>
    <w:rsid w:val="006A15AC"/>
    <w:rsid w:val="006A16EA"/>
    <w:rsid w:val="006A1F9A"/>
    <w:rsid w:val="006A2023"/>
    <w:rsid w:val="006A2426"/>
    <w:rsid w:val="006A2625"/>
    <w:rsid w:val="006A270F"/>
    <w:rsid w:val="006A28B5"/>
    <w:rsid w:val="006A32CF"/>
    <w:rsid w:val="006A35DE"/>
    <w:rsid w:val="006A362D"/>
    <w:rsid w:val="006A385E"/>
    <w:rsid w:val="006A3A11"/>
    <w:rsid w:val="006A3B76"/>
    <w:rsid w:val="006A3C88"/>
    <w:rsid w:val="006A3EA1"/>
    <w:rsid w:val="006A4278"/>
    <w:rsid w:val="006A43B5"/>
    <w:rsid w:val="006A4572"/>
    <w:rsid w:val="006A4641"/>
    <w:rsid w:val="006A4695"/>
    <w:rsid w:val="006A46AE"/>
    <w:rsid w:val="006A48B7"/>
    <w:rsid w:val="006A48DF"/>
    <w:rsid w:val="006A4B79"/>
    <w:rsid w:val="006A4D0A"/>
    <w:rsid w:val="006A4D84"/>
    <w:rsid w:val="006A4E59"/>
    <w:rsid w:val="006A4F3A"/>
    <w:rsid w:val="006A5147"/>
    <w:rsid w:val="006A5164"/>
    <w:rsid w:val="006A51A0"/>
    <w:rsid w:val="006A55CB"/>
    <w:rsid w:val="006A58A7"/>
    <w:rsid w:val="006A5954"/>
    <w:rsid w:val="006A5AD3"/>
    <w:rsid w:val="006A5E18"/>
    <w:rsid w:val="006A5F45"/>
    <w:rsid w:val="006A5FC1"/>
    <w:rsid w:val="006A6026"/>
    <w:rsid w:val="006A614E"/>
    <w:rsid w:val="006A61A1"/>
    <w:rsid w:val="006A6548"/>
    <w:rsid w:val="006A6838"/>
    <w:rsid w:val="006A6B0C"/>
    <w:rsid w:val="006A6BA9"/>
    <w:rsid w:val="006A6BB1"/>
    <w:rsid w:val="006A6C6B"/>
    <w:rsid w:val="006A6D2E"/>
    <w:rsid w:val="006A6EC0"/>
    <w:rsid w:val="006A7134"/>
    <w:rsid w:val="006A7526"/>
    <w:rsid w:val="006A762C"/>
    <w:rsid w:val="006A7A05"/>
    <w:rsid w:val="006A7B86"/>
    <w:rsid w:val="006A7B9D"/>
    <w:rsid w:val="006A7F26"/>
    <w:rsid w:val="006B08D0"/>
    <w:rsid w:val="006B0E08"/>
    <w:rsid w:val="006B115B"/>
    <w:rsid w:val="006B126B"/>
    <w:rsid w:val="006B13AF"/>
    <w:rsid w:val="006B1404"/>
    <w:rsid w:val="006B151D"/>
    <w:rsid w:val="006B17A0"/>
    <w:rsid w:val="006B1B53"/>
    <w:rsid w:val="006B1C90"/>
    <w:rsid w:val="006B216A"/>
    <w:rsid w:val="006B21D6"/>
    <w:rsid w:val="006B235B"/>
    <w:rsid w:val="006B24F1"/>
    <w:rsid w:val="006B2523"/>
    <w:rsid w:val="006B26D9"/>
    <w:rsid w:val="006B28E7"/>
    <w:rsid w:val="006B2E3E"/>
    <w:rsid w:val="006B2E85"/>
    <w:rsid w:val="006B2EDA"/>
    <w:rsid w:val="006B310B"/>
    <w:rsid w:val="006B3590"/>
    <w:rsid w:val="006B37CD"/>
    <w:rsid w:val="006B3A33"/>
    <w:rsid w:val="006B3B76"/>
    <w:rsid w:val="006B3C36"/>
    <w:rsid w:val="006B3E30"/>
    <w:rsid w:val="006B3EBB"/>
    <w:rsid w:val="006B3F0A"/>
    <w:rsid w:val="006B4014"/>
    <w:rsid w:val="006B436F"/>
    <w:rsid w:val="006B4393"/>
    <w:rsid w:val="006B43CB"/>
    <w:rsid w:val="006B44BB"/>
    <w:rsid w:val="006B4633"/>
    <w:rsid w:val="006B47FC"/>
    <w:rsid w:val="006B4C0A"/>
    <w:rsid w:val="006B4D53"/>
    <w:rsid w:val="006B4EC9"/>
    <w:rsid w:val="006B4F14"/>
    <w:rsid w:val="006B504E"/>
    <w:rsid w:val="006B5289"/>
    <w:rsid w:val="006B52FB"/>
    <w:rsid w:val="006B580B"/>
    <w:rsid w:val="006B5910"/>
    <w:rsid w:val="006B5AAA"/>
    <w:rsid w:val="006B5F35"/>
    <w:rsid w:val="006B60F5"/>
    <w:rsid w:val="006B619B"/>
    <w:rsid w:val="006B62F1"/>
    <w:rsid w:val="006B63C6"/>
    <w:rsid w:val="006B640E"/>
    <w:rsid w:val="006B6482"/>
    <w:rsid w:val="006B648E"/>
    <w:rsid w:val="006B683C"/>
    <w:rsid w:val="006B695F"/>
    <w:rsid w:val="006B6BD4"/>
    <w:rsid w:val="006B6D47"/>
    <w:rsid w:val="006B6E9F"/>
    <w:rsid w:val="006B6EF2"/>
    <w:rsid w:val="006B70DB"/>
    <w:rsid w:val="006B70E0"/>
    <w:rsid w:val="006B71F9"/>
    <w:rsid w:val="006B72D9"/>
    <w:rsid w:val="006C00D3"/>
    <w:rsid w:val="006C0400"/>
    <w:rsid w:val="006C0701"/>
    <w:rsid w:val="006C087B"/>
    <w:rsid w:val="006C094C"/>
    <w:rsid w:val="006C094E"/>
    <w:rsid w:val="006C0B04"/>
    <w:rsid w:val="006C0B07"/>
    <w:rsid w:val="006C1020"/>
    <w:rsid w:val="006C1265"/>
    <w:rsid w:val="006C14CB"/>
    <w:rsid w:val="006C15FD"/>
    <w:rsid w:val="006C16AD"/>
    <w:rsid w:val="006C1737"/>
    <w:rsid w:val="006C1759"/>
    <w:rsid w:val="006C1E19"/>
    <w:rsid w:val="006C23FC"/>
    <w:rsid w:val="006C2515"/>
    <w:rsid w:val="006C2644"/>
    <w:rsid w:val="006C2BF9"/>
    <w:rsid w:val="006C2CC7"/>
    <w:rsid w:val="006C2ECE"/>
    <w:rsid w:val="006C339C"/>
    <w:rsid w:val="006C3A58"/>
    <w:rsid w:val="006C3CF3"/>
    <w:rsid w:val="006C3FA0"/>
    <w:rsid w:val="006C409B"/>
    <w:rsid w:val="006C40D3"/>
    <w:rsid w:val="006C41CD"/>
    <w:rsid w:val="006C447C"/>
    <w:rsid w:val="006C4508"/>
    <w:rsid w:val="006C45C1"/>
    <w:rsid w:val="006C45D6"/>
    <w:rsid w:val="006C4D95"/>
    <w:rsid w:val="006C4EC0"/>
    <w:rsid w:val="006C50B2"/>
    <w:rsid w:val="006C511E"/>
    <w:rsid w:val="006C5231"/>
    <w:rsid w:val="006C5C91"/>
    <w:rsid w:val="006C5D8E"/>
    <w:rsid w:val="006C5ED3"/>
    <w:rsid w:val="006C602B"/>
    <w:rsid w:val="006C60C0"/>
    <w:rsid w:val="006C657C"/>
    <w:rsid w:val="006C66AC"/>
    <w:rsid w:val="006C676A"/>
    <w:rsid w:val="006C6A53"/>
    <w:rsid w:val="006C6D42"/>
    <w:rsid w:val="006C6DD9"/>
    <w:rsid w:val="006C7259"/>
    <w:rsid w:val="006C7297"/>
    <w:rsid w:val="006C7785"/>
    <w:rsid w:val="006C7946"/>
    <w:rsid w:val="006C7AFA"/>
    <w:rsid w:val="006C7C8B"/>
    <w:rsid w:val="006C7DF9"/>
    <w:rsid w:val="006C7F55"/>
    <w:rsid w:val="006D01CA"/>
    <w:rsid w:val="006D053F"/>
    <w:rsid w:val="006D08AE"/>
    <w:rsid w:val="006D0BC3"/>
    <w:rsid w:val="006D0CC8"/>
    <w:rsid w:val="006D0D3F"/>
    <w:rsid w:val="006D125B"/>
    <w:rsid w:val="006D12A8"/>
    <w:rsid w:val="006D1659"/>
    <w:rsid w:val="006D1684"/>
    <w:rsid w:val="006D18E3"/>
    <w:rsid w:val="006D1909"/>
    <w:rsid w:val="006D1B89"/>
    <w:rsid w:val="006D1BD9"/>
    <w:rsid w:val="006D1EC2"/>
    <w:rsid w:val="006D223E"/>
    <w:rsid w:val="006D2294"/>
    <w:rsid w:val="006D245E"/>
    <w:rsid w:val="006D2C79"/>
    <w:rsid w:val="006D2C7D"/>
    <w:rsid w:val="006D2C8D"/>
    <w:rsid w:val="006D2DB8"/>
    <w:rsid w:val="006D2F4B"/>
    <w:rsid w:val="006D2F70"/>
    <w:rsid w:val="006D311D"/>
    <w:rsid w:val="006D3A50"/>
    <w:rsid w:val="006D3B06"/>
    <w:rsid w:val="006D3D17"/>
    <w:rsid w:val="006D3EF3"/>
    <w:rsid w:val="006D4229"/>
    <w:rsid w:val="006D42AE"/>
    <w:rsid w:val="006D441D"/>
    <w:rsid w:val="006D4442"/>
    <w:rsid w:val="006D46EB"/>
    <w:rsid w:val="006D472B"/>
    <w:rsid w:val="006D47D8"/>
    <w:rsid w:val="006D5023"/>
    <w:rsid w:val="006D5265"/>
    <w:rsid w:val="006D541F"/>
    <w:rsid w:val="006D546E"/>
    <w:rsid w:val="006D553F"/>
    <w:rsid w:val="006D5959"/>
    <w:rsid w:val="006D5A18"/>
    <w:rsid w:val="006D5C1A"/>
    <w:rsid w:val="006D5DCD"/>
    <w:rsid w:val="006D5FBA"/>
    <w:rsid w:val="006D6464"/>
    <w:rsid w:val="006D6D45"/>
    <w:rsid w:val="006D6E72"/>
    <w:rsid w:val="006D6FBE"/>
    <w:rsid w:val="006D712C"/>
    <w:rsid w:val="006D715E"/>
    <w:rsid w:val="006D71DE"/>
    <w:rsid w:val="006D7231"/>
    <w:rsid w:val="006D725F"/>
    <w:rsid w:val="006D72B5"/>
    <w:rsid w:val="006D749E"/>
    <w:rsid w:val="006D75D4"/>
    <w:rsid w:val="006D7C7F"/>
    <w:rsid w:val="006D7CD1"/>
    <w:rsid w:val="006D7EF3"/>
    <w:rsid w:val="006E0152"/>
    <w:rsid w:val="006E0334"/>
    <w:rsid w:val="006E0481"/>
    <w:rsid w:val="006E04CC"/>
    <w:rsid w:val="006E084F"/>
    <w:rsid w:val="006E08D0"/>
    <w:rsid w:val="006E0CFF"/>
    <w:rsid w:val="006E0E33"/>
    <w:rsid w:val="006E0E54"/>
    <w:rsid w:val="006E0E73"/>
    <w:rsid w:val="006E0F67"/>
    <w:rsid w:val="006E151D"/>
    <w:rsid w:val="006E17D1"/>
    <w:rsid w:val="006E1ADE"/>
    <w:rsid w:val="006E1D0B"/>
    <w:rsid w:val="006E1D48"/>
    <w:rsid w:val="006E1F2B"/>
    <w:rsid w:val="006E1F8D"/>
    <w:rsid w:val="006E2119"/>
    <w:rsid w:val="006E2235"/>
    <w:rsid w:val="006E22EE"/>
    <w:rsid w:val="006E270C"/>
    <w:rsid w:val="006E2791"/>
    <w:rsid w:val="006E27D3"/>
    <w:rsid w:val="006E2B8F"/>
    <w:rsid w:val="006E2BBD"/>
    <w:rsid w:val="006E2E59"/>
    <w:rsid w:val="006E2FA0"/>
    <w:rsid w:val="006E36B0"/>
    <w:rsid w:val="006E3AB7"/>
    <w:rsid w:val="006E3AF4"/>
    <w:rsid w:val="006E3E80"/>
    <w:rsid w:val="006E4045"/>
    <w:rsid w:val="006E4099"/>
    <w:rsid w:val="006E41E7"/>
    <w:rsid w:val="006E4591"/>
    <w:rsid w:val="006E4CC2"/>
    <w:rsid w:val="006E4E78"/>
    <w:rsid w:val="006E5165"/>
    <w:rsid w:val="006E5325"/>
    <w:rsid w:val="006E549C"/>
    <w:rsid w:val="006E54C0"/>
    <w:rsid w:val="006E5A6B"/>
    <w:rsid w:val="006E5AF2"/>
    <w:rsid w:val="006E5DBD"/>
    <w:rsid w:val="006E5F84"/>
    <w:rsid w:val="006E6079"/>
    <w:rsid w:val="006E60E0"/>
    <w:rsid w:val="006E64CE"/>
    <w:rsid w:val="006E653E"/>
    <w:rsid w:val="006E6574"/>
    <w:rsid w:val="006E69E5"/>
    <w:rsid w:val="006E6AA7"/>
    <w:rsid w:val="006E6C0B"/>
    <w:rsid w:val="006E6F76"/>
    <w:rsid w:val="006E718D"/>
    <w:rsid w:val="006E720D"/>
    <w:rsid w:val="006E7654"/>
    <w:rsid w:val="006F009A"/>
    <w:rsid w:val="006F0160"/>
    <w:rsid w:val="006F01CA"/>
    <w:rsid w:val="006F0255"/>
    <w:rsid w:val="006F0351"/>
    <w:rsid w:val="006F08DE"/>
    <w:rsid w:val="006F0C8F"/>
    <w:rsid w:val="006F0D3F"/>
    <w:rsid w:val="006F0F23"/>
    <w:rsid w:val="006F0FC0"/>
    <w:rsid w:val="006F11E2"/>
    <w:rsid w:val="006F139A"/>
    <w:rsid w:val="006F13E8"/>
    <w:rsid w:val="006F1538"/>
    <w:rsid w:val="006F157F"/>
    <w:rsid w:val="006F179A"/>
    <w:rsid w:val="006F1CFC"/>
    <w:rsid w:val="006F1F5D"/>
    <w:rsid w:val="006F1FFF"/>
    <w:rsid w:val="006F22C0"/>
    <w:rsid w:val="006F22FD"/>
    <w:rsid w:val="006F276E"/>
    <w:rsid w:val="006F2770"/>
    <w:rsid w:val="006F2809"/>
    <w:rsid w:val="006F29E8"/>
    <w:rsid w:val="006F3049"/>
    <w:rsid w:val="006F3434"/>
    <w:rsid w:val="006F34EA"/>
    <w:rsid w:val="006F3A01"/>
    <w:rsid w:val="006F3C1F"/>
    <w:rsid w:val="006F3E9E"/>
    <w:rsid w:val="006F407B"/>
    <w:rsid w:val="006F4403"/>
    <w:rsid w:val="006F463A"/>
    <w:rsid w:val="006F46CD"/>
    <w:rsid w:val="006F492A"/>
    <w:rsid w:val="006F4D22"/>
    <w:rsid w:val="006F4E5A"/>
    <w:rsid w:val="006F51FC"/>
    <w:rsid w:val="006F5BD3"/>
    <w:rsid w:val="006F5CA9"/>
    <w:rsid w:val="006F613F"/>
    <w:rsid w:val="006F673B"/>
    <w:rsid w:val="006F67BA"/>
    <w:rsid w:val="006F67D3"/>
    <w:rsid w:val="006F71F2"/>
    <w:rsid w:val="006F723F"/>
    <w:rsid w:val="006F72B5"/>
    <w:rsid w:val="006F731B"/>
    <w:rsid w:val="006F734E"/>
    <w:rsid w:val="006F753A"/>
    <w:rsid w:val="006F754C"/>
    <w:rsid w:val="006F7585"/>
    <w:rsid w:val="006F7AE7"/>
    <w:rsid w:val="006F7D43"/>
    <w:rsid w:val="0070004D"/>
    <w:rsid w:val="007000B4"/>
    <w:rsid w:val="00700610"/>
    <w:rsid w:val="007007AD"/>
    <w:rsid w:val="00700B0D"/>
    <w:rsid w:val="00700E84"/>
    <w:rsid w:val="00701002"/>
    <w:rsid w:val="0070104B"/>
    <w:rsid w:val="00701298"/>
    <w:rsid w:val="00701532"/>
    <w:rsid w:val="007017D5"/>
    <w:rsid w:val="007017E1"/>
    <w:rsid w:val="007017ED"/>
    <w:rsid w:val="00701881"/>
    <w:rsid w:val="0070191A"/>
    <w:rsid w:val="00701BF1"/>
    <w:rsid w:val="00701C4F"/>
    <w:rsid w:val="00701F2B"/>
    <w:rsid w:val="00702206"/>
    <w:rsid w:val="0070238F"/>
    <w:rsid w:val="0070249F"/>
    <w:rsid w:val="007024C3"/>
    <w:rsid w:val="00702580"/>
    <w:rsid w:val="007025E0"/>
    <w:rsid w:val="007026D8"/>
    <w:rsid w:val="007029BB"/>
    <w:rsid w:val="007030F7"/>
    <w:rsid w:val="00703129"/>
    <w:rsid w:val="007031C2"/>
    <w:rsid w:val="007032CE"/>
    <w:rsid w:val="007033E6"/>
    <w:rsid w:val="00703459"/>
    <w:rsid w:val="00703B26"/>
    <w:rsid w:val="00703C72"/>
    <w:rsid w:val="00703D87"/>
    <w:rsid w:val="00703FF4"/>
    <w:rsid w:val="0070445A"/>
    <w:rsid w:val="00704596"/>
    <w:rsid w:val="00704901"/>
    <w:rsid w:val="00704B96"/>
    <w:rsid w:val="00704C4B"/>
    <w:rsid w:val="00704D90"/>
    <w:rsid w:val="007050C8"/>
    <w:rsid w:val="0070521F"/>
    <w:rsid w:val="00705248"/>
    <w:rsid w:val="00705558"/>
    <w:rsid w:val="00705999"/>
    <w:rsid w:val="00705D0A"/>
    <w:rsid w:val="00705DBF"/>
    <w:rsid w:val="007063BC"/>
    <w:rsid w:val="007063ED"/>
    <w:rsid w:val="007068C7"/>
    <w:rsid w:val="00706A6A"/>
    <w:rsid w:val="00706F70"/>
    <w:rsid w:val="00706FB8"/>
    <w:rsid w:val="007072F1"/>
    <w:rsid w:val="00707400"/>
    <w:rsid w:val="00707611"/>
    <w:rsid w:val="0070787B"/>
    <w:rsid w:val="00707A98"/>
    <w:rsid w:val="00707AB1"/>
    <w:rsid w:val="00707F85"/>
    <w:rsid w:val="0071031F"/>
    <w:rsid w:val="007104E9"/>
    <w:rsid w:val="0071063B"/>
    <w:rsid w:val="0071079A"/>
    <w:rsid w:val="007107D0"/>
    <w:rsid w:val="007109B1"/>
    <w:rsid w:val="007109DA"/>
    <w:rsid w:val="00710A74"/>
    <w:rsid w:val="00710AD5"/>
    <w:rsid w:val="00711167"/>
    <w:rsid w:val="00711267"/>
    <w:rsid w:val="00711274"/>
    <w:rsid w:val="00711313"/>
    <w:rsid w:val="00711409"/>
    <w:rsid w:val="00711E31"/>
    <w:rsid w:val="00711FCC"/>
    <w:rsid w:val="00712178"/>
    <w:rsid w:val="00712306"/>
    <w:rsid w:val="0071238A"/>
    <w:rsid w:val="007124D3"/>
    <w:rsid w:val="00712504"/>
    <w:rsid w:val="00712C02"/>
    <w:rsid w:val="00712DA5"/>
    <w:rsid w:val="00712E27"/>
    <w:rsid w:val="00712E29"/>
    <w:rsid w:val="007134C9"/>
    <w:rsid w:val="0071368B"/>
    <w:rsid w:val="007138A4"/>
    <w:rsid w:val="00713AF5"/>
    <w:rsid w:val="00713AF9"/>
    <w:rsid w:val="00713C10"/>
    <w:rsid w:val="00713E2C"/>
    <w:rsid w:val="007142D4"/>
    <w:rsid w:val="007145D5"/>
    <w:rsid w:val="00714B08"/>
    <w:rsid w:val="00714B0D"/>
    <w:rsid w:val="00714DAE"/>
    <w:rsid w:val="00714E18"/>
    <w:rsid w:val="00714F7F"/>
    <w:rsid w:val="0071501F"/>
    <w:rsid w:val="007152A0"/>
    <w:rsid w:val="007155D3"/>
    <w:rsid w:val="007156F5"/>
    <w:rsid w:val="0071572F"/>
    <w:rsid w:val="00715822"/>
    <w:rsid w:val="00715DF1"/>
    <w:rsid w:val="00715F1B"/>
    <w:rsid w:val="00716087"/>
    <w:rsid w:val="0071633C"/>
    <w:rsid w:val="0071642B"/>
    <w:rsid w:val="00716516"/>
    <w:rsid w:val="00716564"/>
    <w:rsid w:val="007165AF"/>
    <w:rsid w:val="007167A8"/>
    <w:rsid w:val="00716BB8"/>
    <w:rsid w:val="00716DCE"/>
    <w:rsid w:val="00716E8D"/>
    <w:rsid w:val="0071716B"/>
    <w:rsid w:val="0071729D"/>
    <w:rsid w:val="00717549"/>
    <w:rsid w:val="00717848"/>
    <w:rsid w:val="007179E3"/>
    <w:rsid w:val="00717B55"/>
    <w:rsid w:val="00717C1F"/>
    <w:rsid w:val="00717D58"/>
    <w:rsid w:val="00717F83"/>
    <w:rsid w:val="0072052D"/>
    <w:rsid w:val="007209CF"/>
    <w:rsid w:val="00720A37"/>
    <w:rsid w:val="00720AE4"/>
    <w:rsid w:val="00720C6A"/>
    <w:rsid w:val="00720E4A"/>
    <w:rsid w:val="00720E79"/>
    <w:rsid w:val="00721170"/>
    <w:rsid w:val="0072139E"/>
    <w:rsid w:val="007213BB"/>
    <w:rsid w:val="007213C2"/>
    <w:rsid w:val="00721671"/>
    <w:rsid w:val="007216E5"/>
    <w:rsid w:val="007218B8"/>
    <w:rsid w:val="00721990"/>
    <w:rsid w:val="00721F24"/>
    <w:rsid w:val="007220B5"/>
    <w:rsid w:val="00722273"/>
    <w:rsid w:val="00722379"/>
    <w:rsid w:val="0072282D"/>
    <w:rsid w:val="007229AD"/>
    <w:rsid w:val="00722A85"/>
    <w:rsid w:val="00722E72"/>
    <w:rsid w:val="00722F49"/>
    <w:rsid w:val="00722FEB"/>
    <w:rsid w:val="0072315E"/>
    <w:rsid w:val="007233D7"/>
    <w:rsid w:val="007234B1"/>
    <w:rsid w:val="007235F3"/>
    <w:rsid w:val="00723636"/>
    <w:rsid w:val="00723760"/>
    <w:rsid w:val="00723DA9"/>
    <w:rsid w:val="00723F5B"/>
    <w:rsid w:val="00724073"/>
    <w:rsid w:val="007240F6"/>
    <w:rsid w:val="0072435D"/>
    <w:rsid w:val="00724420"/>
    <w:rsid w:val="0072443C"/>
    <w:rsid w:val="00724FD8"/>
    <w:rsid w:val="00725162"/>
    <w:rsid w:val="00725258"/>
    <w:rsid w:val="007252F6"/>
    <w:rsid w:val="0072570F"/>
    <w:rsid w:val="00725808"/>
    <w:rsid w:val="007258BC"/>
    <w:rsid w:val="0072596E"/>
    <w:rsid w:val="007259DF"/>
    <w:rsid w:val="00725A1A"/>
    <w:rsid w:val="00725B05"/>
    <w:rsid w:val="00725BAB"/>
    <w:rsid w:val="00725D31"/>
    <w:rsid w:val="007260B3"/>
    <w:rsid w:val="007261D8"/>
    <w:rsid w:val="007261F1"/>
    <w:rsid w:val="00726ACD"/>
    <w:rsid w:val="00726B2D"/>
    <w:rsid w:val="00726B59"/>
    <w:rsid w:val="00727645"/>
    <w:rsid w:val="007277BE"/>
    <w:rsid w:val="00727987"/>
    <w:rsid w:val="00727F67"/>
    <w:rsid w:val="007301EC"/>
    <w:rsid w:val="0073047A"/>
    <w:rsid w:val="007305A7"/>
    <w:rsid w:val="007307A6"/>
    <w:rsid w:val="007308F1"/>
    <w:rsid w:val="007309FE"/>
    <w:rsid w:val="00730D42"/>
    <w:rsid w:val="00730D44"/>
    <w:rsid w:val="007312AA"/>
    <w:rsid w:val="007315DD"/>
    <w:rsid w:val="0073182E"/>
    <w:rsid w:val="00731984"/>
    <w:rsid w:val="00731A52"/>
    <w:rsid w:val="00731B56"/>
    <w:rsid w:val="00731BDB"/>
    <w:rsid w:val="00731EA0"/>
    <w:rsid w:val="00732457"/>
    <w:rsid w:val="00732492"/>
    <w:rsid w:val="007324AC"/>
    <w:rsid w:val="00732688"/>
    <w:rsid w:val="0073274D"/>
    <w:rsid w:val="00732952"/>
    <w:rsid w:val="00732B46"/>
    <w:rsid w:val="00732C53"/>
    <w:rsid w:val="00732D2A"/>
    <w:rsid w:val="00732F2E"/>
    <w:rsid w:val="00732FA2"/>
    <w:rsid w:val="007336B9"/>
    <w:rsid w:val="00733C1B"/>
    <w:rsid w:val="00733C75"/>
    <w:rsid w:val="0073417F"/>
    <w:rsid w:val="007342E0"/>
    <w:rsid w:val="00734787"/>
    <w:rsid w:val="00734902"/>
    <w:rsid w:val="00734D2A"/>
    <w:rsid w:val="00734D5F"/>
    <w:rsid w:val="00734F19"/>
    <w:rsid w:val="00735029"/>
    <w:rsid w:val="007350F4"/>
    <w:rsid w:val="007352D5"/>
    <w:rsid w:val="0073568C"/>
    <w:rsid w:val="007356A5"/>
    <w:rsid w:val="0073591F"/>
    <w:rsid w:val="00735975"/>
    <w:rsid w:val="00735E62"/>
    <w:rsid w:val="007364F4"/>
    <w:rsid w:val="00736542"/>
    <w:rsid w:val="00736555"/>
    <w:rsid w:val="007365ED"/>
    <w:rsid w:val="007369C0"/>
    <w:rsid w:val="00736E32"/>
    <w:rsid w:val="00737075"/>
    <w:rsid w:val="0073707F"/>
    <w:rsid w:val="007371DC"/>
    <w:rsid w:val="007375F3"/>
    <w:rsid w:val="0073790D"/>
    <w:rsid w:val="00737AB7"/>
    <w:rsid w:val="00737E58"/>
    <w:rsid w:val="0074077A"/>
    <w:rsid w:val="00740ABF"/>
    <w:rsid w:val="00740AD7"/>
    <w:rsid w:val="00740AEE"/>
    <w:rsid w:val="00741346"/>
    <w:rsid w:val="0074139D"/>
    <w:rsid w:val="00741465"/>
    <w:rsid w:val="007415B6"/>
    <w:rsid w:val="007417A2"/>
    <w:rsid w:val="00741888"/>
    <w:rsid w:val="00741B87"/>
    <w:rsid w:val="00741BE8"/>
    <w:rsid w:val="00741E0D"/>
    <w:rsid w:val="00742091"/>
    <w:rsid w:val="00742460"/>
    <w:rsid w:val="007426EB"/>
    <w:rsid w:val="0074288E"/>
    <w:rsid w:val="007428F0"/>
    <w:rsid w:val="00742AEF"/>
    <w:rsid w:val="00742B93"/>
    <w:rsid w:val="00742BE6"/>
    <w:rsid w:val="00742CAA"/>
    <w:rsid w:val="00742D59"/>
    <w:rsid w:val="00742F44"/>
    <w:rsid w:val="00743541"/>
    <w:rsid w:val="00743BBB"/>
    <w:rsid w:val="00743E68"/>
    <w:rsid w:val="00743FCE"/>
    <w:rsid w:val="00744400"/>
    <w:rsid w:val="00744631"/>
    <w:rsid w:val="00744909"/>
    <w:rsid w:val="00744AEA"/>
    <w:rsid w:val="00744C00"/>
    <w:rsid w:val="00744F0C"/>
    <w:rsid w:val="007455D1"/>
    <w:rsid w:val="007456BC"/>
    <w:rsid w:val="00745812"/>
    <w:rsid w:val="00745A75"/>
    <w:rsid w:val="00745A84"/>
    <w:rsid w:val="00745CB0"/>
    <w:rsid w:val="00745E43"/>
    <w:rsid w:val="0074605D"/>
    <w:rsid w:val="0074657A"/>
    <w:rsid w:val="007466E9"/>
    <w:rsid w:val="007466F4"/>
    <w:rsid w:val="007467CF"/>
    <w:rsid w:val="0074694A"/>
    <w:rsid w:val="00747051"/>
    <w:rsid w:val="0074718D"/>
    <w:rsid w:val="007472DC"/>
    <w:rsid w:val="0074739B"/>
    <w:rsid w:val="00747466"/>
    <w:rsid w:val="007477E8"/>
    <w:rsid w:val="0074790D"/>
    <w:rsid w:val="00747B8E"/>
    <w:rsid w:val="00747BE2"/>
    <w:rsid w:val="00747FC6"/>
    <w:rsid w:val="0075009C"/>
    <w:rsid w:val="0075039A"/>
    <w:rsid w:val="007503E6"/>
    <w:rsid w:val="00750463"/>
    <w:rsid w:val="00750637"/>
    <w:rsid w:val="00750654"/>
    <w:rsid w:val="0075088A"/>
    <w:rsid w:val="007508F9"/>
    <w:rsid w:val="00750B54"/>
    <w:rsid w:val="00750BE0"/>
    <w:rsid w:val="00750CFF"/>
    <w:rsid w:val="00750DFB"/>
    <w:rsid w:val="00750E91"/>
    <w:rsid w:val="00750F0D"/>
    <w:rsid w:val="00751207"/>
    <w:rsid w:val="007513CC"/>
    <w:rsid w:val="00751655"/>
    <w:rsid w:val="00751822"/>
    <w:rsid w:val="00751A07"/>
    <w:rsid w:val="00751B93"/>
    <w:rsid w:val="00751D60"/>
    <w:rsid w:val="00751DF7"/>
    <w:rsid w:val="007520E0"/>
    <w:rsid w:val="00752656"/>
    <w:rsid w:val="00752C5E"/>
    <w:rsid w:val="00752FBB"/>
    <w:rsid w:val="00753059"/>
    <w:rsid w:val="007531AE"/>
    <w:rsid w:val="00753237"/>
    <w:rsid w:val="00753325"/>
    <w:rsid w:val="0075340F"/>
    <w:rsid w:val="00753550"/>
    <w:rsid w:val="00753699"/>
    <w:rsid w:val="00753763"/>
    <w:rsid w:val="007538B6"/>
    <w:rsid w:val="00753A00"/>
    <w:rsid w:val="007542B9"/>
    <w:rsid w:val="007542F1"/>
    <w:rsid w:val="00754525"/>
    <w:rsid w:val="00754605"/>
    <w:rsid w:val="0075468D"/>
    <w:rsid w:val="007546B9"/>
    <w:rsid w:val="007546FE"/>
    <w:rsid w:val="007547A2"/>
    <w:rsid w:val="007547AB"/>
    <w:rsid w:val="007548F6"/>
    <w:rsid w:val="0075499F"/>
    <w:rsid w:val="007549DA"/>
    <w:rsid w:val="00754E59"/>
    <w:rsid w:val="00755644"/>
    <w:rsid w:val="00755763"/>
    <w:rsid w:val="007558B7"/>
    <w:rsid w:val="00755CD6"/>
    <w:rsid w:val="0075636D"/>
    <w:rsid w:val="007568C6"/>
    <w:rsid w:val="00756928"/>
    <w:rsid w:val="00756935"/>
    <w:rsid w:val="00756A48"/>
    <w:rsid w:val="00756AA3"/>
    <w:rsid w:val="00756AD8"/>
    <w:rsid w:val="00756AF0"/>
    <w:rsid w:val="00756BF8"/>
    <w:rsid w:val="00756DF6"/>
    <w:rsid w:val="00756E2A"/>
    <w:rsid w:val="00756F4E"/>
    <w:rsid w:val="0075770B"/>
    <w:rsid w:val="00757741"/>
    <w:rsid w:val="00757AF0"/>
    <w:rsid w:val="00757B9B"/>
    <w:rsid w:val="00757D16"/>
    <w:rsid w:val="00757E15"/>
    <w:rsid w:val="00760365"/>
    <w:rsid w:val="007603DB"/>
    <w:rsid w:val="00760407"/>
    <w:rsid w:val="00760844"/>
    <w:rsid w:val="007608A0"/>
    <w:rsid w:val="007608EF"/>
    <w:rsid w:val="00760B75"/>
    <w:rsid w:val="00760BFF"/>
    <w:rsid w:val="00760D28"/>
    <w:rsid w:val="00760E71"/>
    <w:rsid w:val="0076101B"/>
    <w:rsid w:val="00761048"/>
    <w:rsid w:val="00761253"/>
    <w:rsid w:val="00761450"/>
    <w:rsid w:val="00761746"/>
    <w:rsid w:val="00761758"/>
    <w:rsid w:val="00761AEA"/>
    <w:rsid w:val="00761D29"/>
    <w:rsid w:val="00761D7D"/>
    <w:rsid w:val="00761E28"/>
    <w:rsid w:val="007623B2"/>
    <w:rsid w:val="00762913"/>
    <w:rsid w:val="00762E96"/>
    <w:rsid w:val="0076322A"/>
    <w:rsid w:val="007637BF"/>
    <w:rsid w:val="00763839"/>
    <w:rsid w:val="00763AD1"/>
    <w:rsid w:val="00763D1E"/>
    <w:rsid w:val="00763F02"/>
    <w:rsid w:val="00764073"/>
    <w:rsid w:val="00764258"/>
    <w:rsid w:val="00764444"/>
    <w:rsid w:val="007647C7"/>
    <w:rsid w:val="00764A37"/>
    <w:rsid w:val="00764ACB"/>
    <w:rsid w:val="00764D66"/>
    <w:rsid w:val="00764E23"/>
    <w:rsid w:val="007651E2"/>
    <w:rsid w:val="007651F2"/>
    <w:rsid w:val="007652E2"/>
    <w:rsid w:val="00765612"/>
    <w:rsid w:val="0076561F"/>
    <w:rsid w:val="00765849"/>
    <w:rsid w:val="0076593E"/>
    <w:rsid w:val="00765B16"/>
    <w:rsid w:val="00765C9B"/>
    <w:rsid w:val="00765F60"/>
    <w:rsid w:val="007662B6"/>
    <w:rsid w:val="007663FE"/>
    <w:rsid w:val="0076662F"/>
    <w:rsid w:val="00766A35"/>
    <w:rsid w:val="00766E38"/>
    <w:rsid w:val="00766F6B"/>
    <w:rsid w:val="0076750A"/>
    <w:rsid w:val="007678EB"/>
    <w:rsid w:val="007678F2"/>
    <w:rsid w:val="007679B5"/>
    <w:rsid w:val="00767C22"/>
    <w:rsid w:val="00767D10"/>
    <w:rsid w:val="00767D6D"/>
    <w:rsid w:val="00770353"/>
    <w:rsid w:val="00770572"/>
    <w:rsid w:val="0077071F"/>
    <w:rsid w:val="0077073E"/>
    <w:rsid w:val="007707C2"/>
    <w:rsid w:val="00770DFE"/>
    <w:rsid w:val="007713DE"/>
    <w:rsid w:val="00771477"/>
    <w:rsid w:val="00771546"/>
    <w:rsid w:val="007716C0"/>
    <w:rsid w:val="007716C6"/>
    <w:rsid w:val="0077183B"/>
    <w:rsid w:val="007719A5"/>
    <w:rsid w:val="00771B3A"/>
    <w:rsid w:val="00771B8A"/>
    <w:rsid w:val="00771E06"/>
    <w:rsid w:val="00772098"/>
    <w:rsid w:val="00772334"/>
    <w:rsid w:val="00772842"/>
    <w:rsid w:val="00772892"/>
    <w:rsid w:val="00772900"/>
    <w:rsid w:val="007729A7"/>
    <w:rsid w:val="00772A17"/>
    <w:rsid w:val="00772B07"/>
    <w:rsid w:val="00772B9F"/>
    <w:rsid w:val="00772C7E"/>
    <w:rsid w:val="00772CB6"/>
    <w:rsid w:val="00772CED"/>
    <w:rsid w:val="00772D1A"/>
    <w:rsid w:val="00772EDB"/>
    <w:rsid w:val="00772F27"/>
    <w:rsid w:val="007731F3"/>
    <w:rsid w:val="0077324E"/>
    <w:rsid w:val="00773355"/>
    <w:rsid w:val="0077352F"/>
    <w:rsid w:val="00773A0F"/>
    <w:rsid w:val="00773A97"/>
    <w:rsid w:val="00773FA6"/>
    <w:rsid w:val="00774149"/>
    <w:rsid w:val="007743DA"/>
    <w:rsid w:val="0077445B"/>
    <w:rsid w:val="007744D7"/>
    <w:rsid w:val="0077472D"/>
    <w:rsid w:val="007749C3"/>
    <w:rsid w:val="00774A78"/>
    <w:rsid w:val="00774BC0"/>
    <w:rsid w:val="00774CCE"/>
    <w:rsid w:val="00774F5F"/>
    <w:rsid w:val="007750A7"/>
    <w:rsid w:val="00775101"/>
    <w:rsid w:val="00775214"/>
    <w:rsid w:val="00775458"/>
    <w:rsid w:val="0077570A"/>
    <w:rsid w:val="007758F6"/>
    <w:rsid w:val="00775911"/>
    <w:rsid w:val="0077592A"/>
    <w:rsid w:val="00775FCE"/>
    <w:rsid w:val="0077643F"/>
    <w:rsid w:val="007764D5"/>
    <w:rsid w:val="00776C47"/>
    <w:rsid w:val="00776C65"/>
    <w:rsid w:val="00776D58"/>
    <w:rsid w:val="00776E6D"/>
    <w:rsid w:val="007771E9"/>
    <w:rsid w:val="0077723C"/>
    <w:rsid w:val="007773D1"/>
    <w:rsid w:val="00777660"/>
    <w:rsid w:val="00777815"/>
    <w:rsid w:val="0077782C"/>
    <w:rsid w:val="007779AB"/>
    <w:rsid w:val="007779F3"/>
    <w:rsid w:val="00777A85"/>
    <w:rsid w:val="00777AC2"/>
    <w:rsid w:val="00777C13"/>
    <w:rsid w:val="00777D75"/>
    <w:rsid w:val="00777D8F"/>
    <w:rsid w:val="00777EA7"/>
    <w:rsid w:val="00780403"/>
    <w:rsid w:val="00780445"/>
    <w:rsid w:val="00780600"/>
    <w:rsid w:val="0078089A"/>
    <w:rsid w:val="0078092C"/>
    <w:rsid w:val="007809AA"/>
    <w:rsid w:val="00780BB2"/>
    <w:rsid w:val="00780BB7"/>
    <w:rsid w:val="00780FA5"/>
    <w:rsid w:val="0078124A"/>
    <w:rsid w:val="007812B4"/>
    <w:rsid w:val="0078144A"/>
    <w:rsid w:val="0078150C"/>
    <w:rsid w:val="007817A5"/>
    <w:rsid w:val="00781987"/>
    <w:rsid w:val="00781A2D"/>
    <w:rsid w:val="00781BAC"/>
    <w:rsid w:val="00781BEA"/>
    <w:rsid w:val="00781D3F"/>
    <w:rsid w:val="00781EC6"/>
    <w:rsid w:val="00782020"/>
    <w:rsid w:val="007820AB"/>
    <w:rsid w:val="00782275"/>
    <w:rsid w:val="00782453"/>
    <w:rsid w:val="00782462"/>
    <w:rsid w:val="00782725"/>
    <w:rsid w:val="00782BCB"/>
    <w:rsid w:val="00782CEE"/>
    <w:rsid w:val="00782EA1"/>
    <w:rsid w:val="00782EF8"/>
    <w:rsid w:val="00782FF2"/>
    <w:rsid w:val="007837F4"/>
    <w:rsid w:val="00783821"/>
    <w:rsid w:val="00783A52"/>
    <w:rsid w:val="00783BC8"/>
    <w:rsid w:val="00783C2E"/>
    <w:rsid w:val="00783DDF"/>
    <w:rsid w:val="00783EC1"/>
    <w:rsid w:val="00783F1E"/>
    <w:rsid w:val="00783FC4"/>
    <w:rsid w:val="007841F4"/>
    <w:rsid w:val="007842B0"/>
    <w:rsid w:val="007844CA"/>
    <w:rsid w:val="00784572"/>
    <w:rsid w:val="00784643"/>
    <w:rsid w:val="00784994"/>
    <w:rsid w:val="00784A2B"/>
    <w:rsid w:val="00784C3C"/>
    <w:rsid w:val="007851E2"/>
    <w:rsid w:val="007859AE"/>
    <w:rsid w:val="00785A43"/>
    <w:rsid w:val="00785BAF"/>
    <w:rsid w:val="00785C95"/>
    <w:rsid w:val="00785CCC"/>
    <w:rsid w:val="00785CD1"/>
    <w:rsid w:val="00785E37"/>
    <w:rsid w:val="00786D98"/>
    <w:rsid w:val="00786E67"/>
    <w:rsid w:val="00786E83"/>
    <w:rsid w:val="00786F37"/>
    <w:rsid w:val="00786F68"/>
    <w:rsid w:val="00786FA7"/>
    <w:rsid w:val="00787125"/>
    <w:rsid w:val="0078718D"/>
    <w:rsid w:val="0078730F"/>
    <w:rsid w:val="00787454"/>
    <w:rsid w:val="00787514"/>
    <w:rsid w:val="00787592"/>
    <w:rsid w:val="007876DF"/>
    <w:rsid w:val="007879C6"/>
    <w:rsid w:val="00787F9C"/>
    <w:rsid w:val="0079042C"/>
    <w:rsid w:val="007904A7"/>
    <w:rsid w:val="007904CA"/>
    <w:rsid w:val="00790B47"/>
    <w:rsid w:val="00790B99"/>
    <w:rsid w:val="00790C64"/>
    <w:rsid w:val="00790DF0"/>
    <w:rsid w:val="00790E31"/>
    <w:rsid w:val="007910A9"/>
    <w:rsid w:val="00791122"/>
    <w:rsid w:val="0079124D"/>
    <w:rsid w:val="0079126F"/>
    <w:rsid w:val="007919DC"/>
    <w:rsid w:val="00791C49"/>
    <w:rsid w:val="00791C72"/>
    <w:rsid w:val="00791D63"/>
    <w:rsid w:val="00791DFD"/>
    <w:rsid w:val="007920B9"/>
    <w:rsid w:val="00792A42"/>
    <w:rsid w:val="00792C4F"/>
    <w:rsid w:val="00792E91"/>
    <w:rsid w:val="007930BD"/>
    <w:rsid w:val="007930C2"/>
    <w:rsid w:val="007932E0"/>
    <w:rsid w:val="00793341"/>
    <w:rsid w:val="0079338F"/>
    <w:rsid w:val="007933EC"/>
    <w:rsid w:val="0079355B"/>
    <w:rsid w:val="00793676"/>
    <w:rsid w:val="00793872"/>
    <w:rsid w:val="00793A62"/>
    <w:rsid w:val="00793BB3"/>
    <w:rsid w:val="00793BF5"/>
    <w:rsid w:val="00793D31"/>
    <w:rsid w:val="00793DD8"/>
    <w:rsid w:val="00793F30"/>
    <w:rsid w:val="007944DB"/>
    <w:rsid w:val="007945ED"/>
    <w:rsid w:val="00794742"/>
    <w:rsid w:val="007947FA"/>
    <w:rsid w:val="007948CA"/>
    <w:rsid w:val="00794C47"/>
    <w:rsid w:val="007954B7"/>
    <w:rsid w:val="007954CE"/>
    <w:rsid w:val="007954FA"/>
    <w:rsid w:val="007957F0"/>
    <w:rsid w:val="0079584D"/>
    <w:rsid w:val="00795921"/>
    <w:rsid w:val="00795969"/>
    <w:rsid w:val="00795ABD"/>
    <w:rsid w:val="00795B18"/>
    <w:rsid w:val="00795B75"/>
    <w:rsid w:val="00795C05"/>
    <w:rsid w:val="00795E83"/>
    <w:rsid w:val="0079600B"/>
    <w:rsid w:val="0079630A"/>
    <w:rsid w:val="007963A5"/>
    <w:rsid w:val="00796895"/>
    <w:rsid w:val="00796F36"/>
    <w:rsid w:val="00796F4A"/>
    <w:rsid w:val="00796F77"/>
    <w:rsid w:val="00796F78"/>
    <w:rsid w:val="00797016"/>
    <w:rsid w:val="007970E4"/>
    <w:rsid w:val="00797180"/>
    <w:rsid w:val="007971F4"/>
    <w:rsid w:val="00797442"/>
    <w:rsid w:val="00797580"/>
    <w:rsid w:val="007975A2"/>
    <w:rsid w:val="007975E3"/>
    <w:rsid w:val="00797621"/>
    <w:rsid w:val="007979BB"/>
    <w:rsid w:val="00797BEA"/>
    <w:rsid w:val="00797FCB"/>
    <w:rsid w:val="007A052D"/>
    <w:rsid w:val="007A06CF"/>
    <w:rsid w:val="007A0B99"/>
    <w:rsid w:val="007A0DC7"/>
    <w:rsid w:val="007A0DD6"/>
    <w:rsid w:val="007A0DD9"/>
    <w:rsid w:val="007A0E0F"/>
    <w:rsid w:val="007A10D8"/>
    <w:rsid w:val="007A168F"/>
    <w:rsid w:val="007A184F"/>
    <w:rsid w:val="007A1C90"/>
    <w:rsid w:val="007A1E99"/>
    <w:rsid w:val="007A221A"/>
    <w:rsid w:val="007A2776"/>
    <w:rsid w:val="007A284F"/>
    <w:rsid w:val="007A287A"/>
    <w:rsid w:val="007A2A8E"/>
    <w:rsid w:val="007A2AA2"/>
    <w:rsid w:val="007A2D56"/>
    <w:rsid w:val="007A2E19"/>
    <w:rsid w:val="007A3142"/>
    <w:rsid w:val="007A357C"/>
    <w:rsid w:val="007A36F3"/>
    <w:rsid w:val="007A3856"/>
    <w:rsid w:val="007A3911"/>
    <w:rsid w:val="007A394E"/>
    <w:rsid w:val="007A3A0B"/>
    <w:rsid w:val="007A3ABD"/>
    <w:rsid w:val="007A3ED0"/>
    <w:rsid w:val="007A3FAC"/>
    <w:rsid w:val="007A4798"/>
    <w:rsid w:val="007A4A16"/>
    <w:rsid w:val="007A4A3A"/>
    <w:rsid w:val="007A4C8D"/>
    <w:rsid w:val="007A4CFA"/>
    <w:rsid w:val="007A502A"/>
    <w:rsid w:val="007A5229"/>
    <w:rsid w:val="007A5266"/>
    <w:rsid w:val="007A526F"/>
    <w:rsid w:val="007A52FE"/>
    <w:rsid w:val="007A5406"/>
    <w:rsid w:val="007A54C9"/>
    <w:rsid w:val="007A5850"/>
    <w:rsid w:val="007A661B"/>
    <w:rsid w:val="007A68CE"/>
    <w:rsid w:val="007A6951"/>
    <w:rsid w:val="007A6CB7"/>
    <w:rsid w:val="007A6DEE"/>
    <w:rsid w:val="007A6E83"/>
    <w:rsid w:val="007A70C6"/>
    <w:rsid w:val="007A741D"/>
    <w:rsid w:val="007A74F3"/>
    <w:rsid w:val="007A75B6"/>
    <w:rsid w:val="007A760A"/>
    <w:rsid w:val="007A7766"/>
    <w:rsid w:val="007A7855"/>
    <w:rsid w:val="007A7C6F"/>
    <w:rsid w:val="007A7CA4"/>
    <w:rsid w:val="007B00D4"/>
    <w:rsid w:val="007B011C"/>
    <w:rsid w:val="007B01AF"/>
    <w:rsid w:val="007B05EB"/>
    <w:rsid w:val="007B068B"/>
    <w:rsid w:val="007B08D0"/>
    <w:rsid w:val="007B09DB"/>
    <w:rsid w:val="007B0C27"/>
    <w:rsid w:val="007B0E1E"/>
    <w:rsid w:val="007B0EC9"/>
    <w:rsid w:val="007B0F32"/>
    <w:rsid w:val="007B117D"/>
    <w:rsid w:val="007B13AC"/>
    <w:rsid w:val="007B13C2"/>
    <w:rsid w:val="007B1882"/>
    <w:rsid w:val="007B1883"/>
    <w:rsid w:val="007B1A16"/>
    <w:rsid w:val="007B1A29"/>
    <w:rsid w:val="007B1AC7"/>
    <w:rsid w:val="007B2271"/>
    <w:rsid w:val="007B257B"/>
    <w:rsid w:val="007B258E"/>
    <w:rsid w:val="007B2A40"/>
    <w:rsid w:val="007B2F14"/>
    <w:rsid w:val="007B301C"/>
    <w:rsid w:val="007B30AB"/>
    <w:rsid w:val="007B30F5"/>
    <w:rsid w:val="007B31AC"/>
    <w:rsid w:val="007B324C"/>
    <w:rsid w:val="007B3342"/>
    <w:rsid w:val="007B344B"/>
    <w:rsid w:val="007B3471"/>
    <w:rsid w:val="007B3536"/>
    <w:rsid w:val="007B3644"/>
    <w:rsid w:val="007B36D2"/>
    <w:rsid w:val="007B37A8"/>
    <w:rsid w:val="007B39C3"/>
    <w:rsid w:val="007B3B29"/>
    <w:rsid w:val="007B3E93"/>
    <w:rsid w:val="007B3F39"/>
    <w:rsid w:val="007B4127"/>
    <w:rsid w:val="007B4337"/>
    <w:rsid w:val="007B44A5"/>
    <w:rsid w:val="007B45FA"/>
    <w:rsid w:val="007B46DA"/>
    <w:rsid w:val="007B472B"/>
    <w:rsid w:val="007B47BB"/>
    <w:rsid w:val="007B47DF"/>
    <w:rsid w:val="007B484D"/>
    <w:rsid w:val="007B49D1"/>
    <w:rsid w:val="007B4A05"/>
    <w:rsid w:val="007B4AFB"/>
    <w:rsid w:val="007B4AFD"/>
    <w:rsid w:val="007B4CBD"/>
    <w:rsid w:val="007B4E91"/>
    <w:rsid w:val="007B508E"/>
    <w:rsid w:val="007B5384"/>
    <w:rsid w:val="007B53BC"/>
    <w:rsid w:val="007B53E2"/>
    <w:rsid w:val="007B555F"/>
    <w:rsid w:val="007B56EC"/>
    <w:rsid w:val="007B581D"/>
    <w:rsid w:val="007B58E9"/>
    <w:rsid w:val="007B5953"/>
    <w:rsid w:val="007B59CD"/>
    <w:rsid w:val="007B5A5D"/>
    <w:rsid w:val="007B5D7F"/>
    <w:rsid w:val="007B5EC5"/>
    <w:rsid w:val="007B5FD4"/>
    <w:rsid w:val="007B641B"/>
    <w:rsid w:val="007B653D"/>
    <w:rsid w:val="007B65A5"/>
    <w:rsid w:val="007B6987"/>
    <w:rsid w:val="007B7085"/>
    <w:rsid w:val="007B70F4"/>
    <w:rsid w:val="007B71B9"/>
    <w:rsid w:val="007B7206"/>
    <w:rsid w:val="007B7211"/>
    <w:rsid w:val="007B741B"/>
    <w:rsid w:val="007B743B"/>
    <w:rsid w:val="007B7460"/>
    <w:rsid w:val="007B75DC"/>
    <w:rsid w:val="007B7733"/>
    <w:rsid w:val="007B7927"/>
    <w:rsid w:val="007B7A6A"/>
    <w:rsid w:val="007B7A74"/>
    <w:rsid w:val="007B7B52"/>
    <w:rsid w:val="007B7C1D"/>
    <w:rsid w:val="007B7D64"/>
    <w:rsid w:val="007B7F33"/>
    <w:rsid w:val="007C0190"/>
    <w:rsid w:val="007C022D"/>
    <w:rsid w:val="007C04C3"/>
    <w:rsid w:val="007C05DA"/>
    <w:rsid w:val="007C06D3"/>
    <w:rsid w:val="007C09EC"/>
    <w:rsid w:val="007C0D6E"/>
    <w:rsid w:val="007C0EF1"/>
    <w:rsid w:val="007C0F7A"/>
    <w:rsid w:val="007C10D6"/>
    <w:rsid w:val="007C12A1"/>
    <w:rsid w:val="007C14EF"/>
    <w:rsid w:val="007C17B2"/>
    <w:rsid w:val="007C18F6"/>
    <w:rsid w:val="007C19F4"/>
    <w:rsid w:val="007C1A2E"/>
    <w:rsid w:val="007C1A8A"/>
    <w:rsid w:val="007C206F"/>
    <w:rsid w:val="007C21AB"/>
    <w:rsid w:val="007C21B8"/>
    <w:rsid w:val="007C244D"/>
    <w:rsid w:val="007C246D"/>
    <w:rsid w:val="007C24C0"/>
    <w:rsid w:val="007C2567"/>
    <w:rsid w:val="007C29E8"/>
    <w:rsid w:val="007C2A7F"/>
    <w:rsid w:val="007C2C30"/>
    <w:rsid w:val="007C2D6F"/>
    <w:rsid w:val="007C2E8F"/>
    <w:rsid w:val="007C2EC7"/>
    <w:rsid w:val="007C315E"/>
    <w:rsid w:val="007C3284"/>
    <w:rsid w:val="007C3483"/>
    <w:rsid w:val="007C36C2"/>
    <w:rsid w:val="007C36C3"/>
    <w:rsid w:val="007C374E"/>
    <w:rsid w:val="007C3812"/>
    <w:rsid w:val="007C3814"/>
    <w:rsid w:val="007C3B9E"/>
    <w:rsid w:val="007C3C33"/>
    <w:rsid w:val="007C3D6B"/>
    <w:rsid w:val="007C3E8A"/>
    <w:rsid w:val="007C3F4D"/>
    <w:rsid w:val="007C3F75"/>
    <w:rsid w:val="007C40A7"/>
    <w:rsid w:val="007C414C"/>
    <w:rsid w:val="007C43B5"/>
    <w:rsid w:val="007C4468"/>
    <w:rsid w:val="007C4742"/>
    <w:rsid w:val="007C4785"/>
    <w:rsid w:val="007C47F0"/>
    <w:rsid w:val="007C4ECF"/>
    <w:rsid w:val="007C5256"/>
    <w:rsid w:val="007C542B"/>
    <w:rsid w:val="007C5D5D"/>
    <w:rsid w:val="007C5DF7"/>
    <w:rsid w:val="007C5E54"/>
    <w:rsid w:val="007C5F05"/>
    <w:rsid w:val="007C6120"/>
    <w:rsid w:val="007C63FC"/>
    <w:rsid w:val="007C6694"/>
    <w:rsid w:val="007C6961"/>
    <w:rsid w:val="007C6FE1"/>
    <w:rsid w:val="007C716D"/>
    <w:rsid w:val="007C7441"/>
    <w:rsid w:val="007C7476"/>
    <w:rsid w:val="007C760F"/>
    <w:rsid w:val="007C7707"/>
    <w:rsid w:val="007C7726"/>
    <w:rsid w:val="007C7975"/>
    <w:rsid w:val="007C7A5D"/>
    <w:rsid w:val="007C7C4C"/>
    <w:rsid w:val="007D0381"/>
    <w:rsid w:val="007D0606"/>
    <w:rsid w:val="007D0735"/>
    <w:rsid w:val="007D09B9"/>
    <w:rsid w:val="007D0C89"/>
    <w:rsid w:val="007D0CA7"/>
    <w:rsid w:val="007D0FAA"/>
    <w:rsid w:val="007D1252"/>
    <w:rsid w:val="007D1388"/>
    <w:rsid w:val="007D1452"/>
    <w:rsid w:val="007D14E1"/>
    <w:rsid w:val="007D1574"/>
    <w:rsid w:val="007D1684"/>
    <w:rsid w:val="007D1B9E"/>
    <w:rsid w:val="007D1EFA"/>
    <w:rsid w:val="007D1F31"/>
    <w:rsid w:val="007D1F9E"/>
    <w:rsid w:val="007D20FE"/>
    <w:rsid w:val="007D22D1"/>
    <w:rsid w:val="007D243C"/>
    <w:rsid w:val="007D262E"/>
    <w:rsid w:val="007D2808"/>
    <w:rsid w:val="007D29D2"/>
    <w:rsid w:val="007D29E3"/>
    <w:rsid w:val="007D2B53"/>
    <w:rsid w:val="007D2C80"/>
    <w:rsid w:val="007D3343"/>
    <w:rsid w:val="007D335B"/>
    <w:rsid w:val="007D335D"/>
    <w:rsid w:val="007D3598"/>
    <w:rsid w:val="007D361D"/>
    <w:rsid w:val="007D3770"/>
    <w:rsid w:val="007D3861"/>
    <w:rsid w:val="007D3C94"/>
    <w:rsid w:val="007D42CB"/>
    <w:rsid w:val="007D453B"/>
    <w:rsid w:val="007D46AE"/>
    <w:rsid w:val="007D4877"/>
    <w:rsid w:val="007D4999"/>
    <w:rsid w:val="007D4F95"/>
    <w:rsid w:val="007D50E3"/>
    <w:rsid w:val="007D51EB"/>
    <w:rsid w:val="007D55F3"/>
    <w:rsid w:val="007D55FA"/>
    <w:rsid w:val="007D55FE"/>
    <w:rsid w:val="007D56E8"/>
    <w:rsid w:val="007D5759"/>
    <w:rsid w:val="007D5C56"/>
    <w:rsid w:val="007D600C"/>
    <w:rsid w:val="007D6129"/>
    <w:rsid w:val="007D61AA"/>
    <w:rsid w:val="007D65AB"/>
    <w:rsid w:val="007D6701"/>
    <w:rsid w:val="007D67AA"/>
    <w:rsid w:val="007D6A2D"/>
    <w:rsid w:val="007D6B1C"/>
    <w:rsid w:val="007D6B2A"/>
    <w:rsid w:val="007D6B42"/>
    <w:rsid w:val="007D6CF3"/>
    <w:rsid w:val="007D703C"/>
    <w:rsid w:val="007D7057"/>
    <w:rsid w:val="007D7110"/>
    <w:rsid w:val="007D7225"/>
    <w:rsid w:val="007D79E9"/>
    <w:rsid w:val="007D7C7B"/>
    <w:rsid w:val="007D7F0E"/>
    <w:rsid w:val="007E008B"/>
    <w:rsid w:val="007E0096"/>
    <w:rsid w:val="007E0252"/>
    <w:rsid w:val="007E0459"/>
    <w:rsid w:val="007E04DE"/>
    <w:rsid w:val="007E0A6B"/>
    <w:rsid w:val="007E0B17"/>
    <w:rsid w:val="007E0C6E"/>
    <w:rsid w:val="007E0DA0"/>
    <w:rsid w:val="007E137C"/>
    <w:rsid w:val="007E13ED"/>
    <w:rsid w:val="007E1586"/>
    <w:rsid w:val="007E15D0"/>
    <w:rsid w:val="007E196B"/>
    <w:rsid w:val="007E1A19"/>
    <w:rsid w:val="007E1C2B"/>
    <w:rsid w:val="007E1E84"/>
    <w:rsid w:val="007E2193"/>
    <w:rsid w:val="007E294C"/>
    <w:rsid w:val="007E2955"/>
    <w:rsid w:val="007E2B40"/>
    <w:rsid w:val="007E30F8"/>
    <w:rsid w:val="007E3178"/>
    <w:rsid w:val="007E3218"/>
    <w:rsid w:val="007E3385"/>
    <w:rsid w:val="007E3460"/>
    <w:rsid w:val="007E35E0"/>
    <w:rsid w:val="007E3719"/>
    <w:rsid w:val="007E3899"/>
    <w:rsid w:val="007E3C35"/>
    <w:rsid w:val="007E3CAF"/>
    <w:rsid w:val="007E3CED"/>
    <w:rsid w:val="007E3DBF"/>
    <w:rsid w:val="007E3F1A"/>
    <w:rsid w:val="007E3FBD"/>
    <w:rsid w:val="007E4035"/>
    <w:rsid w:val="007E4075"/>
    <w:rsid w:val="007E40AC"/>
    <w:rsid w:val="007E4546"/>
    <w:rsid w:val="007E4652"/>
    <w:rsid w:val="007E4691"/>
    <w:rsid w:val="007E46D4"/>
    <w:rsid w:val="007E4772"/>
    <w:rsid w:val="007E47A4"/>
    <w:rsid w:val="007E4AE1"/>
    <w:rsid w:val="007E4B83"/>
    <w:rsid w:val="007E4BCF"/>
    <w:rsid w:val="007E4BEF"/>
    <w:rsid w:val="007E4D7A"/>
    <w:rsid w:val="007E4E1F"/>
    <w:rsid w:val="007E4FAA"/>
    <w:rsid w:val="007E4FDE"/>
    <w:rsid w:val="007E5347"/>
    <w:rsid w:val="007E53B5"/>
    <w:rsid w:val="007E550B"/>
    <w:rsid w:val="007E55B9"/>
    <w:rsid w:val="007E5986"/>
    <w:rsid w:val="007E5C61"/>
    <w:rsid w:val="007E5CE6"/>
    <w:rsid w:val="007E5E32"/>
    <w:rsid w:val="007E6106"/>
    <w:rsid w:val="007E6381"/>
    <w:rsid w:val="007E6458"/>
    <w:rsid w:val="007E64FC"/>
    <w:rsid w:val="007E681B"/>
    <w:rsid w:val="007E68AF"/>
    <w:rsid w:val="007E69C8"/>
    <w:rsid w:val="007E6A8D"/>
    <w:rsid w:val="007E6A9C"/>
    <w:rsid w:val="007E6C72"/>
    <w:rsid w:val="007E7103"/>
    <w:rsid w:val="007E71FC"/>
    <w:rsid w:val="007E72D3"/>
    <w:rsid w:val="007E746D"/>
    <w:rsid w:val="007E7540"/>
    <w:rsid w:val="007E757B"/>
    <w:rsid w:val="007E75AB"/>
    <w:rsid w:val="007E796F"/>
    <w:rsid w:val="007E7A84"/>
    <w:rsid w:val="007E7CF7"/>
    <w:rsid w:val="007E7D3D"/>
    <w:rsid w:val="007E7D85"/>
    <w:rsid w:val="007E7DA9"/>
    <w:rsid w:val="007F040B"/>
    <w:rsid w:val="007F044A"/>
    <w:rsid w:val="007F0456"/>
    <w:rsid w:val="007F04AB"/>
    <w:rsid w:val="007F07D3"/>
    <w:rsid w:val="007F0C1D"/>
    <w:rsid w:val="007F11E5"/>
    <w:rsid w:val="007F127E"/>
    <w:rsid w:val="007F12BF"/>
    <w:rsid w:val="007F13B6"/>
    <w:rsid w:val="007F1482"/>
    <w:rsid w:val="007F14CB"/>
    <w:rsid w:val="007F14FD"/>
    <w:rsid w:val="007F16EB"/>
    <w:rsid w:val="007F17CB"/>
    <w:rsid w:val="007F187B"/>
    <w:rsid w:val="007F1B1B"/>
    <w:rsid w:val="007F1C40"/>
    <w:rsid w:val="007F1E87"/>
    <w:rsid w:val="007F1F4B"/>
    <w:rsid w:val="007F2332"/>
    <w:rsid w:val="007F24C5"/>
    <w:rsid w:val="007F24FD"/>
    <w:rsid w:val="007F26DD"/>
    <w:rsid w:val="007F28FB"/>
    <w:rsid w:val="007F2BF9"/>
    <w:rsid w:val="007F2D16"/>
    <w:rsid w:val="007F2F5D"/>
    <w:rsid w:val="007F2FED"/>
    <w:rsid w:val="007F3184"/>
    <w:rsid w:val="007F3347"/>
    <w:rsid w:val="007F3619"/>
    <w:rsid w:val="007F3704"/>
    <w:rsid w:val="007F37FF"/>
    <w:rsid w:val="007F39CA"/>
    <w:rsid w:val="007F3A13"/>
    <w:rsid w:val="007F3C8E"/>
    <w:rsid w:val="007F3CA0"/>
    <w:rsid w:val="007F3DE6"/>
    <w:rsid w:val="007F3F57"/>
    <w:rsid w:val="007F405F"/>
    <w:rsid w:val="007F406F"/>
    <w:rsid w:val="007F40A5"/>
    <w:rsid w:val="007F40BD"/>
    <w:rsid w:val="007F410A"/>
    <w:rsid w:val="007F43F7"/>
    <w:rsid w:val="007F4A9F"/>
    <w:rsid w:val="007F4F19"/>
    <w:rsid w:val="007F4F32"/>
    <w:rsid w:val="007F50CB"/>
    <w:rsid w:val="007F50FD"/>
    <w:rsid w:val="007F57B3"/>
    <w:rsid w:val="007F5ACB"/>
    <w:rsid w:val="007F5EDB"/>
    <w:rsid w:val="007F6072"/>
    <w:rsid w:val="007F60F5"/>
    <w:rsid w:val="007F6235"/>
    <w:rsid w:val="007F6292"/>
    <w:rsid w:val="007F62C5"/>
    <w:rsid w:val="007F6636"/>
    <w:rsid w:val="007F6B53"/>
    <w:rsid w:val="007F6DEB"/>
    <w:rsid w:val="007F72A4"/>
    <w:rsid w:val="007F752F"/>
    <w:rsid w:val="007F7634"/>
    <w:rsid w:val="007F7669"/>
    <w:rsid w:val="007F7710"/>
    <w:rsid w:val="007F7712"/>
    <w:rsid w:val="007F7947"/>
    <w:rsid w:val="007F7D07"/>
    <w:rsid w:val="007F7D5E"/>
    <w:rsid w:val="007F7EB2"/>
    <w:rsid w:val="008000F1"/>
    <w:rsid w:val="0080018D"/>
    <w:rsid w:val="008002E2"/>
    <w:rsid w:val="0080042A"/>
    <w:rsid w:val="00800473"/>
    <w:rsid w:val="00800562"/>
    <w:rsid w:val="00800AD8"/>
    <w:rsid w:val="00800BB2"/>
    <w:rsid w:val="00800EE6"/>
    <w:rsid w:val="00800F17"/>
    <w:rsid w:val="00800FA9"/>
    <w:rsid w:val="00801A90"/>
    <w:rsid w:val="00801B18"/>
    <w:rsid w:val="00801BE0"/>
    <w:rsid w:val="00801DF5"/>
    <w:rsid w:val="00802345"/>
    <w:rsid w:val="0080235F"/>
    <w:rsid w:val="0080277D"/>
    <w:rsid w:val="00802BE0"/>
    <w:rsid w:val="008030C4"/>
    <w:rsid w:val="008030E2"/>
    <w:rsid w:val="00803190"/>
    <w:rsid w:val="008032E9"/>
    <w:rsid w:val="00803387"/>
    <w:rsid w:val="0080350D"/>
    <w:rsid w:val="00803587"/>
    <w:rsid w:val="008038E1"/>
    <w:rsid w:val="00803C4D"/>
    <w:rsid w:val="00803DEC"/>
    <w:rsid w:val="008040FE"/>
    <w:rsid w:val="0080466B"/>
    <w:rsid w:val="008048A0"/>
    <w:rsid w:val="00804989"/>
    <w:rsid w:val="00804B10"/>
    <w:rsid w:val="00805219"/>
    <w:rsid w:val="0080564C"/>
    <w:rsid w:val="00805B34"/>
    <w:rsid w:val="00805BE3"/>
    <w:rsid w:val="00805C0D"/>
    <w:rsid w:val="00805C73"/>
    <w:rsid w:val="00805F08"/>
    <w:rsid w:val="008061C6"/>
    <w:rsid w:val="0080621C"/>
    <w:rsid w:val="0080637F"/>
    <w:rsid w:val="008067EC"/>
    <w:rsid w:val="00806DAB"/>
    <w:rsid w:val="00806F04"/>
    <w:rsid w:val="00806F92"/>
    <w:rsid w:val="00807839"/>
    <w:rsid w:val="00807897"/>
    <w:rsid w:val="00807A4E"/>
    <w:rsid w:val="00807B2F"/>
    <w:rsid w:val="00807C00"/>
    <w:rsid w:val="00807D5D"/>
    <w:rsid w:val="00807DA5"/>
    <w:rsid w:val="00810106"/>
    <w:rsid w:val="00810454"/>
    <w:rsid w:val="0081054C"/>
    <w:rsid w:val="0081058C"/>
    <w:rsid w:val="00810967"/>
    <w:rsid w:val="00810AC7"/>
    <w:rsid w:val="00810B26"/>
    <w:rsid w:val="00810CA5"/>
    <w:rsid w:val="00810D31"/>
    <w:rsid w:val="00810F70"/>
    <w:rsid w:val="00811001"/>
    <w:rsid w:val="008110B5"/>
    <w:rsid w:val="00811165"/>
    <w:rsid w:val="008111E0"/>
    <w:rsid w:val="008112CA"/>
    <w:rsid w:val="00811418"/>
    <w:rsid w:val="008115D5"/>
    <w:rsid w:val="00811600"/>
    <w:rsid w:val="00811DC3"/>
    <w:rsid w:val="00811DFC"/>
    <w:rsid w:val="00811E5E"/>
    <w:rsid w:val="00811EED"/>
    <w:rsid w:val="0081223E"/>
    <w:rsid w:val="00812BD9"/>
    <w:rsid w:val="00812C9A"/>
    <w:rsid w:val="00812F8B"/>
    <w:rsid w:val="00813003"/>
    <w:rsid w:val="0081311A"/>
    <w:rsid w:val="008131FB"/>
    <w:rsid w:val="00813539"/>
    <w:rsid w:val="00813706"/>
    <w:rsid w:val="008139B9"/>
    <w:rsid w:val="00813AFF"/>
    <w:rsid w:val="00813B20"/>
    <w:rsid w:val="00813DB2"/>
    <w:rsid w:val="00813E32"/>
    <w:rsid w:val="00813F3C"/>
    <w:rsid w:val="00813FC2"/>
    <w:rsid w:val="00814000"/>
    <w:rsid w:val="00814182"/>
    <w:rsid w:val="0081423F"/>
    <w:rsid w:val="00814280"/>
    <w:rsid w:val="008142D0"/>
    <w:rsid w:val="00814353"/>
    <w:rsid w:val="008143B2"/>
    <w:rsid w:val="00814BBB"/>
    <w:rsid w:val="00814ED6"/>
    <w:rsid w:val="00815198"/>
    <w:rsid w:val="008152F1"/>
    <w:rsid w:val="0081545D"/>
    <w:rsid w:val="008158AF"/>
    <w:rsid w:val="00815A4B"/>
    <w:rsid w:val="00815C5A"/>
    <w:rsid w:val="00815D28"/>
    <w:rsid w:val="00815E43"/>
    <w:rsid w:val="00815F6F"/>
    <w:rsid w:val="008161B1"/>
    <w:rsid w:val="00816309"/>
    <w:rsid w:val="0081657C"/>
    <w:rsid w:val="008165DA"/>
    <w:rsid w:val="00816FB2"/>
    <w:rsid w:val="00817047"/>
    <w:rsid w:val="0081726D"/>
    <w:rsid w:val="00817338"/>
    <w:rsid w:val="0081733C"/>
    <w:rsid w:val="00817555"/>
    <w:rsid w:val="00817580"/>
    <w:rsid w:val="0081784A"/>
    <w:rsid w:val="0081784C"/>
    <w:rsid w:val="008179A3"/>
    <w:rsid w:val="00820010"/>
    <w:rsid w:val="00820157"/>
    <w:rsid w:val="00820AE9"/>
    <w:rsid w:val="00820AEB"/>
    <w:rsid w:val="00820BA5"/>
    <w:rsid w:val="00820DDC"/>
    <w:rsid w:val="00821132"/>
    <w:rsid w:val="0082133A"/>
    <w:rsid w:val="008215A9"/>
    <w:rsid w:val="00821799"/>
    <w:rsid w:val="008218BB"/>
    <w:rsid w:val="00821931"/>
    <w:rsid w:val="00821DC8"/>
    <w:rsid w:val="00821F02"/>
    <w:rsid w:val="0082200D"/>
    <w:rsid w:val="00822303"/>
    <w:rsid w:val="0082245B"/>
    <w:rsid w:val="008225A5"/>
    <w:rsid w:val="008229F1"/>
    <w:rsid w:val="00822B4A"/>
    <w:rsid w:val="00822BDE"/>
    <w:rsid w:val="008233AE"/>
    <w:rsid w:val="0082349A"/>
    <w:rsid w:val="00823540"/>
    <w:rsid w:val="008235FF"/>
    <w:rsid w:val="00823680"/>
    <w:rsid w:val="008236A1"/>
    <w:rsid w:val="008238DD"/>
    <w:rsid w:val="00823935"/>
    <w:rsid w:val="00823A72"/>
    <w:rsid w:val="00823B25"/>
    <w:rsid w:val="00823B73"/>
    <w:rsid w:val="00823C11"/>
    <w:rsid w:val="00823E2D"/>
    <w:rsid w:val="00823E6C"/>
    <w:rsid w:val="00824036"/>
    <w:rsid w:val="008244FD"/>
    <w:rsid w:val="00824564"/>
    <w:rsid w:val="008245C9"/>
    <w:rsid w:val="008245F5"/>
    <w:rsid w:val="008245F7"/>
    <w:rsid w:val="00824838"/>
    <w:rsid w:val="008248CF"/>
    <w:rsid w:val="00824EAC"/>
    <w:rsid w:val="00824F7D"/>
    <w:rsid w:val="00824F82"/>
    <w:rsid w:val="00824F99"/>
    <w:rsid w:val="00825399"/>
    <w:rsid w:val="00825472"/>
    <w:rsid w:val="008255E2"/>
    <w:rsid w:val="00825719"/>
    <w:rsid w:val="0082593C"/>
    <w:rsid w:val="008259C0"/>
    <w:rsid w:val="00825A57"/>
    <w:rsid w:val="00825B43"/>
    <w:rsid w:val="00826015"/>
    <w:rsid w:val="008261F9"/>
    <w:rsid w:val="00826263"/>
    <w:rsid w:val="00826503"/>
    <w:rsid w:val="00826911"/>
    <w:rsid w:val="00826D17"/>
    <w:rsid w:val="00826F52"/>
    <w:rsid w:val="00827087"/>
    <w:rsid w:val="008273FF"/>
    <w:rsid w:val="0082740A"/>
    <w:rsid w:val="00827448"/>
    <w:rsid w:val="00827C3D"/>
    <w:rsid w:val="00827D2F"/>
    <w:rsid w:val="00827E28"/>
    <w:rsid w:val="00830053"/>
    <w:rsid w:val="0083013A"/>
    <w:rsid w:val="008303B2"/>
    <w:rsid w:val="00830471"/>
    <w:rsid w:val="00830630"/>
    <w:rsid w:val="008306E1"/>
    <w:rsid w:val="0083075B"/>
    <w:rsid w:val="00830B0F"/>
    <w:rsid w:val="00830DA2"/>
    <w:rsid w:val="0083171B"/>
    <w:rsid w:val="00831A51"/>
    <w:rsid w:val="00831DAD"/>
    <w:rsid w:val="00831E1C"/>
    <w:rsid w:val="00831E58"/>
    <w:rsid w:val="00831FC5"/>
    <w:rsid w:val="008320FA"/>
    <w:rsid w:val="00832103"/>
    <w:rsid w:val="008321A4"/>
    <w:rsid w:val="008324B0"/>
    <w:rsid w:val="00832739"/>
    <w:rsid w:val="00832780"/>
    <w:rsid w:val="008328DA"/>
    <w:rsid w:val="008329FA"/>
    <w:rsid w:val="00832BF2"/>
    <w:rsid w:val="00832EB2"/>
    <w:rsid w:val="008331C8"/>
    <w:rsid w:val="008335A0"/>
    <w:rsid w:val="008337FB"/>
    <w:rsid w:val="0083389F"/>
    <w:rsid w:val="00833911"/>
    <w:rsid w:val="00833A7B"/>
    <w:rsid w:val="00833CC9"/>
    <w:rsid w:val="00833D40"/>
    <w:rsid w:val="00833DA6"/>
    <w:rsid w:val="00833E29"/>
    <w:rsid w:val="00833EE2"/>
    <w:rsid w:val="00833FFE"/>
    <w:rsid w:val="0083428E"/>
    <w:rsid w:val="00834513"/>
    <w:rsid w:val="008346C1"/>
    <w:rsid w:val="00834877"/>
    <w:rsid w:val="00834B8A"/>
    <w:rsid w:val="00834CDD"/>
    <w:rsid w:val="00834FD9"/>
    <w:rsid w:val="00835214"/>
    <w:rsid w:val="0083527D"/>
    <w:rsid w:val="00835328"/>
    <w:rsid w:val="00835491"/>
    <w:rsid w:val="008357F2"/>
    <w:rsid w:val="008359C9"/>
    <w:rsid w:val="00835F7F"/>
    <w:rsid w:val="0083615D"/>
    <w:rsid w:val="0083627C"/>
    <w:rsid w:val="008362AD"/>
    <w:rsid w:val="00836459"/>
    <w:rsid w:val="0083646E"/>
    <w:rsid w:val="0083691A"/>
    <w:rsid w:val="00836AEE"/>
    <w:rsid w:val="00836B95"/>
    <w:rsid w:val="00836C76"/>
    <w:rsid w:val="00837083"/>
    <w:rsid w:val="0083711B"/>
    <w:rsid w:val="0083742E"/>
    <w:rsid w:val="00837480"/>
    <w:rsid w:val="00837500"/>
    <w:rsid w:val="00837517"/>
    <w:rsid w:val="0083780A"/>
    <w:rsid w:val="008378FA"/>
    <w:rsid w:val="00837B03"/>
    <w:rsid w:val="00837D05"/>
    <w:rsid w:val="00840084"/>
    <w:rsid w:val="008401BF"/>
    <w:rsid w:val="0084060B"/>
    <w:rsid w:val="00840944"/>
    <w:rsid w:val="00840C72"/>
    <w:rsid w:val="00840CE2"/>
    <w:rsid w:val="00841437"/>
    <w:rsid w:val="008415CE"/>
    <w:rsid w:val="008415F3"/>
    <w:rsid w:val="00841632"/>
    <w:rsid w:val="008416D0"/>
    <w:rsid w:val="008416DC"/>
    <w:rsid w:val="00841706"/>
    <w:rsid w:val="0084191A"/>
    <w:rsid w:val="00841998"/>
    <w:rsid w:val="00841B15"/>
    <w:rsid w:val="00841D49"/>
    <w:rsid w:val="00842067"/>
    <w:rsid w:val="0084225E"/>
    <w:rsid w:val="008422A6"/>
    <w:rsid w:val="0084265B"/>
    <w:rsid w:val="008427D1"/>
    <w:rsid w:val="00842895"/>
    <w:rsid w:val="008429BC"/>
    <w:rsid w:val="00842A76"/>
    <w:rsid w:val="00842B1B"/>
    <w:rsid w:val="00842E2F"/>
    <w:rsid w:val="00842E37"/>
    <w:rsid w:val="00843101"/>
    <w:rsid w:val="00843181"/>
    <w:rsid w:val="008431CB"/>
    <w:rsid w:val="008431D7"/>
    <w:rsid w:val="008431F7"/>
    <w:rsid w:val="008432DB"/>
    <w:rsid w:val="008433B3"/>
    <w:rsid w:val="00843553"/>
    <w:rsid w:val="0084357B"/>
    <w:rsid w:val="008436A2"/>
    <w:rsid w:val="00843A4E"/>
    <w:rsid w:val="00843D9D"/>
    <w:rsid w:val="00843FBB"/>
    <w:rsid w:val="008443D0"/>
    <w:rsid w:val="0084445A"/>
    <w:rsid w:val="0084466C"/>
    <w:rsid w:val="00844E01"/>
    <w:rsid w:val="00844EB4"/>
    <w:rsid w:val="00844FB6"/>
    <w:rsid w:val="00845101"/>
    <w:rsid w:val="0084555C"/>
    <w:rsid w:val="008455D8"/>
    <w:rsid w:val="00845635"/>
    <w:rsid w:val="0084578D"/>
    <w:rsid w:val="00845841"/>
    <w:rsid w:val="0084589F"/>
    <w:rsid w:val="00845AA3"/>
    <w:rsid w:val="00845B34"/>
    <w:rsid w:val="00845D10"/>
    <w:rsid w:val="00845E99"/>
    <w:rsid w:val="00845FD9"/>
    <w:rsid w:val="0084606F"/>
    <w:rsid w:val="00846407"/>
    <w:rsid w:val="00846556"/>
    <w:rsid w:val="00846630"/>
    <w:rsid w:val="0084685B"/>
    <w:rsid w:val="00846E7C"/>
    <w:rsid w:val="00847385"/>
    <w:rsid w:val="0084745B"/>
    <w:rsid w:val="008478D9"/>
    <w:rsid w:val="00847AA4"/>
    <w:rsid w:val="00847B5A"/>
    <w:rsid w:val="00847DB9"/>
    <w:rsid w:val="00847DC7"/>
    <w:rsid w:val="00847F0C"/>
    <w:rsid w:val="00847F41"/>
    <w:rsid w:val="00847FF8"/>
    <w:rsid w:val="008504A1"/>
    <w:rsid w:val="0085092B"/>
    <w:rsid w:val="00850EF4"/>
    <w:rsid w:val="00851103"/>
    <w:rsid w:val="008517CD"/>
    <w:rsid w:val="0085188E"/>
    <w:rsid w:val="00851A1B"/>
    <w:rsid w:val="00851DC4"/>
    <w:rsid w:val="00851F05"/>
    <w:rsid w:val="00851F21"/>
    <w:rsid w:val="00852500"/>
    <w:rsid w:val="00852A01"/>
    <w:rsid w:val="00852E1B"/>
    <w:rsid w:val="00852E3A"/>
    <w:rsid w:val="00852E9A"/>
    <w:rsid w:val="00852FC8"/>
    <w:rsid w:val="00853114"/>
    <w:rsid w:val="00853193"/>
    <w:rsid w:val="008532F8"/>
    <w:rsid w:val="00853463"/>
    <w:rsid w:val="008537B1"/>
    <w:rsid w:val="008537CB"/>
    <w:rsid w:val="00853A31"/>
    <w:rsid w:val="00853A6C"/>
    <w:rsid w:val="00853C2F"/>
    <w:rsid w:val="00853C72"/>
    <w:rsid w:val="00853E99"/>
    <w:rsid w:val="0085404F"/>
    <w:rsid w:val="00854051"/>
    <w:rsid w:val="0085416B"/>
    <w:rsid w:val="00854384"/>
    <w:rsid w:val="00854465"/>
    <w:rsid w:val="008546AE"/>
    <w:rsid w:val="00854CC5"/>
    <w:rsid w:val="00854D6E"/>
    <w:rsid w:val="00854E2E"/>
    <w:rsid w:val="00854F8C"/>
    <w:rsid w:val="00854FF8"/>
    <w:rsid w:val="00855704"/>
    <w:rsid w:val="0085570F"/>
    <w:rsid w:val="00855F0F"/>
    <w:rsid w:val="008560C6"/>
    <w:rsid w:val="00856111"/>
    <w:rsid w:val="0085655F"/>
    <w:rsid w:val="00856566"/>
    <w:rsid w:val="00856605"/>
    <w:rsid w:val="00856606"/>
    <w:rsid w:val="0085671B"/>
    <w:rsid w:val="00856C39"/>
    <w:rsid w:val="00856C9E"/>
    <w:rsid w:val="00856CBB"/>
    <w:rsid w:val="008570F9"/>
    <w:rsid w:val="00857A1A"/>
    <w:rsid w:val="00857E2D"/>
    <w:rsid w:val="00857ED5"/>
    <w:rsid w:val="0086064D"/>
    <w:rsid w:val="00860685"/>
    <w:rsid w:val="00860994"/>
    <w:rsid w:val="00860AF4"/>
    <w:rsid w:val="00860B6F"/>
    <w:rsid w:val="00860B93"/>
    <w:rsid w:val="00860F53"/>
    <w:rsid w:val="00860FB4"/>
    <w:rsid w:val="0086184A"/>
    <w:rsid w:val="00861C0C"/>
    <w:rsid w:val="00861D56"/>
    <w:rsid w:val="00861E10"/>
    <w:rsid w:val="00861F4A"/>
    <w:rsid w:val="008622B0"/>
    <w:rsid w:val="008624B0"/>
    <w:rsid w:val="00862A85"/>
    <w:rsid w:val="00862C44"/>
    <w:rsid w:val="00862FB3"/>
    <w:rsid w:val="0086310A"/>
    <w:rsid w:val="00863218"/>
    <w:rsid w:val="008634A5"/>
    <w:rsid w:val="00863617"/>
    <w:rsid w:val="0086384D"/>
    <w:rsid w:val="00863DE6"/>
    <w:rsid w:val="00864027"/>
    <w:rsid w:val="00864432"/>
    <w:rsid w:val="008646CC"/>
    <w:rsid w:val="0086495F"/>
    <w:rsid w:val="00864986"/>
    <w:rsid w:val="00864A2A"/>
    <w:rsid w:val="00864B75"/>
    <w:rsid w:val="00864BF7"/>
    <w:rsid w:val="0086512C"/>
    <w:rsid w:val="008651A4"/>
    <w:rsid w:val="00865433"/>
    <w:rsid w:val="0086561D"/>
    <w:rsid w:val="00865701"/>
    <w:rsid w:val="00865710"/>
    <w:rsid w:val="0086592D"/>
    <w:rsid w:val="00865A66"/>
    <w:rsid w:val="008660A1"/>
    <w:rsid w:val="00866227"/>
    <w:rsid w:val="008662E1"/>
    <w:rsid w:val="008663E2"/>
    <w:rsid w:val="00866537"/>
    <w:rsid w:val="0086664C"/>
    <w:rsid w:val="008666F6"/>
    <w:rsid w:val="00866AED"/>
    <w:rsid w:val="00866C26"/>
    <w:rsid w:val="00866FB0"/>
    <w:rsid w:val="008670CB"/>
    <w:rsid w:val="008672F7"/>
    <w:rsid w:val="0086734E"/>
    <w:rsid w:val="00867439"/>
    <w:rsid w:val="008676B3"/>
    <w:rsid w:val="008678A4"/>
    <w:rsid w:val="0086798A"/>
    <w:rsid w:val="00867C36"/>
    <w:rsid w:val="00867C58"/>
    <w:rsid w:val="00867D9E"/>
    <w:rsid w:val="00867DCF"/>
    <w:rsid w:val="0087002A"/>
    <w:rsid w:val="008702DA"/>
    <w:rsid w:val="008702E7"/>
    <w:rsid w:val="008705F9"/>
    <w:rsid w:val="00870971"/>
    <w:rsid w:val="008709D3"/>
    <w:rsid w:val="008709F4"/>
    <w:rsid w:val="00870DA9"/>
    <w:rsid w:val="00870E02"/>
    <w:rsid w:val="00870E58"/>
    <w:rsid w:val="008714F2"/>
    <w:rsid w:val="0087151D"/>
    <w:rsid w:val="00871C7D"/>
    <w:rsid w:val="0087217C"/>
    <w:rsid w:val="008723E0"/>
    <w:rsid w:val="00872B25"/>
    <w:rsid w:val="00872C0D"/>
    <w:rsid w:val="00872D8F"/>
    <w:rsid w:val="00872F97"/>
    <w:rsid w:val="00873173"/>
    <w:rsid w:val="00873243"/>
    <w:rsid w:val="008732C6"/>
    <w:rsid w:val="00873528"/>
    <w:rsid w:val="0087353E"/>
    <w:rsid w:val="0087353F"/>
    <w:rsid w:val="0087379F"/>
    <w:rsid w:val="0087438E"/>
    <w:rsid w:val="0087447E"/>
    <w:rsid w:val="008747B5"/>
    <w:rsid w:val="00874A5E"/>
    <w:rsid w:val="00874CBA"/>
    <w:rsid w:val="00874CF1"/>
    <w:rsid w:val="00874D5C"/>
    <w:rsid w:val="00874E58"/>
    <w:rsid w:val="008752B0"/>
    <w:rsid w:val="00875312"/>
    <w:rsid w:val="0087537E"/>
    <w:rsid w:val="00875412"/>
    <w:rsid w:val="008754DD"/>
    <w:rsid w:val="0087551D"/>
    <w:rsid w:val="00875578"/>
    <w:rsid w:val="008757C8"/>
    <w:rsid w:val="008758C5"/>
    <w:rsid w:val="00875BE1"/>
    <w:rsid w:val="00875CB1"/>
    <w:rsid w:val="00875EC5"/>
    <w:rsid w:val="00875F03"/>
    <w:rsid w:val="0087608D"/>
    <w:rsid w:val="00876109"/>
    <w:rsid w:val="008762A8"/>
    <w:rsid w:val="00876689"/>
    <w:rsid w:val="00876926"/>
    <w:rsid w:val="00876A59"/>
    <w:rsid w:val="00876CB9"/>
    <w:rsid w:val="00876D0C"/>
    <w:rsid w:val="00876ECD"/>
    <w:rsid w:val="00877403"/>
    <w:rsid w:val="00877485"/>
    <w:rsid w:val="008777D2"/>
    <w:rsid w:val="00877A0B"/>
    <w:rsid w:val="00877AA5"/>
    <w:rsid w:val="00877C0C"/>
    <w:rsid w:val="00880435"/>
    <w:rsid w:val="00880450"/>
    <w:rsid w:val="00880535"/>
    <w:rsid w:val="0088066A"/>
    <w:rsid w:val="00880888"/>
    <w:rsid w:val="00880956"/>
    <w:rsid w:val="00880A11"/>
    <w:rsid w:val="00880A3C"/>
    <w:rsid w:val="00880E14"/>
    <w:rsid w:val="00880EEC"/>
    <w:rsid w:val="00881196"/>
    <w:rsid w:val="008811C3"/>
    <w:rsid w:val="0088141C"/>
    <w:rsid w:val="0088151B"/>
    <w:rsid w:val="0088159A"/>
    <w:rsid w:val="00881692"/>
    <w:rsid w:val="008818AC"/>
    <w:rsid w:val="00881B36"/>
    <w:rsid w:val="00881D32"/>
    <w:rsid w:val="00881EDB"/>
    <w:rsid w:val="00881EFC"/>
    <w:rsid w:val="008820C8"/>
    <w:rsid w:val="00882514"/>
    <w:rsid w:val="008827B5"/>
    <w:rsid w:val="008827EF"/>
    <w:rsid w:val="0088298D"/>
    <w:rsid w:val="00882A88"/>
    <w:rsid w:val="00882AE7"/>
    <w:rsid w:val="00882D50"/>
    <w:rsid w:val="00882FF9"/>
    <w:rsid w:val="00883061"/>
    <w:rsid w:val="00883203"/>
    <w:rsid w:val="00883551"/>
    <w:rsid w:val="008837DE"/>
    <w:rsid w:val="00883AAF"/>
    <w:rsid w:val="00883AD5"/>
    <w:rsid w:val="00883B7B"/>
    <w:rsid w:val="00883C1B"/>
    <w:rsid w:val="00883D01"/>
    <w:rsid w:val="00883E4C"/>
    <w:rsid w:val="00883FF9"/>
    <w:rsid w:val="00884002"/>
    <w:rsid w:val="0088411F"/>
    <w:rsid w:val="00884183"/>
    <w:rsid w:val="00884381"/>
    <w:rsid w:val="00884422"/>
    <w:rsid w:val="00884587"/>
    <w:rsid w:val="00884589"/>
    <w:rsid w:val="008845AA"/>
    <w:rsid w:val="00884744"/>
    <w:rsid w:val="00884762"/>
    <w:rsid w:val="008847CD"/>
    <w:rsid w:val="00884B18"/>
    <w:rsid w:val="00884B23"/>
    <w:rsid w:val="00884CFB"/>
    <w:rsid w:val="00885137"/>
    <w:rsid w:val="008852C2"/>
    <w:rsid w:val="008854A1"/>
    <w:rsid w:val="0088583B"/>
    <w:rsid w:val="00885A60"/>
    <w:rsid w:val="00885E09"/>
    <w:rsid w:val="00886013"/>
    <w:rsid w:val="0088609E"/>
    <w:rsid w:val="00886179"/>
    <w:rsid w:val="00886560"/>
    <w:rsid w:val="0088671C"/>
    <w:rsid w:val="00886AFA"/>
    <w:rsid w:val="00886CB6"/>
    <w:rsid w:val="0088731C"/>
    <w:rsid w:val="00887618"/>
    <w:rsid w:val="00887671"/>
    <w:rsid w:val="008879DA"/>
    <w:rsid w:val="00887AFE"/>
    <w:rsid w:val="00887CC6"/>
    <w:rsid w:val="008900E5"/>
    <w:rsid w:val="008902C5"/>
    <w:rsid w:val="00890349"/>
    <w:rsid w:val="008903B5"/>
    <w:rsid w:val="00890623"/>
    <w:rsid w:val="00890879"/>
    <w:rsid w:val="00890938"/>
    <w:rsid w:val="00890D4C"/>
    <w:rsid w:val="00891209"/>
    <w:rsid w:val="008912A1"/>
    <w:rsid w:val="0089163B"/>
    <w:rsid w:val="00891857"/>
    <w:rsid w:val="008918E4"/>
    <w:rsid w:val="00891B3C"/>
    <w:rsid w:val="00891C49"/>
    <w:rsid w:val="00891D43"/>
    <w:rsid w:val="00891E8E"/>
    <w:rsid w:val="00891FB7"/>
    <w:rsid w:val="00892104"/>
    <w:rsid w:val="0089229E"/>
    <w:rsid w:val="008923AF"/>
    <w:rsid w:val="008923DB"/>
    <w:rsid w:val="008924DF"/>
    <w:rsid w:val="008924FE"/>
    <w:rsid w:val="0089264B"/>
    <w:rsid w:val="00892778"/>
    <w:rsid w:val="008927B4"/>
    <w:rsid w:val="008927B7"/>
    <w:rsid w:val="00892C06"/>
    <w:rsid w:val="00892D90"/>
    <w:rsid w:val="00892E2A"/>
    <w:rsid w:val="00892FCA"/>
    <w:rsid w:val="008933CF"/>
    <w:rsid w:val="00893472"/>
    <w:rsid w:val="00893496"/>
    <w:rsid w:val="00893557"/>
    <w:rsid w:val="00893575"/>
    <w:rsid w:val="00893629"/>
    <w:rsid w:val="00893ADE"/>
    <w:rsid w:val="00893B28"/>
    <w:rsid w:val="00894074"/>
    <w:rsid w:val="0089418D"/>
    <w:rsid w:val="0089437C"/>
    <w:rsid w:val="008943E0"/>
    <w:rsid w:val="00894787"/>
    <w:rsid w:val="00894DC5"/>
    <w:rsid w:val="00895184"/>
    <w:rsid w:val="0089521F"/>
    <w:rsid w:val="00895695"/>
    <w:rsid w:val="00895795"/>
    <w:rsid w:val="0089583F"/>
    <w:rsid w:val="00895942"/>
    <w:rsid w:val="00895E60"/>
    <w:rsid w:val="0089601B"/>
    <w:rsid w:val="00896091"/>
    <w:rsid w:val="0089642E"/>
    <w:rsid w:val="008966EB"/>
    <w:rsid w:val="0089674F"/>
    <w:rsid w:val="00896752"/>
    <w:rsid w:val="0089675E"/>
    <w:rsid w:val="00896796"/>
    <w:rsid w:val="0089696C"/>
    <w:rsid w:val="00896BE2"/>
    <w:rsid w:val="00896C21"/>
    <w:rsid w:val="00896FE0"/>
    <w:rsid w:val="00897180"/>
    <w:rsid w:val="0089726C"/>
    <w:rsid w:val="008977C8"/>
    <w:rsid w:val="008977DD"/>
    <w:rsid w:val="00897A2D"/>
    <w:rsid w:val="00897A71"/>
    <w:rsid w:val="00897D39"/>
    <w:rsid w:val="00897D74"/>
    <w:rsid w:val="00897DA9"/>
    <w:rsid w:val="00897DEA"/>
    <w:rsid w:val="00897E8C"/>
    <w:rsid w:val="008A027C"/>
    <w:rsid w:val="008A03D2"/>
    <w:rsid w:val="008A05F8"/>
    <w:rsid w:val="008A0975"/>
    <w:rsid w:val="008A09AB"/>
    <w:rsid w:val="008A0C25"/>
    <w:rsid w:val="008A0EA7"/>
    <w:rsid w:val="008A0F07"/>
    <w:rsid w:val="008A17D1"/>
    <w:rsid w:val="008A186F"/>
    <w:rsid w:val="008A1A1F"/>
    <w:rsid w:val="008A1C82"/>
    <w:rsid w:val="008A2294"/>
    <w:rsid w:val="008A23E7"/>
    <w:rsid w:val="008A26A7"/>
    <w:rsid w:val="008A28EB"/>
    <w:rsid w:val="008A2941"/>
    <w:rsid w:val="008A2B52"/>
    <w:rsid w:val="008A2CD0"/>
    <w:rsid w:val="008A2D55"/>
    <w:rsid w:val="008A2D80"/>
    <w:rsid w:val="008A3434"/>
    <w:rsid w:val="008A3956"/>
    <w:rsid w:val="008A3ACD"/>
    <w:rsid w:val="008A3E53"/>
    <w:rsid w:val="008A3F70"/>
    <w:rsid w:val="008A4677"/>
    <w:rsid w:val="008A4736"/>
    <w:rsid w:val="008A48DF"/>
    <w:rsid w:val="008A4993"/>
    <w:rsid w:val="008A4C40"/>
    <w:rsid w:val="008A4EAA"/>
    <w:rsid w:val="008A502E"/>
    <w:rsid w:val="008A5120"/>
    <w:rsid w:val="008A52D0"/>
    <w:rsid w:val="008A52F6"/>
    <w:rsid w:val="008A53FE"/>
    <w:rsid w:val="008A550A"/>
    <w:rsid w:val="008A561D"/>
    <w:rsid w:val="008A588E"/>
    <w:rsid w:val="008A5BBE"/>
    <w:rsid w:val="008A5D05"/>
    <w:rsid w:val="008A5D38"/>
    <w:rsid w:val="008A5D75"/>
    <w:rsid w:val="008A5DA8"/>
    <w:rsid w:val="008A5E38"/>
    <w:rsid w:val="008A5F18"/>
    <w:rsid w:val="008A609C"/>
    <w:rsid w:val="008A6380"/>
    <w:rsid w:val="008A6A3C"/>
    <w:rsid w:val="008A6A7F"/>
    <w:rsid w:val="008A6A94"/>
    <w:rsid w:val="008A6B31"/>
    <w:rsid w:val="008A6E5A"/>
    <w:rsid w:val="008A6EA3"/>
    <w:rsid w:val="008A7478"/>
    <w:rsid w:val="008A791E"/>
    <w:rsid w:val="008A7981"/>
    <w:rsid w:val="008A79CE"/>
    <w:rsid w:val="008A79E9"/>
    <w:rsid w:val="008A7CD0"/>
    <w:rsid w:val="008A7E27"/>
    <w:rsid w:val="008A7EBF"/>
    <w:rsid w:val="008A7FBD"/>
    <w:rsid w:val="008B0034"/>
    <w:rsid w:val="008B0063"/>
    <w:rsid w:val="008B0462"/>
    <w:rsid w:val="008B077D"/>
    <w:rsid w:val="008B08BB"/>
    <w:rsid w:val="008B0A1F"/>
    <w:rsid w:val="008B0A72"/>
    <w:rsid w:val="008B0E00"/>
    <w:rsid w:val="008B1231"/>
    <w:rsid w:val="008B137F"/>
    <w:rsid w:val="008B14AF"/>
    <w:rsid w:val="008B1864"/>
    <w:rsid w:val="008B191C"/>
    <w:rsid w:val="008B1AA9"/>
    <w:rsid w:val="008B1ADD"/>
    <w:rsid w:val="008B1B2D"/>
    <w:rsid w:val="008B1CE1"/>
    <w:rsid w:val="008B1DBD"/>
    <w:rsid w:val="008B1EDE"/>
    <w:rsid w:val="008B1F00"/>
    <w:rsid w:val="008B20A4"/>
    <w:rsid w:val="008B20EF"/>
    <w:rsid w:val="008B2148"/>
    <w:rsid w:val="008B241C"/>
    <w:rsid w:val="008B24E0"/>
    <w:rsid w:val="008B25F2"/>
    <w:rsid w:val="008B2E77"/>
    <w:rsid w:val="008B2EB2"/>
    <w:rsid w:val="008B2FBF"/>
    <w:rsid w:val="008B304D"/>
    <w:rsid w:val="008B3069"/>
    <w:rsid w:val="008B3166"/>
    <w:rsid w:val="008B32ED"/>
    <w:rsid w:val="008B3405"/>
    <w:rsid w:val="008B34FA"/>
    <w:rsid w:val="008B37D8"/>
    <w:rsid w:val="008B37FE"/>
    <w:rsid w:val="008B39F2"/>
    <w:rsid w:val="008B3A4F"/>
    <w:rsid w:val="008B3A56"/>
    <w:rsid w:val="008B3C27"/>
    <w:rsid w:val="008B3F1C"/>
    <w:rsid w:val="008B3F69"/>
    <w:rsid w:val="008B4546"/>
    <w:rsid w:val="008B4763"/>
    <w:rsid w:val="008B49EE"/>
    <w:rsid w:val="008B4C55"/>
    <w:rsid w:val="008B4CF1"/>
    <w:rsid w:val="008B4E9C"/>
    <w:rsid w:val="008B4FE8"/>
    <w:rsid w:val="008B5534"/>
    <w:rsid w:val="008B574D"/>
    <w:rsid w:val="008B59B1"/>
    <w:rsid w:val="008B5E0A"/>
    <w:rsid w:val="008B5E0F"/>
    <w:rsid w:val="008B6128"/>
    <w:rsid w:val="008B6304"/>
    <w:rsid w:val="008B6345"/>
    <w:rsid w:val="008B63B3"/>
    <w:rsid w:val="008B6472"/>
    <w:rsid w:val="008B647D"/>
    <w:rsid w:val="008B68AE"/>
    <w:rsid w:val="008B696E"/>
    <w:rsid w:val="008B6C6B"/>
    <w:rsid w:val="008B6D2E"/>
    <w:rsid w:val="008B6FBA"/>
    <w:rsid w:val="008B70AA"/>
    <w:rsid w:val="008B732C"/>
    <w:rsid w:val="008B7330"/>
    <w:rsid w:val="008B73AE"/>
    <w:rsid w:val="008B7872"/>
    <w:rsid w:val="008B7B81"/>
    <w:rsid w:val="008B7DAD"/>
    <w:rsid w:val="008B7E78"/>
    <w:rsid w:val="008C0421"/>
    <w:rsid w:val="008C046F"/>
    <w:rsid w:val="008C066C"/>
    <w:rsid w:val="008C078A"/>
    <w:rsid w:val="008C0792"/>
    <w:rsid w:val="008C07C3"/>
    <w:rsid w:val="008C0A32"/>
    <w:rsid w:val="008C0B06"/>
    <w:rsid w:val="008C10B3"/>
    <w:rsid w:val="008C10FE"/>
    <w:rsid w:val="008C1620"/>
    <w:rsid w:val="008C16D9"/>
    <w:rsid w:val="008C1795"/>
    <w:rsid w:val="008C181D"/>
    <w:rsid w:val="008C1882"/>
    <w:rsid w:val="008C1F41"/>
    <w:rsid w:val="008C1FB2"/>
    <w:rsid w:val="008C21F1"/>
    <w:rsid w:val="008C265D"/>
    <w:rsid w:val="008C27A7"/>
    <w:rsid w:val="008C286D"/>
    <w:rsid w:val="008C2992"/>
    <w:rsid w:val="008C2D13"/>
    <w:rsid w:val="008C2D2F"/>
    <w:rsid w:val="008C2D69"/>
    <w:rsid w:val="008C2E90"/>
    <w:rsid w:val="008C3079"/>
    <w:rsid w:val="008C3349"/>
    <w:rsid w:val="008C346B"/>
    <w:rsid w:val="008C348C"/>
    <w:rsid w:val="008C34BE"/>
    <w:rsid w:val="008C351E"/>
    <w:rsid w:val="008C3726"/>
    <w:rsid w:val="008C37F3"/>
    <w:rsid w:val="008C3894"/>
    <w:rsid w:val="008C3977"/>
    <w:rsid w:val="008C3A19"/>
    <w:rsid w:val="008C3C9E"/>
    <w:rsid w:val="008C3D59"/>
    <w:rsid w:val="008C3D80"/>
    <w:rsid w:val="008C3DD4"/>
    <w:rsid w:val="008C3FF8"/>
    <w:rsid w:val="008C45E8"/>
    <w:rsid w:val="008C4BEA"/>
    <w:rsid w:val="008C4F70"/>
    <w:rsid w:val="008C54C7"/>
    <w:rsid w:val="008C5505"/>
    <w:rsid w:val="008C57A2"/>
    <w:rsid w:val="008C58DB"/>
    <w:rsid w:val="008C5C01"/>
    <w:rsid w:val="008C5C40"/>
    <w:rsid w:val="008C5DC1"/>
    <w:rsid w:val="008C6090"/>
    <w:rsid w:val="008C60A2"/>
    <w:rsid w:val="008C6242"/>
    <w:rsid w:val="008C6439"/>
    <w:rsid w:val="008C6599"/>
    <w:rsid w:val="008C66C7"/>
    <w:rsid w:val="008C688A"/>
    <w:rsid w:val="008C6AEA"/>
    <w:rsid w:val="008C6E4D"/>
    <w:rsid w:val="008C6FDE"/>
    <w:rsid w:val="008C70B6"/>
    <w:rsid w:val="008C732A"/>
    <w:rsid w:val="008C7679"/>
    <w:rsid w:val="008C794B"/>
    <w:rsid w:val="008C7C9B"/>
    <w:rsid w:val="008D02B9"/>
    <w:rsid w:val="008D03F9"/>
    <w:rsid w:val="008D0406"/>
    <w:rsid w:val="008D05E4"/>
    <w:rsid w:val="008D0672"/>
    <w:rsid w:val="008D06C1"/>
    <w:rsid w:val="008D077E"/>
    <w:rsid w:val="008D0C18"/>
    <w:rsid w:val="008D0D54"/>
    <w:rsid w:val="008D0E25"/>
    <w:rsid w:val="008D0FE6"/>
    <w:rsid w:val="008D12CA"/>
    <w:rsid w:val="008D1340"/>
    <w:rsid w:val="008D1455"/>
    <w:rsid w:val="008D16CA"/>
    <w:rsid w:val="008D1946"/>
    <w:rsid w:val="008D198A"/>
    <w:rsid w:val="008D1AA5"/>
    <w:rsid w:val="008D242D"/>
    <w:rsid w:val="008D2494"/>
    <w:rsid w:val="008D275A"/>
    <w:rsid w:val="008D282E"/>
    <w:rsid w:val="008D2916"/>
    <w:rsid w:val="008D2AB7"/>
    <w:rsid w:val="008D2AC6"/>
    <w:rsid w:val="008D2DB9"/>
    <w:rsid w:val="008D321B"/>
    <w:rsid w:val="008D3432"/>
    <w:rsid w:val="008D3438"/>
    <w:rsid w:val="008D3A4A"/>
    <w:rsid w:val="008D3B3B"/>
    <w:rsid w:val="008D3C62"/>
    <w:rsid w:val="008D3C90"/>
    <w:rsid w:val="008D3D93"/>
    <w:rsid w:val="008D3F1F"/>
    <w:rsid w:val="008D427C"/>
    <w:rsid w:val="008D49E4"/>
    <w:rsid w:val="008D4A83"/>
    <w:rsid w:val="008D4CD0"/>
    <w:rsid w:val="008D4F54"/>
    <w:rsid w:val="008D4F74"/>
    <w:rsid w:val="008D5237"/>
    <w:rsid w:val="008D5297"/>
    <w:rsid w:val="008D5340"/>
    <w:rsid w:val="008D577B"/>
    <w:rsid w:val="008D58D4"/>
    <w:rsid w:val="008D59CA"/>
    <w:rsid w:val="008D5ABB"/>
    <w:rsid w:val="008D5B3F"/>
    <w:rsid w:val="008D5D0F"/>
    <w:rsid w:val="008D5DE3"/>
    <w:rsid w:val="008D6012"/>
    <w:rsid w:val="008D6114"/>
    <w:rsid w:val="008D630F"/>
    <w:rsid w:val="008D636F"/>
    <w:rsid w:val="008D68EC"/>
    <w:rsid w:val="008D6A8E"/>
    <w:rsid w:val="008D703A"/>
    <w:rsid w:val="008D706F"/>
    <w:rsid w:val="008D795E"/>
    <w:rsid w:val="008D7C8B"/>
    <w:rsid w:val="008D7EA8"/>
    <w:rsid w:val="008E005F"/>
    <w:rsid w:val="008E00A7"/>
    <w:rsid w:val="008E030C"/>
    <w:rsid w:val="008E069A"/>
    <w:rsid w:val="008E06DC"/>
    <w:rsid w:val="008E08B3"/>
    <w:rsid w:val="008E0B33"/>
    <w:rsid w:val="008E0EA8"/>
    <w:rsid w:val="008E0F44"/>
    <w:rsid w:val="008E10B6"/>
    <w:rsid w:val="008E154B"/>
    <w:rsid w:val="008E1778"/>
    <w:rsid w:val="008E1A42"/>
    <w:rsid w:val="008E1B40"/>
    <w:rsid w:val="008E1E7A"/>
    <w:rsid w:val="008E205A"/>
    <w:rsid w:val="008E212B"/>
    <w:rsid w:val="008E22EB"/>
    <w:rsid w:val="008E23BB"/>
    <w:rsid w:val="008E2411"/>
    <w:rsid w:val="008E257A"/>
    <w:rsid w:val="008E2845"/>
    <w:rsid w:val="008E28ED"/>
    <w:rsid w:val="008E2C10"/>
    <w:rsid w:val="008E2C5C"/>
    <w:rsid w:val="008E2CE9"/>
    <w:rsid w:val="008E2D8B"/>
    <w:rsid w:val="008E2DF8"/>
    <w:rsid w:val="008E2E00"/>
    <w:rsid w:val="008E2F2F"/>
    <w:rsid w:val="008E2F32"/>
    <w:rsid w:val="008E30C2"/>
    <w:rsid w:val="008E317D"/>
    <w:rsid w:val="008E33D1"/>
    <w:rsid w:val="008E34F5"/>
    <w:rsid w:val="008E3886"/>
    <w:rsid w:val="008E39E9"/>
    <w:rsid w:val="008E3A6A"/>
    <w:rsid w:val="008E406A"/>
    <w:rsid w:val="008E40A4"/>
    <w:rsid w:val="008E40E4"/>
    <w:rsid w:val="008E41CD"/>
    <w:rsid w:val="008E479E"/>
    <w:rsid w:val="008E47F4"/>
    <w:rsid w:val="008E482A"/>
    <w:rsid w:val="008E4A7D"/>
    <w:rsid w:val="008E4B53"/>
    <w:rsid w:val="008E4B7A"/>
    <w:rsid w:val="008E4C46"/>
    <w:rsid w:val="008E4D83"/>
    <w:rsid w:val="008E4DE5"/>
    <w:rsid w:val="008E5335"/>
    <w:rsid w:val="008E563B"/>
    <w:rsid w:val="008E5884"/>
    <w:rsid w:val="008E5E55"/>
    <w:rsid w:val="008E5F34"/>
    <w:rsid w:val="008E6052"/>
    <w:rsid w:val="008E6364"/>
    <w:rsid w:val="008E660F"/>
    <w:rsid w:val="008E71D3"/>
    <w:rsid w:val="008E7200"/>
    <w:rsid w:val="008E742B"/>
    <w:rsid w:val="008E785A"/>
    <w:rsid w:val="008E79AA"/>
    <w:rsid w:val="008E7C79"/>
    <w:rsid w:val="008F039F"/>
    <w:rsid w:val="008F0405"/>
    <w:rsid w:val="008F0448"/>
    <w:rsid w:val="008F0AA6"/>
    <w:rsid w:val="008F0DD1"/>
    <w:rsid w:val="008F0F1C"/>
    <w:rsid w:val="008F1503"/>
    <w:rsid w:val="008F1625"/>
    <w:rsid w:val="008F191E"/>
    <w:rsid w:val="008F1ADF"/>
    <w:rsid w:val="008F1CF0"/>
    <w:rsid w:val="008F1F86"/>
    <w:rsid w:val="008F208E"/>
    <w:rsid w:val="008F2127"/>
    <w:rsid w:val="008F234D"/>
    <w:rsid w:val="008F2445"/>
    <w:rsid w:val="008F24AE"/>
    <w:rsid w:val="008F251E"/>
    <w:rsid w:val="008F2CA5"/>
    <w:rsid w:val="008F2DD8"/>
    <w:rsid w:val="008F2E5E"/>
    <w:rsid w:val="008F2F4F"/>
    <w:rsid w:val="008F2F8C"/>
    <w:rsid w:val="008F32C9"/>
    <w:rsid w:val="008F331B"/>
    <w:rsid w:val="008F35E0"/>
    <w:rsid w:val="008F392B"/>
    <w:rsid w:val="008F3C71"/>
    <w:rsid w:val="008F3DC3"/>
    <w:rsid w:val="008F446B"/>
    <w:rsid w:val="008F44DB"/>
    <w:rsid w:val="008F47CD"/>
    <w:rsid w:val="008F4A57"/>
    <w:rsid w:val="008F4E60"/>
    <w:rsid w:val="008F4EB3"/>
    <w:rsid w:val="008F51C1"/>
    <w:rsid w:val="008F525D"/>
    <w:rsid w:val="008F548F"/>
    <w:rsid w:val="008F5528"/>
    <w:rsid w:val="008F560C"/>
    <w:rsid w:val="008F5679"/>
    <w:rsid w:val="008F57FE"/>
    <w:rsid w:val="008F58D3"/>
    <w:rsid w:val="008F5925"/>
    <w:rsid w:val="008F5939"/>
    <w:rsid w:val="008F5A22"/>
    <w:rsid w:val="008F5E04"/>
    <w:rsid w:val="008F5FC6"/>
    <w:rsid w:val="008F649A"/>
    <w:rsid w:val="008F68C5"/>
    <w:rsid w:val="008F6BD5"/>
    <w:rsid w:val="008F6D10"/>
    <w:rsid w:val="008F6DEB"/>
    <w:rsid w:val="008F6EDF"/>
    <w:rsid w:val="008F6F6C"/>
    <w:rsid w:val="008F7065"/>
    <w:rsid w:val="008F731C"/>
    <w:rsid w:val="008F765D"/>
    <w:rsid w:val="008F79AE"/>
    <w:rsid w:val="008F7A0A"/>
    <w:rsid w:val="008F7AC6"/>
    <w:rsid w:val="008F7C15"/>
    <w:rsid w:val="008F7E1F"/>
    <w:rsid w:val="008F7E82"/>
    <w:rsid w:val="008F7FDD"/>
    <w:rsid w:val="00900181"/>
    <w:rsid w:val="009001A4"/>
    <w:rsid w:val="009004D3"/>
    <w:rsid w:val="009004E5"/>
    <w:rsid w:val="00900500"/>
    <w:rsid w:val="009005D6"/>
    <w:rsid w:val="00900699"/>
    <w:rsid w:val="00900A5B"/>
    <w:rsid w:val="00900B32"/>
    <w:rsid w:val="00900B53"/>
    <w:rsid w:val="00900C9C"/>
    <w:rsid w:val="00900E55"/>
    <w:rsid w:val="0090117E"/>
    <w:rsid w:val="00901E3B"/>
    <w:rsid w:val="00901F4B"/>
    <w:rsid w:val="00901F56"/>
    <w:rsid w:val="00901FA4"/>
    <w:rsid w:val="00901FC4"/>
    <w:rsid w:val="00902054"/>
    <w:rsid w:val="00902178"/>
    <w:rsid w:val="009022A6"/>
    <w:rsid w:val="00902351"/>
    <w:rsid w:val="00902526"/>
    <w:rsid w:val="009027E1"/>
    <w:rsid w:val="009029C2"/>
    <w:rsid w:val="00902D4E"/>
    <w:rsid w:val="00902DE0"/>
    <w:rsid w:val="00902E3F"/>
    <w:rsid w:val="00902F23"/>
    <w:rsid w:val="00902F3C"/>
    <w:rsid w:val="009030F9"/>
    <w:rsid w:val="0090312C"/>
    <w:rsid w:val="009033D8"/>
    <w:rsid w:val="0090350C"/>
    <w:rsid w:val="009035E7"/>
    <w:rsid w:val="009035F2"/>
    <w:rsid w:val="00903787"/>
    <w:rsid w:val="00903891"/>
    <w:rsid w:val="00903A18"/>
    <w:rsid w:val="00903C16"/>
    <w:rsid w:val="00903E10"/>
    <w:rsid w:val="00903EE3"/>
    <w:rsid w:val="00903F2D"/>
    <w:rsid w:val="00904397"/>
    <w:rsid w:val="009046C3"/>
    <w:rsid w:val="0090472D"/>
    <w:rsid w:val="0090478E"/>
    <w:rsid w:val="00904D56"/>
    <w:rsid w:val="00904E06"/>
    <w:rsid w:val="00904EFD"/>
    <w:rsid w:val="009051EB"/>
    <w:rsid w:val="0090533E"/>
    <w:rsid w:val="00905532"/>
    <w:rsid w:val="00905B9D"/>
    <w:rsid w:val="00905D49"/>
    <w:rsid w:val="00905D76"/>
    <w:rsid w:val="00905DA0"/>
    <w:rsid w:val="00905F97"/>
    <w:rsid w:val="009060C1"/>
    <w:rsid w:val="00906113"/>
    <w:rsid w:val="00906190"/>
    <w:rsid w:val="009061EB"/>
    <w:rsid w:val="00906428"/>
    <w:rsid w:val="009064FB"/>
    <w:rsid w:val="00906699"/>
    <w:rsid w:val="009067EC"/>
    <w:rsid w:val="009068DB"/>
    <w:rsid w:val="00906B8B"/>
    <w:rsid w:val="00906E81"/>
    <w:rsid w:val="00906F09"/>
    <w:rsid w:val="00906F13"/>
    <w:rsid w:val="00907191"/>
    <w:rsid w:val="009071B1"/>
    <w:rsid w:val="009072F3"/>
    <w:rsid w:val="009078BD"/>
    <w:rsid w:val="00907A0A"/>
    <w:rsid w:val="00907A3E"/>
    <w:rsid w:val="00907A48"/>
    <w:rsid w:val="00907BF5"/>
    <w:rsid w:val="00907F6B"/>
    <w:rsid w:val="009100C4"/>
    <w:rsid w:val="009100E0"/>
    <w:rsid w:val="0091015B"/>
    <w:rsid w:val="00910274"/>
    <w:rsid w:val="009105E1"/>
    <w:rsid w:val="009105F1"/>
    <w:rsid w:val="00910A67"/>
    <w:rsid w:val="00911109"/>
    <w:rsid w:val="009113AA"/>
    <w:rsid w:val="00911472"/>
    <w:rsid w:val="0091185A"/>
    <w:rsid w:val="00911EA0"/>
    <w:rsid w:val="00911F27"/>
    <w:rsid w:val="00911FBC"/>
    <w:rsid w:val="0091218D"/>
    <w:rsid w:val="0091233F"/>
    <w:rsid w:val="0091239B"/>
    <w:rsid w:val="00912902"/>
    <w:rsid w:val="00912AE1"/>
    <w:rsid w:val="00912C1B"/>
    <w:rsid w:val="00912CBD"/>
    <w:rsid w:val="00913572"/>
    <w:rsid w:val="00913A57"/>
    <w:rsid w:val="00913AB0"/>
    <w:rsid w:val="00913D52"/>
    <w:rsid w:val="00913D8B"/>
    <w:rsid w:val="009141C4"/>
    <w:rsid w:val="009144E1"/>
    <w:rsid w:val="00914526"/>
    <w:rsid w:val="00914750"/>
    <w:rsid w:val="00914941"/>
    <w:rsid w:val="00914AE7"/>
    <w:rsid w:val="00914EF1"/>
    <w:rsid w:val="0091511D"/>
    <w:rsid w:val="00915129"/>
    <w:rsid w:val="00915196"/>
    <w:rsid w:val="009152D4"/>
    <w:rsid w:val="009153A9"/>
    <w:rsid w:val="0091553C"/>
    <w:rsid w:val="009155C8"/>
    <w:rsid w:val="009158C8"/>
    <w:rsid w:val="009159E2"/>
    <w:rsid w:val="00915C4F"/>
    <w:rsid w:val="00915CEC"/>
    <w:rsid w:val="00916440"/>
    <w:rsid w:val="009168BC"/>
    <w:rsid w:val="00916A3B"/>
    <w:rsid w:val="00916DB2"/>
    <w:rsid w:val="00916FA4"/>
    <w:rsid w:val="0091719D"/>
    <w:rsid w:val="009173D3"/>
    <w:rsid w:val="009174B3"/>
    <w:rsid w:val="00917536"/>
    <w:rsid w:val="009175C7"/>
    <w:rsid w:val="00917618"/>
    <w:rsid w:val="009176E8"/>
    <w:rsid w:val="00917B32"/>
    <w:rsid w:val="00917C49"/>
    <w:rsid w:val="00917CE9"/>
    <w:rsid w:val="00917CEF"/>
    <w:rsid w:val="00917EB0"/>
    <w:rsid w:val="0092031C"/>
    <w:rsid w:val="00920364"/>
    <w:rsid w:val="009203AF"/>
    <w:rsid w:val="0092054C"/>
    <w:rsid w:val="009205C0"/>
    <w:rsid w:val="00920681"/>
    <w:rsid w:val="009206DF"/>
    <w:rsid w:val="009207B0"/>
    <w:rsid w:val="00920902"/>
    <w:rsid w:val="00920A6D"/>
    <w:rsid w:val="00920AD9"/>
    <w:rsid w:val="00920BD8"/>
    <w:rsid w:val="00920CF0"/>
    <w:rsid w:val="00920DC4"/>
    <w:rsid w:val="00920E51"/>
    <w:rsid w:val="009210F0"/>
    <w:rsid w:val="009212BD"/>
    <w:rsid w:val="00921303"/>
    <w:rsid w:val="009215CC"/>
    <w:rsid w:val="00921677"/>
    <w:rsid w:val="009216F9"/>
    <w:rsid w:val="00921D1E"/>
    <w:rsid w:val="00921E14"/>
    <w:rsid w:val="00921FD9"/>
    <w:rsid w:val="009222CE"/>
    <w:rsid w:val="00922300"/>
    <w:rsid w:val="00922336"/>
    <w:rsid w:val="009225E0"/>
    <w:rsid w:val="00922912"/>
    <w:rsid w:val="009229ED"/>
    <w:rsid w:val="00923141"/>
    <w:rsid w:val="00923238"/>
    <w:rsid w:val="0092334C"/>
    <w:rsid w:val="00923380"/>
    <w:rsid w:val="00923609"/>
    <w:rsid w:val="00923744"/>
    <w:rsid w:val="00923850"/>
    <w:rsid w:val="00923D44"/>
    <w:rsid w:val="00924363"/>
    <w:rsid w:val="00924467"/>
    <w:rsid w:val="009246EF"/>
    <w:rsid w:val="009248BC"/>
    <w:rsid w:val="00924955"/>
    <w:rsid w:val="00924A6E"/>
    <w:rsid w:val="00924AD7"/>
    <w:rsid w:val="00924BCE"/>
    <w:rsid w:val="00924C94"/>
    <w:rsid w:val="00924DF4"/>
    <w:rsid w:val="00924E74"/>
    <w:rsid w:val="00924EFC"/>
    <w:rsid w:val="00924F8C"/>
    <w:rsid w:val="00924FF6"/>
    <w:rsid w:val="00925481"/>
    <w:rsid w:val="009256BB"/>
    <w:rsid w:val="00925788"/>
    <w:rsid w:val="0092583B"/>
    <w:rsid w:val="00925843"/>
    <w:rsid w:val="00925965"/>
    <w:rsid w:val="00925DEC"/>
    <w:rsid w:val="00925F21"/>
    <w:rsid w:val="009260C2"/>
    <w:rsid w:val="0092618B"/>
    <w:rsid w:val="009261CA"/>
    <w:rsid w:val="009261DB"/>
    <w:rsid w:val="009262E8"/>
    <w:rsid w:val="009263A1"/>
    <w:rsid w:val="00926842"/>
    <w:rsid w:val="009269CC"/>
    <w:rsid w:val="00926E25"/>
    <w:rsid w:val="00927198"/>
    <w:rsid w:val="009274A6"/>
    <w:rsid w:val="009276FB"/>
    <w:rsid w:val="00927ACA"/>
    <w:rsid w:val="00927F9D"/>
    <w:rsid w:val="009300A4"/>
    <w:rsid w:val="0093084C"/>
    <w:rsid w:val="00930962"/>
    <w:rsid w:val="009309E6"/>
    <w:rsid w:val="00930ACD"/>
    <w:rsid w:val="00930D40"/>
    <w:rsid w:val="00930E20"/>
    <w:rsid w:val="00930E3E"/>
    <w:rsid w:val="00930F9C"/>
    <w:rsid w:val="00931002"/>
    <w:rsid w:val="009315CB"/>
    <w:rsid w:val="00932199"/>
    <w:rsid w:val="00932468"/>
    <w:rsid w:val="00932794"/>
    <w:rsid w:val="00932876"/>
    <w:rsid w:val="009328F3"/>
    <w:rsid w:val="009329BE"/>
    <w:rsid w:val="00932DF0"/>
    <w:rsid w:val="0093328A"/>
    <w:rsid w:val="00933450"/>
    <w:rsid w:val="00933703"/>
    <w:rsid w:val="00933952"/>
    <w:rsid w:val="00933FCA"/>
    <w:rsid w:val="00934014"/>
    <w:rsid w:val="0093434B"/>
    <w:rsid w:val="00934398"/>
    <w:rsid w:val="009344AF"/>
    <w:rsid w:val="009346B6"/>
    <w:rsid w:val="00934B6F"/>
    <w:rsid w:val="00934D3F"/>
    <w:rsid w:val="00935076"/>
    <w:rsid w:val="00935135"/>
    <w:rsid w:val="0093528E"/>
    <w:rsid w:val="0093533E"/>
    <w:rsid w:val="009353F2"/>
    <w:rsid w:val="009358D1"/>
    <w:rsid w:val="0093595A"/>
    <w:rsid w:val="00935A48"/>
    <w:rsid w:val="00935BBA"/>
    <w:rsid w:val="00935D7C"/>
    <w:rsid w:val="00935DD8"/>
    <w:rsid w:val="00935F8D"/>
    <w:rsid w:val="0093612A"/>
    <w:rsid w:val="00936179"/>
    <w:rsid w:val="0093628A"/>
    <w:rsid w:val="009362AF"/>
    <w:rsid w:val="009363AB"/>
    <w:rsid w:val="00936591"/>
    <w:rsid w:val="009367E3"/>
    <w:rsid w:val="00936997"/>
    <w:rsid w:val="009369FB"/>
    <w:rsid w:val="00936B53"/>
    <w:rsid w:val="00936F6B"/>
    <w:rsid w:val="00936F6C"/>
    <w:rsid w:val="00936FAF"/>
    <w:rsid w:val="0093715A"/>
    <w:rsid w:val="009378D8"/>
    <w:rsid w:val="009378DD"/>
    <w:rsid w:val="00937FB7"/>
    <w:rsid w:val="00937FD2"/>
    <w:rsid w:val="009405AF"/>
    <w:rsid w:val="00940871"/>
    <w:rsid w:val="00940A3E"/>
    <w:rsid w:val="00940D96"/>
    <w:rsid w:val="0094147C"/>
    <w:rsid w:val="00941834"/>
    <w:rsid w:val="009418B9"/>
    <w:rsid w:val="00941C20"/>
    <w:rsid w:val="00941C21"/>
    <w:rsid w:val="00941C7D"/>
    <w:rsid w:val="00941F12"/>
    <w:rsid w:val="00942075"/>
    <w:rsid w:val="0094219B"/>
    <w:rsid w:val="0094223F"/>
    <w:rsid w:val="00942881"/>
    <w:rsid w:val="0094296B"/>
    <w:rsid w:val="00942D94"/>
    <w:rsid w:val="00942DB4"/>
    <w:rsid w:val="009434D4"/>
    <w:rsid w:val="0094354D"/>
    <w:rsid w:val="009436FA"/>
    <w:rsid w:val="0094376D"/>
    <w:rsid w:val="00943927"/>
    <w:rsid w:val="00943AFB"/>
    <w:rsid w:val="00943F31"/>
    <w:rsid w:val="0094403D"/>
    <w:rsid w:val="0094404E"/>
    <w:rsid w:val="009440DB"/>
    <w:rsid w:val="00944352"/>
    <w:rsid w:val="00944637"/>
    <w:rsid w:val="009447C1"/>
    <w:rsid w:val="00944BD9"/>
    <w:rsid w:val="00944C53"/>
    <w:rsid w:val="00944CE5"/>
    <w:rsid w:val="00944D7C"/>
    <w:rsid w:val="00945605"/>
    <w:rsid w:val="009456CD"/>
    <w:rsid w:val="009459A4"/>
    <w:rsid w:val="00945AB3"/>
    <w:rsid w:val="00945BCD"/>
    <w:rsid w:val="00945C16"/>
    <w:rsid w:val="00946666"/>
    <w:rsid w:val="00946690"/>
    <w:rsid w:val="0094680B"/>
    <w:rsid w:val="00946C8A"/>
    <w:rsid w:val="00946EDE"/>
    <w:rsid w:val="0094716D"/>
    <w:rsid w:val="00947286"/>
    <w:rsid w:val="009472AC"/>
    <w:rsid w:val="00947534"/>
    <w:rsid w:val="00947605"/>
    <w:rsid w:val="0094767B"/>
    <w:rsid w:val="0094770A"/>
    <w:rsid w:val="00947970"/>
    <w:rsid w:val="009479D1"/>
    <w:rsid w:val="00947A4A"/>
    <w:rsid w:val="00947DDE"/>
    <w:rsid w:val="009501CC"/>
    <w:rsid w:val="00950615"/>
    <w:rsid w:val="00950829"/>
    <w:rsid w:val="009508CD"/>
    <w:rsid w:val="009509A1"/>
    <w:rsid w:val="00950BAF"/>
    <w:rsid w:val="00950F22"/>
    <w:rsid w:val="0095144F"/>
    <w:rsid w:val="00951534"/>
    <w:rsid w:val="00951670"/>
    <w:rsid w:val="009516AC"/>
    <w:rsid w:val="0095180D"/>
    <w:rsid w:val="00951BE4"/>
    <w:rsid w:val="00951D01"/>
    <w:rsid w:val="00951D25"/>
    <w:rsid w:val="00951E5A"/>
    <w:rsid w:val="009521D0"/>
    <w:rsid w:val="009521EC"/>
    <w:rsid w:val="009522FC"/>
    <w:rsid w:val="0095247F"/>
    <w:rsid w:val="009525F7"/>
    <w:rsid w:val="009527D1"/>
    <w:rsid w:val="009529A4"/>
    <w:rsid w:val="009529B9"/>
    <w:rsid w:val="00952A89"/>
    <w:rsid w:val="00952B38"/>
    <w:rsid w:val="00952F56"/>
    <w:rsid w:val="00952FEB"/>
    <w:rsid w:val="009530BC"/>
    <w:rsid w:val="0095346C"/>
    <w:rsid w:val="0095350A"/>
    <w:rsid w:val="0095360E"/>
    <w:rsid w:val="009536DF"/>
    <w:rsid w:val="00953940"/>
    <w:rsid w:val="00953A8C"/>
    <w:rsid w:val="00953B99"/>
    <w:rsid w:val="00953C53"/>
    <w:rsid w:val="00953CFC"/>
    <w:rsid w:val="00953DE2"/>
    <w:rsid w:val="00953E15"/>
    <w:rsid w:val="00953F2B"/>
    <w:rsid w:val="00954514"/>
    <w:rsid w:val="00954AB6"/>
    <w:rsid w:val="00954CAD"/>
    <w:rsid w:val="00954FE4"/>
    <w:rsid w:val="009550A7"/>
    <w:rsid w:val="00955191"/>
    <w:rsid w:val="009552F4"/>
    <w:rsid w:val="00955B56"/>
    <w:rsid w:val="00955BFD"/>
    <w:rsid w:val="00955F8A"/>
    <w:rsid w:val="009563E6"/>
    <w:rsid w:val="009563FC"/>
    <w:rsid w:val="00956428"/>
    <w:rsid w:val="0095657E"/>
    <w:rsid w:val="00956735"/>
    <w:rsid w:val="00956965"/>
    <w:rsid w:val="009573F0"/>
    <w:rsid w:val="00957523"/>
    <w:rsid w:val="00957941"/>
    <w:rsid w:val="00957AF5"/>
    <w:rsid w:val="00957C02"/>
    <w:rsid w:val="00957C39"/>
    <w:rsid w:val="00957DBC"/>
    <w:rsid w:val="00957F24"/>
    <w:rsid w:val="00960211"/>
    <w:rsid w:val="00960709"/>
    <w:rsid w:val="009607BF"/>
    <w:rsid w:val="009608DF"/>
    <w:rsid w:val="00960A6A"/>
    <w:rsid w:val="00960AAF"/>
    <w:rsid w:val="00960BE3"/>
    <w:rsid w:val="00960C0D"/>
    <w:rsid w:val="00960DF0"/>
    <w:rsid w:val="00960E1D"/>
    <w:rsid w:val="0096118C"/>
    <w:rsid w:val="00961984"/>
    <w:rsid w:val="00961A97"/>
    <w:rsid w:val="00961D2A"/>
    <w:rsid w:val="00961F57"/>
    <w:rsid w:val="0096224D"/>
    <w:rsid w:val="0096235C"/>
    <w:rsid w:val="00962644"/>
    <w:rsid w:val="00962B20"/>
    <w:rsid w:val="00962B6A"/>
    <w:rsid w:val="00962D1E"/>
    <w:rsid w:val="00962DAF"/>
    <w:rsid w:val="00962DE8"/>
    <w:rsid w:val="00963018"/>
    <w:rsid w:val="0096331A"/>
    <w:rsid w:val="00963539"/>
    <w:rsid w:val="00963A98"/>
    <w:rsid w:val="00963B84"/>
    <w:rsid w:val="00963BB5"/>
    <w:rsid w:val="00963CEE"/>
    <w:rsid w:val="00963DC6"/>
    <w:rsid w:val="0096408A"/>
    <w:rsid w:val="00964427"/>
    <w:rsid w:val="00964615"/>
    <w:rsid w:val="0096476A"/>
    <w:rsid w:val="00964892"/>
    <w:rsid w:val="00964896"/>
    <w:rsid w:val="009649AD"/>
    <w:rsid w:val="00964F7E"/>
    <w:rsid w:val="00965319"/>
    <w:rsid w:val="009656AA"/>
    <w:rsid w:val="00965732"/>
    <w:rsid w:val="00965760"/>
    <w:rsid w:val="0096591B"/>
    <w:rsid w:val="009659BF"/>
    <w:rsid w:val="00965A57"/>
    <w:rsid w:val="00965A79"/>
    <w:rsid w:val="00965FF1"/>
    <w:rsid w:val="0096601E"/>
    <w:rsid w:val="009664A7"/>
    <w:rsid w:val="00966559"/>
    <w:rsid w:val="009665CC"/>
    <w:rsid w:val="00966C60"/>
    <w:rsid w:val="00966CCE"/>
    <w:rsid w:val="00966F62"/>
    <w:rsid w:val="0096709D"/>
    <w:rsid w:val="009670D3"/>
    <w:rsid w:val="00967158"/>
    <w:rsid w:val="00967205"/>
    <w:rsid w:val="0096730F"/>
    <w:rsid w:val="009674EE"/>
    <w:rsid w:val="00967697"/>
    <w:rsid w:val="009677C4"/>
    <w:rsid w:val="00967E46"/>
    <w:rsid w:val="00970015"/>
    <w:rsid w:val="00970038"/>
    <w:rsid w:val="00970235"/>
    <w:rsid w:val="00970262"/>
    <w:rsid w:val="009702F2"/>
    <w:rsid w:val="00970477"/>
    <w:rsid w:val="009704B6"/>
    <w:rsid w:val="0097060C"/>
    <w:rsid w:val="00970621"/>
    <w:rsid w:val="00970753"/>
    <w:rsid w:val="009707A5"/>
    <w:rsid w:val="009707D8"/>
    <w:rsid w:val="009708A0"/>
    <w:rsid w:val="00970969"/>
    <w:rsid w:val="00970AF3"/>
    <w:rsid w:val="00970EA5"/>
    <w:rsid w:val="00971383"/>
    <w:rsid w:val="009713F1"/>
    <w:rsid w:val="009714E2"/>
    <w:rsid w:val="00971567"/>
    <w:rsid w:val="0097163C"/>
    <w:rsid w:val="009716FB"/>
    <w:rsid w:val="0097190B"/>
    <w:rsid w:val="0097193C"/>
    <w:rsid w:val="00971A7B"/>
    <w:rsid w:val="00971B19"/>
    <w:rsid w:val="00971F64"/>
    <w:rsid w:val="009723D7"/>
    <w:rsid w:val="009726C6"/>
    <w:rsid w:val="00972729"/>
    <w:rsid w:val="0097286B"/>
    <w:rsid w:val="00972904"/>
    <w:rsid w:val="009729C5"/>
    <w:rsid w:val="00972BC5"/>
    <w:rsid w:val="00973042"/>
    <w:rsid w:val="00973056"/>
    <w:rsid w:val="009730F0"/>
    <w:rsid w:val="009731A3"/>
    <w:rsid w:val="00973530"/>
    <w:rsid w:val="00973804"/>
    <w:rsid w:val="009738DC"/>
    <w:rsid w:val="00973D65"/>
    <w:rsid w:val="00973DC6"/>
    <w:rsid w:val="00973E32"/>
    <w:rsid w:val="0097456C"/>
    <w:rsid w:val="00974644"/>
    <w:rsid w:val="00974903"/>
    <w:rsid w:val="00974DB1"/>
    <w:rsid w:val="00974F5A"/>
    <w:rsid w:val="00975140"/>
    <w:rsid w:val="009752D3"/>
    <w:rsid w:val="00975361"/>
    <w:rsid w:val="009759B8"/>
    <w:rsid w:val="00975B42"/>
    <w:rsid w:val="00975EF1"/>
    <w:rsid w:val="00976571"/>
    <w:rsid w:val="009765A8"/>
    <w:rsid w:val="0097697C"/>
    <w:rsid w:val="00976B4F"/>
    <w:rsid w:val="00976C11"/>
    <w:rsid w:val="00976D8F"/>
    <w:rsid w:val="00976DD6"/>
    <w:rsid w:val="00976FA5"/>
    <w:rsid w:val="009773B1"/>
    <w:rsid w:val="00977830"/>
    <w:rsid w:val="0097799B"/>
    <w:rsid w:val="00977A38"/>
    <w:rsid w:val="00977E0C"/>
    <w:rsid w:val="009802AD"/>
    <w:rsid w:val="0098040D"/>
    <w:rsid w:val="00980451"/>
    <w:rsid w:val="0098050A"/>
    <w:rsid w:val="00980947"/>
    <w:rsid w:val="00980AF1"/>
    <w:rsid w:val="00980C97"/>
    <w:rsid w:val="00980E23"/>
    <w:rsid w:val="009817D2"/>
    <w:rsid w:val="00981999"/>
    <w:rsid w:val="00981A1F"/>
    <w:rsid w:val="00981ABD"/>
    <w:rsid w:val="00981CB2"/>
    <w:rsid w:val="00981E41"/>
    <w:rsid w:val="00982051"/>
    <w:rsid w:val="00982293"/>
    <w:rsid w:val="009823D0"/>
    <w:rsid w:val="0098241D"/>
    <w:rsid w:val="009824AE"/>
    <w:rsid w:val="00982661"/>
    <w:rsid w:val="00982664"/>
    <w:rsid w:val="0098271D"/>
    <w:rsid w:val="009828F6"/>
    <w:rsid w:val="00982B07"/>
    <w:rsid w:val="00982B3A"/>
    <w:rsid w:val="00982BB5"/>
    <w:rsid w:val="00982D06"/>
    <w:rsid w:val="00982D3B"/>
    <w:rsid w:val="00982F25"/>
    <w:rsid w:val="009831BB"/>
    <w:rsid w:val="00983313"/>
    <w:rsid w:val="0098373A"/>
    <w:rsid w:val="00983BA7"/>
    <w:rsid w:val="00983C03"/>
    <w:rsid w:val="00984110"/>
    <w:rsid w:val="009842D1"/>
    <w:rsid w:val="0098447A"/>
    <w:rsid w:val="0098449F"/>
    <w:rsid w:val="0098496B"/>
    <w:rsid w:val="00984CBE"/>
    <w:rsid w:val="00985004"/>
    <w:rsid w:val="00985177"/>
    <w:rsid w:val="0098517A"/>
    <w:rsid w:val="00985250"/>
    <w:rsid w:val="009852A9"/>
    <w:rsid w:val="0098546E"/>
    <w:rsid w:val="009858BA"/>
    <w:rsid w:val="00985AC6"/>
    <w:rsid w:val="00985AFE"/>
    <w:rsid w:val="00985EEE"/>
    <w:rsid w:val="00985FDD"/>
    <w:rsid w:val="0098629E"/>
    <w:rsid w:val="009862EF"/>
    <w:rsid w:val="0098636F"/>
    <w:rsid w:val="00986525"/>
    <w:rsid w:val="00986679"/>
    <w:rsid w:val="009867DB"/>
    <w:rsid w:val="00986A2A"/>
    <w:rsid w:val="00986A68"/>
    <w:rsid w:val="00986B54"/>
    <w:rsid w:val="00986BDA"/>
    <w:rsid w:val="00986CE5"/>
    <w:rsid w:val="00986DCA"/>
    <w:rsid w:val="00987102"/>
    <w:rsid w:val="00987104"/>
    <w:rsid w:val="00987105"/>
    <w:rsid w:val="00987135"/>
    <w:rsid w:val="009871EA"/>
    <w:rsid w:val="009874D5"/>
    <w:rsid w:val="00987632"/>
    <w:rsid w:val="00987742"/>
    <w:rsid w:val="009877F1"/>
    <w:rsid w:val="00987B3C"/>
    <w:rsid w:val="00987B95"/>
    <w:rsid w:val="00987F18"/>
    <w:rsid w:val="00987F1B"/>
    <w:rsid w:val="009902B8"/>
    <w:rsid w:val="009903A4"/>
    <w:rsid w:val="00990406"/>
    <w:rsid w:val="009909E3"/>
    <w:rsid w:val="00990AC9"/>
    <w:rsid w:val="00990BBE"/>
    <w:rsid w:val="00990CA5"/>
    <w:rsid w:val="00990D6D"/>
    <w:rsid w:val="009913A1"/>
    <w:rsid w:val="0099153F"/>
    <w:rsid w:val="009915BD"/>
    <w:rsid w:val="00991757"/>
    <w:rsid w:val="00991841"/>
    <w:rsid w:val="009919D3"/>
    <w:rsid w:val="00991BFA"/>
    <w:rsid w:val="00991C75"/>
    <w:rsid w:val="00991D24"/>
    <w:rsid w:val="00991D3A"/>
    <w:rsid w:val="00991D84"/>
    <w:rsid w:val="009921D5"/>
    <w:rsid w:val="00992292"/>
    <w:rsid w:val="0099274A"/>
    <w:rsid w:val="0099282F"/>
    <w:rsid w:val="00992F9F"/>
    <w:rsid w:val="00993388"/>
    <w:rsid w:val="00993489"/>
    <w:rsid w:val="009936DD"/>
    <w:rsid w:val="009937EE"/>
    <w:rsid w:val="009938D2"/>
    <w:rsid w:val="0099391A"/>
    <w:rsid w:val="00993921"/>
    <w:rsid w:val="00993D6B"/>
    <w:rsid w:val="00993DED"/>
    <w:rsid w:val="009942AC"/>
    <w:rsid w:val="009943E2"/>
    <w:rsid w:val="0099442F"/>
    <w:rsid w:val="00994615"/>
    <w:rsid w:val="009947F8"/>
    <w:rsid w:val="00994AD8"/>
    <w:rsid w:val="00994C83"/>
    <w:rsid w:val="00994CF8"/>
    <w:rsid w:val="00994D79"/>
    <w:rsid w:val="00994F41"/>
    <w:rsid w:val="0099530A"/>
    <w:rsid w:val="0099595A"/>
    <w:rsid w:val="009959A8"/>
    <w:rsid w:val="00995BC2"/>
    <w:rsid w:val="00995DB2"/>
    <w:rsid w:val="009960C5"/>
    <w:rsid w:val="0099614B"/>
    <w:rsid w:val="009961A0"/>
    <w:rsid w:val="00996289"/>
    <w:rsid w:val="009962AA"/>
    <w:rsid w:val="00996390"/>
    <w:rsid w:val="0099657B"/>
    <w:rsid w:val="00996652"/>
    <w:rsid w:val="00996772"/>
    <w:rsid w:val="009967ED"/>
    <w:rsid w:val="009968EA"/>
    <w:rsid w:val="00996BA9"/>
    <w:rsid w:val="00996C3E"/>
    <w:rsid w:val="00996F4B"/>
    <w:rsid w:val="0099738C"/>
    <w:rsid w:val="00997439"/>
    <w:rsid w:val="0099768E"/>
    <w:rsid w:val="00997792"/>
    <w:rsid w:val="00997A32"/>
    <w:rsid w:val="00997B39"/>
    <w:rsid w:val="00997CC2"/>
    <w:rsid w:val="00997DFE"/>
    <w:rsid w:val="009A00E8"/>
    <w:rsid w:val="009A0373"/>
    <w:rsid w:val="009A03FE"/>
    <w:rsid w:val="009A06B7"/>
    <w:rsid w:val="009A0754"/>
    <w:rsid w:val="009A0784"/>
    <w:rsid w:val="009A0E15"/>
    <w:rsid w:val="009A0EEC"/>
    <w:rsid w:val="009A1549"/>
    <w:rsid w:val="009A1577"/>
    <w:rsid w:val="009A15A0"/>
    <w:rsid w:val="009A16B1"/>
    <w:rsid w:val="009A1792"/>
    <w:rsid w:val="009A1968"/>
    <w:rsid w:val="009A19D4"/>
    <w:rsid w:val="009A19DC"/>
    <w:rsid w:val="009A19F1"/>
    <w:rsid w:val="009A1E1C"/>
    <w:rsid w:val="009A1E6B"/>
    <w:rsid w:val="009A2251"/>
    <w:rsid w:val="009A226E"/>
    <w:rsid w:val="009A238D"/>
    <w:rsid w:val="009A23BB"/>
    <w:rsid w:val="009A2BCD"/>
    <w:rsid w:val="009A2EA2"/>
    <w:rsid w:val="009A3175"/>
    <w:rsid w:val="009A31AF"/>
    <w:rsid w:val="009A329C"/>
    <w:rsid w:val="009A3396"/>
    <w:rsid w:val="009A37F0"/>
    <w:rsid w:val="009A380C"/>
    <w:rsid w:val="009A3A45"/>
    <w:rsid w:val="009A3D48"/>
    <w:rsid w:val="009A3E35"/>
    <w:rsid w:val="009A402A"/>
    <w:rsid w:val="009A436A"/>
    <w:rsid w:val="009A445C"/>
    <w:rsid w:val="009A4464"/>
    <w:rsid w:val="009A4972"/>
    <w:rsid w:val="009A4B45"/>
    <w:rsid w:val="009A4B97"/>
    <w:rsid w:val="009A4C0C"/>
    <w:rsid w:val="009A4E6C"/>
    <w:rsid w:val="009A5466"/>
    <w:rsid w:val="009A5612"/>
    <w:rsid w:val="009A5770"/>
    <w:rsid w:val="009A57BE"/>
    <w:rsid w:val="009A59A0"/>
    <w:rsid w:val="009A5BCE"/>
    <w:rsid w:val="009A5CFA"/>
    <w:rsid w:val="009A6034"/>
    <w:rsid w:val="009A607B"/>
    <w:rsid w:val="009A6846"/>
    <w:rsid w:val="009A694B"/>
    <w:rsid w:val="009A6984"/>
    <w:rsid w:val="009A69BE"/>
    <w:rsid w:val="009A6A20"/>
    <w:rsid w:val="009A6C70"/>
    <w:rsid w:val="009A6DE9"/>
    <w:rsid w:val="009A7058"/>
    <w:rsid w:val="009A70CB"/>
    <w:rsid w:val="009A74A2"/>
    <w:rsid w:val="009A760F"/>
    <w:rsid w:val="009A761A"/>
    <w:rsid w:val="009A7649"/>
    <w:rsid w:val="009A7782"/>
    <w:rsid w:val="009A7B4E"/>
    <w:rsid w:val="009A7BF5"/>
    <w:rsid w:val="009A7EC7"/>
    <w:rsid w:val="009B0015"/>
    <w:rsid w:val="009B006A"/>
    <w:rsid w:val="009B00A9"/>
    <w:rsid w:val="009B08F3"/>
    <w:rsid w:val="009B0984"/>
    <w:rsid w:val="009B0A32"/>
    <w:rsid w:val="009B0A43"/>
    <w:rsid w:val="009B1040"/>
    <w:rsid w:val="009B132A"/>
    <w:rsid w:val="009B191B"/>
    <w:rsid w:val="009B19AE"/>
    <w:rsid w:val="009B19D0"/>
    <w:rsid w:val="009B1D38"/>
    <w:rsid w:val="009B2111"/>
    <w:rsid w:val="009B23CA"/>
    <w:rsid w:val="009B25ED"/>
    <w:rsid w:val="009B26E4"/>
    <w:rsid w:val="009B272F"/>
    <w:rsid w:val="009B2732"/>
    <w:rsid w:val="009B2927"/>
    <w:rsid w:val="009B296E"/>
    <w:rsid w:val="009B2C2F"/>
    <w:rsid w:val="009B2CCD"/>
    <w:rsid w:val="009B2E90"/>
    <w:rsid w:val="009B2EDA"/>
    <w:rsid w:val="009B314B"/>
    <w:rsid w:val="009B324B"/>
    <w:rsid w:val="009B32CE"/>
    <w:rsid w:val="009B36E9"/>
    <w:rsid w:val="009B3797"/>
    <w:rsid w:val="009B3A08"/>
    <w:rsid w:val="009B3B5A"/>
    <w:rsid w:val="009B3CE5"/>
    <w:rsid w:val="009B3E6D"/>
    <w:rsid w:val="009B447C"/>
    <w:rsid w:val="009B450E"/>
    <w:rsid w:val="009B453E"/>
    <w:rsid w:val="009B458B"/>
    <w:rsid w:val="009B459E"/>
    <w:rsid w:val="009B46B0"/>
    <w:rsid w:val="009B4836"/>
    <w:rsid w:val="009B4856"/>
    <w:rsid w:val="009B4B3D"/>
    <w:rsid w:val="009B4DCA"/>
    <w:rsid w:val="009B4E9B"/>
    <w:rsid w:val="009B4F6D"/>
    <w:rsid w:val="009B4FEF"/>
    <w:rsid w:val="009B5016"/>
    <w:rsid w:val="009B5152"/>
    <w:rsid w:val="009B53F5"/>
    <w:rsid w:val="009B555D"/>
    <w:rsid w:val="009B56B0"/>
    <w:rsid w:val="009B58C7"/>
    <w:rsid w:val="009B5DEA"/>
    <w:rsid w:val="009B5E02"/>
    <w:rsid w:val="009B5E04"/>
    <w:rsid w:val="009B5F59"/>
    <w:rsid w:val="009B60E1"/>
    <w:rsid w:val="009B65B6"/>
    <w:rsid w:val="009B6A67"/>
    <w:rsid w:val="009B6FE6"/>
    <w:rsid w:val="009B7062"/>
    <w:rsid w:val="009B7339"/>
    <w:rsid w:val="009B75D3"/>
    <w:rsid w:val="009B7684"/>
    <w:rsid w:val="009B7BC9"/>
    <w:rsid w:val="009B7C4F"/>
    <w:rsid w:val="009B7C66"/>
    <w:rsid w:val="009B7EEA"/>
    <w:rsid w:val="009C0612"/>
    <w:rsid w:val="009C082A"/>
    <w:rsid w:val="009C08CC"/>
    <w:rsid w:val="009C09AD"/>
    <w:rsid w:val="009C09E6"/>
    <w:rsid w:val="009C0A5B"/>
    <w:rsid w:val="009C0CCD"/>
    <w:rsid w:val="009C0D6C"/>
    <w:rsid w:val="009C0E5D"/>
    <w:rsid w:val="009C1607"/>
    <w:rsid w:val="009C165B"/>
    <w:rsid w:val="009C1A1A"/>
    <w:rsid w:val="009C1AD0"/>
    <w:rsid w:val="009C214A"/>
    <w:rsid w:val="009C2269"/>
    <w:rsid w:val="009C22BA"/>
    <w:rsid w:val="009C27CA"/>
    <w:rsid w:val="009C28EA"/>
    <w:rsid w:val="009C28EC"/>
    <w:rsid w:val="009C291B"/>
    <w:rsid w:val="009C2965"/>
    <w:rsid w:val="009C2A04"/>
    <w:rsid w:val="009C2A35"/>
    <w:rsid w:val="009C2A59"/>
    <w:rsid w:val="009C2AC1"/>
    <w:rsid w:val="009C2B15"/>
    <w:rsid w:val="009C2BA6"/>
    <w:rsid w:val="009C2BE7"/>
    <w:rsid w:val="009C2C76"/>
    <w:rsid w:val="009C2CD9"/>
    <w:rsid w:val="009C2E44"/>
    <w:rsid w:val="009C3336"/>
    <w:rsid w:val="009C366C"/>
    <w:rsid w:val="009C3752"/>
    <w:rsid w:val="009C3A58"/>
    <w:rsid w:val="009C3A86"/>
    <w:rsid w:val="009C3D11"/>
    <w:rsid w:val="009C3F91"/>
    <w:rsid w:val="009C4225"/>
    <w:rsid w:val="009C424E"/>
    <w:rsid w:val="009C428C"/>
    <w:rsid w:val="009C42A3"/>
    <w:rsid w:val="009C42B3"/>
    <w:rsid w:val="009C451F"/>
    <w:rsid w:val="009C45F9"/>
    <w:rsid w:val="009C4A05"/>
    <w:rsid w:val="009C4C67"/>
    <w:rsid w:val="009C4D2C"/>
    <w:rsid w:val="009C4E34"/>
    <w:rsid w:val="009C50A1"/>
    <w:rsid w:val="009C5481"/>
    <w:rsid w:val="009C5745"/>
    <w:rsid w:val="009C5BF1"/>
    <w:rsid w:val="009C5C78"/>
    <w:rsid w:val="009C5CBB"/>
    <w:rsid w:val="009C5DC1"/>
    <w:rsid w:val="009C5DF6"/>
    <w:rsid w:val="009C5FB5"/>
    <w:rsid w:val="009C6289"/>
    <w:rsid w:val="009C63EA"/>
    <w:rsid w:val="009C6661"/>
    <w:rsid w:val="009C69E5"/>
    <w:rsid w:val="009C6A98"/>
    <w:rsid w:val="009C6AA2"/>
    <w:rsid w:val="009C6BC3"/>
    <w:rsid w:val="009C6DBE"/>
    <w:rsid w:val="009C6DD9"/>
    <w:rsid w:val="009C6EC3"/>
    <w:rsid w:val="009C7116"/>
    <w:rsid w:val="009C71FB"/>
    <w:rsid w:val="009C74AB"/>
    <w:rsid w:val="009C788B"/>
    <w:rsid w:val="009C78A3"/>
    <w:rsid w:val="009C798F"/>
    <w:rsid w:val="009C7AB9"/>
    <w:rsid w:val="009C7D3B"/>
    <w:rsid w:val="009C7DE7"/>
    <w:rsid w:val="009C7E7E"/>
    <w:rsid w:val="009D035A"/>
    <w:rsid w:val="009D0445"/>
    <w:rsid w:val="009D055D"/>
    <w:rsid w:val="009D073E"/>
    <w:rsid w:val="009D09A3"/>
    <w:rsid w:val="009D09D4"/>
    <w:rsid w:val="009D0C72"/>
    <w:rsid w:val="009D11F1"/>
    <w:rsid w:val="009D147F"/>
    <w:rsid w:val="009D1617"/>
    <w:rsid w:val="009D164A"/>
    <w:rsid w:val="009D165A"/>
    <w:rsid w:val="009D1756"/>
    <w:rsid w:val="009D18D2"/>
    <w:rsid w:val="009D1917"/>
    <w:rsid w:val="009D1AA3"/>
    <w:rsid w:val="009D1B1B"/>
    <w:rsid w:val="009D1C87"/>
    <w:rsid w:val="009D1CCF"/>
    <w:rsid w:val="009D22C5"/>
    <w:rsid w:val="009D2680"/>
    <w:rsid w:val="009D2C01"/>
    <w:rsid w:val="009D2ED3"/>
    <w:rsid w:val="009D2F6A"/>
    <w:rsid w:val="009D30EF"/>
    <w:rsid w:val="009D314A"/>
    <w:rsid w:val="009D32D4"/>
    <w:rsid w:val="009D3A85"/>
    <w:rsid w:val="009D3D02"/>
    <w:rsid w:val="009D3D99"/>
    <w:rsid w:val="009D4004"/>
    <w:rsid w:val="009D4168"/>
    <w:rsid w:val="009D41A6"/>
    <w:rsid w:val="009D452A"/>
    <w:rsid w:val="009D4556"/>
    <w:rsid w:val="009D4752"/>
    <w:rsid w:val="009D47D8"/>
    <w:rsid w:val="009D484F"/>
    <w:rsid w:val="009D48E9"/>
    <w:rsid w:val="009D493F"/>
    <w:rsid w:val="009D4B6D"/>
    <w:rsid w:val="009D4B81"/>
    <w:rsid w:val="009D52D6"/>
    <w:rsid w:val="009D5449"/>
    <w:rsid w:val="009D56C4"/>
    <w:rsid w:val="009D5909"/>
    <w:rsid w:val="009D5D0D"/>
    <w:rsid w:val="009D5DEF"/>
    <w:rsid w:val="009D5F96"/>
    <w:rsid w:val="009D6082"/>
    <w:rsid w:val="009D6231"/>
    <w:rsid w:val="009D64B5"/>
    <w:rsid w:val="009D6724"/>
    <w:rsid w:val="009D6C07"/>
    <w:rsid w:val="009D6C3A"/>
    <w:rsid w:val="009D703D"/>
    <w:rsid w:val="009D7180"/>
    <w:rsid w:val="009D74B7"/>
    <w:rsid w:val="009D7535"/>
    <w:rsid w:val="009D781D"/>
    <w:rsid w:val="009D79D7"/>
    <w:rsid w:val="009D7B57"/>
    <w:rsid w:val="009D7D25"/>
    <w:rsid w:val="009E002A"/>
    <w:rsid w:val="009E029E"/>
    <w:rsid w:val="009E038D"/>
    <w:rsid w:val="009E054A"/>
    <w:rsid w:val="009E07C1"/>
    <w:rsid w:val="009E0803"/>
    <w:rsid w:val="009E08F7"/>
    <w:rsid w:val="009E0981"/>
    <w:rsid w:val="009E0B8C"/>
    <w:rsid w:val="009E0C2A"/>
    <w:rsid w:val="009E0D09"/>
    <w:rsid w:val="009E10D1"/>
    <w:rsid w:val="009E1752"/>
    <w:rsid w:val="009E19EF"/>
    <w:rsid w:val="009E1A14"/>
    <w:rsid w:val="009E1AAF"/>
    <w:rsid w:val="009E1BEA"/>
    <w:rsid w:val="009E1D09"/>
    <w:rsid w:val="009E1E7F"/>
    <w:rsid w:val="009E1FC1"/>
    <w:rsid w:val="009E1FF9"/>
    <w:rsid w:val="009E2096"/>
    <w:rsid w:val="009E2194"/>
    <w:rsid w:val="009E2411"/>
    <w:rsid w:val="009E24FF"/>
    <w:rsid w:val="009E276A"/>
    <w:rsid w:val="009E2924"/>
    <w:rsid w:val="009E2BF8"/>
    <w:rsid w:val="009E2EC7"/>
    <w:rsid w:val="009E2FBB"/>
    <w:rsid w:val="009E30AB"/>
    <w:rsid w:val="009E36D9"/>
    <w:rsid w:val="009E37B9"/>
    <w:rsid w:val="009E3A3A"/>
    <w:rsid w:val="009E3CEA"/>
    <w:rsid w:val="009E3DC4"/>
    <w:rsid w:val="009E3EC7"/>
    <w:rsid w:val="009E403C"/>
    <w:rsid w:val="009E4364"/>
    <w:rsid w:val="009E4709"/>
    <w:rsid w:val="009E4872"/>
    <w:rsid w:val="009E49AE"/>
    <w:rsid w:val="009E4B4E"/>
    <w:rsid w:val="009E4CCB"/>
    <w:rsid w:val="009E4E32"/>
    <w:rsid w:val="009E528B"/>
    <w:rsid w:val="009E54B4"/>
    <w:rsid w:val="009E54E6"/>
    <w:rsid w:val="009E5A54"/>
    <w:rsid w:val="009E5BD3"/>
    <w:rsid w:val="009E5D83"/>
    <w:rsid w:val="009E5E75"/>
    <w:rsid w:val="009E6377"/>
    <w:rsid w:val="009E63A4"/>
    <w:rsid w:val="009E63C7"/>
    <w:rsid w:val="009E653D"/>
    <w:rsid w:val="009E6ED0"/>
    <w:rsid w:val="009E6F89"/>
    <w:rsid w:val="009E71D5"/>
    <w:rsid w:val="009E768A"/>
    <w:rsid w:val="009E7D91"/>
    <w:rsid w:val="009E7EFE"/>
    <w:rsid w:val="009F031F"/>
    <w:rsid w:val="009F035F"/>
    <w:rsid w:val="009F0813"/>
    <w:rsid w:val="009F0853"/>
    <w:rsid w:val="009F08A1"/>
    <w:rsid w:val="009F08E9"/>
    <w:rsid w:val="009F0AC6"/>
    <w:rsid w:val="009F0B42"/>
    <w:rsid w:val="009F12B0"/>
    <w:rsid w:val="009F15B8"/>
    <w:rsid w:val="009F16B9"/>
    <w:rsid w:val="009F16D9"/>
    <w:rsid w:val="009F1B25"/>
    <w:rsid w:val="009F1CF2"/>
    <w:rsid w:val="009F2479"/>
    <w:rsid w:val="009F2559"/>
    <w:rsid w:val="009F25E0"/>
    <w:rsid w:val="009F2841"/>
    <w:rsid w:val="009F291F"/>
    <w:rsid w:val="009F2F82"/>
    <w:rsid w:val="009F30B6"/>
    <w:rsid w:val="009F32AF"/>
    <w:rsid w:val="009F3435"/>
    <w:rsid w:val="009F36A2"/>
    <w:rsid w:val="009F38B6"/>
    <w:rsid w:val="009F3CA5"/>
    <w:rsid w:val="009F3D4F"/>
    <w:rsid w:val="009F4058"/>
    <w:rsid w:val="009F40D2"/>
    <w:rsid w:val="009F425B"/>
    <w:rsid w:val="009F42A3"/>
    <w:rsid w:val="009F456E"/>
    <w:rsid w:val="009F47CC"/>
    <w:rsid w:val="009F4BD8"/>
    <w:rsid w:val="009F4F21"/>
    <w:rsid w:val="009F4F80"/>
    <w:rsid w:val="009F4FC2"/>
    <w:rsid w:val="009F55F0"/>
    <w:rsid w:val="009F578C"/>
    <w:rsid w:val="009F5A7C"/>
    <w:rsid w:val="009F5C90"/>
    <w:rsid w:val="009F600F"/>
    <w:rsid w:val="009F603D"/>
    <w:rsid w:val="009F6061"/>
    <w:rsid w:val="009F6338"/>
    <w:rsid w:val="009F6394"/>
    <w:rsid w:val="009F6553"/>
    <w:rsid w:val="009F6579"/>
    <w:rsid w:val="009F658F"/>
    <w:rsid w:val="009F65E7"/>
    <w:rsid w:val="009F6690"/>
    <w:rsid w:val="009F6693"/>
    <w:rsid w:val="009F6CFC"/>
    <w:rsid w:val="009F6D89"/>
    <w:rsid w:val="009F70BB"/>
    <w:rsid w:val="009F71F8"/>
    <w:rsid w:val="009F72CB"/>
    <w:rsid w:val="009F7361"/>
    <w:rsid w:val="009F751B"/>
    <w:rsid w:val="009F762D"/>
    <w:rsid w:val="009F77CE"/>
    <w:rsid w:val="009F7B89"/>
    <w:rsid w:val="009F7CBF"/>
    <w:rsid w:val="009F7F1A"/>
    <w:rsid w:val="00A001D7"/>
    <w:rsid w:val="00A00C05"/>
    <w:rsid w:val="00A00DF0"/>
    <w:rsid w:val="00A013E6"/>
    <w:rsid w:val="00A0153D"/>
    <w:rsid w:val="00A01794"/>
    <w:rsid w:val="00A017DF"/>
    <w:rsid w:val="00A0194C"/>
    <w:rsid w:val="00A01C1A"/>
    <w:rsid w:val="00A01E1E"/>
    <w:rsid w:val="00A0212F"/>
    <w:rsid w:val="00A02453"/>
    <w:rsid w:val="00A0264B"/>
    <w:rsid w:val="00A02E01"/>
    <w:rsid w:val="00A02ECD"/>
    <w:rsid w:val="00A02F00"/>
    <w:rsid w:val="00A03071"/>
    <w:rsid w:val="00A03119"/>
    <w:rsid w:val="00A03227"/>
    <w:rsid w:val="00A033A5"/>
    <w:rsid w:val="00A033F5"/>
    <w:rsid w:val="00A03758"/>
    <w:rsid w:val="00A037CF"/>
    <w:rsid w:val="00A03A5D"/>
    <w:rsid w:val="00A03DAB"/>
    <w:rsid w:val="00A03E3C"/>
    <w:rsid w:val="00A03E8B"/>
    <w:rsid w:val="00A03F51"/>
    <w:rsid w:val="00A0410E"/>
    <w:rsid w:val="00A04124"/>
    <w:rsid w:val="00A0474F"/>
    <w:rsid w:val="00A048A3"/>
    <w:rsid w:val="00A04AC1"/>
    <w:rsid w:val="00A04B55"/>
    <w:rsid w:val="00A04BCC"/>
    <w:rsid w:val="00A04E0F"/>
    <w:rsid w:val="00A04E8E"/>
    <w:rsid w:val="00A04FA3"/>
    <w:rsid w:val="00A04FBE"/>
    <w:rsid w:val="00A050A5"/>
    <w:rsid w:val="00A05237"/>
    <w:rsid w:val="00A054AC"/>
    <w:rsid w:val="00A054D4"/>
    <w:rsid w:val="00A05803"/>
    <w:rsid w:val="00A0593B"/>
    <w:rsid w:val="00A05A10"/>
    <w:rsid w:val="00A05BB7"/>
    <w:rsid w:val="00A05CA7"/>
    <w:rsid w:val="00A05D0E"/>
    <w:rsid w:val="00A05D42"/>
    <w:rsid w:val="00A05D48"/>
    <w:rsid w:val="00A05D6C"/>
    <w:rsid w:val="00A05E40"/>
    <w:rsid w:val="00A05E8A"/>
    <w:rsid w:val="00A0605D"/>
    <w:rsid w:val="00A0624E"/>
    <w:rsid w:val="00A062BD"/>
    <w:rsid w:val="00A06584"/>
    <w:rsid w:val="00A06705"/>
    <w:rsid w:val="00A06798"/>
    <w:rsid w:val="00A0696F"/>
    <w:rsid w:val="00A06AD8"/>
    <w:rsid w:val="00A06B44"/>
    <w:rsid w:val="00A06B77"/>
    <w:rsid w:val="00A0710B"/>
    <w:rsid w:val="00A07117"/>
    <w:rsid w:val="00A071B2"/>
    <w:rsid w:val="00A0743D"/>
    <w:rsid w:val="00A075CC"/>
    <w:rsid w:val="00A07D0F"/>
    <w:rsid w:val="00A07E05"/>
    <w:rsid w:val="00A07F23"/>
    <w:rsid w:val="00A07FF2"/>
    <w:rsid w:val="00A1038D"/>
    <w:rsid w:val="00A103AD"/>
    <w:rsid w:val="00A104DF"/>
    <w:rsid w:val="00A10606"/>
    <w:rsid w:val="00A10755"/>
    <w:rsid w:val="00A1091C"/>
    <w:rsid w:val="00A10AC6"/>
    <w:rsid w:val="00A10CEE"/>
    <w:rsid w:val="00A10E93"/>
    <w:rsid w:val="00A10EE6"/>
    <w:rsid w:val="00A11354"/>
    <w:rsid w:val="00A11758"/>
    <w:rsid w:val="00A118F5"/>
    <w:rsid w:val="00A11D8D"/>
    <w:rsid w:val="00A1217C"/>
    <w:rsid w:val="00A123F6"/>
    <w:rsid w:val="00A12442"/>
    <w:rsid w:val="00A12C3E"/>
    <w:rsid w:val="00A12E49"/>
    <w:rsid w:val="00A12EE7"/>
    <w:rsid w:val="00A13375"/>
    <w:rsid w:val="00A133A8"/>
    <w:rsid w:val="00A135EB"/>
    <w:rsid w:val="00A13668"/>
    <w:rsid w:val="00A13689"/>
    <w:rsid w:val="00A13AFF"/>
    <w:rsid w:val="00A14112"/>
    <w:rsid w:val="00A14146"/>
    <w:rsid w:val="00A143C3"/>
    <w:rsid w:val="00A14443"/>
    <w:rsid w:val="00A144B9"/>
    <w:rsid w:val="00A1484A"/>
    <w:rsid w:val="00A149EA"/>
    <w:rsid w:val="00A14A42"/>
    <w:rsid w:val="00A14DC8"/>
    <w:rsid w:val="00A14E7E"/>
    <w:rsid w:val="00A1514A"/>
    <w:rsid w:val="00A15456"/>
    <w:rsid w:val="00A15933"/>
    <w:rsid w:val="00A15A8D"/>
    <w:rsid w:val="00A15B57"/>
    <w:rsid w:val="00A15D99"/>
    <w:rsid w:val="00A16026"/>
    <w:rsid w:val="00A162E9"/>
    <w:rsid w:val="00A162EC"/>
    <w:rsid w:val="00A16300"/>
    <w:rsid w:val="00A163C0"/>
    <w:rsid w:val="00A163E3"/>
    <w:rsid w:val="00A16634"/>
    <w:rsid w:val="00A168D0"/>
    <w:rsid w:val="00A16967"/>
    <w:rsid w:val="00A16C2A"/>
    <w:rsid w:val="00A17113"/>
    <w:rsid w:val="00A17183"/>
    <w:rsid w:val="00A17188"/>
    <w:rsid w:val="00A17392"/>
    <w:rsid w:val="00A17422"/>
    <w:rsid w:val="00A1774C"/>
    <w:rsid w:val="00A177B1"/>
    <w:rsid w:val="00A17BFE"/>
    <w:rsid w:val="00A17D90"/>
    <w:rsid w:val="00A2044C"/>
    <w:rsid w:val="00A20492"/>
    <w:rsid w:val="00A20754"/>
    <w:rsid w:val="00A2087B"/>
    <w:rsid w:val="00A209F9"/>
    <w:rsid w:val="00A20DE5"/>
    <w:rsid w:val="00A2117F"/>
    <w:rsid w:val="00A211A3"/>
    <w:rsid w:val="00A211B8"/>
    <w:rsid w:val="00A2190A"/>
    <w:rsid w:val="00A21D2F"/>
    <w:rsid w:val="00A21D9E"/>
    <w:rsid w:val="00A21E98"/>
    <w:rsid w:val="00A21EC5"/>
    <w:rsid w:val="00A2210B"/>
    <w:rsid w:val="00A22285"/>
    <w:rsid w:val="00A22452"/>
    <w:rsid w:val="00A2252B"/>
    <w:rsid w:val="00A226B8"/>
    <w:rsid w:val="00A22E0B"/>
    <w:rsid w:val="00A22FAB"/>
    <w:rsid w:val="00A23060"/>
    <w:rsid w:val="00A230CA"/>
    <w:rsid w:val="00A230FE"/>
    <w:rsid w:val="00A231EF"/>
    <w:rsid w:val="00A2333A"/>
    <w:rsid w:val="00A23470"/>
    <w:rsid w:val="00A235A2"/>
    <w:rsid w:val="00A2360B"/>
    <w:rsid w:val="00A23740"/>
    <w:rsid w:val="00A23839"/>
    <w:rsid w:val="00A23CEA"/>
    <w:rsid w:val="00A23DB6"/>
    <w:rsid w:val="00A23E54"/>
    <w:rsid w:val="00A24084"/>
    <w:rsid w:val="00A240EE"/>
    <w:rsid w:val="00A24511"/>
    <w:rsid w:val="00A2478D"/>
    <w:rsid w:val="00A24E61"/>
    <w:rsid w:val="00A24EAE"/>
    <w:rsid w:val="00A2508F"/>
    <w:rsid w:val="00A25138"/>
    <w:rsid w:val="00A251E6"/>
    <w:rsid w:val="00A252B8"/>
    <w:rsid w:val="00A25902"/>
    <w:rsid w:val="00A25906"/>
    <w:rsid w:val="00A25915"/>
    <w:rsid w:val="00A25A94"/>
    <w:rsid w:val="00A25C1F"/>
    <w:rsid w:val="00A25C36"/>
    <w:rsid w:val="00A25D03"/>
    <w:rsid w:val="00A25FFD"/>
    <w:rsid w:val="00A261A0"/>
    <w:rsid w:val="00A261FF"/>
    <w:rsid w:val="00A26392"/>
    <w:rsid w:val="00A2651B"/>
    <w:rsid w:val="00A267B9"/>
    <w:rsid w:val="00A26811"/>
    <w:rsid w:val="00A26C60"/>
    <w:rsid w:val="00A26C88"/>
    <w:rsid w:val="00A26CD9"/>
    <w:rsid w:val="00A26DAD"/>
    <w:rsid w:val="00A2700A"/>
    <w:rsid w:val="00A272CB"/>
    <w:rsid w:val="00A27421"/>
    <w:rsid w:val="00A275A3"/>
    <w:rsid w:val="00A279A8"/>
    <w:rsid w:val="00A27A3F"/>
    <w:rsid w:val="00A27C8F"/>
    <w:rsid w:val="00A300E2"/>
    <w:rsid w:val="00A302FA"/>
    <w:rsid w:val="00A304DB"/>
    <w:rsid w:val="00A30A68"/>
    <w:rsid w:val="00A30E05"/>
    <w:rsid w:val="00A30EF8"/>
    <w:rsid w:val="00A30F64"/>
    <w:rsid w:val="00A3102E"/>
    <w:rsid w:val="00A31342"/>
    <w:rsid w:val="00A3199C"/>
    <w:rsid w:val="00A31CB8"/>
    <w:rsid w:val="00A31E86"/>
    <w:rsid w:val="00A32146"/>
    <w:rsid w:val="00A3224D"/>
    <w:rsid w:val="00A322BC"/>
    <w:rsid w:val="00A322CC"/>
    <w:rsid w:val="00A324BA"/>
    <w:rsid w:val="00A325FB"/>
    <w:rsid w:val="00A32628"/>
    <w:rsid w:val="00A32755"/>
    <w:rsid w:val="00A329EC"/>
    <w:rsid w:val="00A32B5E"/>
    <w:rsid w:val="00A32C3E"/>
    <w:rsid w:val="00A32F34"/>
    <w:rsid w:val="00A32F93"/>
    <w:rsid w:val="00A331BA"/>
    <w:rsid w:val="00A33272"/>
    <w:rsid w:val="00A332F3"/>
    <w:rsid w:val="00A33372"/>
    <w:rsid w:val="00A33437"/>
    <w:rsid w:val="00A33486"/>
    <w:rsid w:val="00A33492"/>
    <w:rsid w:val="00A33500"/>
    <w:rsid w:val="00A33675"/>
    <w:rsid w:val="00A33895"/>
    <w:rsid w:val="00A33A07"/>
    <w:rsid w:val="00A33B6F"/>
    <w:rsid w:val="00A33B80"/>
    <w:rsid w:val="00A33CB7"/>
    <w:rsid w:val="00A33E51"/>
    <w:rsid w:val="00A33F0E"/>
    <w:rsid w:val="00A3410B"/>
    <w:rsid w:val="00A342CA"/>
    <w:rsid w:val="00A3437E"/>
    <w:rsid w:val="00A3442C"/>
    <w:rsid w:val="00A349B2"/>
    <w:rsid w:val="00A34C38"/>
    <w:rsid w:val="00A34CE4"/>
    <w:rsid w:val="00A34CF9"/>
    <w:rsid w:val="00A34DD2"/>
    <w:rsid w:val="00A3507B"/>
    <w:rsid w:val="00A352AB"/>
    <w:rsid w:val="00A352BA"/>
    <w:rsid w:val="00A35394"/>
    <w:rsid w:val="00A35632"/>
    <w:rsid w:val="00A35759"/>
    <w:rsid w:val="00A35852"/>
    <w:rsid w:val="00A35DD3"/>
    <w:rsid w:val="00A35F43"/>
    <w:rsid w:val="00A36129"/>
    <w:rsid w:val="00A36302"/>
    <w:rsid w:val="00A363AB"/>
    <w:rsid w:val="00A36748"/>
    <w:rsid w:val="00A3692F"/>
    <w:rsid w:val="00A36ABC"/>
    <w:rsid w:val="00A36B24"/>
    <w:rsid w:val="00A36D34"/>
    <w:rsid w:val="00A36FAD"/>
    <w:rsid w:val="00A36FC8"/>
    <w:rsid w:val="00A370AD"/>
    <w:rsid w:val="00A37230"/>
    <w:rsid w:val="00A37B9B"/>
    <w:rsid w:val="00A37DE8"/>
    <w:rsid w:val="00A37F1A"/>
    <w:rsid w:val="00A37F7A"/>
    <w:rsid w:val="00A400A3"/>
    <w:rsid w:val="00A401CB"/>
    <w:rsid w:val="00A40355"/>
    <w:rsid w:val="00A4042C"/>
    <w:rsid w:val="00A404BF"/>
    <w:rsid w:val="00A4051E"/>
    <w:rsid w:val="00A406BC"/>
    <w:rsid w:val="00A40CE0"/>
    <w:rsid w:val="00A40F5C"/>
    <w:rsid w:val="00A41097"/>
    <w:rsid w:val="00A410DC"/>
    <w:rsid w:val="00A41233"/>
    <w:rsid w:val="00A41593"/>
    <w:rsid w:val="00A417D8"/>
    <w:rsid w:val="00A41BEA"/>
    <w:rsid w:val="00A41C4F"/>
    <w:rsid w:val="00A42101"/>
    <w:rsid w:val="00A421CF"/>
    <w:rsid w:val="00A4251B"/>
    <w:rsid w:val="00A4252F"/>
    <w:rsid w:val="00A429EA"/>
    <w:rsid w:val="00A42AF5"/>
    <w:rsid w:val="00A42B83"/>
    <w:rsid w:val="00A42CA4"/>
    <w:rsid w:val="00A43075"/>
    <w:rsid w:val="00A43290"/>
    <w:rsid w:val="00A4330C"/>
    <w:rsid w:val="00A4334D"/>
    <w:rsid w:val="00A43486"/>
    <w:rsid w:val="00A435EB"/>
    <w:rsid w:val="00A43716"/>
    <w:rsid w:val="00A43876"/>
    <w:rsid w:val="00A43998"/>
    <w:rsid w:val="00A43FE5"/>
    <w:rsid w:val="00A43FEA"/>
    <w:rsid w:val="00A4418F"/>
    <w:rsid w:val="00A441AB"/>
    <w:rsid w:val="00A44312"/>
    <w:rsid w:val="00A4494E"/>
    <w:rsid w:val="00A44E4D"/>
    <w:rsid w:val="00A451FC"/>
    <w:rsid w:val="00A453FE"/>
    <w:rsid w:val="00A45582"/>
    <w:rsid w:val="00A45C67"/>
    <w:rsid w:val="00A45D6E"/>
    <w:rsid w:val="00A46033"/>
    <w:rsid w:val="00A462C4"/>
    <w:rsid w:val="00A4660E"/>
    <w:rsid w:val="00A46720"/>
    <w:rsid w:val="00A46847"/>
    <w:rsid w:val="00A46984"/>
    <w:rsid w:val="00A46C52"/>
    <w:rsid w:val="00A46C84"/>
    <w:rsid w:val="00A46DFC"/>
    <w:rsid w:val="00A46F07"/>
    <w:rsid w:val="00A479E8"/>
    <w:rsid w:val="00A47E9F"/>
    <w:rsid w:val="00A50201"/>
    <w:rsid w:val="00A507A4"/>
    <w:rsid w:val="00A50A76"/>
    <w:rsid w:val="00A50D98"/>
    <w:rsid w:val="00A50E4B"/>
    <w:rsid w:val="00A50F0D"/>
    <w:rsid w:val="00A50FC8"/>
    <w:rsid w:val="00A513B1"/>
    <w:rsid w:val="00A514CE"/>
    <w:rsid w:val="00A51657"/>
    <w:rsid w:val="00A51881"/>
    <w:rsid w:val="00A51AA4"/>
    <w:rsid w:val="00A51BCC"/>
    <w:rsid w:val="00A51BF4"/>
    <w:rsid w:val="00A51E1F"/>
    <w:rsid w:val="00A51E53"/>
    <w:rsid w:val="00A51E67"/>
    <w:rsid w:val="00A520E3"/>
    <w:rsid w:val="00A52372"/>
    <w:rsid w:val="00A52824"/>
    <w:rsid w:val="00A536BA"/>
    <w:rsid w:val="00A53964"/>
    <w:rsid w:val="00A539D6"/>
    <w:rsid w:val="00A53C1F"/>
    <w:rsid w:val="00A53D2E"/>
    <w:rsid w:val="00A5433D"/>
    <w:rsid w:val="00A54361"/>
    <w:rsid w:val="00A544B4"/>
    <w:rsid w:val="00A545B0"/>
    <w:rsid w:val="00A5461E"/>
    <w:rsid w:val="00A548F0"/>
    <w:rsid w:val="00A54919"/>
    <w:rsid w:val="00A54C24"/>
    <w:rsid w:val="00A54D46"/>
    <w:rsid w:val="00A551A8"/>
    <w:rsid w:val="00A553E9"/>
    <w:rsid w:val="00A55416"/>
    <w:rsid w:val="00A5594C"/>
    <w:rsid w:val="00A55AB8"/>
    <w:rsid w:val="00A55B86"/>
    <w:rsid w:val="00A55C6C"/>
    <w:rsid w:val="00A55CA0"/>
    <w:rsid w:val="00A55CA2"/>
    <w:rsid w:val="00A55CBF"/>
    <w:rsid w:val="00A55D2B"/>
    <w:rsid w:val="00A55F4F"/>
    <w:rsid w:val="00A560B6"/>
    <w:rsid w:val="00A56210"/>
    <w:rsid w:val="00A564D0"/>
    <w:rsid w:val="00A56568"/>
    <w:rsid w:val="00A56894"/>
    <w:rsid w:val="00A56E46"/>
    <w:rsid w:val="00A57233"/>
    <w:rsid w:val="00A57393"/>
    <w:rsid w:val="00A57408"/>
    <w:rsid w:val="00A574AE"/>
    <w:rsid w:val="00A575CB"/>
    <w:rsid w:val="00A57B71"/>
    <w:rsid w:val="00A57F2B"/>
    <w:rsid w:val="00A57FED"/>
    <w:rsid w:val="00A60452"/>
    <w:rsid w:val="00A60493"/>
    <w:rsid w:val="00A6088B"/>
    <w:rsid w:val="00A608B0"/>
    <w:rsid w:val="00A608C4"/>
    <w:rsid w:val="00A60BA2"/>
    <w:rsid w:val="00A61042"/>
    <w:rsid w:val="00A611D5"/>
    <w:rsid w:val="00A612DA"/>
    <w:rsid w:val="00A615E1"/>
    <w:rsid w:val="00A61A2E"/>
    <w:rsid w:val="00A61C3A"/>
    <w:rsid w:val="00A61D2D"/>
    <w:rsid w:val="00A61D5C"/>
    <w:rsid w:val="00A61E33"/>
    <w:rsid w:val="00A61EFB"/>
    <w:rsid w:val="00A6263D"/>
    <w:rsid w:val="00A62664"/>
    <w:rsid w:val="00A62E22"/>
    <w:rsid w:val="00A62E7D"/>
    <w:rsid w:val="00A62F42"/>
    <w:rsid w:val="00A63104"/>
    <w:rsid w:val="00A63155"/>
    <w:rsid w:val="00A631F2"/>
    <w:rsid w:val="00A634E0"/>
    <w:rsid w:val="00A6352E"/>
    <w:rsid w:val="00A635BB"/>
    <w:rsid w:val="00A637FD"/>
    <w:rsid w:val="00A6391C"/>
    <w:rsid w:val="00A63948"/>
    <w:rsid w:val="00A63BA8"/>
    <w:rsid w:val="00A63C82"/>
    <w:rsid w:val="00A63DDA"/>
    <w:rsid w:val="00A63F19"/>
    <w:rsid w:val="00A64044"/>
    <w:rsid w:val="00A64045"/>
    <w:rsid w:val="00A6458F"/>
    <w:rsid w:val="00A648CB"/>
    <w:rsid w:val="00A64A3A"/>
    <w:rsid w:val="00A64C61"/>
    <w:rsid w:val="00A64D03"/>
    <w:rsid w:val="00A64E1C"/>
    <w:rsid w:val="00A64EBB"/>
    <w:rsid w:val="00A655E1"/>
    <w:rsid w:val="00A6568F"/>
    <w:rsid w:val="00A6570D"/>
    <w:rsid w:val="00A658B9"/>
    <w:rsid w:val="00A658F8"/>
    <w:rsid w:val="00A65982"/>
    <w:rsid w:val="00A65C25"/>
    <w:rsid w:val="00A65CFD"/>
    <w:rsid w:val="00A65E7C"/>
    <w:rsid w:val="00A6619F"/>
    <w:rsid w:val="00A66205"/>
    <w:rsid w:val="00A663EB"/>
    <w:rsid w:val="00A666A8"/>
    <w:rsid w:val="00A668ED"/>
    <w:rsid w:val="00A66985"/>
    <w:rsid w:val="00A66AB6"/>
    <w:rsid w:val="00A66B97"/>
    <w:rsid w:val="00A66DB4"/>
    <w:rsid w:val="00A6720E"/>
    <w:rsid w:val="00A67427"/>
    <w:rsid w:val="00A67B42"/>
    <w:rsid w:val="00A67C25"/>
    <w:rsid w:val="00A67D81"/>
    <w:rsid w:val="00A7007D"/>
    <w:rsid w:val="00A701A6"/>
    <w:rsid w:val="00A7041B"/>
    <w:rsid w:val="00A705C1"/>
    <w:rsid w:val="00A7063C"/>
    <w:rsid w:val="00A70887"/>
    <w:rsid w:val="00A70D10"/>
    <w:rsid w:val="00A70D50"/>
    <w:rsid w:val="00A70DED"/>
    <w:rsid w:val="00A70E04"/>
    <w:rsid w:val="00A70F60"/>
    <w:rsid w:val="00A71269"/>
    <w:rsid w:val="00A719D4"/>
    <w:rsid w:val="00A71A40"/>
    <w:rsid w:val="00A72202"/>
    <w:rsid w:val="00A7231E"/>
    <w:rsid w:val="00A726EA"/>
    <w:rsid w:val="00A7276E"/>
    <w:rsid w:val="00A72790"/>
    <w:rsid w:val="00A72801"/>
    <w:rsid w:val="00A728FA"/>
    <w:rsid w:val="00A729CF"/>
    <w:rsid w:val="00A72A60"/>
    <w:rsid w:val="00A72DEA"/>
    <w:rsid w:val="00A72F9D"/>
    <w:rsid w:val="00A73084"/>
    <w:rsid w:val="00A732FD"/>
    <w:rsid w:val="00A73371"/>
    <w:rsid w:val="00A7337E"/>
    <w:rsid w:val="00A7342F"/>
    <w:rsid w:val="00A73454"/>
    <w:rsid w:val="00A73592"/>
    <w:rsid w:val="00A73822"/>
    <w:rsid w:val="00A739FA"/>
    <w:rsid w:val="00A73BB1"/>
    <w:rsid w:val="00A73DC6"/>
    <w:rsid w:val="00A73EF1"/>
    <w:rsid w:val="00A74102"/>
    <w:rsid w:val="00A7460F"/>
    <w:rsid w:val="00A74896"/>
    <w:rsid w:val="00A74EAA"/>
    <w:rsid w:val="00A74F0D"/>
    <w:rsid w:val="00A75036"/>
    <w:rsid w:val="00A750B2"/>
    <w:rsid w:val="00A75875"/>
    <w:rsid w:val="00A75A80"/>
    <w:rsid w:val="00A75C0B"/>
    <w:rsid w:val="00A75D8D"/>
    <w:rsid w:val="00A75ED6"/>
    <w:rsid w:val="00A75F3C"/>
    <w:rsid w:val="00A7697F"/>
    <w:rsid w:val="00A76991"/>
    <w:rsid w:val="00A769D3"/>
    <w:rsid w:val="00A76AB8"/>
    <w:rsid w:val="00A76DA9"/>
    <w:rsid w:val="00A76F1C"/>
    <w:rsid w:val="00A777B6"/>
    <w:rsid w:val="00A77939"/>
    <w:rsid w:val="00A77B43"/>
    <w:rsid w:val="00A8000B"/>
    <w:rsid w:val="00A800D7"/>
    <w:rsid w:val="00A8012B"/>
    <w:rsid w:val="00A80291"/>
    <w:rsid w:val="00A8040F"/>
    <w:rsid w:val="00A80467"/>
    <w:rsid w:val="00A8049A"/>
    <w:rsid w:val="00A804EA"/>
    <w:rsid w:val="00A80560"/>
    <w:rsid w:val="00A80790"/>
    <w:rsid w:val="00A809A7"/>
    <w:rsid w:val="00A80ABC"/>
    <w:rsid w:val="00A80B17"/>
    <w:rsid w:val="00A80C45"/>
    <w:rsid w:val="00A80CEE"/>
    <w:rsid w:val="00A80D0D"/>
    <w:rsid w:val="00A80DD5"/>
    <w:rsid w:val="00A8105D"/>
    <w:rsid w:val="00A81130"/>
    <w:rsid w:val="00A81263"/>
    <w:rsid w:val="00A8143B"/>
    <w:rsid w:val="00A8156F"/>
    <w:rsid w:val="00A81587"/>
    <w:rsid w:val="00A8196E"/>
    <w:rsid w:val="00A81C51"/>
    <w:rsid w:val="00A81F21"/>
    <w:rsid w:val="00A82115"/>
    <w:rsid w:val="00A8224E"/>
    <w:rsid w:val="00A824A7"/>
    <w:rsid w:val="00A82706"/>
    <w:rsid w:val="00A82742"/>
    <w:rsid w:val="00A82865"/>
    <w:rsid w:val="00A8289D"/>
    <w:rsid w:val="00A82B6F"/>
    <w:rsid w:val="00A82C4A"/>
    <w:rsid w:val="00A82D5C"/>
    <w:rsid w:val="00A82F12"/>
    <w:rsid w:val="00A83278"/>
    <w:rsid w:val="00A83441"/>
    <w:rsid w:val="00A83776"/>
    <w:rsid w:val="00A837C4"/>
    <w:rsid w:val="00A837D0"/>
    <w:rsid w:val="00A83810"/>
    <w:rsid w:val="00A83A04"/>
    <w:rsid w:val="00A84314"/>
    <w:rsid w:val="00A84339"/>
    <w:rsid w:val="00A844B7"/>
    <w:rsid w:val="00A84625"/>
    <w:rsid w:val="00A8462A"/>
    <w:rsid w:val="00A855A8"/>
    <w:rsid w:val="00A856A9"/>
    <w:rsid w:val="00A85717"/>
    <w:rsid w:val="00A85BB0"/>
    <w:rsid w:val="00A85BFB"/>
    <w:rsid w:val="00A85D3E"/>
    <w:rsid w:val="00A85D4A"/>
    <w:rsid w:val="00A8668F"/>
    <w:rsid w:val="00A867EF"/>
    <w:rsid w:val="00A86AF9"/>
    <w:rsid w:val="00A86B81"/>
    <w:rsid w:val="00A86C56"/>
    <w:rsid w:val="00A86CF0"/>
    <w:rsid w:val="00A86EE1"/>
    <w:rsid w:val="00A86F28"/>
    <w:rsid w:val="00A870A6"/>
    <w:rsid w:val="00A871A1"/>
    <w:rsid w:val="00A87338"/>
    <w:rsid w:val="00A877B2"/>
    <w:rsid w:val="00A87927"/>
    <w:rsid w:val="00A87A8D"/>
    <w:rsid w:val="00A87B36"/>
    <w:rsid w:val="00A87F24"/>
    <w:rsid w:val="00A90017"/>
    <w:rsid w:val="00A90221"/>
    <w:rsid w:val="00A90455"/>
    <w:rsid w:val="00A905EF"/>
    <w:rsid w:val="00A90638"/>
    <w:rsid w:val="00A90948"/>
    <w:rsid w:val="00A90BB9"/>
    <w:rsid w:val="00A90C9C"/>
    <w:rsid w:val="00A90D8D"/>
    <w:rsid w:val="00A90E19"/>
    <w:rsid w:val="00A90F02"/>
    <w:rsid w:val="00A910EE"/>
    <w:rsid w:val="00A91788"/>
    <w:rsid w:val="00A9185A"/>
    <w:rsid w:val="00A9198F"/>
    <w:rsid w:val="00A91D6F"/>
    <w:rsid w:val="00A9204A"/>
    <w:rsid w:val="00A92073"/>
    <w:rsid w:val="00A92155"/>
    <w:rsid w:val="00A92858"/>
    <w:rsid w:val="00A928CF"/>
    <w:rsid w:val="00A92B13"/>
    <w:rsid w:val="00A92C6E"/>
    <w:rsid w:val="00A92CB3"/>
    <w:rsid w:val="00A93210"/>
    <w:rsid w:val="00A93583"/>
    <w:rsid w:val="00A9361B"/>
    <w:rsid w:val="00A93806"/>
    <w:rsid w:val="00A93AC3"/>
    <w:rsid w:val="00A93F84"/>
    <w:rsid w:val="00A9404B"/>
    <w:rsid w:val="00A941D4"/>
    <w:rsid w:val="00A9445E"/>
    <w:rsid w:val="00A9453D"/>
    <w:rsid w:val="00A946F6"/>
    <w:rsid w:val="00A94CCB"/>
    <w:rsid w:val="00A94CD3"/>
    <w:rsid w:val="00A94E72"/>
    <w:rsid w:val="00A950D1"/>
    <w:rsid w:val="00A95180"/>
    <w:rsid w:val="00A952CE"/>
    <w:rsid w:val="00A9533F"/>
    <w:rsid w:val="00A95A62"/>
    <w:rsid w:val="00A95DA9"/>
    <w:rsid w:val="00A95E0C"/>
    <w:rsid w:val="00A95EF2"/>
    <w:rsid w:val="00A95FB0"/>
    <w:rsid w:val="00A95FFB"/>
    <w:rsid w:val="00A96015"/>
    <w:rsid w:val="00A960C2"/>
    <w:rsid w:val="00A96265"/>
    <w:rsid w:val="00A967C5"/>
    <w:rsid w:val="00A9694B"/>
    <w:rsid w:val="00A96EDF"/>
    <w:rsid w:val="00A97B83"/>
    <w:rsid w:val="00A97CDE"/>
    <w:rsid w:val="00A97FDB"/>
    <w:rsid w:val="00AA0405"/>
    <w:rsid w:val="00AA0628"/>
    <w:rsid w:val="00AA07BC"/>
    <w:rsid w:val="00AA083A"/>
    <w:rsid w:val="00AA0844"/>
    <w:rsid w:val="00AA0912"/>
    <w:rsid w:val="00AA09AD"/>
    <w:rsid w:val="00AA0ABE"/>
    <w:rsid w:val="00AA0C01"/>
    <w:rsid w:val="00AA0C1A"/>
    <w:rsid w:val="00AA0E7B"/>
    <w:rsid w:val="00AA146C"/>
    <w:rsid w:val="00AA149A"/>
    <w:rsid w:val="00AA1579"/>
    <w:rsid w:val="00AA1973"/>
    <w:rsid w:val="00AA1A77"/>
    <w:rsid w:val="00AA1C4B"/>
    <w:rsid w:val="00AA23F2"/>
    <w:rsid w:val="00AA245E"/>
    <w:rsid w:val="00AA2583"/>
    <w:rsid w:val="00AA26AD"/>
    <w:rsid w:val="00AA2806"/>
    <w:rsid w:val="00AA286F"/>
    <w:rsid w:val="00AA2A60"/>
    <w:rsid w:val="00AA2CF5"/>
    <w:rsid w:val="00AA312E"/>
    <w:rsid w:val="00AA34BB"/>
    <w:rsid w:val="00AA3516"/>
    <w:rsid w:val="00AA3AD7"/>
    <w:rsid w:val="00AA3C9E"/>
    <w:rsid w:val="00AA4272"/>
    <w:rsid w:val="00AA42B9"/>
    <w:rsid w:val="00AA44D0"/>
    <w:rsid w:val="00AA44D1"/>
    <w:rsid w:val="00AA46A1"/>
    <w:rsid w:val="00AA49DA"/>
    <w:rsid w:val="00AA4DB5"/>
    <w:rsid w:val="00AA509D"/>
    <w:rsid w:val="00AA5284"/>
    <w:rsid w:val="00AA576D"/>
    <w:rsid w:val="00AA57E7"/>
    <w:rsid w:val="00AA57F3"/>
    <w:rsid w:val="00AA5817"/>
    <w:rsid w:val="00AA581F"/>
    <w:rsid w:val="00AA5C2E"/>
    <w:rsid w:val="00AA5D65"/>
    <w:rsid w:val="00AA5E33"/>
    <w:rsid w:val="00AA5E4D"/>
    <w:rsid w:val="00AA5FBC"/>
    <w:rsid w:val="00AA6127"/>
    <w:rsid w:val="00AA62FA"/>
    <w:rsid w:val="00AA6456"/>
    <w:rsid w:val="00AA656C"/>
    <w:rsid w:val="00AA6625"/>
    <w:rsid w:val="00AA67F8"/>
    <w:rsid w:val="00AA6989"/>
    <w:rsid w:val="00AA6B65"/>
    <w:rsid w:val="00AA6D47"/>
    <w:rsid w:val="00AA6EB3"/>
    <w:rsid w:val="00AA6F65"/>
    <w:rsid w:val="00AA7143"/>
    <w:rsid w:val="00AA751F"/>
    <w:rsid w:val="00AA7963"/>
    <w:rsid w:val="00AB0218"/>
    <w:rsid w:val="00AB0224"/>
    <w:rsid w:val="00AB0248"/>
    <w:rsid w:val="00AB025F"/>
    <w:rsid w:val="00AB0291"/>
    <w:rsid w:val="00AB0883"/>
    <w:rsid w:val="00AB0922"/>
    <w:rsid w:val="00AB0BB3"/>
    <w:rsid w:val="00AB0DB8"/>
    <w:rsid w:val="00AB0E78"/>
    <w:rsid w:val="00AB10CA"/>
    <w:rsid w:val="00AB11DF"/>
    <w:rsid w:val="00AB120C"/>
    <w:rsid w:val="00AB1587"/>
    <w:rsid w:val="00AB15A3"/>
    <w:rsid w:val="00AB18E8"/>
    <w:rsid w:val="00AB19EA"/>
    <w:rsid w:val="00AB1A0D"/>
    <w:rsid w:val="00AB1BF0"/>
    <w:rsid w:val="00AB1C99"/>
    <w:rsid w:val="00AB1D8C"/>
    <w:rsid w:val="00AB1F7A"/>
    <w:rsid w:val="00AB252F"/>
    <w:rsid w:val="00AB2C0A"/>
    <w:rsid w:val="00AB2D61"/>
    <w:rsid w:val="00AB2FDD"/>
    <w:rsid w:val="00AB318E"/>
    <w:rsid w:val="00AB3236"/>
    <w:rsid w:val="00AB32CE"/>
    <w:rsid w:val="00AB33F0"/>
    <w:rsid w:val="00AB3564"/>
    <w:rsid w:val="00AB3608"/>
    <w:rsid w:val="00AB37A1"/>
    <w:rsid w:val="00AB390E"/>
    <w:rsid w:val="00AB3AB4"/>
    <w:rsid w:val="00AB3B27"/>
    <w:rsid w:val="00AB3CD5"/>
    <w:rsid w:val="00AB3D66"/>
    <w:rsid w:val="00AB4022"/>
    <w:rsid w:val="00AB4201"/>
    <w:rsid w:val="00AB42E6"/>
    <w:rsid w:val="00AB44A1"/>
    <w:rsid w:val="00AB44BD"/>
    <w:rsid w:val="00AB456E"/>
    <w:rsid w:val="00AB45A4"/>
    <w:rsid w:val="00AB462B"/>
    <w:rsid w:val="00AB4677"/>
    <w:rsid w:val="00AB47E7"/>
    <w:rsid w:val="00AB49C0"/>
    <w:rsid w:val="00AB4C33"/>
    <w:rsid w:val="00AB4E7A"/>
    <w:rsid w:val="00AB5059"/>
    <w:rsid w:val="00AB50BA"/>
    <w:rsid w:val="00AB5197"/>
    <w:rsid w:val="00AB53C6"/>
    <w:rsid w:val="00AB5657"/>
    <w:rsid w:val="00AB5841"/>
    <w:rsid w:val="00AB5A18"/>
    <w:rsid w:val="00AB5EEB"/>
    <w:rsid w:val="00AB5F89"/>
    <w:rsid w:val="00AB6332"/>
    <w:rsid w:val="00AB63A2"/>
    <w:rsid w:val="00AB63DF"/>
    <w:rsid w:val="00AB6417"/>
    <w:rsid w:val="00AB644D"/>
    <w:rsid w:val="00AB661B"/>
    <w:rsid w:val="00AB6803"/>
    <w:rsid w:val="00AB68BF"/>
    <w:rsid w:val="00AB6D43"/>
    <w:rsid w:val="00AB6E43"/>
    <w:rsid w:val="00AB7009"/>
    <w:rsid w:val="00AB77CE"/>
    <w:rsid w:val="00AB7988"/>
    <w:rsid w:val="00AB7D21"/>
    <w:rsid w:val="00AB7D5D"/>
    <w:rsid w:val="00AC00AE"/>
    <w:rsid w:val="00AC0250"/>
    <w:rsid w:val="00AC05D6"/>
    <w:rsid w:val="00AC0801"/>
    <w:rsid w:val="00AC0942"/>
    <w:rsid w:val="00AC0969"/>
    <w:rsid w:val="00AC0A56"/>
    <w:rsid w:val="00AC0E62"/>
    <w:rsid w:val="00AC129B"/>
    <w:rsid w:val="00AC14C7"/>
    <w:rsid w:val="00AC1591"/>
    <w:rsid w:val="00AC1615"/>
    <w:rsid w:val="00AC16DE"/>
    <w:rsid w:val="00AC1A47"/>
    <w:rsid w:val="00AC1DE9"/>
    <w:rsid w:val="00AC1E09"/>
    <w:rsid w:val="00AC1E6A"/>
    <w:rsid w:val="00AC20BF"/>
    <w:rsid w:val="00AC25D2"/>
    <w:rsid w:val="00AC29E4"/>
    <w:rsid w:val="00AC2A87"/>
    <w:rsid w:val="00AC2B5F"/>
    <w:rsid w:val="00AC2F92"/>
    <w:rsid w:val="00AC318F"/>
    <w:rsid w:val="00AC31F3"/>
    <w:rsid w:val="00AC325E"/>
    <w:rsid w:val="00AC3796"/>
    <w:rsid w:val="00AC37AC"/>
    <w:rsid w:val="00AC3935"/>
    <w:rsid w:val="00AC3EEF"/>
    <w:rsid w:val="00AC3F51"/>
    <w:rsid w:val="00AC4430"/>
    <w:rsid w:val="00AC4667"/>
    <w:rsid w:val="00AC4A90"/>
    <w:rsid w:val="00AC4AF0"/>
    <w:rsid w:val="00AC4BC7"/>
    <w:rsid w:val="00AC4DDF"/>
    <w:rsid w:val="00AC5495"/>
    <w:rsid w:val="00AC5735"/>
    <w:rsid w:val="00AC574F"/>
    <w:rsid w:val="00AC5767"/>
    <w:rsid w:val="00AC57B3"/>
    <w:rsid w:val="00AC593F"/>
    <w:rsid w:val="00AC5A0B"/>
    <w:rsid w:val="00AC5A4E"/>
    <w:rsid w:val="00AC5A68"/>
    <w:rsid w:val="00AC5C2B"/>
    <w:rsid w:val="00AC5E75"/>
    <w:rsid w:val="00AC6301"/>
    <w:rsid w:val="00AC6570"/>
    <w:rsid w:val="00AC6684"/>
    <w:rsid w:val="00AC6997"/>
    <w:rsid w:val="00AC6A38"/>
    <w:rsid w:val="00AC6D34"/>
    <w:rsid w:val="00AC6E30"/>
    <w:rsid w:val="00AC7260"/>
    <w:rsid w:val="00AC729F"/>
    <w:rsid w:val="00AC7380"/>
    <w:rsid w:val="00AC7398"/>
    <w:rsid w:val="00AC755E"/>
    <w:rsid w:val="00AC76A9"/>
    <w:rsid w:val="00AC7783"/>
    <w:rsid w:val="00AC77D2"/>
    <w:rsid w:val="00AC77E8"/>
    <w:rsid w:val="00AC79CF"/>
    <w:rsid w:val="00AC7DB5"/>
    <w:rsid w:val="00AD01E2"/>
    <w:rsid w:val="00AD0284"/>
    <w:rsid w:val="00AD076F"/>
    <w:rsid w:val="00AD08C9"/>
    <w:rsid w:val="00AD0B41"/>
    <w:rsid w:val="00AD0B43"/>
    <w:rsid w:val="00AD0B85"/>
    <w:rsid w:val="00AD0C72"/>
    <w:rsid w:val="00AD0DA1"/>
    <w:rsid w:val="00AD0E1C"/>
    <w:rsid w:val="00AD10E3"/>
    <w:rsid w:val="00AD111C"/>
    <w:rsid w:val="00AD1202"/>
    <w:rsid w:val="00AD1956"/>
    <w:rsid w:val="00AD1B17"/>
    <w:rsid w:val="00AD1EAA"/>
    <w:rsid w:val="00AD1FC0"/>
    <w:rsid w:val="00AD2006"/>
    <w:rsid w:val="00AD2084"/>
    <w:rsid w:val="00AD22E5"/>
    <w:rsid w:val="00AD235A"/>
    <w:rsid w:val="00AD238B"/>
    <w:rsid w:val="00AD249B"/>
    <w:rsid w:val="00AD2510"/>
    <w:rsid w:val="00AD261D"/>
    <w:rsid w:val="00AD26C4"/>
    <w:rsid w:val="00AD26C7"/>
    <w:rsid w:val="00AD2874"/>
    <w:rsid w:val="00AD28FC"/>
    <w:rsid w:val="00AD2968"/>
    <w:rsid w:val="00AD2A08"/>
    <w:rsid w:val="00AD2D94"/>
    <w:rsid w:val="00AD31B8"/>
    <w:rsid w:val="00AD365D"/>
    <w:rsid w:val="00AD3955"/>
    <w:rsid w:val="00AD3C14"/>
    <w:rsid w:val="00AD3DE0"/>
    <w:rsid w:val="00AD3EBF"/>
    <w:rsid w:val="00AD42B0"/>
    <w:rsid w:val="00AD43CD"/>
    <w:rsid w:val="00AD45FA"/>
    <w:rsid w:val="00AD4ACF"/>
    <w:rsid w:val="00AD4D70"/>
    <w:rsid w:val="00AD4E14"/>
    <w:rsid w:val="00AD52CC"/>
    <w:rsid w:val="00AD56D8"/>
    <w:rsid w:val="00AD5A7C"/>
    <w:rsid w:val="00AD5BA0"/>
    <w:rsid w:val="00AD5C06"/>
    <w:rsid w:val="00AD5DE0"/>
    <w:rsid w:val="00AD5F59"/>
    <w:rsid w:val="00AD6034"/>
    <w:rsid w:val="00AD6442"/>
    <w:rsid w:val="00AD6463"/>
    <w:rsid w:val="00AD64BD"/>
    <w:rsid w:val="00AD64EA"/>
    <w:rsid w:val="00AD66A1"/>
    <w:rsid w:val="00AD6961"/>
    <w:rsid w:val="00AD6B30"/>
    <w:rsid w:val="00AD701F"/>
    <w:rsid w:val="00AD7612"/>
    <w:rsid w:val="00AD77C3"/>
    <w:rsid w:val="00AD77E8"/>
    <w:rsid w:val="00AD7955"/>
    <w:rsid w:val="00AD79A2"/>
    <w:rsid w:val="00AD79A9"/>
    <w:rsid w:val="00AE04A7"/>
    <w:rsid w:val="00AE05FB"/>
    <w:rsid w:val="00AE06FD"/>
    <w:rsid w:val="00AE086F"/>
    <w:rsid w:val="00AE0B9A"/>
    <w:rsid w:val="00AE116E"/>
    <w:rsid w:val="00AE1464"/>
    <w:rsid w:val="00AE1663"/>
    <w:rsid w:val="00AE1C1E"/>
    <w:rsid w:val="00AE1DFA"/>
    <w:rsid w:val="00AE2038"/>
    <w:rsid w:val="00AE22BD"/>
    <w:rsid w:val="00AE22C1"/>
    <w:rsid w:val="00AE2380"/>
    <w:rsid w:val="00AE2772"/>
    <w:rsid w:val="00AE2A13"/>
    <w:rsid w:val="00AE2AE6"/>
    <w:rsid w:val="00AE2C7A"/>
    <w:rsid w:val="00AE2CC4"/>
    <w:rsid w:val="00AE2F97"/>
    <w:rsid w:val="00AE307D"/>
    <w:rsid w:val="00AE37C2"/>
    <w:rsid w:val="00AE38EB"/>
    <w:rsid w:val="00AE39C5"/>
    <w:rsid w:val="00AE3ADE"/>
    <w:rsid w:val="00AE3BF8"/>
    <w:rsid w:val="00AE3D94"/>
    <w:rsid w:val="00AE3DF4"/>
    <w:rsid w:val="00AE3F21"/>
    <w:rsid w:val="00AE3FAB"/>
    <w:rsid w:val="00AE444E"/>
    <w:rsid w:val="00AE463A"/>
    <w:rsid w:val="00AE4A07"/>
    <w:rsid w:val="00AE4D3F"/>
    <w:rsid w:val="00AE5033"/>
    <w:rsid w:val="00AE5426"/>
    <w:rsid w:val="00AE5439"/>
    <w:rsid w:val="00AE5476"/>
    <w:rsid w:val="00AE5515"/>
    <w:rsid w:val="00AE5A14"/>
    <w:rsid w:val="00AE5A8E"/>
    <w:rsid w:val="00AE6091"/>
    <w:rsid w:val="00AE6094"/>
    <w:rsid w:val="00AE609F"/>
    <w:rsid w:val="00AE6935"/>
    <w:rsid w:val="00AE6A9D"/>
    <w:rsid w:val="00AE6AB8"/>
    <w:rsid w:val="00AE6DE3"/>
    <w:rsid w:val="00AE6EE5"/>
    <w:rsid w:val="00AE7105"/>
    <w:rsid w:val="00AE716D"/>
    <w:rsid w:val="00AE7325"/>
    <w:rsid w:val="00AE77B8"/>
    <w:rsid w:val="00AE7866"/>
    <w:rsid w:val="00AE7BBF"/>
    <w:rsid w:val="00AE7D49"/>
    <w:rsid w:val="00AE7E52"/>
    <w:rsid w:val="00AE7E7F"/>
    <w:rsid w:val="00AE7FB0"/>
    <w:rsid w:val="00AF0092"/>
    <w:rsid w:val="00AF03E1"/>
    <w:rsid w:val="00AF076F"/>
    <w:rsid w:val="00AF0838"/>
    <w:rsid w:val="00AF08EA"/>
    <w:rsid w:val="00AF08EE"/>
    <w:rsid w:val="00AF0946"/>
    <w:rsid w:val="00AF0BAF"/>
    <w:rsid w:val="00AF0D44"/>
    <w:rsid w:val="00AF0DCA"/>
    <w:rsid w:val="00AF1020"/>
    <w:rsid w:val="00AF120A"/>
    <w:rsid w:val="00AF1349"/>
    <w:rsid w:val="00AF148C"/>
    <w:rsid w:val="00AF154A"/>
    <w:rsid w:val="00AF197C"/>
    <w:rsid w:val="00AF21E9"/>
    <w:rsid w:val="00AF24FD"/>
    <w:rsid w:val="00AF2542"/>
    <w:rsid w:val="00AF2556"/>
    <w:rsid w:val="00AF263A"/>
    <w:rsid w:val="00AF2661"/>
    <w:rsid w:val="00AF2FA2"/>
    <w:rsid w:val="00AF2FBA"/>
    <w:rsid w:val="00AF2FCA"/>
    <w:rsid w:val="00AF302F"/>
    <w:rsid w:val="00AF3146"/>
    <w:rsid w:val="00AF32FF"/>
    <w:rsid w:val="00AF35B9"/>
    <w:rsid w:val="00AF35E6"/>
    <w:rsid w:val="00AF3803"/>
    <w:rsid w:val="00AF3807"/>
    <w:rsid w:val="00AF3881"/>
    <w:rsid w:val="00AF3C17"/>
    <w:rsid w:val="00AF43B0"/>
    <w:rsid w:val="00AF440D"/>
    <w:rsid w:val="00AF44D1"/>
    <w:rsid w:val="00AF477F"/>
    <w:rsid w:val="00AF4991"/>
    <w:rsid w:val="00AF4992"/>
    <w:rsid w:val="00AF4CB1"/>
    <w:rsid w:val="00AF4E16"/>
    <w:rsid w:val="00AF5053"/>
    <w:rsid w:val="00AF53BD"/>
    <w:rsid w:val="00AF54D3"/>
    <w:rsid w:val="00AF552F"/>
    <w:rsid w:val="00AF5C32"/>
    <w:rsid w:val="00AF62A1"/>
    <w:rsid w:val="00AF6688"/>
    <w:rsid w:val="00AF6987"/>
    <w:rsid w:val="00AF69CA"/>
    <w:rsid w:val="00AF6E8D"/>
    <w:rsid w:val="00AF6F6A"/>
    <w:rsid w:val="00AF7163"/>
    <w:rsid w:val="00AF73DB"/>
    <w:rsid w:val="00AF7589"/>
    <w:rsid w:val="00AF771D"/>
    <w:rsid w:val="00AF7937"/>
    <w:rsid w:val="00AF7A4B"/>
    <w:rsid w:val="00AF7AC5"/>
    <w:rsid w:val="00AF7C10"/>
    <w:rsid w:val="00AF7D59"/>
    <w:rsid w:val="00AF7E8F"/>
    <w:rsid w:val="00B00409"/>
    <w:rsid w:val="00B005A4"/>
    <w:rsid w:val="00B00A91"/>
    <w:rsid w:val="00B00C20"/>
    <w:rsid w:val="00B00C33"/>
    <w:rsid w:val="00B01131"/>
    <w:rsid w:val="00B01481"/>
    <w:rsid w:val="00B015DE"/>
    <w:rsid w:val="00B01934"/>
    <w:rsid w:val="00B019CC"/>
    <w:rsid w:val="00B01ED5"/>
    <w:rsid w:val="00B01F62"/>
    <w:rsid w:val="00B020E1"/>
    <w:rsid w:val="00B0211B"/>
    <w:rsid w:val="00B025C8"/>
    <w:rsid w:val="00B0263E"/>
    <w:rsid w:val="00B02707"/>
    <w:rsid w:val="00B0287F"/>
    <w:rsid w:val="00B02A52"/>
    <w:rsid w:val="00B02A57"/>
    <w:rsid w:val="00B02BA4"/>
    <w:rsid w:val="00B02C85"/>
    <w:rsid w:val="00B031F2"/>
    <w:rsid w:val="00B033E9"/>
    <w:rsid w:val="00B0350B"/>
    <w:rsid w:val="00B03536"/>
    <w:rsid w:val="00B039EF"/>
    <w:rsid w:val="00B03A98"/>
    <w:rsid w:val="00B03AD9"/>
    <w:rsid w:val="00B03C02"/>
    <w:rsid w:val="00B04263"/>
    <w:rsid w:val="00B04515"/>
    <w:rsid w:val="00B048C8"/>
    <w:rsid w:val="00B04B53"/>
    <w:rsid w:val="00B050C4"/>
    <w:rsid w:val="00B05175"/>
    <w:rsid w:val="00B05424"/>
    <w:rsid w:val="00B054CC"/>
    <w:rsid w:val="00B057F9"/>
    <w:rsid w:val="00B05D0E"/>
    <w:rsid w:val="00B0620E"/>
    <w:rsid w:val="00B0625B"/>
    <w:rsid w:val="00B06329"/>
    <w:rsid w:val="00B06882"/>
    <w:rsid w:val="00B068E7"/>
    <w:rsid w:val="00B06AE2"/>
    <w:rsid w:val="00B06CB9"/>
    <w:rsid w:val="00B06F14"/>
    <w:rsid w:val="00B0709B"/>
    <w:rsid w:val="00B071D3"/>
    <w:rsid w:val="00B071EF"/>
    <w:rsid w:val="00B0721E"/>
    <w:rsid w:val="00B072B1"/>
    <w:rsid w:val="00B072CC"/>
    <w:rsid w:val="00B07301"/>
    <w:rsid w:val="00B07442"/>
    <w:rsid w:val="00B07659"/>
    <w:rsid w:val="00B07715"/>
    <w:rsid w:val="00B07886"/>
    <w:rsid w:val="00B07B27"/>
    <w:rsid w:val="00B07F45"/>
    <w:rsid w:val="00B10162"/>
    <w:rsid w:val="00B1020D"/>
    <w:rsid w:val="00B1021C"/>
    <w:rsid w:val="00B102A8"/>
    <w:rsid w:val="00B1069D"/>
    <w:rsid w:val="00B10979"/>
    <w:rsid w:val="00B10A8B"/>
    <w:rsid w:val="00B10C9C"/>
    <w:rsid w:val="00B10D7A"/>
    <w:rsid w:val="00B10EB1"/>
    <w:rsid w:val="00B111A3"/>
    <w:rsid w:val="00B112A7"/>
    <w:rsid w:val="00B112CE"/>
    <w:rsid w:val="00B11709"/>
    <w:rsid w:val="00B11C16"/>
    <w:rsid w:val="00B11C27"/>
    <w:rsid w:val="00B11E10"/>
    <w:rsid w:val="00B1204C"/>
    <w:rsid w:val="00B120BE"/>
    <w:rsid w:val="00B12156"/>
    <w:rsid w:val="00B1234B"/>
    <w:rsid w:val="00B12372"/>
    <w:rsid w:val="00B12B36"/>
    <w:rsid w:val="00B12CD6"/>
    <w:rsid w:val="00B12D87"/>
    <w:rsid w:val="00B12F7D"/>
    <w:rsid w:val="00B131DA"/>
    <w:rsid w:val="00B13427"/>
    <w:rsid w:val="00B13532"/>
    <w:rsid w:val="00B135A3"/>
    <w:rsid w:val="00B1391A"/>
    <w:rsid w:val="00B13C9E"/>
    <w:rsid w:val="00B13CFD"/>
    <w:rsid w:val="00B13D77"/>
    <w:rsid w:val="00B13DC8"/>
    <w:rsid w:val="00B13E5B"/>
    <w:rsid w:val="00B13FC2"/>
    <w:rsid w:val="00B14023"/>
    <w:rsid w:val="00B1414F"/>
    <w:rsid w:val="00B14345"/>
    <w:rsid w:val="00B143B4"/>
    <w:rsid w:val="00B1456A"/>
    <w:rsid w:val="00B14889"/>
    <w:rsid w:val="00B148F3"/>
    <w:rsid w:val="00B14C14"/>
    <w:rsid w:val="00B14CB3"/>
    <w:rsid w:val="00B14E38"/>
    <w:rsid w:val="00B14F9F"/>
    <w:rsid w:val="00B1502F"/>
    <w:rsid w:val="00B15031"/>
    <w:rsid w:val="00B152CD"/>
    <w:rsid w:val="00B1572F"/>
    <w:rsid w:val="00B1579E"/>
    <w:rsid w:val="00B15A44"/>
    <w:rsid w:val="00B15AF0"/>
    <w:rsid w:val="00B15BA2"/>
    <w:rsid w:val="00B1602F"/>
    <w:rsid w:val="00B1632A"/>
    <w:rsid w:val="00B1654F"/>
    <w:rsid w:val="00B1658F"/>
    <w:rsid w:val="00B16690"/>
    <w:rsid w:val="00B16717"/>
    <w:rsid w:val="00B1672C"/>
    <w:rsid w:val="00B169E0"/>
    <w:rsid w:val="00B16A5B"/>
    <w:rsid w:val="00B16A91"/>
    <w:rsid w:val="00B16DF5"/>
    <w:rsid w:val="00B16DF6"/>
    <w:rsid w:val="00B16EF5"/>
    <w:rsid w:val="00B170AD"/>
    <w:rsid w:val="00B171A3"/>
    <w:rsid w:val="00B17414"/>
    <w:rsid w:val="00B1756A"/>
    <w:rsid w:val="00B177C8"/>
    <w:rsid w:val="00B179B1"/>
    <w:rsid w:val="00B17C32"/>
    <w:rsid w:val="00B17C79"/>
    <w:rsid w:val="00B17DEE"/>
    <w:rsid w:val="00B17E17"/>
    <w:rsid w:val="00B17F8F"/>
    <w:rsid w:val="00B201A8"/>
    <w:rsid w:val="00B20545"/>
    <w:rsid w:val="00B20565"/>
    <w:rsid w:val="00B205C9"/>
    <w:rsid w:val="00B20627"/>
    <w:rsid w:val="00B20642"/>
    <w:rsid w:val="00B20695"/>
    <w:rsid w:val="00B2070A"/>
    <w:rsid w:val="00B207FD"/>
    <w:rsid w:val="00B208B7"/>
    <w:rsid w:val="00B208E5"/>
    <w:rsid w:val="00B20BD8"/>
    <w:rsid w:val="00B20E1E"/>
    <w:rsid w:val="00B21005"/>
    <w:rsid w:val="00B210F9"/>
    <w:rsid w:val="00B21401"/>
    <w:rsid w:val="00B214D9"/>
    <w:rsid w:val="00B21693"/>
    <w:rsid w:val="00B217DB"/>
    <w:rsid w:val="00B218D9"/>
    <w:rsid w:val="00B21D9A"/>
    <w:rsid w:val="00B21E1A"/>
    <w:rsid w:val="00B221B8"/>
    <w:rsid w:val="00B227B7"/>
    <w:rsid w:val="00B227BB"/>
    <w:rsid w:val="00B22809"/>
    <w:rsid w:val="00B229CD"/>
    <w:rsid w:val="00B22C2B"/>
    <w:rsid w:val="00B22C6D"/>
    <w:rsid w:val="00B22F0F"/>
    <w:rsid w:val="00B2306D"/>
    <w:rsid w:val="00B230C1"/>
    <w:rsid w:val="00B2330E"/>
    <w:rsid w:val="00B233C6"/>
    <w:rsid w:val="00B233D8"/>
    <w:rsid w:val="00B23638"/>
    <w:rsid w:val="00B238F8"/>
    <w:rsid w:val="00B23F75"/>
    <w:rsid w:val="00B2414B"/>
    <w:rsid w:val="00B2432B"/>
    <w:rsid w:val="00B24665"/>
    <w:rsid w:val="00B24730"/>
    <w:rsid w:val="00B24831"/>
    <w:rsid w:val="00B24A3C"/>
    <w:rsid w:val="00B24CEF"/>
    <w:rsid w:val="00B24F12"/>
    <w:rsid w:val="00B25684"/>
    <w:rsid w:val="00B25726"/>
    <w:rsid w:val="00B258D7"/>
    <w:rsid w:val="00B2590B"/>
    <w:rsid w:val="00B25975"/>
    <w:rsid w:val="00B25BAC"/>
    <w:rsid w:val="00B25BDD"/>
    <w:rsid w:val="00B25CF2"/>
    <w:rsid w:val="00B25D83"/>
    <w:rsid w:val="00B26287"/>
    <w:rsid w:val="00B2638A"/>
    <w:rsid w:val="00B26440"/>
    <w:rsid w:val="00B266BC"/>
    <w:rsid w:val="00B2681C"/>
    <w:rsid w:val="00B26853"/>
    <w:rsid w:val="00B268EC"/>
    <w:rsid w:val="00B26905"/>
    <w:rsid w:val="00B269DA"/>
    <w:rsid w:val="00B26A47"/>
    <w:rsid w:val="00B26B0E"/>
    <w:rsid w:val="00B26FA6"/>
    <w:rsid w:val="00B27228"/>
    <w:rsid w:val="00B272D2"/>
    <w:rsid w:val="00B2731E"/>
    <w:rsid w:val="00B2773B"/>
    <w:rsid w:val="00B277A2"/>
    <w:rsid w:val="00B27891"/>
    <w:rsid w:val="00B27895"/>
    <w:rsid w:val="00B27AA7"/>
    <w:rsid w:val="00B27AD5"/>
    <w:rsid w:val="00B27D6D"/>
    <w:rsid w:val="00B27EAB"/>
    <w:rsid w:val="00B30136"/>
    <w:rsid w:val="00B3018A"/>
    <w:rsid w:val="00B301B7"/>
    <w:rsid w:val="00B302D3"/>
    <w:rsid w:val="00B3038F"/>
    <w:rsid w:val="00B303E1"/>
    <w:rsid w:val="00B306C7"/>
    <w:rsid w:val="00B30BB3"/>
    <w:rsid w:val="00B30F51"/>
    <w:rsid w:val="00B31278"/>
    <w:rsid w:val="00B31419"/>
    <w:rsid w:val="00B31484"/>
    <w:rsid w:val="00B318EF"/>
    <w:rsid w:val="00B31C10"/>
    <w:rsid w:val="00B31DE4"/>
    <w:rsid w:val="00B322D3"/>
    <w:rsid w:val="00B3238A"/>
    <w:rsid w:val="00B324EA"/>
    <w:rsid w:val="00B325E5"/>
    <w:rsid w:val="00B326D7"/>
    <w:rsid w:val="00B327BA"/>
    <w:rsid w:val="00B32D0F"/>
    <w:rsid w:val="00B32DC0"/>
    <w:rsid w:val="00B33154"/>
    <w:rsid w:val="00B3322A"/>
    <w:rsid w:val="00B334C1"/>
    <w:rsid w:val="00B334FC"/>
    <w:rsid w:val="00B33B61"/>
    <w:rsid w:val="00B33B6B"/>
    <w:rsid w:val="00B33C8B"/>
    <w:rsid w:val="00B33D4B"/>
    <w:rsid w:val="00B33DB8"/>
    <w:rsid w:val="00B3422C"/>
    <w:rsid w:val="00B34392"/>
    <w:rsid w:val="00B345D5"/>
    <w:rsid w:val="00B347C7"/>
    <w:rsid w:val="00B348BA"/>
    <w:rsid w:val="00B348C0"/>
    <w:rsid w:val="00B34AFF"/>
    <w:rsid w:val="00B34EF5"/>
    <w:rsid w:val="00B3509A"/>
    <w:rsid w:val="00B354D4"/>
    <w:rsid w:val="00B35B34"/>
    <w:rsid w:val="00B35CB1"/>
    <w:rsid w:val="00B36363"/>
    <w:rsid w:val="00B364D0"/>
    <w:rsid w:val="00B3650D"/>
    <w:rsid w:val="00B36723"/>
    <w:rsid w:val="00B36967"/>
    <w:rsid w:val="00B3699B"/>
    <w:rsid w:val="00B36A0F"/>
    <w:rsid w:val="00B36A53"/>
    <w:rsid w:val="00B36CA7"/>
    <w:rsid w:val="00B36E89"/>
    <w:rsid w:val="00B36FED"/>
    <w:rsid w:val="00B3730E"/>
    <w:rsid w:val="00B37571"/>
    <w:rsid w:val="00B37623"/>
    <w:rsid w:val="00B376B5"/>
    <w:rsid w:val="00B3785D"/>
    <w:rsid w:val="00B37BB1"/>
    <w:rsid w:val="00B37BF0"/>
    <w:rsid w:val="00B37DDF"/>
    <w:rsid w:val="00B37E7E"/>
    <w:rsid w:val="00B40166"/>
    <w:rsid w:val="00B402CB"/>
    <w:rsid w:val="00B403B3"/>
    <w:rsid w:val="00B404A6"/>
    <w:rsid w:val="00B40733"/>
    <w:rsid w:val="00B40775"/>
    <w:rsid w:val="00B40849"/>
    <w:rsid w:val="00B4086D"/>
    <w:rsid w:val="00B40C06"/>
    <w:rsid w:val="00B40E7C"/>
    <w:rsid w:val="00B40E96"/>
    <w:rsid w:val="00B41027"/>
    <w:rsid w:val="00B413D7"/>
    <w:rsid w:val="00B416B4"/>
    <w:rsid w:val="00B416C2"/>
    <w:rsid w:val="00B4189B"/>
    <w:rsid w:val="00B41AEB"/>
    <w:rsid w:val="00B41E2D"/>
    <w:rsid w:val="00B41F20"/>
    <w:rsid w:val="00B41FBD"/>
    <w:rsid w:val="00B421E4"/>
    <w:rsid w:val="00B4220F"/>
    <w:rsid w:val="00B423CC"/>
    <w:rsid w:val="00B423CF"/>
    <w:rsid w:val="00B42894"/>
    <w:rsid w:val="00B42CBF"/>
    <w:rsid w:val="00B42FA0"/>
    <w:rsid w:val="00B433BB"/>
    <w:rsid w:val="00B4366E"/>
    <w:rsid w:val="00B43A0A"/>
    <w:rsid w:val="00B43E55"/>
    <w:rsid w:val="00B43FD4"/>
    <w:rsid w:val="00B4404F"/>
    <w:rsid w:val="00B440D7"/>
    <w:rsid w:val="00B4438D"/>
    <w:rsid w:val="00B444BB"/>
    <w:rsid w:val="00B4454E"/>
    <w:rsid w:val="00B445DA"/>
    <w:rsid w:val="00B44892"/>
    <w:rsid w:val="00B44946"/>
    <w:rsid w:val="00B44A9B"/>
    <w:rsid w:val="00B44E88"/>
    <w:rsid w:val="00B4508D"/>
    <w:rsid w:val="00B45584"/>
    <w:rsid w:val="00B45597"/>
    <w:rsid w:val="00B45740"/>
    <w:rsid w:val="00B45E97"/>
    <w:rsid w:val="00B45F8C"/>
    <w:rsid w:val="00B45FC3"/>
    <w:rsid w:val="00B4628B"/>
    <w:rsid w:val="00B4661C"/>
    <w:rsid w:val="00B4674B"/>
    <w:rsid w:val="00B468B0"/>
    <w:rsid w:val="00B469CB"/>
    <w:rsid w:val="00B46A60"/>
    <w:rsid w:val="00B46B2A"/>
    <w:rsid w:val="00B47156"/>
    <w:rsid w:val="00B472CC"/>
    <w:rsid w:val="00B47348"/>
    <w:rsid w:val="00B4749D"/>
    <w:rsid w:val="00B478E4"/>
    <w:rsid w:val="00B47BCC"/>
    <w:rsid w:val="00B47F88"/>
    <w:rsid w:val="00B47FCC"/>
    <w:rsid w:val="00B50439"/>
    <w:rsid w:val="00B507D8"/>
    <w:rsid w:val="00B50AAD"/>
    <w:rsid w:val="00B50D06"/>
    <w:rsid w:val="00B50D54"/>
    <w:rsid w:val="00B50DF8"/>
    <w:rsid w:val="00B511FD"/>
    <w:rsid w:val="00B514D5"/>
    <w:rsid w:val="00B514F0"/>
    <w:rsid w:val="00B515ED"/>
    <w:rsid w:val="00B51A1B"/>
    <w:rsid w:val="00B51BCF"/>
    <w:rsid w:val="00B51C60"/>
    <w:rsid w:val="00B51DEA"/>
    <w:rsid w:val="00B520BD"/>
    <w:rsid w:val="00B5218C"/>
    <w:rsid w:val="00B5237D"/>
    <w:rsid w:val="00B524B7"/>
    <w:rsid w:val="00B5272C"/>
    <w:rsid w:val="00B52A39"/>
    <w:rsid w:val="00B52C94"/>
    <w:rsid w:val="00B52D34"/>
    <w:rsid w:val="00B52EDF"/>
    <w:rsid w:val="00B52F8A"/>
    <w:rsid w:val="00B53033"/>
    <w:rsid w:val="00B5333F"/>
    <w:rsid w:val="00B53347"/>
    <w:rsid w:val="00B5336D"/>
    <w:rsid w:val="00B53407"/>
    <w:rsid w:val="00B53978"/>
    <w:rsid w:val="00B53D06"/>
    <w:rsid w:val="00B53EF9"/>
    <w:rsid w:val="00B54147"/>
    <w:rsid w:val="00B54254"/>
    <w:rsid w:val="00B543FA"/>
    <w:rsid w:val="00B544F4"/>
    <w:rsid w:val="00B54511"/>
    <w:rsid w:val="00B54D43"/>
    <w:rsid w:val="00B54FA0"/>
    <w:rsid w:val="00B55018"/>
    <w:rsid w:val="00B55844"/>
    <w:rsid w:val="00B5588D"/>
    <w:rsid w:val="00B559EE"/>
    <w:rsid w:val="00B55D3D"/>
    <w:rsid w:val="00B55FE7"/>
    <w:rsid w:val="00B5634E"/>
    <w:rsid w:val="00B5657C"/>
    <w:rsid w:val="00B5675B"/>
    <w:rsid w:val="00B568B1"/>
    <w:rsid w:val="00B56ADE"/>
    <w:rsid w:val="00B56B38"/>
    <w:rsid w:val="00B56B8B"/>
    <w:rsid w:val="00B56E8A"/>
    <w:rsid w:val="00B56F5C"/>
    <w:rsid w:val="00B5736E"/>
    <w:rsid w:val="00B574C4"/>
    <w:rsid w:val="00B5757A"/>
    <w:rsid w:val="00B5759D"/>
    <w:rsid w:val="00B575D6"/>
    <w:rsid w:val="00B57607"/>
    <w:rsid w:val="00B57682"/>
    <w:rsid w:val="00B576C1"/>
    <w:rsid w:val="00B577D2"/>
    <w:rsid w:val="00B57801"/>
    <w:rsid w:val="00B578E4"/>
    <w:rsid w:val="00B57A31"/>
    <w:rsid w:val="00B57A6B"/>
    <w:rsid w:val="00B57AC9"/>
    <w:rsid w:val="00B57D7D"/>
    <w:rsid w:val="00B57E1C"/>
    <w:rsid w:val="00B57E83"/>
    <w:rsid w:val="00B57EAC"/>
    <w:rsid w:val="00B57F3C"/>
    <w:rsid w:val="00B605B7"/>
    <w:rsid w:val="00B60657"/>
    <w:rsid w:val="00B606B1"/>
    <w:rsid w:val="00B606DA"/>
    <w:rsid w:val="00B60807"/>
    <w:rsid w:val="00B60931"/>
    <w:rsid w:val="00B60D34"/>
    <w:rsid w:val="00B60DBB"/>
    <w:rsid w:val="00B60E17"/>
    <w:rsid w:val="00B60E47"/>
    <w:rsid w:val="00B61027"/>
    <w:rsid w:val="00B616AB"/>
    <w:rsid w:val="00B61D98"/>
    <w:rsid w:val="00B621CF"/>
    <w:rsid w:val="00B622F8"/>
    <w:rsid w:val="00B6256F"/>
    <w:rsid w:val="00B6268A"/>
    <w:rsid w:val="00B62829"/>
    <w:rsid w:val="00B629D4"/>
    <w:rsid w:val="00B62A17"/>
    <w:rsid w:val="00B62B10"/>
    <w:rsid w:val="00B62D07"/>
    <w:rsid w:val="00B62D0F"/>
    <w:rsid w:val="00B62F0D"/>
    <w:rsid w:val="00B62F23"/>
    <w:rsid w:val="00B62F73"/>
    <w:rsid w:val="00B634A9"/>
    <w:rsid w:val="00B635CF"/>
    <w:rsid w:val="00B63746"/>
    <w:rsid w:val="00B63944"/>
    <w:rsid w:val="00B6398C"/>
    <w:rsid w:val="00B63A08"/>
    <w:rsid w:val="00B63E0D"/>
    <w:rsid w:val="00B63E79"/>
    <w:rsid w:val="00B641F8"/>
    <w:rsid w:val="00B644B2"/>
    <w:rsid w:val="00B646DA"/>
    <w:rsid w:val="00B64AE5"/>
    <w:rsid w:val="00B64B80"/>
    <w:rsid w:val="00B64C03"/>
    <w:rsid w:val="00B6514C"/>
    <w:rsid w:val="00B656B3"/>
    <w:rsid w:val="00B6592F"/>
    <w:rsid w:val="00B65B0B"/>
    <w:rsid w:val="00B65CD0"/>
    <w:rsid w:val="00B65E49"/>
    <w:rsid w:val="00B65F54"/>
    <w:rsid w:val="00B65F63"/>
    <w:rsid w:val="00B664EF"/>
    <w:rsid w:val="00B664F3"/>
    <w:rsid w:val="00B666AD"/>
    <w:rsid w:val="00B669F8"/>
    <w:rsid w:val="00B66CED"/>
    <w:rsid w:val="00B66F83"/>
    <w:rsid w:val="00B67102"/>
    <w:rsid w:val="00B67836"/>
    <w:rsid w:val="00B67B2C"/>
    <w:rsid w:val="00B67FBC"/>
    <w:rsid w:val="00B67FC1"/>
    <w:rsid w:val="00B70254"/>
    <w:rsid w:val="00B7029A"/>
    <w:rsid w:val="00B70491"/>
    <w:rsid w:val="00B7055C"/>
    <w:rsid w:val="00B7062E"/>
    <w:rsid w:val="00B70DA3"/>
    <w:rsid w:val="00B70DCF"/>
    <w:rsid w:val="00B70EF4"/>
    <w:rsid w:val="00B70F28"/>
    <w:rsid w:val="00B710EA"/>
    <w:rsid w:val="00B712CA"/>
    <w:rsid w:val="00B71792"/>
    <w:rsid w:val="00B71819"/>
    <w:rsid w:val="00B71924"/>
    <w:rsid w:val="00B719C8"/>
    <w:rsid w:val="00B71A6D"/>
    <w:rsid w:val="00B71B6A"/>
    <w:rsid w:val="00B71C9F"/>
    <w:rsid w:val="00B71E5A"/>
    <w:rsid w:val="00B723AA"/>
    <w:rsid w:val="00B72612"/>
    <w:rsid w:val="00B72691"/>
    <w:rsid w:val="00B726DA"/>
    <w:rsid w:val="00B72758"/>
    <w:rsid w:val="00B72931"/>
    <w:rsid w:val="00B729B1"/>
    <w:rsid w:val="00B72B6B"/>
    <w:rsid w:val="00B72CAB"/>
    <w:rsid w:val="00B72D82"/>
    <w:rsid w:val="00B72D93"/>
    <w:rsid w:val="00B72DB0"/>
    <w:rsid w:val="00B72DCD"/>
    <w:rsid w:val="00B72FE0"/>
    <w:rsid w:val="00B73020"/>
    <w:rsid w:val="00B73172"/>
    <w:rsid w:val="00B73178"/>
    <w:rsid w:val="00B73228"/>
    <w:rsid w:val="00B73359"/>
    <w:rsid w:val="00B735C9"/>
    <w:rsid w:val="00B7397F"/>
    <w:rsid w:val="00B73A6A"/>
    <w:rsid w:val="00B73D08"/>
    <w:rsid w:val="00B741A6"/>
    <w:rsid w:val="00B74915"/>
    <w:rsid w:val="00B74A38"/>
    <w:rsid w:val="00B74C75"/>
    <w:rsid w:val="00B74F44"/>
    <w:rsid w:val="00B74F71"/>
    <w:rsid w:val="00B7542E"/>
    <w:rsid w:val="00B75678"/>
    <w:rsid w:val="00B75928"/>
    <w:rsid w:val="00B75B6C"/>
    <w:rsid w:val="00B75D14"/>
    <w:rsid w:val="00B75FF3"/>
    <w:rsid w:val="00B76091"/>
    <w:rsid w:val="00B76149"/>
    <w:rsid w:val="00B765B0"/>
    <w:rsid w:val="00B765E8"/>
    <w:rsid w:val="00B7665A"/>
    <w:rsid w:val="00B76666"/>
    <w:rsid w:val="00B766A6"/>
    <w:rsid w:val="00B76825"/>
    <w:rsid w:val="00B769AA"/>
    <w:rsid w:val="00B76D70"/>
    <w:rsid w:val="00B771E6"/>
    <w:rsid w:val="00B772BF"/>
    <w:rsid w:val="00B77317"/>
    <w:rsid w:val="00B7746F"/>
    <w:rsid w:val="00B77827"/>
    <w:rsid w:val="00B77926"/>
    <w:rsid w:val="00B77942"/>
    <w:rsid w:val="00B77943"/>
    <w:rsid w:val="00B77B37"/>
    <w:rsid w:val="00B77CAA"/>
    <w:rsid w:val="00B77CDA"/>
    <w:rsid w:val="00B77D6F"/>
    <w:rsid w:val="00B8038F"/>
    <w:rsid w:val="00B808CF"/>
    <w:rsid w:val="00B80952"/>
    <w:rsid w:val="00B80961"/>
    <w:rsid w:val="00B80A8E"/>
    <w:rsid w:val="00B80C1C"/>
    <w:rsid w:val="00B80D0E"/>
    <w:rsid w:val="00B80D77"/>
    <w:rsid w:val="00B81180"/>
    <w:rsid w:val="00B81206"/>
    <w:rsid w:val="00B814E4"/>
    <w:rsid w:val="00B81989"/>
    <w:rsid w:val="00B81C83"/>
    <w:rsid w:val="00B820EC"/>
    <w:rsid w:val="00B821E4"/>
    <w:rsid w:val="00B82244"/>
    <w:rsid w:val="00B823C2"/>
    <w:rsid w:val="00B823F7"/>
    <w:rsid w:val="00B824B9"/>
    <w:rsid w:val="00B8264A"/>
    <w:rsid w:val="00B82A7E"/>
    <w:rsid w:val="00B82AC0"/>
    <w:rsid w:val="00B82CCE"/>
    <w:rsid w:val="00B82E96"/>
    <w:rsid w:val="00B8315C"/>
    <w:rsid w:val="00B831C8"/>
    <w:rsid w:val="00B835B8"/>
    <w:rsid w:val="00B83916"/>
    <w:rsid w:val="00B83B71"/>
    <w:rsid w:val="00B83D5B"/>
    <w:rsid w:val="00B83E82"/>
    <w:rsid w:val="00B841B7"/>
    <w:rsid w:val="00B843E4"/>
    <w:rsid w:val="00B844D7"/>
    <w:rsid w:val="00B844DD"/>
    <w:rsid w:val="00B845E3"/>
    <w:rsid w:val="00B8466C"/>
    <w:rsid w:val="00B8471B"/>
    <w:rsid w:val="00B849BA"/>
    <w:rsid w:val="00B84B98"/>
    <w:rsid w:val="00B84BD4"/>
    <w:rsid w:val="00B84BEF"/>
    <w:rsid w:val="00B84E3D"/>
    <w:rsid w:val="00B84FC0"/>
    <w:rsid w:val="00B850BA"/>
    <w:rsid w:val="00B8521A"/>
    <w:rsid w:val="00B8540A"/>
    <w:rsid w:val="00B854A1"/>
    <w:rsid w:val="00B8592E"/>
    <w:rsid w:val="00B85AB2"/>
    <w:rsid w:val="00B85F88"/>
    <w:rsid w:val="00B86322"/>
    <w:rsid w:val="00B86600"/>
    <w:rsid w:val="00B86619"/>
    <w:rsid w:val="00B8673B"/>
    <w:rsid w:val="00B86A61"/>
    <w:rsid w:val="00B86BAD"/>
    <w:rsid w:val="00B86C78"/>
    <w:rsid w:val="00B86DF6"/>
    <w:rsid w:val="00B86F8A"/>
    <w:rsid w:val="00B86FD5"/>
    <w:rsid w:val="00B87181"/>
    <w:rsid w:val="00B87205"/>
    <w:rsid w:val="00B8733B"/>
    <w:rsid w:val="00B87591"/>
    <w:rsid w:val="00B8774E"/>
    <w:rsid w:val="00B87A1D"/>
    <w:rsid w:val="00B87A46"/>
    <w:rsid w:val="00B87AE6"/>
    <w:rsid w:val="00B87B80"/>
    <w:rsid w:val="00B87C6F"/>
    <w:rsid w:val="00B87CA1"/>
    <w:rsid w:val="00B901EF"/>
    <w:rsid w:val="00B90221"/>
    <w:rsid w:val="00B9044A"/>
    <w:rsid w:val="00B906B9"/>
    <w:rsid w:val="00B90A04"/>
    <w:rsid w:val="00B90B1D"/>
    <w:rsid w:val="00B90C49"/>
    <w:rsid w:val="00B90D44"/>
    <w:rsid w:val="00B90EFB"/>
    <w:rsid w:val="00B9142E"/>
    <w:rsid w:val="00B91649"/>
    <w:rsid w:val="00B91651"/>
    <w:rsid w:val="00B916E0"/>
    <w:rsid w:val="00B918C0"/>
    <w:rsid w:val="00B91C6C"/>
    <w:rsid w:val="00B91D17"/>
    <w:rsid w:val="00B92188"/>
    <w:rsid w:val="00B924C6"/>
    <w:rsid w:val="00B92592"/>
    <w:rsid w:val="00B92727"/>
    <w:rsid w:val="00B928F6"/>
    <w:rsid w:val="00B92958"/>
    <w:rsid w:val="00B92AF6"/>
    <w:rsid w:val="00B92D8F"/>
    <w:rsid w:val="00B92FFD"/>
    <w:rsid w:val="00B932FA"/>
    <w:rsid w:val="00B93300"/>
    <w:rsid w:val="00B93CAE"/>
    <w:rsid w:val="00B93EB4"/>
    <w:rsid w:val="00B93F51"/>
    <w:rsid w:val="00B9412D"/>
    <w:rsid w:val="00B9426B"/>
    <w:rsid w:val="00B94547"/>
    <w:rsid w:val="00B949A5"/>
    <w:rsid w:val="00B94AF5"/>
    <w:rsid w:val="00B95046"/>
    <w:rsid w:val="00B950B7"/>
    <w:rsid w:val="00B952A3"/>
    <w:rsid w:val="00B95406"/>
    <w:rsid w:val="00B95419"/>
    <w:rsid w:val="00B959AE"/>
    <w:rsid w:val="00B95A74"/>
    <w:rsid w:val="00B95AC5"/>
    <w:rsid w:val="00B95BD3"/>
    <w:rsid w:val="00B963E8"/>
    <w:rsid w:val="00B96778"/>
    <w:rsid w:val="00B96873"/>
    <w:rsid w:val="00B9695D"/>
    <w:rsid w:val="00B969D7"/>
    <w:rsid w:val="00B96A12"/>
    <w:rsid w:val="00B96AF7"/>
    <w:rsid w:val="00B96B62"/>
    <w:rsid w:val="00B970C2"/>
    <w:rsid w:val="00B97103"/>
    <w:rsid w:val="00B97489"/>
    <w:rsid w:val="00B974B2"/>
    <w:rsid w:val="00B97672"/>
    <w:rsid w:val="00B9793B"/>
    <w:rsid w:val="00BA04D6"/>
    <w:rsid w:val="00BA0500"/>
    <w:rsid w:val="00BA07E5"/>
    <w:rsid w:val="00BA0922"/>
    <w:rsid w:val="00BA095E"/>
    <w:rsid w:val="00BA0A94"/>
    <w:rsid w:val="00BA0B79"/>
    <w:rsid w:val="00BA0C31"/>
    <w:rsid w:val="00BA0E00"/>
    <w:rsid w:val="00BA0F9C"/>
    <w:rsid w:val="00BA0FB4"/>
    <w:rsid w:val="00BA0FDD"/>
    <w:rsid w:val="00BA1360"/>
    <w:rsid w:val="00BA156B"/>
    <w:rsid w:val="00BA1617"/>
    <w:rsid w:val="00BA1846"/>
    <w:rsid w:val="00BA18AE"/>
    <w:rsid w:val="00BA1CCC"/>
    <w:rsid w:val="00BA1DE4"/>
    <w:rsid w:val="00BA1FB4"/>
    <w:rsid w:val="00BA22E5"/>
    <w:rsid w:val="00BA2603"/>
    <w:rsid w:val="00BA2794"/>
    <w:rsid w:val="00BA29DB"/>
    <w:rsid w:val="00BA2ABD"/>
    <w:rsid w:val="00BA2D6B"/>
    <w:rsid w:val="00BA3005"/>
    <w:rsid w:val="00BA3307"/>
    <w:rsid w:val="00BA336E"/>
    <w:rsid w:val="00BA3541"/>
    <w:rsid w:val="00BA3595"/>
    <w:rsid w:val="00BA3740"/>
    <w:rsid w:val="00BA37DC"/>
    <w:rsid w:val="00BA3A7E"/>
    <w:rsid w:val="00BA3B32"/>
    <w:rsid w:val="00BA3BE2"/>
    <w:rsid w:val="00BA3CB3"/>
    <w:rsid w:val="00BA3D39"/>
    <w:rsid w:val="00BA4099"/>
    <w:rsid w:val="00BA4117"/>
    <w:rsid w:val="00BA423D"/>
    <w:rsid w:val="00BA4462"/>
    <w:rsid w:val="00BA4467"/>
    <w:rsid w:val="00BA4801"/>
    <w:rsid w:val="00BA4F1F"/>
    <w:rsid w:val="00BA50B8"/>
    <w:rsid w:val="00BA51E0"/>
    <w:rsid w:val="00BA5351"/>
    <w:rsid w:val="00BA53A1"/>
    <w:rsid w:val="00BA54DA"/>
    <w:rsid w:val="00BA5625"/>
    <w:rsid w:val="00BA57E9"/>
    <w:rsid w:val="00BA5B40"/>
    <w:rsid w:val="00BA5B45"/>
    <w:rsid w:val="00BA5BB7"/>
    <w:rsid w:val="00BA5D04"/>
    <w:rsid w:val="00BA5E6F"/>
    <w:rsid w:val="00BA6521"/>
    <w:rsid w:val="00BA65F0"/>
    <w:rsid w:val="00BA66EA"/>
    <w:rsid w:val="00BA67E5"/>
    <w:rsid w:val="00BA6997"/>
    <w:rsid w:val="00BA6A04"/>
    <w:rsid w:val="00BA6A6C"/>
    <w:rsid w:val="00BA6A95"/>
    <w:rsid w:val="00BA6B1B"/>
    <w:rsid w:val="00BA6BD6"/>
    <w:rsid w:val="00BA6C7F"/>
    <w:rsid w:val="00BA6D59"/>
    <w:rsid w:val="00BA6D81"/>
    <w:rsid w:val="00BA70C6"/>
    <w:rsid w:val="00BA73C9"/>
    <w:rsid w:val="00BA74BB"/>
    <w:rsid w:val="00BA75DC"/>
    <w:rsid w:val="00BA76D8"/>
    <w:rsid w:val="00BA79C7"/>
    <w:rsid w:val="00BA7BF2"/>
    <w:rsid w:val="00BA7C88"/>
    <w:rsid w:val="00BA7FAE"/>
    <w:rsid w:val="00BA7FF4"/>
    <w:rsid w:val="00BB01A8"/>
    <w:rsid w:val="00BB0462"/>
    <w:rsid w:val="00BB0539"/>
    <w:rsid w:val="00BB05D4"/>
    <w:rsid w:val="00BB0668"/>
    <w:rsid w:val="00BB07A6"/>
    <w:rsid w:val="00BB0AEB"/>
    <w:rsid w:val="00BB0C16"/>
    <w:rsid w:val="00BB0CAC"/>
    <w:rsid w:val="00BB0D44"/>
    <w:rsid w:val="00BB0D7C"/>
    <w:rsid w:val="00BB0E0B"/>
    <w:rsid w:val="00BB10D5"/>
    <w:rsid w:val="00BB10DC"/>
    <w:rsid w:val="00BB14AD"/>
    <w:rsid w:val="00BB159C"/>
    <w:rsid w:val="00BB19D8"/>
    <w:rsid w:val="00BB1DED"/>
    <w:rsid w:val="00BB1E65"/>
    <w:rsid w:val="00BB21D9"/>
    <w:rsid w:val="00BB26D3"/>
    <w:rsid w:val="00BB2B21"/>
    <w:rsid w:val="00BB2B88"/>
    <w:rsid w:val="00BB2CE1"/>
    <w:rsid w:val="00BB2F01"/>
    <w:rsid w:val="00BB2F83"/>
    <w:rsid w:val="00BB31A1"/>
    <w:rsid w:val="00BB32AE"/>
    <w:rsid w:val="00BB3440"/>
    <w:rsid w:val="00BB39FE"/>
    <w:rsid w:val="00BB3A3E"/>
    <w:rsid w:val="00BB3C3B"/>
    <w:rsid w:val="00BB3C59"/>
    <w:rsid w:val="00BB3EC3"/>
    <w:rsid w:val="00BB3FC5"/>
    <w:rsid w:val="00BB407E"/>
    <w:rsid w:val="00BB4202"/>
    <w:rsid w:val="00BB44C7"/>
    <w:rsid w:val="00BB458B"/>
    <w:rsid w:val="00BB45A4"/>
    <w:rsid w:val="00BB48E8"/>
    <w:rsid w:val="00BB49C5"/>
    <w:rsid w:val="00BB4C2C"/>
    <w:rsid w:val="00BB5160"/>
    <w:rsid w:val="00BB51AF"/>
    <w:rsid w:val="00BB5358"/>
    <w:rsid w:val="00BB5701"/>
    <w:rsid w:val="00BB598B"/>
    <w:rsid w:val="00BB59C3"/>
    <w:rsid w:val="00BB5A9C"/>
    <w:rsid w:val="00BB60AC"/>
    <w:rsid w:val="00BB62B8"/>
    <w:rsid w:val="00BB6B27"/>
    <w:rsid w:val="00BB6D4D"/>
    <w:rsid w:val="00BB6EA9"/>
    <w:rsid w:val="00BB711C"/>
    <w:rsid w:val="00BB7207"/>
    <w:rsid w:val="00BB731E"/>
    <w:rsid w:val="00BB7429"/>
    <w:rsid w:val="00BB75D0"/>
    <w:rsid w:val="00BB7B6D"/>
    <w:rsid w:val="00BB7C44"/>
    <w:rsid w:val="00BB7E16"/>
    <w:rsid w:val="00BB7F35"/>
    <w:rsid w:val="00BB7FE1"/>
    <w:rsid w:val="00BC01A9"/>
    <w:rsid w:val="00BC0C6B"/>
    <w:rsid w:val="00BC0F0D"/>
    <w:rsid w:val="00BC1162"/>
    <w:rsid w:val="00BC1275"/>
    <w:rsid w:val="00BC12D8"/>
    <w:rsid w:val="00BC1A38"/>
    <w:rsid w:val="00BC1B8C"/>
    <w:rsid w:val="00BC1C2E"/>
    <w:rsid w:val="00BC1C99"/>
    <w:rsid w:val="00BC1ECD"/>
    <w:rsid w:val="00BC1F8A"/>
    <w:rsid w:val="00BC24B1"/>
    <w:rsid w:val="00BC28A3"/>
    <w:rsid w:val="00BC28C1"/>
    <w:rsid w:val="00BC2C04"/>
    <w:rsid w:val="00BC3171"/>
    <w:rsid w:val="00BC320F"/>
    <w:rsid w:val="00BC3400"/>
    <w:rsid w:val="00BC3505"/>
    <w:rsid w:val="00BC35D0"/>
    <w:rsid w:val="00BC36DD"/>
    <w:rsid w:val="00BC38B1"/>
    <w:rsid w:val="00BC39AD"/>
    <w:rsid w:val="00BC39E8"/>
    <w:rsid w:val="00BC3A4F"/>
    <w:rsid w:val="00BC3B6C"/>
    <w:rsid w:val="00BC3CD9"/>
    <w:rsid w:val="00BC4073"/>
    <w:rsid w:val="00BC4332"/>
    <w:rsid w:val="00BC4348"/>
    <w:rsid w:val="00BC4453"/>
    <w:rsid w:val="00BC44CB"/>
    <w:rsid w:val="00BC48C9"/>
    <w:rsid w:val="00BC496A"/>
    <w:rsid w:val="00BC4979"/>
    <w:rsid w:val="00BC499D"/>
    <w:rsid w:val="00BC4A45"/>
    <w:rsid w:val="00BC503C"/>
    <w:rsid w:val="00BC5139"/>
    <w:rsid w:val="00BC51A9"/>
    <w:rsid w:val="00BC5241"/>
    <w:rsid w:val="00BC54C1"/>
    <w:rsid w:val="00BC553B"/>
    <w:rsid w:val="00BC5620"/>
    <w:rsid w:val="00BC5800"/>
    <w:rsid w:val="00BC5884"/>
    <w:rsid w:val="00BC593B"/>
    <w:rsid w:val="00BC5A7C"/>
    <w:rsid w:val="00BC5C81"/>
    <w:rsid w:val="00BC5DC2"/>
    <w:rsid w:val="00BC5FD7"/>
    <w:rsid w:val="00BC6094"/>
    <w:rsid w:val="00BC64BE"/>
    <w:rsid w:val="00BC6B1C"/>
    <w:rsid w:val="00BC7059"/>
    <w:rsid w:val="00BC7064"/>
    <w:rsid w:val="00BC7065"/>
    <w:rsid w:val="00BC7075"/>
    <w:rsid w:val="00BC7403"/>
    <w:rsid w:val="00BC7661"/>
    <w:rsid w:val="00BC78BF"/>
    <w:rsid w:val="00BC7A0D"/>
    <w:rsid w:val="00BC7A0E"/>
    <w:rsid w:val="00BC7ABF"/>
    <w:rsid w:val="00BC7BD7"/>
    <w:rsid w:val="00BC7CAC"/>
    <w:rsid w:val="00BD00A7"/>
    <w:rsid w:val="00BD00F0"/>
    <w:rsid w:val="00BD03DE"/>
    <w:rsid w:val="00BD043F"/>
    <w:rsid w:val="00BD046A"/>
    <w:rsid w:val="00BD0949"/>
    <w:rsid w:val="00BD0A44"/>
    <w:rsid w:val="00BD0ADF"/>
    <w:rsid w:val="00BD0C37"/>
    <w:rsid w:val="00BD1678"/>
    <w:rsid w:val="00BD17BE"/>
    <w:rsid w:val="00BD1869"/>
    <w:rsid w:val="00BD1966"/>
    <w:rsid w:val="00BD1BF5"/>
    <w:rsid w:val="00BD1C6A"/>
    <w:rsid w:val="00BD205B"/>
    <w:rsid w:val="00BD212C"/>
    <w:rsid w:val="00BD2137"/>
    <w:rsid w:val="00BD2647"/>
    <w:rsid w:val="00BD2768"/>
    <w:rsid w:val="00BD27E5"/>
    <w:rsid w:val="00BD292F"/>
    <w:rsid w:val="00BD2B22"/>
    <w:rsid w:val="00BD2D3E"/>
    <w:rsid w:val="00BD2E3F"/>
    <w:rsid w:val="00BD2FA5"/>
    <w:rsid w:val="00BD30BA"/>
    <w:rsid w:val="00BD365C"/>
    <w:rsid w:val="00BD3A34"/>
    <w:rsid w:val="00BD3ADB"/>
    <w:rsid w:val="00BD3B0A"/>
    <w:rsid w:val="00BD3E44"/>
    <w:rsid w:val="00BD4095"/>
    <w:rsid w:val="00BD40BA"/>
    <w:rsid w:val="00BD4309"/>
    <w:rsid w:val="00BD4549"/>
    <w:rsid w:val="00BD4723"/>
    <w:rsid w:val="00BD489E"/>
    <w:rsid w:val="00BD4901"/>
    <w:rsid w:val="00BD493B"/>
    <w:rsid w:val="00BD495A"/>
    <w:rsid w:val="00BD4A4C"/>
    <w:rsid w:val="00BD4BC3"/>
    <w:rsid w:val="00BD4D30"/>
    <w:rsid w:val="00BD4F4C"/>
    <w:rsid w:val="00BD503F"/>
    <w:rsid w:val="00BD5054"/>
    <w:rsid w:val="00BD511D"/>
    <w:rsid w:val="00BD561A"/>
    <w:rsid w:val="00BD5648"/>
    <w:rsid w:val="00BD5778"/>
    <w:rsid w:val="00BD5910"/>
    <w:rsid w:val="00BD591B"/>
    <w:rsid w:val="00BD59F8"/>
    <w:rsid w:val="00BD5B2A"/>
    <w:rsid w:val="00BD5BF5"/>
    <w:rsid w:val="00BD5C65"/>
    <w:rsid w:val="00BD5CA9"/>
    <w:rsid w:val="00BD5E03"/>
    <w:rsid w:val="00BD5FDD"/>
    <w:rsid w:val="00BD61CB"/>
    <w:rsid w:val="00BD6415"/>
    <w:rsid w:val="00BD66AA"/>
    <w:rsid w:val="00BD67B1"/>
    <w:rsid w:val="00BD6967"/>
    <w:rsid w:val="00BD6A3E"/>
    <w:rsid w:val="00BD6B00"/>
    <w:rsid w:val="00BD6C52"/>
    <w:rsid w:val="00BD6DDB"/>
    <w:rsid w:val="00BD6F5F"/>
    <w:rsid w:val="00BD70D7"/>
    <w:rsid w:val="00BD721B"/>
    <w:rsid w:val="00BD724C"/>
    <w:rsid w:val="00BD75E1"/>
    <w:rsid w:val="00BD7703"/>
    <w:rsid w:val="00BD7891"/>
    <w:rsid w:val="00BD7A97"/>
    <w:rsid w:val="00BD7B25"/>
    <w:rsid w:val="00BD7E1D"/>
    <w:rsid w:val="00BD7F50"/>
    <w:rsid w:val="00BE0020"/>
    <w:rsid w:val="00BE0340"/>
    <w:rsid w:val="00BE03BD"/>
    <w:rsid w:val="00BE0556"/>
    <w:rsid w:val="00BE067A"/>
    <w:rsid w:val="00BE0690"/>
    <w:rsid w:val="00BE0A0E"/>
    <w:rsid w:val="00BE0F43"/>
    <w:rsid w:val="00BE1140"/>
    <w:rsid w:val="00BE135D"/>
    <w:rsid w:val="00BE1437"/>
    <w:rsid w:val="00BE1604"/>
    <w:rsid w:val="00BE1611"/>
    <w:rsid w:val="00BE16CD"/>
    <w:rsid w:val="00BE1832"/>
    <w:rsid w:val="00BE19D1"/>
    <w:rsid w:val="00BE1EA7"/>
    <w:rsid w:val="00BE2079"/>
    <w:rsid w:val="00BE20CC"/>
    <w:rsid w:val="00BE2209"/>
    <w:rsid w:val="00BE236F"/>
    <w:rsid w:val="00BE2676"/>
    <w:rsid w:val="00BE2793"/>
    <w:rsid w:val="00BE2796"/>
    <w:rsid w:val="00BE2990"/>
    <w:rsid w:val="00BE2D14"/>
    <w:rsid w:val="00BE2F11"/>
    <w:rsid w:val="00BE30F9"/>
    <w:rsid w:val="00BE315C"/>
    <w:rsid w:val="00BE3174"/>
    <w:rsid w:val="00BE34DB"/>
    <w:rsid w:val="00BE370F"/>
    <w:rsid w:val="00BE3985"/>
    <w:rsid w:val="00BE3BA9"/>
    <w:rsid w:val="00BE3DF0"/>
    <w:rsid w:val="00BE3E79"/>
    <w:rsid w:val="00BE3F8F"/>
    <w:rsid w:val="00BE3FBF"/>
    <w:rsid w:val="00BE40C2"/>
    <w:rsid w:val="00BE43B1"/>
    <w:rsid w:val="00BE4587"/>
    <w:rsid w:val="00BE4734"/>
    <w:rsid w:val="00BE4768"/>
    <w:rsid w:val="00BE47F8"/>
    <w:rsid w:val="00BE4A54"/>
    <w:rsid w:val="00BE4ACF"/>
    <w:rsid w:val="00BE4C27"/>
    <w:rsid w:val="00BE4C29"/>
    <w:rsid w:val="00BE5043"/>
    <w:rsid w:val="00BE516C"/>
    <w:rsid w:val="00BE5384"/>
    <w:rsid w:val="00BE547F"/>
    <w:rsid w:val="00BE563D"/>
    <w:rsid w:val="00BE5763"/>
    <w:rsid w:val="00BE57E4"/>
    <w:rsid w:val="00BE59F9"/>
    <w:rsid w:val="00BE5A98"/>
    <w:rsid w:val="00BE5AA1"/>
    <w:rsid w:val="00BE5CD3"/>
    <w:rsid w:val="00BE5E44"/>
    <w:rsid w:val="00BE60ED"/>
    <w:rsid w:val="00BE62AC"/>
    <w:rsid w:val="00BE630A"/>
    <w:rsid w:val="00BE6752"/>
    <w:rsid w:val="00BE6ADB"/>
    <w:rsid w:val="00BE6BBA"/>
    <w:rsid w:val="00BE729A"/>
    <w:rsid w:val="00BE7358"/>
    <w:rsid w:val="00BE7421"/>
    <w:rsid w:val="00BE756B"/>
    <w:rsid w:val="00BE7632"/>
    <w:rsid w:val="00BE7730"/>
    <w:rsid w:val="00BE77BF"/>
    <w:rsid w:val="00BE78C9"/>
    <w:rsid w:val="00BE7905"/>
    <w:rsid w:val="00BE7A55"/>
    <w:rsid w:val="00BE7ADF"/>
    <w:rsid w:val="00BE7F7B"/>
    <w:rsid w:val="00BE7F84"/>
    <w:rsid w:val="00BF0039"/>
    <w:rsid w:val="00BF0169"/>
    <w:rsid w:val="00BF01E3"/>
    <w:rsid w:val="00BF03A7"/>
    <w:rsid w:val="00BF07BA"/>
    <w:rsid w:val="00BF092C"/>
    <w:rsid w:val="00BF0A48"/>
    <w:rsid w:val="00BF0D00"/>
    <w:rsid w:val="00BF0FEA"/>
    <w:rsid w:val="00BF104C"/>
    <w:rsid w:val="00BF10B7"/>
    <w:rsid w:val="00BF111F"/>
    <w:rsid w:val="00BF1141"/>
    <w:rsid w:val="00BF13B8"/>
    <w:rsid w:val="00BF143E"/>
    <w:rsid w:val="00BF14E3"/>
    <w:rsid w:val="00BF18B9"/>
    <w:rsid w:val="00BF18CE"/>
    <w:rsid w:val="00BF1D3E"/>
    <w:rsid w:val="00BF1F49"/>
    <w:rsid w:val="00BF2084"/>
    <w:rsid w:val="00BF2131"/>
    <w:rsid w:val="00BF22BF"/>
    <w:rsid w:val="00BF2327"/>
    <w:rsid w:val="00BF2472"/>
    <w:rsid w:val="00BF24F7"/>
    <w:rsid w:val="00BF2552"/>
    <w:rsid w:val="00BF2F50"/>
    <w:rsid w:val="00BF3144"/>
    <w:rsid w:val="00BF32B3"/>
    <w:rsid w:val="00BF343B"/>
    <w:rsid w:val="00BF36D4"/>
    <w:rsid w:val="00BF37AC"/>
    <w:rsid w:val="00BF37C2"/>
    <w:rsid w:val="00BF3FAC"/>
    <w:rsid w:val="00BF4213"/>
    <w:rsid w:val="00BF4368"/>
    <w:rsid w:val="00BF47BE"/>
    <w:rsid w:val="00BF4ACD"/>
    <w:rsid w:val="00BF4D60"/>
    <w:rsid w:val="00BF4F53"/>
    <w:rsid w:val="00BF508A"/>
    <w:rsid w:val="00BF52C7"/>
    <w:rsid w:val="00BF52EE"/>
    <w:rsid w:val="00BF59D0"/>
    <w:rsid w:val="00BF59EA"/>
    <w:rsid w:val="00BF5C3E"/>
    <w:rsid w:val="00BF5D24"/>
    <w:rsid w:val="00BF5D2B"/>
    <w:rsid w:val="00BF606E"/>
    <w:rsid w:val="00BF6081"/>
    <w:rsid w:val="00BF6136"/>
    <w:rsid w:val="00BF62BE"/>
    <w:rsid w:val="00BF62C1"/>
    <w:rsid w:val="00BF640E"/>
    <w:rsid w:val="00BF66E1"/>
    <w:rsid w:val="00BF6734"/>
    <w:rsid w:val="00BF6A88"/>
    <w:rsid w:val="00BF6B72"/>
    <w:rsid w:val="00BF7012"/>
    <w:rsid w:val="00BF7B20"/>
    <w:rsid w:val="00BF7C61"/>
    <w:rsid w:val="00BF7CA2"/>
    <w:rsid w:val="00BF7D40"/>
    <w:rsid w:val="00C0025A"/>
    <w:rsid w:val="00C003B0"/>
    <w:rsid w:val="00C003E0"/>
    <w:rsid w:val="00C00B62"/>
    <w:rsid w:val="00C00D64"/>
    <w:rsid w:val="00C010DD"/>
    <w:rsid w:val="00C01101"/>
    <w:rsid w:val="00C011DB"/>
    <w:rsid w:val="00C016C9"/>
    <w:rsid w:val="00C017D2"/>
    <w:rsid w:val="00C018C9"/>
    <w:rsid w:val="00C01943"/>
    <w:rsid w:val="00C01E14"/>
    <w:rsid w:val="00C01E37"/>
    <w:rsid w:val="00C02330"/>
    <w:rsid w:val="00C0276E"/>
    <w:rsid w:val="00C02806"/>
    <w:rsid w:val="00C02BCA"/>
    <w:rsid w:val="00C02CF6"/>
    <w:rsid w:val="00C02F9F"/>
    <w:rsid w:val="00C030C3"/>
    <w:rsid w:val="00C03114"/>
    <w:rsid w:val="00C031B8"/>
    <w:rsid w:val="00C034D5"/>
    <w:rsid w:val="00C03671"/>
    <w:rsid w:val="00C03737"/>
    <w:rsid w:val="00C03B53"/>
    <w:rsid w:val="00C03DE0"/>
    <w:rsid w:val="00C03EA7"/>
    <w:rsid w:val="00C03EAA"/>
    <w:rsid w:val="00C04155"/>
    <w:rsid w:val="00C04259"/>
    <w:rsid w:val="00C044E3"/>
    <w:rsid w:val="00C0451E"/>
    <w:rsid w:val="00C04687"/>
    <w:rsid w:val="00C0499F"/>
    <w:rsid w:val="00C04A32"/>
    <w:rsid w:val="00C04F56"/>
    <w:rsid w:val="00C04FC0"/>
    <w:rsid w:val="00C0517A"/>
    <w:rsid w:val="00C05207"/>
    <w:rsid w:val="00C052EF"/>
    <w:rsid w:val="00C05374"/>
    <w:rsid w:val="00C05550"/>
    <w:rsid w:val="00C0592E"/>
    <w:rsid w:val="00C05DCF"/>
    <w:rsid w:val="00C0613D"/>
    <w:rsid w:val="00C065FB"/>
    <w:rsid w:val="00C06853"/>
    <w:rsid w:val="00C0690E"/>
    <w:rsid w:val="00C06A9B"/>
    <w:rsid w:val="00C06C08"/>
    <w:rsid w:val="00C06D2A"/>
    <w:rsid w:val="00C06E8E"/>
    <w:rsid w:val="00C06F02"/>
    <w:rsid w:val="00C06F6F"/>
    <w:rsid w:val="00C06F89"/>
    <w:rsid w:val="00C07094"/>
    <w:rsid w:val="00C071A6"/>
    <w:rsid w:val="00C071BA"/>
    <w:rsid w:val="00C074AC"/>
    <w:rsid w:val="00C07739"/>
    <w:rsid w:val="00C0799B"/>
    <w:rsid w:val="00C07A6D"/>
    <w:rsid w:val="00C07C77"/>
    <w:rsid w:val="00C07DF2"/>
    <w:rsid w:val="00C10069"/>
    <w:rsid w:val="00C10113"/>
    <w:rsid w:val="00C104B2"/>
    <w:rsid w:val="00C10832"/>
    <w:rsid w:val="00C10972"/>
    <w:rsid w:val="00C10C41"/>
    <w:rsid w:val="00C10DC6"/>
    <w:rsid w:val="00C10E61"/>
    <w:rsid w:val="00C10E6D"/>
    <w:rsid w:val="00C10EFB"/>
    <w:rsid w:val="00C10F79"/>
    <w:rsid w:val="00C1127C"/>
    <w:rsid w:val="00C11844"/>
    <w:rsid w:val="00C1189A"/>
    <w:rsid w:val="00C11A6D"/>
    <w:rsid w:val="00C11AF3"/>
    <w:rsid w:val="00C11CB7"/>
    <w:rsid w:val="00C11DCB"/>
    <w:rsid w:val="00C12116"/>
    <w:rsid w:val="00C12118"/>
    <w:rsid w:val="00C122A8"/>
    <w:rsid w:val="00C122D1"/>
    <w:rsid w:val="00C122E7"/>
    <w:rsid w:val="00C12763"/>
    <w:rsid w:val="00C12A82"/>
    <w:rsid w:val="00C12B1B"/>
    <w:rsid w:val="00C12E57"/>
    <w:rsid w:val="00C134F1"/>
    <w:rsid w:val="00C13525"/>
    <w:rsid w:val="00C13595"/>
    <w:rsid w:val="00C135B0"/>
    <w:rsid w:val="00C1389E"/>
    <w:rsid w:val="00C139D9"/>
    <w:rsid w:val="00C13A92"/>
    <w:rsid w:val="00C13CDF"/>
    <w:rsid w:val="00C13D3D"/>
    <w:rsid w:val="00C13D51"/>
    <w:rsid w:val="00C13F4A"/>
    <w:rsid w:val="00C13F58"/>
    <w:rsid w:val="00C14088"/>
    <w:rsid w:val="00C14303"/>
    <w:rsid w:val="00C14351"/>
    <w:rsid w:val="00C143F8"/>
    <w:rsid w:val="00C145BC"/>
    <w:rsid w:val="00C1468D"/>
    <w:rsid w:val="00C14792"/>
    <w:rsid w:val="00C147DE"/>
    <w:rsid w:val="00C149BA"/>
    <w:rsid w:val="00C14B44"/>
    <w:rsid w:val="00C14D41"/>
    <w:rsid w:val="00C14EC5"/>
    <w:rsid w:val="00C1503B"/>
    <w:rsid w:val="00C15650"/>
    <w:rsid w:val="00C15AFC"/>
    <w:rsid w:val="00C15C52"/>
    <w:rsid w:val="00C15CCB"/>
    <w:rsid w:val="00C15FD8"/>
    <w:rsid w:val="00C16131"/>
    <w:rsid w:val="00C16175"/>
    <w:rsid w:val="00C1638C"/>
    <w:rsid w:val="00C16515"/>
    <w:rsid w:val="00C16739"/>
    <w:rsid w:val="00C1696A"/>
    <w:rsid w:val="00C16C25"/>
    <w:rsid w:val="00C16EC7"/>
    <w:rsid w:val="00C17021"/>
    <w:rsid w:val="00C17349"/>
    <w:rsid w:val="00C17483"/>
    <w:rsid w:val="00C174C8"/>
    <w:rsid w:val="00C1752E"/>
    <w:rsid w:val="00C1766D"/>
    <w:rsid w:val="00C1782A"/>
    <w:rsid w:val="00C17BED"/>
    <w:rsid w:val="00C17BF5"/>
    <w:rsid w:val="00C17D5B"/>
    <w:rsid w:val="00C17DB5"/>
    <w:rsid w:val="00C200D4"/>
    <w:rsid w:val="00C20424"/>
    <w:rsid w:val="00C207F0"/>
    <w:rsid w:val="00C2093A"/>
    <w:rsid w:val="00C20964"/>
    <w:rsid w:val="00C20B10"/>
    <w:rsid w:val="00C20BAC"/>
    <w:rsid w:val="00C20EB9"/>
    <w:rsid w:val="00C20FD8"/>
    <w:rsid w:val="00C21018"/>
    <w:rsid w:val="00C211D1"/>
    <w:rsid w:val="00C2136B"/>
    <w:rsid w:val="00C21553"/>
    <w:rsid w:val="00C215BC"/>
    <w:rsid w:val="00C21F01"/>
    <w:rsid w:val="00C220B7"/>
    <w:rsid w:val="00C22198"/>
    <w:rsid w:val="00C225ED"/>
    <w:rsid w:val="00C22633"/>
    <w:rsid w:val="00C22651"/>
    <w:rsid w:val="00C2268F"/>
    <w:rsid w:val="00C226E3"/>
    <w:rsid w:val="00C2297E"/>
    <w:rsid w:val="00C22B1A"/>
    <w:rsid w:val="00C22C29"/>
    <w:rsid w:val="00C22C88"/>
    <w:rsid w:val="00C22D52"/>
    <w:rsid w:val="00C22E01"/>
    <w:rsid w:val="00C22F65"/>
    <w:rsid w:val="00C23252"/>
    <w:rsid w:val="00C234C3"/>
    <w:rsid w:val="00C235A9"/>
    <w:rsid w:val="00C2378F"/>
    <w:rsid w:val="00C23881"/>
    <w:rsid w:val="00C238D0"/>
    <w:rsid w:val="00C238FB"/>
    <w:rsid w:val="00C23A3A"/>
    <w:rsid w:val="00C23BAD"/>
    <w:rsid w:val="00C23D08"/>
    <w:rsid w:val="00C2404C"/>
    <w:rsid w:val="00C243A2"/>
    <w:rsid w:val="00C244C8"/>
    <w:rsid w:val="00C24754"/>
    <w:rsid w:val="00C24A2F"/>
    <w:rsid w:val="00C24C4E"/>
    <w:rsid w:val="00C24C7D"/>
    <w:rsid w:val="00C24E73"/>
    <w:rsid w:val="00C25057"/>
    <w:rsid w:val="00C25213"/>
    <w:rsid w:val="00C252B9"/>
    <w:rsid w:val="00C255F1"/>
    <w:rsid w:val="00C25709"/>
    <w:rsid w:val="00C257CC"/>
    <w:rsid w:val="00C259A3"/>
    <w:rsid w:val="00C25BBD"/>
    <w:rsid w:val="00C25D44"/>
    <w:rsid w:val="00C25D76"/>
    <w:rsid w:val="00C25DB7"/>
    <w:rsid w:val="00C25E58"/>
    <w:rsid w:val="00C260C6"/>
    <w:rsid w:val="00C26273"/>
    <w:rsid w:val="00C263E3"/>
    <w:rsid w:val="00C2642C"/>
    <w:rsid w:val="00C26718"/>
    <w:rsid w:val="00C26780"/>
    <w:rsid w:val="00C267FC"/>
    <w:rsid w:val="00C26CB7"/>
    <w:rsid w:val="00C26DDC"/>
    <w:rsid w:val="00C26ED5"/>
    <w:rsid w:val="00C26F7D"/>
    <w:rsid w:val="00C26FA8"/>
    <w:rsid w:val="00C26FC7"/>
    <w:rsid w:val="00C27386"/>
    <w:rsid w:val="00C274D2"/>
    <w:rsid w:val="00C276B1"/>
    <w:rsid w:val="00C27700"/>
    <w:rsid w:val="00C27722"/>
    <w:rsid w:val="00C27BE2"/>
    <w:rsid w:val="00C27CEB"/>
    <w:rsid w:val="00C27DC5"/>
    <w:rsid w:val="00C27FA1"/>
    <w:rsid w:val="00C30216"/>
    <w:rsid w:val="00C30288"/>
    <w:rsid w:val="00C30497"/>
    <w:rsid w:val="00C3064E"/>
    <w:rsid w:val="00C30E46"/>
    <w:rsid w:val="00C30F8F"/>
    <w:rsid w:val="00C310D6"/>
    <w:rsid w:val="00C31176"/>
    <w:rsid w:val="00C3168D"/>
    <w:rsid w:val="00C31710"/>
    <w:rsid w:val="00C3172F"/>
    <w:rsid w:val="00C318EA"/>
    <w:rsid w:val="00C31D39"/>
    <w:rsid w:val="00C31E81"/>
    <w:rsid w:val="00C31F78"/>
    <w:rsid w:val="00C3206D"/>
    <w:rsid w:val="00C3255B"/>
    <w:rsid w:val="00C3262E"/>
    <w:rsid w:val="00C32679"/>
    <w:rsid w:val="00C326AE"/>
    <w:rsid w:val="00C32813"/>
    <w:rsid w:val="00C3295A"/>
    <w:rsid w:val="00C32A94"/>
    <w:rsid w:val="00C32AD2"/>
    <w:rsid w:val="00C32AD6"/>
    <w:rsid w:val="00C32BA5"/>
    <w:rsid w:val="00C331A8"/>
    <w:rsid w:val="00C332F9"/>
    <w:rsid w:val="00C3344B"/>
    <w:rsid w:val="00C33491"/>
    <w:rsid w:val="00C334BB"/>
    <w:rsid w:val="00C3359A"/>
    <w:rsid w:val="00C33671"/>
    <w:rsid w:val="00C33799"/>
    <w:rsid w:val="00C339AE"/>
    <w:rsid w:val="00C33DF3"/>
    <w:rsid w:val="00C33EF4"/>
    <w:rsid w:val="00C34053"/>
    <w:rsid w:val="00C341A9"/>
    <w:rsid w:val="00C343D8"/>
    <w:rsid w:val="00C34548"/>
    <w:rsid w:val="00C34622"/>
    <w:rsid w:val="00C346BF"/>
    <w:rsid w:val="00C34750"/>
    <w:rsid w:val="00C34880"/>
    <w:rsid w:val="00C34B46"/>
    <w:rsid w:val="00C34BE1"/>
    <w:rsid w:val="00C34C51"/>
    <w:rsid w:val="00C34C5E"/>
    <w:rsid w:val="00C34C8F"/>
    <w:rsid w:val="00C35113"/>
    <w:rsid w:val="00C35785"/>
    <w:rsid w:val="00C35B23"/>
    <w:rsid w:val="00C35BAB"/>
    <w:rsid w:val="00C35BAC"/>
    <w:rsid w:val="00C35C7D"/>
    <w:rsid w:val="00C35DE9"/>
    <w:rsid w:val="00C3602F"/>
    <w:rsid w:val="00C36302"/>
    <w:rsid w:val="00C36693"/>
    <w:rsid w:val="00C3673A"/>
    <w:rsid w:val="00C36D55"/>
    <w:rsid w:val="00C36DDE"/>
    <w:rsid w:val="00C36F2C"/>
    <w:rsid w:val="00C37148"/>
    <w:rsid w:val="00C37211"/>
    <w:rsid w:val="00C37C0F"/>
    <w:rsid w:val="00C37DC1"/>
    <w:rsid w:val="00C40242"/>
    <w:rsid w:val="00C4026A"/>
    <w:rsid w:val="00C4034C"/>
    <w:rsid w:val="00C406B5"/>
    <w:rsid w:val="00C40761"/>
    <w:rsid w:val="00C407BF"/>
    <w:rsid w:val="00C40D02"/>
    <w:rsid w:val="00C40D15"/>
    <w:rsid w:val="00C4106E"/>
    <w:rsid w:val="00C410B4"/>
    <w:rsid w:val="00C415A7"/>
    <w:rsid w:val="00C415FC"/>
    <w:rsid w:val="00C41B2D"/>
    <w:rsid w:val="00C41BE0"/>
    <w:rsid w:val="00C41D3B"/>
    <w:rsid w:val="00C41FB7"/>
    <w:rsid w:val="00C4214A"/>
    <w:rsid w:val="00C421AF"/>
    <w:rsid w:val="00C4230C"/>
    <w:rsid w:val="00C428A8"/>
    <w:rsid w:val="00C42981"/>
    <w:rsid w:val="00C42B38"/>
    <w:rsid w:val="00C42BC7"/>
    <w:rsid w:val="00C42DEC"/>
    <w:rsid w:val="00C42E5F"/>
    <w:rsid w:val="00C42FE0"/>
    <w:rsid w:val="00C430A0"/>
    <w:rsid w:val="00C431E1"/>
    <w:rsid w:val="00C43424"/>
    <w:rsid w:val="00C43694"/>
    <w:rsid w:val="00C436AB"/>
    <w:rsid w:val="00C4372F"/>
    <w:rsid w:val="00C43925"/>
    <w:rsid w:val="00C43967"/>
    <w:rsid w:val="00C43FAD"/>
    <w:rsid w:val="00C440E6"/>
    <w:rsid w:val="00C44578"/>
    <w:rsid w:val="00C4484A"/>
    <w:rsid w:val="00C44974"/>
    <w:rsid w:val="00C44BEF"/>
    <w:rsid w:val="00C44C99"/>
    <w:rsid w:val="00C44E68"/>
    <w:rsid w:val="00C44F30"/>
    <w:rsid w:val="00C4578C"/>
    <w:rsid w:val="00C45849"/>
    <w:rsid w:val="00C45B1F"/>
    <w:rsid w:val="00C45B82"/>
    <w:rsid w:val="00C45BB4"/>
    <w:rsid w:val="00C45C7F"/>
    <w:rsid w:val="00C45EFA"/>
    <w:rsid w:val="00C45F3D"/>
    <w:rsid w:val="00C45F84"/>
    <w:rsid w:val="00C46055"/>
    <w:rsid w:val="00C462BC"/>
    <w:rsid w:val="00C462C2"/>
    <w:rsid w:val="00C46759"/>
    <w:rsid w:val="00C468F9"/>
    <w:rsid w:val="00C46967"/>
    <w:rsid w:val="00C46B9E"/>
    <w:rsid w:val="00C46E92"/>
    <w:rsid w:val="00C47226"/>
    <w:rsid w:val="00C47854"/>
    <w:rsid w:val="00C47DC3"/>
    <w:rsid w:val="00C47FA5"/>
    <w:rsid w:val="00C50019"/>
    <w:rsid w:val="00C502E7"/>
    <w:rsid w:val="00C508E2"/>
    <w:rsid w:val="00C50D79"/>
    <w:rsid w:val="00C50D8C"/>
    <w:rsid w:val="00C50DAC"/>
    <w:rsid w:val="00C50ECF"/>
    <w:rsid w:val="00C51016"/>
    <w:rsid w:val="00C512D4"/>
    <w:rsid w:val="00C51949"/>
    <w:rsid w:val="00C51A97"/>
    <w:rsid w:val="00C52152"/>
    <w:rsid w:val="00C52196"/>
    <w:rsid w:val="00C5225F"/>
    <w:rsid w:val="00C5243E"/>
    <w:rsid w:val="00C52867"/>
    <w:rsid w:val="00C528DF"/>
    <w:rsid w:val="00C52905"/>
    <w:rsid w:val="00C52BC7"/>
    <w:rsid w:val="00C52EB7"/>
    <w:rsid w:val="00C52F1D"/>
    <w:rsid w:val="00C52F40"/>
    <w:rsid w:val="00C52F92"/>
    <w:rsid w:val="00C53132"/>
    <w:rsid w:val="00C53548"/>
    <w:rsid w:val="00C535DD"/>
    <w:rsid w:val="00C53752"/>
    <w:rsid w:val="00C53DED"/>
    <w:rsid w:val="00C542DB"/>
    <w:rsid w:val="00C54304"/>
    <w:rsid w:val="00C545C6"/>
    <w:rsid w:val="00C5471C"/>
    <w:rsid w:val="00C5476E"/>
    <w:rsid w:val="00C54B22"/>
    <w:rsid w:val="00C54B64"/>
    <w:rsid w:val="00C54BBE"/>
    <w:rsid w:val="00C54C2F"/>
    <w:rsid w:val="00C54D17"/>
    <w:rsid w:val="00C54F7A"/>
    <w:rsid w:val="00C5517C"/>
    <w:rsid w:val="00C554B1"/>
    <w:rsid w:val="00C55503"/>
    <w:rsid w:val="00C555C9"/>
    <w:rsid w:val="00C55703"/>
    <w:rsid w:val="00C558A4"/>
    <w:rsid w:val="00C55A31"/>
    <w:rsid w:val="00C55A94"/>
    <w:rsid w:val="00C55AD6"/>
    <w:rsid w:val="00C55BD7"/>
    <w:rsid w:val="00C55D27"/>
    <w:rsid w:val="00C55E40"/>
    <w:rsid w:val="00C55E44"/>
    <w:rsid w:val="00C5628A"/>
    <w:rsid w:val="00C564A7"/>
    <w:rsid w:val="00C5652A"/>
    <w:rsid w:val="00C5666D"/>
    <w:rsid w:val="00C56674"/>
    <w:rsid w:val="00C5671E"/>
    <w:rsid w:val="00C56AE9"/>
    <w:rsid w:val="00C56B65"/>
    <w:rsid w:val="00C56BBE"/>
    <w:rsid w:val="00C56D17"/>
    <w:rsid w:val="00C5720E"/>
    <w:rsid w:val="00C573C6"/>
    <w:rsid w:val="00C573DA"/>
    <w:rsid w:val="00C57482"/>
    <w:rsid w:val="00C57675"/>
    <w:rsid w:val="00C578FD"/>
    <w:rsid w:val="00C57B17"/>
    <w:rsid w:val="00C57B73"/>
    <w:rsid w:val="00C57C57"/>
    <w:rsid w:val="00C57D71"/>
    <w:rsid w:val="00C57D81"/>
    <w:rsid w:val="00C57FF9"/>
    <w:rsid w:val="00C60094"/>
    <w:rsid w:val="00C60163"/>
    <w:rsid w:val="00C6022D"/>
    <w:rsid w:val="00C602BA"/>
    <w:rsid w:val="00C603C3"/>
    <w:rsid w:val="00C60659"/>
    <w:rsid w:val="00C6076D"/>
    <w:rsid w:val="00C60F4B"/>
    <w:rsid w:val="00C61187"/>
    <w:rsid w:val="00C61378"/>
    <w:rsid w:val="00C6173F"/>
    <w:rsid w:val="00C61C20"/>
    <w:rsid w:val="00C62089"/>
    <w:rsid w:val="00C6229F"/>
    <w:rsid w:val="00C62644"/>
    <w:rsid w:val="00C6264D"/>
    <w:rsid w:val="00C62818"/>
    <w:rsid w:val="00C6297F"/>
    <w:rsid w:val="00C62A57"/>
    <w:rsid w:val="00C62AC4"/>
    <w:rsid w:val="00C62F96"/>
    <w:rsid w:val="00C63032"/>
    <w:rsid w:val="00C6307A"/>
    <w:rsid w:val="00C6317E"/>
    <w:rsid w:val="00C631C5"/>
    <w:rsid w:val="00C63510"/>
    <w:rsid w:val="00C63770"/>
    <w:rsid w:val="00C63788"/>
    <w:rsid w:val="00C63832"/>
    <w:rsid w:val="00C6386F"/>
    <w:rsid w:val="00C63CE5"/>
    <w:rsid w:val="00C63D67"/>
    <w:rsid w:val="00C63DC6"/>
    <w:rsid w:val="00C63DF9"/>
    <w:rsid w:val="00C640E5"/>
    <w:rsid w:val="00C64596"/>
    <w:rsid w:val="00C6473C"/>
    <w:rsid w:val="00C64754"/>
    <w:rsid w:val="00C647E1"/>
    <w:rsid w:val="00C64A1D"/>
    <w:rsid w:val="00C64A7D"/>
    <w:rsid w:val="00C64CB6"/>
    <w:rsid w:val="00C64CED"/>
    <w:rsid w:val="00C64D41"/>
    <w:rsid w:val="00C64F33"/>
    <w:rsid w:val="00C65051"/>
    <w:rsid w:val="00C652C0"/>
    <w:rsid w:val="00C65702"/>
    <w:rsid w:val="00C6584F"/>
    <w:rsid w:val="00C65CEC"/>
    <w:rsid w:val="00C6600B"/>
    <w:rsid w:val="00C66506"/>
    <w:rsid w:val="00C667E6"/>
    <w:rsid w:val="00C66810"/>
    <w:rsid w:val="00C66FF4"/>
    <w:rsid w:val="00C670C4"/>
    <w:rsid w:val="00C673B1"/>
    <w:rsid w:val="00C673C0"/>
    <w:rsid w:val="00C67794"/>
    <w:rsid w:val="00C67B45"/>
    <w:rsid w:val="00C67F48"/>
    <w:rsid w:val="00C67FCC"/>
    <w:rsid w:val="00C70337"/>
    <w:rsid w:val="00C703BD"/>
    <w:rsid w:val="00C706AD"/>
    <w:rsid w:val="00C70812"/>
    <w:rsid w:val="00C70A4E"/>
    <w:rsid w:val="00C70AFB"/>
    <w:rsid w:val="00C70C34"/>
    <w:rsid w:val="00C70C37"/>
    <w:rsid w:val="00C70C80"/>
    <w:rsid w:val="00C70E8F"/>
    <w:rsid w:val="00C70E9B"/>
    <w:rsid w:val="00C70F51"/>
    <w:rsid w:val="00C71205"/>
    <w:rsid w:val="00C715D3"/>
    <w:rsid w:val="00C716EF"/>
    <w:rsid w:val="00C717F4"/>
    <w:rsid w:val="00C71E9E"/>
    <w:rsid w:val="00C71F0A"/>
    <w:rsid w:val="00C721C7"/>
    <w:rsid w:val="00C721FD"/>
    <w:rsid w:val="00C7236A"/>
    <w:rsid w:val="00C72445"/>
    <w:rsid w:val="00C72485"/>
    <w:rsid w:val="00C72536"/>
    <w:rsid w:val="00C7285F"/>
    <w:rsid w:val="00C72BBE"/>
    <w:rsid w:val="00C72BD9"/>
    <w:rsid w:val="00C72C27"/>
    <w:rsid w:val="00C73014"/>
    <w:rsid w:val="00C73076"/>
    <w:rsid w:val="00C733D6"/>
    <w:rsid w:val="00C733EE"/>
    <w:rsid w:val="00C73794"/>
    <w:rsid w:val="00C73A91"/>
    <w:rsid w:val="00C73AD0"/>
    <w:rsid w:val="00C73B0C"/>
    <w:rsid w:val="00C73C69"/>
    <w:rsid w:val="00C73CF4"/>
    <w:rsid w:val="00C74199"/>
    <w:rsid w:val="00C742C1"/>
    <w:rsid w:val="00C743D9"/>
    <w:rsid w:val="00C74529"/>
    <w:rsid w:val="00C7456A"/>
    <w:rsid w:val="00C748CA"/>
    <w:rsid w:val="00C749A3"/>
    <w:rsid w:val="00C74B12"/>
    <w:rsid w:val="00C74B93"/>
    <w:rsid w:val="00C74DF5"/>
    <w:rsid w:val="00C74F21"/>
    <w:rsid w:val="00C75134"/>
    <w:rsid w:val="00C753E0"/>
    <w:rsid w:val="00C75BA3"/>
    <w:rsid w:val="00C75CAC"/>
    <w:rsid w:val="00C75D4D"/>
    <w:rsid w:val="00C75EAF"/>
    <w:rsid w:val="00C76245"/>
    <w:rsid w:val="00C767D8"/>
    <w:rsid w:val="00C77127"/>
    <w:rsid w:val="00C775AB"/>
    <w:rsid w:val="00C775D9"/>
    <w:rsid w:val="00C77628"/>
    <w:rsid w:val="00C77A83"/>
    <w:rsid w:val="00C77BDC"/>
    <w:rsid w:val="00C77C0E"/>
    <w:rsid w:val="00C77F27"/>
    <w:rsid w:val="00C800F4"/>
    <w:rsid w:val="00C80158"/>
    <w:rsid w:val="00C801A2"/>
    <w:rsid w:val="00C801E9"/>
    <w:rsid w:val="00C80392"/>
    <w:rsid w:val="00C80521"/>
    <w:rsid w:val="00C806CB"/>
    <w:rsid w:val="00C807C8"/>
    <w:rsid w:val="00C809E5"/>
    <w:rsid w:val="00C80E9B"/>
    <w:rsid w:val="00C810D9"/>
    <w:rsid w:val="00C811E6"/>
    <w:rsid w:val="00C812B6"/>
    <w:rsid w:val="00C812DA"/>
    <w:rsid w:val="00C813C9"/>
    <w:rsid w:val="00C813EF"/>
    <w:rsid w:val="00C814C0"/>
    <w:rsid w:val="00C81667"/>
    <w:rsid w:val="00C81903"/>
    <w:rsid w:val="00C81BCC"/>
    <w:rsid w:val="00C824CD"/>
    <w:rsid w:val="00C824CF"/>
    <w:rsid w:val="00C82501"/>
    <w:rsid w:val="00C8251A"/>
    <w:rsid w:val="00C827DB"/>
    <w:rsid w:val="00C829F8"/>
    <w:rsid w:val="00C82DA8"/>
    <w:rsid w:val="00C82E86"/>
    <w:rsid w:val="00C82FA1"/>
    <w:rsid w:val="00C830B6"/>
    <w:rsid w:val="00C832BD"/>
    <w:rsid w:val="00C836B7"/>
    <w:rsid w:val="00C836DF"/>
    <w:rsid w:val="00C837A9"/>
    <w:rsid w:val="00C83BC7"/>
    <w:rsid w:val="00C83EC8"/>
    <w:rsid w:val="00C8432A"/>
    <w:rsid w:val="00C844D9"/>
    <w:rsid w:val="00C84811"/>
    <w:rsid w:val="00C84870"/>
    <w:rsid w:val="00C84A9A"/>
    <w:rsid w:val="00C84B83"/>
    <w:rsid w:val="00C84CEF"/>
    <w:rsid w:val="00C84E15"/>
    <w:rsid w:val="00C84E5B"/>
    <w:rsid w:val="00C85068"/>
    <w:rsid w:val="00C851A6"/>
    <w:rsid w:val="00C851AA"/>
    <w:rsid w:val="00C851C4"/>
    <w:rsid w:val="00C85236"/>
    <w:rsid w:val="00C8524D"/>
    <w:rsid w:val="00C855E3"/>
    <w:rsid w:val="00C8597A"/>
    <w:rsid w:val="00C85C2D"/>
    <w:rsid w:val="00C85D65"/>
    <w:rsid w:val="00C86003"/>
    <w:rsid w:val="00C8623C"/>
    <w:rsid w:val="00C86563"/>
    <w:rsid w:val="00C867CA"/>
    <w:rsid w:val="00C8682A"/>
    <w:rsid w:val="00C8691C"/>
    <w:rsid w:val="00C86A5C"/>
    <w:rsid w:val="00C86B72"/>
    <w:rsid w:val="00C86E49"/>
    <w:rsid w:val="00C86EE2"/>
    <w:rsid w:val="00C87353"/>
    <w:rsid w:val="00C875C7"/>
    <w:rsid w:val="00C875F2"/>
    <w:rsid w:val="00C8777E"/>
    <w:rsid w:val="00C87984"/>
    <w:rsid w:val="00C87B0E"/>
    <w:rsid w:val="00C900CE"/>
    <w:rsid w:val="00C90164"/>
    <w:rsid w:val="00C90223"/>
    <w:rsid w:val="00C9036D"/>
    <w:rsid w:val="00C90407"/>
    <w:rsid w:val="00C90737"/>
    <w:rsid w:val="00C90816"/>
    <w:rsid w:val="00C90C48"/>
    <w:rsid w:val="00C90CAB"/>
    <w:rsid w:val="00C90DF7"/>
    <w:rsid w:val="00C90FE0"/>
    <w:rsid w:val="00C91190"/>
    <w:rsid w:val="00C91357"/>
    <w:rsid w:val="00C916CD"/>
    <w:rsid w:val="00C9174A"/>
    <w:rsid w:val="00C91B7E"/>
    <w:rsid w:val="00C91D81"/>
    <w:rsid w:val="00C92089"/>
    <w:rsid w:val="00C92179"/>
    <w:rsid w:val="00C922BB"/>
    <w:rsid w:val="00C9231C"/>
    <w:rsid w:val="00C92572"/>
    <w:rsid w:val="00C92627"/>
    <w:rsid w:val="00C926FF"/>
    <w:rsid w:val="00C927E2"/>
    <w:rsid w:val="00C92869"/>
    <w:rsid w:val="00C9292F"/>
    <w:rsid w:val="00C92ACB"/>
    <w:rsid w:val="00C92EBE"/>
    <w:rsid w:val="00C930F4"/>
    <w:rsid w:val="00C9316A"/>
    <w:rsid w:val="00C931AC"/>
    <w:rsid w:val="00C9365E"/>
    <w:rsid w:val="00C937A4"/>
    <w:rsid w:val="00C93996"/>
    <w:rsid w:val="00C93B32"/>
    <w:rsid w:val="00C93CFB"/>
    <w:rsid w:val="00C93ED9"/>
    <w:rsid w:val="00C94370"/>
    <w:rsid w:val="00C9438A"/>
    <w:rsid w:val="00C944EE"/>
    <w:rsid w:val="00C94560"/>
    <w:rsid w:val="00C945E1"/>
    <w:rsid w:val="00C9461C"/>
    <w:rsid w:val="00C949F3"/>
    <w:rsid w:val="00C94CDD"/>
    <w:rsid w:val="00C94D50"/>
    <w:rsid w:val="00C94EA9"/>
    <w:rsid w:val="00C953B1"/>
    <w:rsid w:val="00C955AE"/>
    <w:rsid w:val="00C955D8"/>
    <w:rsid w:val="00C959F8"/>
    <w:rsid w:val="00C95A3D"/>
    <w:rsid w:val="00C95DEA"/>
    <w:rsid w:val="00C96043"/>
    <w:rsid w:val="00C960C1"/>
    <w:rsid w:val="00C96740"/>
    <w:rsid w:val="00C968AE"/>
    <w:rsid w:val="00C96CAA"/>
    <w:rsid w:val="00C96D05"/>
    <w:rsid w:val="00C96E9F"/>
    <w:rsid w:val="00C97169"/>
    <w:rsid w:val="00C973E8"/>
    <w:rsid w:val="00C9741D"/>
    <w:rsid w:val="00C975FB"/>
    <w:rsid w:val="00C977F1"/>
    <w:rsid w:val="00C97B17"/>
    <w:rsid w:val="00C97D1E"/>
    <w:rsid w:val="00CA038E"/>
    <w:rsid w:val="00CA03D2"/>
    <w:rsid w:val="00CA0636"/>
    <w:rsid w:val="00CA0755"/>
    <w:rsid w:val="00CA0D5D"/>
    <w:rsid w:val="00CA0E00"/>
    <w:rsid w:val="00CA0E8E"/>
    <w:rsid w:val="00CA110D"/>
    <w:rsid w:val="00CA1284"/>
    <w:rsid w:val="00CA15CA"/>
    <w:rsid w:val="00CA1604"/>
    <w:rsid w:val="00CA17D6"/>
    <w:rsid w:val="00CA1C1D"/>
    <w:rsid w:val="00CA1C6B"/>
    <w:rsid w:val="00CA1CF8"/>
    <w:rsid w:val="00CA1E66"/>
    <w:rsid w:val="00CA1F3A"/>
    <w:rsid w:val="00CA2069"/>
    <w:rsid w:val="00CA23D0"/>
    <w:rsid w:val="00CA2795"/>
    <w:rsid w:val="00CA2B25"/>
    <w:rsid w:val="00CA2B39"/>
    <w:rsid w:val="00CA2C80"/>
    <w:rsid w:val="00CA2DF5"/>
    <w:rsid w:val="00CA2E91"/>
    <w:rsid w:val="00CA2F04"/>
    <w:rsid w:val="00CA2F17"/>
    <w:rsid w:val="00CA3223"/>
    <w:rsid w:val="00CA323B"/>
    <w:rsid w:val="00CA33DE"/>
    <w:rsid w:val="00CA3417"/>
    <w:rsid w:val="00CA3541"/>
    <w:rsid w:val="00CA36B0"/>
    <w:rsid w:val="00CA37DC"/>
    <w:rsid w:val="00CA3843"/>
    <w:rsid w:val="00CA3AA6"/>
    <w:rsid w:val="00CA3C0D"/>
    <w:rsid w:val="00CA3C1C"/>
    <w:rsid w:val="00CA3FF5"/>
    <w:rsid w:val="00CA423B"/>
    <w:rsid w:val="00CA42BA"/>
    <w:rsid w:val="00CA42E4"/>
    <w:rsid w:val="00CA442A"/>
    <w:rsid w:val="00CA4520"/>
    <w:rsid w:val="00CA46D9"/>
    <w:rsid w:val="00CA47AB"/>
    <w:rsid w:val="00CA4B53"/>
    <w:rsid w:val="00CA4F26"/>
    <w:rsid w:val="00CA53CB"/>
    <w:rsid w:val="00CA54FC"/>
    <w:rsid w:val="00CA5580"/>
    <w:rsid w:val="00CA5637"/>
    <w:rsid w:val="00CA57A7"/>
    <w:rsid w:val="00CA58B4"/>
    <w:rsid w:val="00CA58D5"/>
    <w:rsid w:val="00CA5F5D"/>
    <w:rsid w:val="00CA699E"/>
    <w:rsid w:val="00CA70F4"/>
    <w:rsid w:val="00CA71BA"/>
    <w:rsid w:val="00CA7412"/>
    <w:rsid w:val="00CA74F0"/>
    <w:rsid w:val="00CA794D"/>
    <w:rsid w:val="00CA797C"/>
    <w:rsid w:val="00CA7B58"/>
    <w:rsid w:val="00CA7D79"/>
    <w:rsid w:val="00CA7F4D"/>
    <w:rsid w:val="00CB029A"/>
    <w:rsid w:val="00CB03F0"/>
    <w:rsid w:val="00CB09F9"/>
    <w:rsid w:val="00CB1061"/>
    <w:rsid w:val="00CB11C9"/>
    <w:rsid w:val="00CB1220"/>
    <w:rsid w:val="00CB12A9"/>
    <w:rsid w:val="00CB13AE"/>
    <w:rsid w:val="00CB13D0"/>
    <w:rsid w:val="00CB14D9"/>
    <w:rsid w:val="00CB15A1"/>
    <w:rsid w:val="00CB1617"/>
    <w:rsid w:val="00CB1706"/>
    <w:rsid w:val="00CB17C4"/>
    <w:rsid w:val="00CB19AA"/>
    <w:rsid w:val="00CB19DD"/>
    <w:rsid w:val="00CB1BFF"/>
    <w:rsid w:val="00CB213C"/>
    <w:rsid w:val="00CB22ED"/>
    <w:rsid w:val="00CB2688"/>
    <w:rsid w:val="00CB29F9"/>
    <w:rsid w:val="00CB2ABD"/>
    <w:rsid w:val="00CB2F03"/>
    <w:rsid w:val="00CB3031"/>
    <w:rsid w:val="00CB33AA"/>
    <w:rsid w:val="00CB37C7"/>
    <w:rsid w:val="00CB3845"/>
    <w:rsid w:val="00CB3B97"/>
    <w:rsid w:val="00CB3C11"/>
    <w:rsid w:val="00CB3F31"/>
    <w:rsid w:val="00CB4005"/>
    <w:rsid w:val="00CB40D1"/>
    <w:rsid w:val="00CB4350"/>
    <w:rsid w:val="00CB480D"/>
    <w:rsid w:val="00CB483B"/>
    <w:rsid w:val="00CB49A4"/>
    <w:rsid w:val="00CB4AE5"/>
    <w:rsid w:val="00CB4B66"/>
    <w:rsid w:val="00CB4E74"/>
    <w:rsid w:val="00CB50BC"/>
    <w:rsid w:val="00CB5582"/>
    <w:rsid w:val="00CB5681"/>
    <w:rsid w:val="00CB56DC"/>
    <w:rsid w:val="00CB5753"/>
    <w:rsid w:val="00CB578A"/>
    <w:rsid w:val="00CB59C6"/>
    <w:rsid w:val="00CB5D63"/>
    <w:rsid w:val="00CB5D8F"/>
    <w:rsid w:val="00CB5E77"/>
    <w:rsid w:val="00CB5EBF"/>
    <w:rsid w:val="00CB5FBE"/>
    <w:rsid w:val="00CB5FFF"/>
    <w:rsid w:val="00CB6258"/>
    <w:rsid w:val="00CB6431"/>
    <w:rsid w:val="00CB65C1"/>
    <w:rsid w:val="00CB6797"/>
    <w:rsid w:val="00CB6B3C"/>
    <w:rsid w:val="00CB6B7A"/>
    <w:rsid w:val="00CB6F27"/>
    <w:rsid w:val="00CB726C"/>
    <w:rsid w:val="00CB7447"/>
    <w:rsid w:val="00CB7660"/>
    <w:rsid w:val="00CB7D07"/>
    <w:rsid w:val="00CB7E29"/>
    <w:rsid w:val="00CB7EFA"/>
    <w:rsid w:val="00CB7F24"/>
    <w:rsid w:val="00CC003B"/>
    <w:rsid w:val="00CC004C"/>
    <w:rsid w:val="00CC0263"/>
    <w:rsid w:val="00CC044D"/>
    <w:rsid w:val="00CC0EE0"/>
    <w:rsid w:val="00CC1283"/>
    <w:rsid w:val="00CC15C6"/>
    <w:rsid w:val="00CC1711"/>
    <w:rsid w:val="00CC1A45"/>
    <w:rsid w:val="00CC1BAF"/>
    <w:rsid w:val="00CC1C6B"/>
    <w:rsid w:val="00CC20A9"/>
    <w:rsid w:val="00CC248E"/>
    <w:rsid w:val="00CC2513"/>
    <w:rsid w:val="00CC2688"/>
    <w:rsid w:val="00CC27E8"/>
    <w:rsid w:val="00CC2C74"/>
    <w:rsid w:val="00CC2E06"/>
    <w:rsid w:val="00CC373C"/>
    <w:rsid w:val="00CC38BB"/>
    <w:rsid w:val="00CC38F9"/>
    <w:rsid w:val="00CC3BC8"/>
    <w:rsid w:val="00CC3DAD"/>
    <w:rsid w:val="00CC3FE2"/>
    <w:rsid w:val="00CC430A"/>
    <w:rsid w:val="00CC4360"/>
    <w:rsid w:val="00CC4591"/>
    <w:rsid w:val="00CC45CB"/>
    <w:rsid w:val="00CC4619"/>
    <w:rsid w:val="00CC4788"/>
    <w:rsid w:val="00CC487D"/>
    <w:rsid w:val="00CC5050"/>
    <w:rsid w:val="00CC51D1"/>
    <w:rsid w:val="00CC5336"/>
    <w:rsid w:val="00CC538C"/>
    <w:rsid w:val="00CC548C"/>
    <w:rsid w:val="00CC54A9"/>
    <w:rsid w:val="00CC553C"/>
    <w:rsid w:val="00CC569A"/>
    <w:rsid w:val="00CC5731"/>
    <w:rsid w:val="00CC5889"/>
    <w:rsid w:val="00CC58FE"/>
    <w:rsid w:val="00CC5950"/>
    <w:rsid w:val="00CC5A85"/>
    <w:rsid w:val="00CC5AD0"/>
    <w:rsid w:val="00CC5AEC"/>
    <w:rsid w:val="00CC5AEE"/>
    <w:rsid w:val="00CC5D01"/>
    <w:rsid w:val="00CC6002"/>
    <w:rsid w:val="00CC616D"/>
    <w:rsid w:val="00CC65F3"/>
    <w:rsid w:val="00CC66DF"/>
    <w:rsid w:val="00CC68B2"/>
    <w:rsid w:val="00CC6C22"/>
    <w:rsid w:val="00CC6DF0"/>
    <w:rsid w:val="00CC6E93"/>
    <w:rsid w:val="00CC6F70"/>
    <w:rsid w:val="00CC70ED"/>
    <w:rsid w:val="00CC725E"/>
    <w:rsid w:val="00CC72E6"/>
    <w:rsid w:val="00CC7697"/>
    <w:rsid w:val="00CC7813"/>
    <w:rsid w:val="00CC7913"/>
    <w:rsid w:val="00CC79DC"/>
    <w:rsid w:val="00CC7B14"/>
    <w:rsid w:val="00CC7B1A"/>
    <w:rsid w:val="00CC7B72"/>
    <w:rsid w:val="00CC7DB9"/>
    <w:rsid w:val="00CC7E9F"/>
    <w:rsid w:val="00CD0029"/>
    <w:rsid w:val="00CD032D"/>
    <w:rsid w:val="00CD0374"/>
    <w:rsid w:val="00CD050C"/>
    <w:rsid w:val="00CD0614"/>
    <w:rsid w:val="00CD0C56"/>
    <w:rsid w:val="00CD104B"/>
    <w:rsid w:val="00CD10A3"/>
    <w:rsid w:val="00CD1114"/>
    <w:rsid w:val="00CD11F2"/>
    <w:rsid w:val="00CD1534"/>
    <w:rsid w:val="00CD15DF"/>
    <w:rsid w:val="00CD16C9"/>
    <w:rsid w:val="00CD1AD5"/>
    <w:rsid w:val="00CD1AF0"/>
    <w:rsid w:val="00CD1C30"/>
    <w:rsid w:val="00CD1F94"/>
    <w:rsid w:val="00CD200C"/>
    <w:rsid w:val="00CD21A4"/>
    <w:rsid w:val="00CD21D3"/>
    <w:rsid w:val="00CD24A3"/>
    <w:rsid w:val="00CD24C1"/>
    <w:rsid w:val="00CD24EC"/>
    <w:rsid w:val="00CD257C"/>
    <w:rsid w:val="00CD259E"/>
    <w:rsid w:val="00CD292D"/>
    <w:rsid w:val="00CD29DC"/>
    <w:rsid w:val="00CD2A3F"/>
    <w:rsid w:val="00CD303A"/>
    <w:rsid w:val="00CD331F"/>
    <w:rsid w:val="00CD3486"/>
    <w:rsid w:val="00CD34E4"/>
    <w:rsid w:val="00CD35CD"/>
    <w:rsid w:val="00CD379C"/>
    <w:rsid w:val="00CD3B22"/>
    <w:rsid w:val="00CD3C32"/>
    <w:rsid w:val="00CD3E40"/>
    <w:rsid w:val="00CD4102"/>
    <w:rsid w:val="00CD42EF"/>
    <w:rsid w:val="00CD4778"/>
    <w:rsid w:val="00CD4A85"/>
    <w:rsid w:val="00CD4B62"/>
    <w:rsid w:val="00CD4C23"/>
    <w:rsid w:val="00CD4DC3"/>
    <w:rsid w:val="00CD511E"/>
    <w:rsid w:val="00CD519E"/>
    <w:rsid w:val="00CD51A9"/>
    <w:rsid w:val="00CD5235"/>
    <w:rsid w:val="00CD5237"/>
    <w:rsid w:val="00CD5308"/>
    <w:rsid w:val="00CD5312"/>
    <w:rsid w:val="00CD5340"/>
    <w:rsid w:val="00CD5578"/>
    <w:rsid w:val="00CD5599"/>
    <w:rsid w:val="00CD56DD"/>
    <w:rsid w:val="00CD5DAB"/>
    <w:rsid w:val="00CD5F8B"/>
    <w:rsid w:val="00CD60F7"/>
    <w:rsid w:val="00CD6160"/>
    <w:rsid w:val="00CD689D"/>
    <w:rsid w:val="00CD6CA6"/>
    <w:rsid w:val="00CD720F"/>
    <w:rsid w:val="00CD73B3"/>
    <w:rsid w:val="00CD73FB"/>
    <w:rsid w:val="00CD75E8"/>
    <w:rsid w:val="00CD76B7"/>
    <w:rsid w:val="00CD76D3"/>
    <w:rsid w:val="00CD7836"/>
    <w:rsid w:val="00CD7CE7"/>
    <w:rsid w:val="00CD7D56"/>
    <w:rsid w:val="00CD7EC1"/>
    <w:rsid w:val="00CD7F2C"/>
    <w:rsid w:val="00CE0064"/>
    <w:rsid w:val="00CE0104"/>
    <w:rsid w:val="00CE02D3"/>
    <w:rsid w:val="00CE03D6"/>
    <w:rsid w:val="00CE06C1"/>
    <w:rsid w:val="00CE083B"/>
    <w:rsid w:val="00CE09DA"/>
    <w:rsid w:val="00CE0A02"/>
    <w:rsid w:val="00CE0A7E"/>
    <w:rsid w:val="00CE0D81"/>
    <w:rsid w:val="00CE0E21"/>
    <w:rsid w:val="00CE15A9"/>
    <w:rsid w:val="00CE1788"/>
    <w:rsid w:val="00CE1CC4"/>
    <w:rsid w:val="00CE1F1F"/>
    <w:rsid w:val="00CE2078"/>
    <w:rsid w:val="00CE209C"/>
    <w:rsid w:val="00CE21C3"/>
    <w:rsid w:val="00CE2321"/>
    <w:rsid w:val="00CE24C9"/>
    <w:rsid w:val="00CE24E3"/>
    <w:rsid w:val="00CE27C2"/>
    <w:rsid w:val="00CE28CA"/>
    <w:rsid w:val="00CE2A41"/>
    <w:rsid w:val="00CE2C60"/>
    <w:rsid w:val="00CE2CBE"/>
    <w:rsid w:val="00CE2F78"/>
    <w:rsid w:val="00CE30A1"/>
    <w:rsid w:val="00CE319E"/>
    <w:rsid w:val="00CE3431"/>
    <w:rsid w:val="00CE367E"/>
    <w:rsid w:val="00CE377E"/>
    <w:rsid w:val="00CE3997"/>
    <w:rsid w:val="00CE3A3E"/>
    <w:rsid w:val="00CE3C64"/>
    <w:rsid w:val="00CE3F43"/>
    <w:rsid w:val="00CE41E6"/>
    <w:rsid w:val="00CE4742"/>
    <w:rsid w:val="00CE49A7"/>
    <w:rsid w:val="00CE4A6C"/>
    <w:rsid w:val="00CE4CC3"/>
    <w:rsid w:val="00CE5974"/>
    <w:rsid w:val="00CE5A25"/>
    <w:rsid w:val="00CE5C4C"/>
    <w:rsid w:val="00CE64AD"/>
    <w:rsid w:val="00CE64D4"/>
    <w:rsid w:val="00CE656C"/>
    <w:rsid w:val="00CE6904"/>
    <w:rsid w:val="00CE6999"/>
    <w:rsid w:val="00CE6E99"/>
    <w:rsid w:val="00CE702D"/>
    <w:rsid w:val="00CE78FD"/>
    <w:rsid w:val="00CE7998"/>
    <w:rsid w:val="00CE7BB1"/>
    <w:rsid w:val="00CE7CA3"/>
    <w:rsid w:val="00CE7D59"/>
    <w:rsid w:val="00CE7D7C"/>
    <w:rsid w:val="00CE7E4C"/>
    <w:rsid w:val="00CF00F6"/>
    <w:rsid w:val="00CF0200"/>
    <w:rsid w:val="00CF0423"/>
    <w:rsid w:val="00CF055B"/>
    <w:rsid w:val="00CF0C8F"/>
    <w:rsid w:val="00CF0CA9"/>
    <w:rsid w:val="00CF0CBB"/>
    <w:rsid w:val="00CF0D5C"/>
    <w:rsid w:val="00CF0DD0"/>
    <w:rsid w:val="00CF1597"/>
    <w:rsid w:val="00CF1701"/>
    <w:rsid w:val="00CF171D"/>
    <w:rsid w:val="00CF17AE"/>
    <w:rsid w:val="00CF192B"/>
    <w:rsid w:val="00CF1D99"/>
    <w:rsid w:val="00CF1F59"/>
    <w:rsid w:val="00CF2008"/>
    <w:rsid w:val="00CF2121"/>
    <w:rsid w:val="00CF25F6"/>
    <w:rsid w:val="00CF281D"/>
    <w:rsid w:val="00CF281F"/>
    <w:rsid w:val="00CF2852"/>
    <w:rsid w:val="00CF2889"/>
    <w:rsid w:val="00CF2B6E"/>
    <w:rsid w:val="00CF2DF8"/>
    <w:rsid w:val="00CF3249"/>
    <w:rsid w:val="00CF32B9"/>
    <w:rsid w:val="00CF33CB"/>
    <w:rsid w:val="00CF3497"/>
    <w:rsid w:val="00CF3895"/>
    <w:rsid w:val="00CF3B61"/>
    <w:rsid w:val="00CF409D"/>
    <w:rsid w:val="00CF440C"/>
    <w:rsid w:val="00CF4784"/>
    <w:rsid w:val="00CF47FD"/>
    <w:rsid w:val="00CF4BAE"/>
    <w:rsid w:val="00CF4DA1"/>
    <w:rsid w:val="00CF4E2C"/>
    <w:rsid w:val="00CF4F72"/>
    <w:rsid w:val="00CF501A"/>
    <w:rsid w:val="00CF5343"/>
    <w:rsid w:val="00CF55C6"/>
    <w:rsid w:val="00CF5AF5"/>
    <w:rsid w:val="00CF5BF0"/>
    <w:rsid w:val="00CF5F73"/>
    <w:rsid w:val="00CF61A3"/>
    <w:rsid w:val="00CF62A0"/>
    <w:rsid w:val="00CF6362"/>
    <w:rsid w:val="00CF658C"/>
    <w:rsid w:val="00CF6923"/>
    <w:rsid w:val="00CF6A34"/>
    <w:rsid w:val="00CF6ABA"/>
    <w:rsid w:val="00CF6B4B"/>
    <w:rsid w:val="00CF6BC0"/>
    <w:rsid w:val="00CF6C7B"/>
    <w:rsid w:val="00CF6E84"/>
    <w:rsid w:val="00CF71B1"/>
    <w:rsid w:val="00CF71F3"/>
    <w:rsid w:val="00CF74B5"/>
    <w:rsid w:val="00CF753B"/>
    <w:rsid w:val="00CF791B"/>
    <w:rsid w:val="00CF7C11"/>
    <w:rsid w:val="00CF7DD3"/>
    <w:rsid w:val="00D00143"/>
    <w:rsid w:val="00D00278"/>
    <w:rsid w:val="00D00287"/>
    <w:rsid w:val="00D00361"/>
    <w:rsid w:val="00D004CD"/>
    <w:rsid w:val="00D00824"/>
    <w:rsid w:val="00D00ACB"/>
    <w:rsid w:val="00D00B36"/>
    <w:rsid w:val="00D00BCC"/>
    <w:rsid w:val="00D00D8C"/>
    <w:rsid w:val="00D00F32"/>
    <w:rsid w:val="00D01002"/>
    <w:rsid w:val="00D01063"/>
    <w:rsid w:val="00D0107E"/>
    <w:rsid w:val="00D01189"/>
    <w:rsid w:val="00D01240"/>
    <w:rsid w:val="00D014EB"/>
    <w:rsid w:val="00D0163B"/>
    <w:rsid w:val="00D016BA"/>
    <w:rsid w:val="00D0182B"/>
    <w:rsid w:val="00D01851"/>
    <w:rsid w:val="00D01867"/>
    <w:rsid w:val="00D0186E"/>
    <w:rsid w:val="00D019F7"/>
    <w:rsid w:val="00D01ADC"/>
    <w:rsid w:val="00D01BBB"/>
    <w:rsid w:val="00D01D08"/>
    <w:rsid w:val="00D01D76"/>
    <w:rsid w:val="00D020A2"/>
    <w:rsid w:val="00D0231E"/>
    <w:rsid w:val="00D024BA"/>
    <w:rsid w:val="00D025A0"/>
    <w:rsid w:val="00D02A44"/>
    <w:rsid w:val="00D02A50"/>
    <w:rsid w:val="00D02BE2"/>
    <w:rsid w:val="00D02C13"/>
    <w:rsid w:val="00D02CD9"/>
    <w:rsid w:val="00D031AD"/>
    <w:rsid w:val="00D032F2"/>
    <w:rsid w:val="00D03680"/>
    <w:rsid w:val="00D037BA"/>
    <w:rsid w:val="00D03857"/>
    <w:rsid w:val="00D03940"/>
    <w:rsid w:val="00D03D8F"/>
    <w:rsid w:val="00D03F54"/>
    <w:rsid w:val="00D03F66"/>
    <w:rsid w:val="00D04038"/>
    <w:rsid w:val="00D04881"/>
    <w:rsid w:val="00D04889"/>
    <w:rsid w:val="00D04B0E"/>
    <w:rsid w:val="00D04FCF"/>
    <w:rsid w:val="00D05029"/>
    <w:rsid w:val="00D05294"/>
    <w:rsid w:val="00D05C5C"/>
    <w:rsid w:val="00D05D65"/>
    <w:rsid w:val="00D05EF5"/>
    <w:rsid w:val="00D05FCD"/>
    <w:rsid w:val="00D06001"/>
    <w:rsid w:val="00D06250"/>
    <w:rsid w:val="00D062C3"/>
    <w:rsid w:val="00D06506"/>
    <w:rsid w:val="00D06B01"/>
    <w:rsid w:val="00D06C33"/>
    <w:rsid w:val="00D06C66"/>
    <w:rsid w:val="00D06F21"/>
    <w:rsid w:val="00D07242"/>
    <w:rsid w:val="00D07252"/>
    <w:rsid w:val="00D07320"/>
    <w:rsid w:val="00D07AA3"/>
    <w:rsid w:val="00D07C4C"/>
    <w:rsid w:val="00D07D49"/>
    <w:rsid w:val="00D07DA5"/>
    <w:rsid w:val="00D102E4"/>
    <w:rsid w:val="00D107BB"/>
    <w:rsid w:val="00D1091D"/>
    <w:rsid w:val="00D10B8D"/>
    <w:rsid w:val="00D10D3C"/>
    <w:rsid w:val="00D10D73"/>
    <w:rsid w:val="00D11622"/>
    <w:rsid w:val="00D116A2"/>
    <w:rsid w:val="00D11887"/>
    <w:rsid w:val="00D11985"/>
    <w:rsid w:val="00D11C46"/>
    <w:rsid w:val="00D11D35"/>
    <w:rsid w:val="00D11D89"/>
    <w:rsid w:val="00D1210C"/>
    <w:rsid w:val="00D1214B"/>
    <w:rsid w:val="00D121B9"/>
    <w:rsid w:val="00D123B9"/>
    <w:rsid w:val="00D1249E"/>
    <w:rsid w:val="00D1281E"/>
    <w:rsid w:val="00D128A5"/>
    <w:rsid w:val="00D1290B"/>
    <w:rsid w:val="00D1298F"/>
    <w:rsid w:val="00D12E1C"/>
    <w:rsid w:val="00D12E73"/>
    <w:rsid w:val="00D1304D"/>
    <w:rsid w:val="00D13070"/>
    <w:rsid w:val="00D13201"/>
    <w:rsid w:val="00D135D1"/>
    <w:rsid w:val="00D1379E"/>
    <w:rsid w:val="00D1388D"/>
    <w:rsid w:val="00D138AD"/>
    <w:rsid w:val="00D13B0D"/>
    <w:rsid w:val="00D13BEB"/>
    <w:rsid w:val="00D13D9D"/>
    <w:rsid w:val="00D13EF3"/>
    <w:rsid w:val="00D1429F"/>
    <w:rsid w:val="00D1455E"/>
    <w:rsid w:val="00D1479D"/>
    <w:rsid w:val="00D14829"/>
    <w:rsid w:val="00D14920"/>
    <w:rsid w:val="00D15026"/>
    <w:rsid w:val="00D151E8"/>
    <w:rsid w:val="00D155D3"/>
    <w:rsid w:val="00D15B91"/>
    <w:rsid w:val="00D15BBA"/>
    <w:rsid w:val="00D15BC5"/>
    <w:rsid w:val="00D15CD6"/>
    <w:rsid w:val="00D15D54"/>
    <w:rsid w:val="00D1622F"/>
    <w:rsid w:val="00D16312"/>
    <w:rsid w:val="00D1633D"/>
    <w:rsid w:val="00D164CA"/>
    <w:rsid w:val="00D16500"/>
    <w:rsid w:val="00D16512"/>
    <w:rsid w:val="00D16838"/>
    <w:rsid w:val="00D16C9D"/>
    <w:rsid w:val="00D16E1D"/>
    <w:rsid w:val="00D16E4D"/>
    <w:rsid w:val="00D16E9C"/>
    <w:rsid w:val="00D1700B"/>
    <w:rsid w:val="00D1707B"/>
    <w:rsid w:val="00D1718E"/>
    <w:rsid w:val="00D1745B"/>
    <w:rsid w:val="00D179BF"/>
    <w:rsid w:val="00D17B6D"/>
    <w:rsid w:val="00D17E8C"/>
    <w:rsid w:val="00D17FE3"/>
    <w:rsid w:val="00D20294"/>
    <w:rsid w:val="00D202DA"/>
    <w:rsid w:val="00D20454"/>
    <w:rsid w:val="00D207BB"/>
    <w:rsid w:val="00D209AD"/>
    <w:rsid w:val="00D20BFF"/>
    <w:rsid w:val="00D20C48"/>
    <w:rsid w:val="00D20EA6"/>
    <w:rsid w:val="00D211AE"/>
    <w:rsid w:val="00D211C4"/>
    <w:rsid w:val="00D2147E"/>
    <w:rsid w:val="00D21517"/>
    <w:rsid w:val="00D2151A"/>
    <w:rsid w:val="00D21559"/>
    <w:rsid w:val="00D2168F"/>
    <w:rsid w:val="00D217E0"/>
    <w:rsid w:val="00D21800"/>
    <w:rsid w:val="00D219E6"/>
    <w:rsid w:val="00D21AC5"/>
    <w:rsid w:val="00D21E63"/>
    <w:rsid w:val="00D21FAD"/>
    <w:rsid w:val="00D221E7"/>
    <w:rsid w:val="00D22234"/>
    <w:rsid w:val="00D22396"/>
    <w:rsid w:val="00D2250B"/>
    <w:rsid w:val="00D2290A"/>
    <w:rsid w:val="00D22AA1"/>
    <w:rsid w:val="00D22BD5"/>
    <w:rsid w:val="00D22BFE"/>
    <w:rsid w:val="00D22C25"/>
    <w:rsid w:val="00D22CA0"/>
    <w:rsid w:val="00D232FD"/>
    <w:rsid w:val="00D235BE"/>
    <w:rsid w:val="00D235E2"/>
    <w:rsid w:val="00D23882"/>
    <w:rsid w:val="00D23FDB"/>
    <w:rsid w:val="00D24054"/>
    <w:rsid w:val="00D240E2"/>
    <w:rsid w:val="00D24373"/>
    <w:rsid w:val="00D243D0"/>
    <w:rsid w:val="00D245A3"/>
    <w:rsid w:val="00D24674"/>
    <w:rsid w:val="00D246E6"/>
    <w:rsid w:val="00D24721"/>
    <w:rsid w:val="00D24836"/>
    <w:rsid w:val="00D24C28"/>
    <w:rsid w:val="00D24DA8"/>
    <w:rsid w:val="00D25355"/>
    <w:rsid w:val="00D2561C"/>
    <w:rsid w:val="00D2595C"/>
    <w:rsid w:val="00D26236"/>
    <w:rsid w:val="00D263E2"/>
    <w:rsid w:val="00D26872"/>
    <w:rsid w:val="00D26DF3"/>
    <w:rsid w:val="00D2716A"/>
    <w:rsid w:val="00D27273"/>
    <w:rsid w:val="00D2745E"/>
    <w:rsid w:val="00D2756D"/>
    <w:rsid w:val="00D276A3"/>
    <w:rsid w:val="00D2770E"/>
    <w:rsid w:val="00D2797D"/>
    <w:rsid w:val="00D30015"/>
    <w:rsid w:val="00D3004F"/>
    <w:rsid w:val="00D30156"/>
    <w:rsid w:val="00D302B5"/>
    <w:rsid w:val="00D302DA"/>
    <w:rsid w:val="00D304A1"/>
    <w:rsid w:val="00D30621"/>
    <w:rsid w:val="00D30698"/>
    <w:rsid w:val="00D306DF"/>
    <w:rsid w:val="00D3094B"/>
    <w:rsid w:val="00D309AD"/>
    <w:rsid w:val="00D30AA1"/>
    <w:rsid w:val="00D30C13"/>
    <w:rsid w:val="00D312C6"/>
    <w:rsid w:val="00D313A7"/>
    <w:rsid w:val="00D3143C"/>
    <w:rsid w:val="00D31789"/>
    <w:rsid w:val="00D31836"/>
    <w:rsid w:val="00D319B4"/>
    <w:rsid w:val="00D31A82"/>
    <w:rsid w:val="00D321F1"/>
    <w:rsid w:val="00D322CB"/>
    <w:rsid w:val="00D32320"/>
    <w:rsid w:val="00D3252F"/>
    <w:rsid w:val="00D3293A"/>
    <w:rsid w:val="00D329FB"/>
    <w:rsid w:val="00D32CB4"/>
    <w:rsid w:val="00D32DCC"/>
    <w:rsid w:val="00D32EDE"/>
    <w:rsid w:val="00D32FF5"/>
    <w:rsid w:val="00D330C1"/>
    <w:rsid w:val="00D33169"/>
    <w:rsid w:val="00D33282"/>
    <w:rsid w:val="00D33332"/>
    <w:rsid w:val="00D33381"/>
    <w:rsid w:val="00D334CD"/>
    <w:rsid w:val="00D33645"/>
    <w:rsid w:val="00D33898"/>
    <w:rsid w:val="00D33B9E"/>
    <w:rsid w:val="00D33D2F"/>
    <w:rsid w:val="00D33DC6"/>
    <w:rsid w:val="00D3495D"/>
    <w:rsid w:val="00D34AD6"/>
    <w:rsid w:val="00D34B6C"/>
    <w:rsid w:val="00D34C33"/>
    <w:rsid w:val="00D34EA1"/>
    <w:rsid w:val="00D34F83"/>
    <w:rsid w:val="00D35069"/>
    <w:rsid w:val="00D35163"/>
    <w:rsid w:val="00D35466"/>
    <w:rsid w:val="00D35474"/>
    <w:rsid w:val="00D3552D"/>
    <w:rsid w:val="00D359BD"/>
    <w:rsid w:val="00D35B7E"/>
    <w:rsid w:val="00D35B96"/>
    <w:rsid w:val="00D35CC7"/>
    <w:rsid w:val="00D35DBA"/>
    <w:rsid w:val="00D35F47"/>
    <w:rsid w:val="00D36172"/>
    <w:rsid w:val="00D364EB"/>
    <w:rsid w:val="00D36562"/>
    <w:rsid w:val="00D36740"/>
    <w:rsid w:val="00D368E3"/>
    <w:rsid w:val="00D368EA"/>
    <w:rsid w:val="00D369A6"/>
    <w:rsid w:val="00D36A4C"/>
    <w:rsid w:val="00D36ADE"/>
    <w:rsid w:val="00D371B4"/>
    <w:rsid w:val="00D371FE"/>
    <w:rsid w:val="00D37462"/>
    <w:rsid w:val="00D37ABD"/>
    <w:rsid w:val="00D37C30"/>
    <w:rsid w:val="00D37CDC"/>
    <w:rsid w:val="00D37D9B"/>
    <w:rsid w:val="00D37FDE"/>
    <w:rsid w:val="00D4014A"/>
    <w:rsid w:val="00D4034E"/>
    <w:rsid w:val="00D406E3"/>
    <w:rsid w:val="00D40701"/>
    <w:rsid w:val="00D40725"/>
    <w:rsid w:val="00D40868"/>
    <w:rsid w:val="00D40984"/>
    <w:rsid w:val="00D40CF9"/>
    <w:rsid w:val="00D40D6A"/>
    <w:rsid w:val="00D4112B"/>
    <w:rsid w:val="00D41212"/>
    <w:rsid w:val="00D4131D"/>
    <w:rsid w:val="00D41505"/>
    <w:rsid w:val="00D415BF"/>
    <w:rsid w:val="00D4171A"/>
    <w:rsid w:val="00D41A50"/>
    <w:rsid w:val="00D41ABA"/>
    <w:rsid w:val="00D41B50"/>
    <w:rsid w:val="00D41F2A"/>
    <w:rsid w:val="00D42001"/>
    <w:rsid w:val="00D4209A"/>
    <w:rsid w:val="00D421C8"/>
    <w:rsid w:val="00D42255"/>
    <w:rsid w:val="00D424BD"/>
    <w:rsid w:val="00D4261C"/>
    <w:rsid w:val="00D42730"/>
    <w:rsid w:val="00D42829"/>
    <w:rsid w:val="00D42896"/>
    <w:rsid w:val="00D42C72"/>
    <w:rsid w:val="00D42F67"/>
    <w:rsid w:val="00D43621"/>
    <w:rsid w:val="00D439D0"/>
    <w:rsid w:val="00D43EE1"/>
    <w:rsid w:val="00D43FBF"/>
    <w:rsid w:val="00D4403E"/>
    <w:rsid w:val="00D441F6"/>
    <w:rsid w:val="00D44498"/>
    <w:rsid w:val="00D444DE"/>
    <w:rsid w:val="00D446A7"/>
    <w:rsid w:val="00D44734"/>
    <w:rsid w:val="00D44E82"/>
    <w:rsid w:val="00D4502C"/>
    <w:rsid w:val="00D451BE"/>
    <w:rsid w:val="00D45257"/>
    <w:rsid w:val="00D45268"/>
    <w:rsid w:val="00D452D6"/>
    <w:rsid w:val="00D45691"/>
    <w:rsid w:val="00D45989"/>
    <w:rsid w:val="00D46040"/>
    <w:rsid w:val="00D466AD"/>
    <w:rsid w:val="00D468FA"/>
    <w:rsid w:val="00D46A53"/>
    <w:rsid w:val="00D46B5E"/>
    <w:rsid w:val="00D46B86"/>
    <w:rsid w:val="00D46CF0"/>
    <w:rsid w:val="00D46CF9"/>
    <w:rsid w:val="00D474DA"/>
    <w:rsid w:val="00D47681"/>
    <w:rsid w:val="00D476EB"/>
    <w:rsid w:val="00D47740"/>
    <w:rsid w:val="00D4781F"/>
    <w:rsid w:val="00D47A0B"/>
    <w:rsid w:val="00D47CE9"/>
    <w:rsid w:val="00D47F24"/>
    <w:rsid w:val="00D50100"/>
    <w:rsid w:val="00D5014D"/>
    <w:rsid w:val="00D50229"/>
    <w:rsid w:val="00D5039F"/>
    <w:rsid w:val="00D503AC"/>
    <w:rsid w:val="00D50786"/>
    <w:rsid w:val="00D508BE"/>
    <w:rsid w:val="00D50A0B"/>
    <w:rsid w:val="00D50A14"/>
    <w:rsid w:val="00D50A42"/>
    <w:rsid w:val="00D5104F"/>
    <w:rsid w:val="00D5117C"/>
    <w:rsid w:val="00D51209"/>
    <w:rsid w:val="00D51987"/>
    <w:rsid w:val="00D51B14"/>
    <w:rsid w:val="00D51CFD"/>
    <w:rsid w:val="00D51DC4"/>
    <w:rsid w:val="00D51F12"/>
    <w:rsid w:val="00D51FAD"/>
    <w:rsid w:val="00D520E1"/>
    <w:rsid w:val="00D52175"/>
    <w:rsid w:val="00D521E1"/>
    <w:rsid w:val="00D52559"/>
    <w:rsid w:val="00D5266F"/>
    <w:rsid w:val="00D5288A"/>
    <w:rsid w:val="00D52A83"/>
    <w:rsid w:val="00D52B19"/>
    <w:rsid w:val="00D52C2A"/>
    <w:rsid w:val="00D52D20"/>
    <w:rsid w:val="00D52E78"/>
    <w:rsid w:val="00D52EDC"/>
    <w:rsid w:val="00D53481"/>
    <w:rsid w:val="00D534A5"/>
    <w:rsid w:val="00D538CE"/>
    <w:rsid w:val="00D53BCE"/>
    <w:rsid w:val="00D54238"/>
    <w:rsid w:val="00D5429A"/>
    <w:rsid w:val="00D5458A"/>
    <w:rsid w:val="00D545DF"/>
    <w:rsid w:val="00D54862"/>
    <w:rsid w:val="00D54969"/>
    <w:rsid w:val="00D54A9A"/>
    <w:rsid w:val="00D54EB8"/>
    <w:rsid w:val="00D551B6"/>
    <w:rsid w:val="00D55457"/>
    <w:rsid w:val="00D55707"/>
    <w:rsid w:val="00D5579D"/>
    <w:rsid w:val="00D55891"/>
    <w:rsid w:val="00D55B0F"/>
    <w:rsid w:val="00D55F63"/>
    <w:rsid w:val="00D56000"/>
    <w:rsid w:val="00D56270"/>
    <w:rsid w:val="00D56512"/>
    <w:rsid w:val="00D56513"/>
    <w:rsid w:val="00D5667B"/>
    <w:rsid w:val="00D569A6"/>
    <w:rsid w:val="00D56F95"/>
    <w:rsid w:val="00D57689"/>
    <w:rsid w:val="00D578F4"/>
    <w:rsid w:val="00D57F8F"/>
    <w:rsid w:val="00D6007C"/>
    <w:rsid w:val="00D601AD"/>
    <w:rsid w:val="00D601F2"/>
    <w:rsid w:val="00D60759"/>
    <w:rsid w:val="00D60846"/>
    <w:rsid w:val="00D6085E"/>
    <w:rsid w:val="00D60A0C"/>
    <w:rsid w:val="00D60A78"/>
    <w:rsid w:val="00D60A9D"/>
    <w:rsid w:val="00D60AA6"/>
    <w:rsid w:val="00D60B93"/>
    <w:rsid w:val="00D60CD4"/>
    <w:rsid w:val="00D613FD"/>
    <w:rsid w:val="00D61532"/>
    <w:rsid w:val="00D61891"/>
    <w:rsid w:val="00D618C3"/>
    <w:rsid w:val="00D619BC"/>
    <w:rsid w:val="00D61BDE"/>
    <w:rsid w:val="00D6207C"/>
    <w:rsid w:val="00D621EB"/>
    <w:rsid w:val="00D62870"/>
    <w:rsid w:val="00D628BA"/>
    <w:rsid w:val="00D62D84"/>
    <w:rsid w:val="00D62E44"/>
    <w:rsid w:val="00D62EEE"/>
    <w:rsid w:val="00D63005"/>
    <w:rsid w:val="00D632BC"/>
    <w:rsid w:val="00D636CA"/>
    <w:rsid w:val="00D63BAA"/>
    <w:rsid w:val="00D63E93"/>
    <w:rsid w:val="00D64425"/>
    <w:rsid w:val="00D644FE"/>
    <w:rsid w:val="00D64987"/>
    <w:rsid w:val="00D64B5A"/>
    <w:rsid w:val="00D64B86"/>
    <w:rsid w:val="00D65256"/>
    <w:rsid w:val="00D65367"/>
    <w:rsid w:val="00D655F8"/>
    <w:rsid w:val="00D6576C"/>
    <w:rsid w:val="00D65982"/>
    <w:rsid w:val="00D65DD4"/>
    <w:rsid w:val="00D65DF9"/>
    <w:rsid w:val="00D65E2D"/>
    <w:rsid w:val="00D661A0"/>
    <w:rsid w:val="00D66403"/>
    <w:rsid w:val="00D666BA"/>
    <w:rsid w:val="00D66993"/>
    <w:rsid w:val="00D66C10"/>
    <w:rsid w:val="00D66EC6"/>
    <w:rsid w:val="00D66F39"/>
    <w:rsid w:val="00D67007"/>
    <w:rsid w:val="00D67113"/>
    <w:rsid w:val="00D67266"/>
    <w:rsid w:val="00D67444"/>
    <w:rsid w:val="00D675B3"/>
    <w:rsid w:val="00D675CB"/>
    <w:rsid w:val="00D67600"/>
    <w:rsid w:val="00D677B7"/>
    <w:rsid w:val="00D6786E"/>
    <w:rsid w:val="00D6789D"/>
    <w:rsid w:val="00D67952"/>
    <w:rsid w:val="00D67D6C"/>
    <w:rsid w:val="00D67D8C"/>
    <w:rsid w:val="00D67DA5"/>
    <w:rsid w:val="00D700A5"/>
    <w:rsid w:val="00D701EA"/>
    <w:rsid w:val="00D70247"/>
    <w:rsid w:val="00D704DB"/>
    <w:rsid w:val="00D70CDB"/>
    <w:rsid w:val="00D70CF2"/>
    <w:rsid w:val="00D7128A"/>
    <w:rsid w:val="00D71338"/>
    <w:rsid w:val="00D71A53"/>
    <w:rsid w:val="00D71AC1"/>
    <w:rsid w:val="00D71DE5"/>
    <w:rsid w:val="00D722D6"/>
    <w:rsid w:val="00D7243E"/>
    <w:rsid w:val="00D72701"/>
    <w:rsid w:val="00D727B0"/>
    <w:rsid w:val="00D72C15"/>
    <w:rsid w:val="00D72E09"/>
    <w:rsid w:val="00D72E44"/>
    <w:rsid w:val="00D72EBC"/>
    <w:rsid w:val="00D732E9"/>
    <w:rsid w:val="00D73339"/>
    <w:rsid w:val="00D735A8"/>
    <w:rsid w:val="00D73760"/>
    <w:rsid w:val="00D73B40"/>
    <w:rsid w:val="00D73B93"/>
    <w:rsid w:val="00D73EE4"/>
    <w:rsid w:val="00D7404A"/>
    <w:rsid w:val="00D74506"/>
    <w:rsid w:val="00D74601"/>
    <w:rsid w:val="00D74609"/>
    <w:rsid w:val="00D746BD"/>
    <w:rsid w:val="00D74838"/>
    <w:rsid w:val="00D74F63"/>
    <w:rsid w:val="00D752D2"/>
    <w:rsid w:val="00D75468"/>
    <w:rsid w:val="00D75620"/>
    <w:rsid w:val="00D75826"/>
    <w:rsid w:val="00D75A87"/>
    <w:rsid w:val="00D75D90"/>
    <w:rsid w:val="00D75E8E"/>
    <w:rsid w:val="00D75F97"/>
    <w:rsid w:val="00D760F8"/>
    <w:rsid w:val="00D7640A"/>
    <w:rsid w:val="00D764B8"/>
    <w:rsid w:val="00D76977"/>
    <w:rsid w:val="00D769AA"/>
    <w:rsid w:val="00D76C0D"/>
    <w:rsid w:val="00D76C1F"/>
    <w:rsid w:val="00D76C8D"/>
    <w:rsid w:val="00D76CC3"/>
    <w:rsid w:val="00D76D69"/>
    <w:rsid w:val="00D76FFA"/>
    <w:rsid w:val="00D770CD"/>
    <w:rsid w:val="00D7733B"/>
    <w:rsid w:val="00D773E4"/>
    <w:rsid w:val="00D773F9"/>
    <w:rsid w:val="00D77603"/>
    <w:rsid w:val="00D7766B"/>
    <w:rsid w:val="00D77DA3"/>
    <w:rsid w:val="00D802C7"/>
    <w:rsid w:val="00D803E2"/>
    <w:rsid w:val="00D8053F"/>
    <w:rsid w:val="00D805E4"/>
    <w:rsid w:val="00D8076E"/>
    <w:rsid w:val="00D80F83"/>
    <w:rsid w:val="00D8109D"/>
    <w:rsid w:val="00D811CC"/>
    <w:rsid w:val="00D814FE"/>
    <w:rsid w:val="00D81572"/>
    <w:rsid w:val="00D8184A"/>
    <w:rsid w:val="00D81A56"/>
    <w:rsid w:val="00D81B67"/>
    <w:rsid w:val="00D82229"/>
    <w:rsid w:val="00D82760"/>
    <w:rsid w:val="00D82782"/>
    <w:rsid w:val="00D8298D"/>
    <w:rsid w:val="00D829C7"/>
    <w:rsid w:val="00D82B9A"/>
    <w:rsid w:val="00D82D2C"/>
    <w:rsid w:val="00D830E7"/>
    <w:rsid w:val="00D8346E"/>
    <w:rsid w:val="00D83589"/>
    <w:rsid w:val="00D835D4"/>
    <w:rsid w:val="00D83AE9"/>
    <w:rsid w:val="00D83C16"/>
    <w:rsid w:val="00D83C9F"/>
    <w:rsid w:val="00D83D82"/>
    <w:rsid w:val="00D83FDA"/>
    <w:rsid w:val="00D8415E"/>
    <w:rsid w:val="00D843A8"/>
    <w:rsid w:val="00D844C6"/>
    <w:rsid w:val="00D8497D"/>
    <w:rsid w:val="00D84A4C"/>
    <w:rsid w:val="00D84CD5"/>
    <w:rsid w:val="00D84FF4"/>
    <w:rsid w:val="00D853BF"/>
    <w:rsid w:val="00D85412"/>
    <w:rsid w:val="00D85629"/>
    <w:rsid w:val="00D85809"/>
    <w:rsid w:val="00D85840"/>
    <w:rsid w:val="00D85955"/>
    <w:rsid w:val="00D85C32"/>
    <w:rsid w:val="00D85D37"/>
    <w:rsid w:val="00D85F69"/>
    <w:rsid w:val="00D860AE"/>
    <w:rsid w:val="00D86104"/>
    <w:rsid w:val="00D867C4"/>
    <w:rsid w:val="00D86852"/>
    <w:rsid w:val="00D86922"/>
    <w:rsid w:val="00D86AD0"/>
    <w:rsid w:val="00D86B24"/>
    <w:rsid w:val="00D86B9E"/>
    <w:rsid w:val="00D86EAC"/>
    <w:rsid w:val="00D86F25"/>
    <w:rsid w:val="00D86F5D"/>
    <w:rsid w:val="00D8704D"/>
    <w:rsid w:val="00D873B1"/>
    <w:rsid w:val="00D87588"/>
    <w:rsid w:val="00D87668"/>
    <w:rsid w:val="00D876E1"/>
    <w:rsid w:val="00D8776F"/>
    <w:rsid w:val="00D87BA6"/>
    <w:rsid w:val="00D87D9B"/>
    <w:rsid w:val="00D87FBA"/>
    <w:rsid w:val="00D9005D"/>
    <w:rsid w:val="00D90322"/>
    <w:rsid w:val="00D90B04"/>
    <w:rsid w:val="00D90B7D"/>
    <w:rsid w:val="00D90FA0"/>
    <w:rsid w:val="00D9126B"/>
    <w:rsid w:val="00D9128B"/>
    <w:rsid w:val="00D91394"/>
    <w:rsid w:val="00D91601"/>
    <w:rsid w:val="00D918E0"/>
    <w:rsid w:val="00D918F5"/>
    <w:rsid w:val="00D91913"/>
    <w:rsid w:val="00D91AD6"/>
    <w:rsid w:val="00D91B4B"/>
    <w:rsid w:val="00D91BE1"/>
    <w:rsid w:val="00D91C6E"/>
    <w:rsid w:val="00D91EEF"/>
    <w:rsid w:val="00D92073"/>
    <w:rsid w:val="00D920C6"/>
    <w:rsid w:val="00D92286"/>
    <w:rsid w:val="00D9229E"/>
    <w:rsid w:val="00D922BA"/>
    <w:rsid w:val="00D92471"/>
    <w:rsid w:val="00D9252D"/>
    <w:rsid w:val="00D92716"/>
    <w:rsid w:val="00D9275F"/>
    <w:rsid w:val="00D927F6"/>
    <w:rsid w:val="00D92C16"/>
    <w:rsid w:val="00D92C21"/>
    <w:rsid w:val="00D92D34"/>
    <w:rsid w:val="00D92DEF"/>
    <w:rsid w:val="00D92F1C"/>
    <w:rsid w:val="00D9307A"/>
    <w:rsid w:val="00D93083"/>
    <w:rsid w:val="00D9363F"/>
    <w:rsid w:val="00D93707"/>
    <w:rsid w:val="00D93856"/>
    <w:rsid w:val="00D939B3"/>
    <w:rsid w:val="00D93A13"/>
    <w:rsid w:val="00D93C89"/>
    <w:rsid w:val="00D93EB6"/>
    <w:rsid w:val="00D93F6F"/>
    <w:rsid w:val="00D93F71"/>
    <w:rsid w:val="00D9434F"/>
    <w:rsid w:val="00D94411"/>
    <w:rsid w:val="00D944F9"/>
    <w:rsid w:val="00D946E1"/>
    <w:rsid w:val="00D94764"/>
    <w:rsid w:val="00D9478B"/>
    <w:rsid w:val="00D949C4"/>
    <w:rsid w:val="00D94DB0"/>
    <w:rsid w:val="00D94E55"/>
    <w:rsid w:val="00D95797"/>
    <w:rsid w:val="00D957B5"/>
    <w:rsid w:val="00D95861"/>
    <w:rsid w:val="00D958AD"/>
    <w:rsid w:val="00D95A11"/>
    <w:rsid w:val="00D961AF"/>
    <w:rsid w:val="00D9640B"/>
    <w:rsid w:val="00D9649A"/>
    <w:rsid w:val="00D96613"/>
    <w:rsid w:val="00D966A2"/>
    <w:rsid w:val="00D969E8"/>
    <w:rsid w:val="00D96F89"/>
    <w:rsid w:val="00D9707E"/>
    <w:rsid w:val="00D971AF"/>
    <w:rsid w:val="00D9735F"/>
    <w:rsid w:val="00D9747E"/>
    <w:rsid w:val="00D9750B"/>
    <w:rsid w:val="00D97622"/>
    <w:rsid w:val="00D97624"/>
    <w:rsid w:val="00D97B96"/>
    <w:rsid w:val="00D97D46"/>
    <w:rsid w:val="00D97DAC"/>
    <w:rsid w:val="00D97EE8"/>
    <w:rsid w:val="00DA0293"/>
    <w:rsid w:val="00DA02D6"/>
    <w:rsid w:val="00DA0427"/>
    <w:rsid w:val="00DA07B7"/>
    <w:rsid w:val="00DA09B7"/>
    <w:rsid w:val="00DA0D55"/>
    <w:rsid w:val="00DA0D7B"/>
    <w:rsid w:val="00DA0FC8"/>
    <w:rsid w:val="00DA12E1"/>
    <w:rsid w:val="00DA1330"/>
    <w:rsid w:val="00DA1582"/>
    <w:rsid w:val="00DA15B2"/>
    <w:rsid w:val="00DA15DE"/>
    <w:rsid w:val="00DA18C5"/>
    <w:rsid w:val="00DA1A73"/>
    <w:rsid w:val="00DA1AE6"/>
    <w:rsid w:val="00DA1B28"/>
    <w:rsid w:val="00DA1C53"/>
    <w:rsid w:val="00DA1C8B"/>
    <w:rsid w:val="00DA1E0D"/>
    <w:rsid w:val="00DA1EA3"/>
    <w:rsid w:val="00DA25DB"/>
    <w:rsid w:val="00DA2658"/>
    <w:rsid w:val="00DA272B"/>
    <w:rsid w:val="00DA286C"/>
    <w:rsid w:val="00DA28C4"/>
    <w:rsid w:val="00DA2CA7"/>
    <w:rsid w:val="00DA2FBB"/>
    <w:rsid w:val="00DA3743"/>
    <w:rsid w:val="00DA3FEC"/>
    <w:rsid w:val="00DA400C"/>
    <w:rsid w:val="00DA4129"/>
    <w:rsid w:val="00DA4193"/>
    <w:rsid w:val="00DA41FF"/>
    <w:rsid w:val="00DA44DE"/>
    <w:rsid w:val="00DA47A6"/>
    <w:rsid w:val="00DA47F2"/>
    <w:rsid w:val="00DA4978"/>
    <w:rsid w:val="00DA4AD7"/>
    <w:rsid w:val="00DA4B14"/>
    <w:rsid w:val="00DA4D09"/>
    <w:rsid w:val="00DA4D67"/>
    <w:rsid w:val="00DA5103"/>
    <w:rsid w:val="00DA5283"/>
    <w:rsid w:val="00DA540F"/>
    <w:rsid w:val="00DA54E6"/>
    <w:rsid w:val="00DA5647"/>
    <w:rsid w:val="00DA582C"/>
    <w:rsid w:val="00DA5B2B"/>
    <w:rsid w:val="00DA5BBF"/>
    <w:rsid w:val="00DA5CA4"/>
    <w:rsid w:val="00DA5D4B"/>
    <w:rsid w:val="00DA5E83"/>
    <w:rsid w:val="00DA613C"/>
    <w:rsid w:val="00DA6588"/>
    <w:rsid w:val="00DA65B8"/>
    <w:rsid w:val="00DA6997"/>
    <w:rsid w:val="00DA6EBD"/>
    <w:rsid w:val="00DA7375"/>
    <w:rsid w:val="00DA75B6"/>
    <w:rsid w:val="00DA762D"/>
    <w:rsid w:val="00DA7734"/>
    <w:rsid w:val="00DA77B1"/>
    <w:rsid w:val="00DA787C"/>
    <w:rsid w:val="00DA7B04"/>
    <w:rsid w:val="00DA7BDE"/>
    <w:rsid w:val="00DB009C"/>
    <w:rsid w:val="00DB01A2"/>
    <w:rsid w:val="00DB0267"/>
    <w:rsid w:val="00DB02CF"/>
    <w:rsid w:val="00DB06BA"/>
    <w:rsid w:val="00DB0DCF"/>
    <w:rsid w:val="00DB108A"/>
    <w:rsid w:val="00DB1164"/>
    <w:rsid w:val="00DB11E2"/>
    <w:rsid w:val="00DB11FF"/>
    <w:rsid w:val="00DB149F"/>
    <w:rsid w:val="00DB1952"/>
    <w:rsid w:val="00DB1D92"/>
    <w:rsid w:val="00DB212F"/>
    <w:rsid w:val="00DB22D5"/>
    <w:rsid w:val="00DB2512"/>
    <w:rsid w:val="00DB2569"/>
    <w:rsid w:val="00DB2691"/>
    <w:rsid w:val="00DB26A7"/>
    <w:rsid w:val="00DB27CA"/>
    <w:rsid w:val="00DB28D7"/>
    <w:rsid w:val="00DB2BC4"/>
    <w:rsid w:val="00DB2BF1"/>
    <w:rsid w:val="00DB34A7"/>
    <w:rsid w:val="00DB377B"/>
    <w:rsid w:val="00DB37C8"/>
    <w:rsid w:val="00DB3A67"/>
    <w:rsid w:val="00DB3B40"/>
    <w:rsid w:val="00DB3B47"/>
    <w:rsid w:val="00DB3CCE"/>
    <w:rsid w:val="00DB429E"/>
    <w:rsid w:val="00DB44B1"/>
    <w:rsid w:val="00DB4644"/>
    <w:rsid w:val="00DB46AB"/>
    <w:rsid w:val="00DB47FF"/>
    <w:rsid w:val="00DB4860"/>
    <w:rsid w:val="00DB4BFA"/>
    <w:rsid w:val="00DB4F45"/>
    <w:rsid w:val="00DB4FCF"/>
    <w:rsid w:val="00DB5442"/>
    <w:rsid w:val="00DB54D7"/>
    <w:rsid w:val="00DB594B"/>
    <w:rsid w:val="00DB5BC3"/>
    <w:rsid w:val="00DB5BE7"/>
    <w:rsid w:val="00DB5D04"/>
    <w:rsid w:val="00DB5E64"/>
    <w:rsid w:val="00DB5F7E"/>
    <w:rsid w:val="00DB5FDC"/>
    <w:rsid w:val="00DB5FE2"/>
    <w:rsid w:val="00DB62A6"/>
    <w:rsid w:val="00DB6570"/>
    <w:rsid w:val="00DB6711"/>
    <w:rsid w:val="00DB67DF"/>
    <w:rsid w:val="00DB6849"/>
    <w:rsid w:val="00DB6D23"/>
    <w:rsid w:val="00DB6D97"/>
    <w:rsid w:val="00DB6E0E"/>
    <w:rsid w:val="00DB76E6"/>
    <w:rsid w:val="00DB7763"/>
    <w:rsid w:val="00DB7A87"/>
    <w:rsid w:val="00DB7B23"/>
    <w:rsid w:val="00DB7C21"/>
    <w:rsid w:val="00DB7C3A"/>
    <w:rsid w:val="00DB7CBB"/>
    <w:rsid w:val="00DC0119"/>
    <w:rsid w:val="00DC0342"/>
    <w:rsid w:val="00DC048C"/>
    <w:rsid w:val="00DC04E4"/>
    <w:rsid w:val="00DC0655"/>
    <w:rsid w:val="00DC06BB"/>
    <w:rsid w:val="00DC06D5"/>
    <w:rsid w:val="00DC09EA"/>
    <w:rsid w:val="00DC1224"/>
    <w:rsid w:val="00DC125D"/>
    <w:rsid w:val="00DC1390"/>
    <w:rsid w:val="00DC146E"/>
    <w:rsid w:val="00DC16F8"/>
    <w:rsid w:val="00DC17DD"/>
    <w:rsid w:val="00DC1935"/>
    <w:rsid w:val="00DC2099"/>
    <w:rsid w:val="00DC211C"/>
    <w:rsid w:val="00DC2216"/>
    <w:rsid w:val="00DC23C1"/>
    <w:rsid w:val="00DC252B"/>
    <w:rsid w:val="00DC27FB"/>
    <w:rsid w:val="00DC2B0E"/>
    <w:rsid w:val="00DC2B32"/>
    <w:rsid w:val="00DC3294"/>
    <w:rsid w:val="00DC35C6"/>
    <w:rsid w:val="00DC3741"/>
    <w:rsid w:val="00DC379F"/>
    <w:rsid w:val="00DC38B6"/>
    <w:rsid w:val="00DC38D5"/>
    <w:rsid w:val="00DC3968"/>
    <w:rsid w:val="00DC3A15"/>
    <w:rsid w:val="00DC4089"/>
    <w:rsid w:val="00DC41B4"/>
    <w:rsid w:val="00DC43B1"/>
    <w:rsid w:val="00DC441A"/>
    <w:rsid w:val="00DC4439"/>
    <w:rsid w:val="00DC469F"/>
    <w:rsid w:val="00DC4754"/>
    <w:rsid w:val="00DC4A6E"/>
    <w:rsid w:val="00DC4B58"/>
    <w:rsid w:val="00DC4CA8"/>
    <w:rsid w:val="00DC4FF9"/>
    <w:rsid w:val="00DC5260"/>
    <w:rsid w:val="00DC5516"/>
    <w:rsid w:val="00DC55EC"/>
    <w:rsid w:val="00DC5AF2"/>
    <w:rsid w:val="00DC5D62"/>
    <w:rsid w:val="00DC600A"/>
    <w:rsid w:val="00DC646A"/>
    <w:rsid w:val="00DC6771"/>
    <w:rsid w:val="00DC68D8"/>
    <w:rsid w:val="00DC6BEE"/>
    <w:rsid w:val="00DC6DC4"/>
    <w:rsid w:val="00DC71FE"/>
    <w:rsid w:val="00DC7402"/>
    <w:rsid w:val="00DC7451"/>
    <w:rsid w:val="00DC75BC"/>
    <w:rsid w:val="00DC77D6"/>
    <w:rsid w:val="00DC7A12"/>
    <w:rsid w:val="00DC7C0F"/>
    <w:rsid w:val="00DC7C3B"/>
    <w:rsid w:val="00DC7CBD"/>
    <w:rsid w:val="00DC7E9D"/>
    <w:rsid w:val="00DD02AB"/>
    <w:rsid w:val="00DD02BA"/>
    <w:rsid w:val="00DD033A"/>
    <w:rsid w:val="00DD050E"/>
    <w:rsid w:val="00DD07BD"/>
    <w:rsid w:val="00DD088E"/>
    <w:rsid w:val="00DD0D80"/>
    <w:rsid w:val="00DD0F14"/>
    <w:rsid w:val="00DD104C"/>
    <w:rsid w:val="00DD10C1"/>
    <w:rsid w:val="00DD12DE"/>
    <w:rsid w:val="00DD1596"/>
    <w:rsid w:val="00DD1645"/>
    <w:rsid w:val="00DD1A00"/>
    <w:rsid w:val="00DD1A02"/>
    <w:rsid w:val="00DD1D3E"/>
    <w:rsid w:val="00DD1D98"/>
    <w:rsid w:val="00DD226B"/>
    <w:rsid w:val="00DD2352"/>
    <w:rsid w:val="00DD24BC"/>
    <w:rsid w:val="00DD25D3"/>
    <w:rsid w:val="00DD26BB"/>
    <w:rsid w:val="00DD282D"/>
    <w:rsid w:val="00DD2A49"/>
    <w:rsid w:val="00DD2B19"/>
    <w:rsid w:val="00DD2CF1"/>
    <w:rsid w:val="00DD31C8"/>
    <w:rsid w:val="00DD32CF"/>
    <w:rsid w:val="00DD3669"/>
    <w:rsid w:val="00DD3797"/>
    <w:rsid w:val="00DD39CB"/>
    <w:rsid w:val="00DD3BED"/>
    <w:rsid w:val="00DD3CC9"/>
    <w:rsid w:val="00DD428D"/>
    <w:rsid w:val="00DD430A"/>
    <w:rsid w:val="00DD4325"/>
    <w:rsid w:val="00DD442B"/>
    <w:rsid w:val="00DD442C"/>
    <w:rsid w:val="00DD4B23"/>
    <w:rsid w:val="00DD4B25"/>
    <w:rsid w:val="00DD4BF4"/>
    <w:rsid w:val="00DD53F1"/>
    <w:rsid w:val="00DD5679"/>
    <w:rsid w:val="00DD56B7"/>
    <w:rsid w:val="00DD57DB"/>
    <w:rsid w:val="00DD5895"/>
    <w:rsid w:val="00DD5D79"/>
    <w:rsid w:val="00DD5D81"/>
    <w:rsid w:val="00DD5E12"/>
    <w:rsid w:val="00DD60E6"/>
    <w:rsid w:val="00DD6110"/>
    <w:rsid w:val="00DD6277"/>
    <w:rsid w:val="00DD6295"/>
    <w:rsid w:val="00DD6315"/>
    <w:rsid w:val="00DD6326"/>
    <w:rsid w:val="00DD6339"/>
    <w:rsid w:val="00DD6350"/>
    <w:rsid w:val="00DD6379"/>
    <w:rsid w:val="00DD6530"/>
    <w:rsid w:val="00DD6616"/>
    <w:rsid w:val="00DD67D7"/>
    <w:rsid w:val="00DD6880"/>
    <w:rsid w:val="00DD6BEB"/>
    <w:rsid w:val="00DD6C90"/>
    <w:rsid w:val="00DD6DEC"/>
    <w:rsid w:val="00DD7679"/>
    <w:rsid w:val="00DD7716"/>
    <w:rsid w:val="00DD7974"/>
    <w:rsid w:val="00DD7A81"/>
    <w:rsid w:val="00DD7A98"/>
    <w:rsid w:val="00DD7BB5"/>
    <w:rsid w:val="00DD7DDE"/>
    <w:rsid w:val="00DD7E2E"/>
    <w:rsid w:val="00DE04A0"/>
    <w:rsid w:val="00DE05BC"/>
    <w:rsid w:val="00DE0662"/>
    <w:rsid w:val="00DE0A1B"/>
    <w:rsid w:val="00DE0AA2"/>
    <w:rsid w:val="00DE0AE7"/>
    <w:rsid w:val="00DE0BD3"/>
    <w:rsid w:val="00DE1116"/>
    <w:rsid w:val="00DE112C"/>
    <w:rsid w:val="00DE1260"/>
    <w:rsid w:val="00DE128A"/>
    <w:rsid w:val="00DE1394"/>
    <w:rsid w:val="00DE14C9"/>
    <w:rsid w:val="00DE1D0C"/>
    <w:rsid w:val="00DE215B"/>
    <w:rsid w:val="00DE2164"/>
    <w:rsid w:val="00DE264E"/>
    <w:rsid w:val="00DE2920"/>
    <w:rsid w:val="00DE2B75"/>
    <w:rsid w:val="00DE2D86"/>
    <w:rsid w:val="00DE2F5D"/>
    <w:rsid w:val="00DE3432"/>
    <w:rsid w:val="00DE35FC"/>
    <w:rsid w:val="00DE38E6"/>
    <w:rsid w:val="00DE3935"/>
    <w:rsid w:val="00DE41EB"/>
    <w:rsid w:val="00DE4533"/>
    <w:rsid w:val="00DE464A"/>
    <w:rsid w:val="00DE48A4"/>
    <w:rsid w:val="00DE4B4D"/>
    <w:rsid w:val="00DE4BC6"/>
    <w:rsid w:val="00DE518E"/>
    <w:rsid w:val="00DE53FA"/>
    <w:rsid w:val="00DE5915"/>
    <w:rsid w:val="00DE5B3F"/>
    <w:rsid w:val="00DE5BA4"/>
    <w:rsid w:val="00DE5C4B"/>
    <w:rsid w:val="00DE6050"/>
    <w:rsid w:val="00DE6052"/>
    <w:rsid w:val="00DE6756"/>
    <w:rsid w:val="00DE6856"/>
    <w:rsid w:val="00DE6B28"/>
    <w:rsid w:val="00DE71D5"/>
    <w:rsid w:val="00DE7312"/>
    <w:rsid w:val="00DE732B"/>
    <w:rsid w:val="00DE7371"/>
    <w:rsid w:val="00DE739A"/>
    <w:rsid w:val="00DE74CF"/>
    <w:rsid w:val="00DE78F9"/>
    <w:rsid w:val="00DE7BB5"/>
    <w:rsid w:val="00DE7E36"/>
    <w:rsid w:val="00DF015B"/>
    <w:rsid w:val="00DF0184"/>
    <w:rsid w:val="00DF020E"/>
    <w:rsid w:val="00DF0301"/>
    <w:rsid w:val="00DF06A8"/>
    <w:rsid w:val="00DF07C4"/>
    <w:rsid w:val="00DF0F88"/>
    <w:rsid w:val="00DF105F"/>
    <w:rsid w:val="00DF140E"/>
    <w:rsid w:val="00DF178F"/>
    <w:rsid w:val="00DF18A5"/>
    <w:rsid w:val="00DF18F6"/>
    <w:rsid w:val="00DF1BC4"/>
    <w:rsid w:val="00DF1EEF"/>
    <w:rsid w:val="00DF1F82"/>
    <w:rsid w:val="00DF2752"/>
    <w:rsid w:val="00DF2793"/>
    <w:rsid w:val="00DF2808"/>
    <w:rsid w:val="00DF2852"/>
    <w:rsid w:val="00DF2880"/>
    <w:rsid w:val="00DF2CDE"/>
    <w:rsid w:val="00DF2D66"/>
    <w:rsid w:val="00DF2E50"/>
    <w:rsid w:val="00DF2F87"/>
    <w:rsid w:val="00DF305A"/>
    <w:rsid w:val="00DF313B"/>
    <w:rsid w:val="00DF3557"/>
    <w:rsid w:val="00DF366F"/>
    <w:rsid w:val="00DF369F"/>
    <w:rsid w:val="00DF3939"/>
    <w:rsid w:val="00DF3D4E"/>
    <w:rsid w:val="00DF446C"/>
    <w:rsid w:val="00DF4509"/>
    <w:rsid w:val="00DF4874"/>
    <w:rsid w:val="00DF4B87"/>
    <w:rsid w:val="00DF4FFF"/>
    <w:rsid w:val="00DF5093"/>
    <w:rsid w:val="00DF5204"/>
    <w:rsid w:val="00DF568A"/>
    <w:rsid w:val="00DF5805"/>
    <w:rsid w:val="00DF5960"/>
    <w:rsid w:val="00DF5E6E"/>
    <w:rsid w:val="00DF5EC1"/>
    <w:rsid w:val="00DF6005"/>
    <w:rsid w:val="00DF629A"/>
    <w:rsid w:val="00DF62CF"/>
    <w:rsid w:val="00DF6355"/>
    <w:rsid w:val="00DF6947"/>
    <w:rsid w:val="00DF78D8"/>
    <w:rsid w:val="00DF7AD9"/>
    <w:rsid w:val="00DF7B37"/>
    <w:rsid w:val="00DF7EA0"/>
    <w:rsid w:val="00DF7FBB"/>
    <w:rsid w:val="00DF7FDF"/>
    <w:rsid w:val="00E00060"/>
    <w:rsid w:val="00E002CD"/>
    <w:rsid w:val="00E004AD"/>
    <w:rsid w:val="00E004B7"/>
    <w:rsid w:val="00E00630"/>
    <w:rsid w:val="00E00659"/>
    <w:rsid w:val="00E00754"/>
    <w:rsid w:val="00E00909"/>
    <w:rsid w:val="00E00994"/>
    <w:rsid w:val="00E00AF5"/>
    <w:rsid w:val="00E00E54"/>
    <w:rsid w:val="00E0110F"/>
    <w:rsid w:val="00E01277"/>
    <w:rsid w:val="00E01757"/>
    <w:rsid w:val="00E01AE3"/>
    <w:rsid w:val="00E01B16"/>
    <w:rsid w:val="00E01D71"/>
    <w:rsid w:val="00E0207C"/>
    <w:rsid w:val="00E020DA"/>
    <w:rsid w:val="00E0232B"/>
    <w:rsid w:val="00E024BF"/>
    <w:rsid w:val="00E0295F"/>
    <w:rsid w:val="00E02B84"/>
    <w:rsid w:val="00E02C32"/>
    <w:rsid w:val="00E02DF2"/>
    <w:rsid w:val="00E02DF8"/>
    <w:rsid w:val="00E02E27"/>
    <w:rsid w:val="00E03057"/>
    <w:rsid w:val="00E03145"/>
    <w:rsid w:val="00E03421"/>
    <w:rsid w:val="00E0360C"/>
    <w:rsid w:val="00E03953"/>
    <w:rsid w:val="00E03C97"/>
    <w:rsid w:val="00E03EAF"/>
    <w:rsid w:val="00E03FCC"/>
    <w:rsid w:val="00E03FEB"/>
    <w:rsid w:val="00E04086"/>
    <w:rsid w:val="00E04120"/>
    <w:rsid w:val="00E045EC"/>
    <w:rsid w:val="00E0469E"/>
    <w:rsid w:val="00E04AAE"/>
    <w:rsid w:val="00E05008"/>
    <w:rsid w:val="00E051E9"/>
    <w:rsid w:val="00E054F0"/>
    <w:rsid w:val="00E0554F"/>
    <w:rsid w:val="00E05812"/>
    <w:rsid w:val="00E05955"/>
    <w:rsid w:val="00E0619A"/>
    <w:rsid w:val="00E064AC"/>
    <w:rsid w:val="00E068B3"/>
    <w:rsid w:val="00E06AD4"/>
    <w:rsid w:val="00E06CAA"/>
    <w:rsid w:val="00E07001"/>
    <w:rsid w:val="00E07180"/>
    <w:rsid w:val="00E072DC"/>
    <w:rsid w:val="00E076C8"/>
    <w:rsid w:val="00E076F2"/>
    <w:rsid w:val="00E078BC"/>
    <w:rsid w:val="00E07B58"/>
    <w:rsid w:val="00E07B72"/>
    <w:rsid w:val="00E07D38"/>
    <w:rsid w:val="00E07E4C"/>
    <w:rsid w:val="00E102E2"/>
    <w:rsid w:val="00E1055E"/>
    <w:rsid w:val="00E10700"/>
    <w:rsid w:val="00E10779"/>
    <w:rsid w:val="00E108D7"/>
    <w:rsid w:val="00E10910"/>
    <w:rsid w:val="00E10AB5"/>
    <w:rsid w:val="00E10C79"/>
    <w:rsid w:val="00E10FC4"/>
    <w:rsid w:val="00E1123B"/>
    <w:rsid w:val="00E112E2"/>
    <w:rsid w:val="00E11543"/>
    <w:rsid w:val="00E11601"/>
    <w:rsid w:val="00E11762"/>
    <w:rsid w:val="00E11933"/>
    <w:rsid w:val="00E11D06"/>
    <w:rsid w:val="00E11D30"/>
    <w:rsid w:val="00E11E30"/>
    <w:rsid w:val="00E11F1D"/>
    <w:rsid w:val="00E11F7B"/>
    <w:rsid w:val="00E11FDE"/>
    <w:rsid w:val="00E1218A"/>
    <w:rsid w:val="00E1229B"/>
    <w:rsid w:val="00E1240B"/>
    <w:rsid w:val="00E12557"/>
    <w:rsid w:val="00E1269B"/>
    <w:rsid w:val="00E128F0"/>
    <w:rsid w:val="00E12AE0"/>
    <w:rsid w:val="00E12AFD"/>
    <w:rsid w:val="00E12F9D"/>
    <w:rsid w:val="00E1319E"/>
    <w:rsid w:val="00E131D1"/>
    <w:rsid w:val="00E13468"/>
    <w:rsid w:val="00E1359F"/>
    <w:rsid w:val="00E135E5"/>
    <w:rsid w:val="00E137C0"/>
    <w:rsid w:val="00E138F3"/>
    <w:rsid w:val="00E13A0F"/>
    <w:rsid w:val="00E13ABC"/>
    <w:rsid w:val="00E13AF2"/>
    <w:rsid w:val="00E13B2A"/>
    <w:rsid w:val="00E14003"/>
    <w:rsid w:val="00E14219"/>
    <w:rsid w:val="00E14430"/>
    <w:rsid w:val="00E14450"/>
    <w:rsid w:val="00E145E9"/>
    <w:rsid w:val="00E146B6"/>
    <w:rsid w:val="00E149C0"/>
    <w:rsid w:val="00E14A0A"/>
    <w:rsid w:val="00E14A0B"/>
    <w:rsid w:val="00E14BAB"/>
    <w:rsid w:val="00E14C78"/>
    <w:rsid w:val="00E14DD3"/>
    <w:rsid w:val="00E15086"/>
    <w:rsid w:val="00E15307"/>
    <w:rsid w:val="00E1530F"/>
    <w:rsid w:val="00E1531D"/>
    <w:rsid w:val="00E1539B"/>
    <w:rsid w:val="00E15506"/>
    <w:rsid w:val="00E157DF"/>
    <w:rsid w:val="00E1592F"/>
    <w:rsid w:val="00E159C5"/>
    <w:rsid w:val="00E15A85"/>
    <w:rsid w:val="00E15EA4"/>
    <w:rsid w:val="00E15F32"/>
    <w:rsid w:val="00E15FC5"/>
    <w:rsid w:val="00E1601D"/>
    <w:rsid w:val="00E160B8"/>
    <w:rsid w:val="00E16157"/>
    <w:rsid w:val="00E16630"/>
    <w:rsid w:val="00E168AF"/>
    <w:rsid w:val="00E16D64"/>
    <w:rsid w:val="00E17038"/>
    <w:rsid w:val="00E17061"/>
    <w:rsid w:val="00E170A4"/>
    <w:rsid w:val="00E170C8"/>
    <w:rsid w:val="00E17387"/>
    <w:rsid w:val="00E1749B"/>
    <w:rsid w:val="00E17606"/>
    <w:rsid w:val="00E1790E"/>
    <w:rsid w:val="00E17942"/>
    <w:rsid w:val="00E17A96"/>
    <w:rsid w:val="00E17BD7"/>
    <w:rsid w:val="00E17DC8"/>
    <w:rsid w:val="00E17DF8"/>
    <w:rsid w:val="00E20358"/>
    <w:rsid w:val="00E203E4"/>
    <w:rsid w:val="00E205BF"/>
    <w:rsid w:val="00E20685"/>
    <w:rsid w:val="00E2095F"/>
    <w:rsid w:val="00E20A15"/>
    <w:rsid w:val="00E210C6"/>
    <w:rsid w:val="00E210CE"/>
    <w:rsid w:val="00E211BB"/>
    <w:rsid w:val="00E2134C"/>
    <w:rsid w:val="00E21351"/>
    <w:rsid w:val="00E21549"/>
    <w:rsid w:val="00E2169B"/>
    <w:rsid w:val="00E216AC"/>
    <w:rsid w:val="00E217D3"/>
    <w:rsid w:val="00E222DA"/>
    <w:rsid w:val="00E22367"/>
    <w:rsid w:val="00E2260A"/>
    <w:rsid w:val="00E22618"/>
    <w:rsid w:val="00E22686"/>
    <w:rsid w:val="00E22840"/>
    <w:rsid w:val="00E22B12"/>
    <w:rsid w:val="00E22B91"/>
    <w:rsid w:val="00E22DD5"/>
    <w:rsid w:val="00E22E96"/>
    <w:rsid w:val="00E23743"/>
    <w:rsid w:val="00E23D6B"/>
    <w:rsid w:val="00E23E61"/>
    <w:rsid w:val="00E23E7B"/>
    <w:rsid w:val="00E23F31"/>
    <w:rsid w:val="00E23F93"/>
    <w:rsid w:val="00E24141"/>
    <w:rsid w:val="00E2439C"/>
    <w:rsid w:val="00E24560"/>
    <w:rsid w:val="00E249DF"/>
    <w:rsid w:val="00E24A8E"/>
    <w:rsid w:val="00E24BE2"/>
    <w:rsid w:val="00E24DDC"/>
    <w:rsid w:val="00E24DE9"/>
    <w:rsid w:val="00E25465"/>
    <w:rsid w:val="00E2555A"/>
    <w:rsid w:val="00E2575F"/>
    <w:rsid w:val="00E25837"/>
    <w:rsid w:val="00E25C59"/>
    <w:rsid w:val="00E25C93"/>
    <w:rsid w:val="00E25F01"/>
    <w:rsid w:val="00E260D6"/>
    <w:rsid w:val="00E260F7"/>
    <w:rsid w:val="00E2615C"/>
    <w:rsid w:val="00E26168"/>
    <w:rsid w:val="00E264BA"/>
    <w:rsid w:val="00E266B9"/>
    <w:rsid w:val="00E26948"/>
    <w:rsid w:val="00E26B7B"/>
    <w:rsid w:val="00E26BDF"/>
    <w:rsid w:val="00E26CA7"/>
    <w:rsid w:val="00E26D12"/>
    <w:rsid w:val="00E26E9C"/>
    <w:rsid w:val="00E27189"/>
    <w:rsid w:val="00E271C5"/>
    <w:rsid w:val="00E27394"/>
    <w:rsid w:val="00E274A5"/>
    <w:rsid w:val="00E276A0"/>
    <w:rsid w:val="00E27B85"/>
    <w:rsid w:val="00E27C61"/>
    <w:rsid w:val="00E27DAC"/>
    <w:rsid w:val="00E30134"/>
    <w:rsid w:val="00E3021A"/>
    <w:rsid w:val="00E3022B"/>
    <w:rsid w:val="00E3025A"/>
    <w:rsid w:val="00E30874"/>
    <w:rsid w:val="00E308B2"/>
    <w:rsid w:val="00E309D0"/>
    <w:rsid w:val="00E30BED"/>
    <w:rsid w:val="00E31041"/>
    <w:rsid w:val="00E31749"/>
    <w:rsid w:val="00E31948"/>
    <w:rsid w:val="00E31DBC"/>
    <w:rsid w:val="00E31E95"/>
    <w:rsid w:val="00E32173"/>
    <w:rsid w:val="00E32383"/>
    <w:rsid w:val="00E32404"/>
    <w:rsid w:val="00E324DE"/>
    <w:rsid w:val="00E3274F"/>
    <w:rsid w:val="00E32802"/>
    <w:rsid w:val="00E328EA"/>
    <w:rsid w:val="00E329C3"/>
    <w:rsid w:val="00E32A3A"/>
    <w:rsid w:val="00E32E01"/>
    <w:rsid w:val="00E32EE8"/>
    <w:rsid w:val="00E33043"/>
    <w:rsid w:val="00E3305E"/>
    <w:rsid w:val="00E330F6"/>
    <w:rsid w:val="00E33255"/>
    <w:rsid w:val="00E33457"/>
    <w:rsid w:val="00E3356E"/>
    <w:rsid w:val="00E33BA7"/>
    <w:rsid w:val="00E33C21"/>
    <w:rsid w:val="00E33D5A"/>
    <w:rsid w:val="00E33E48"/>
    <w:rsid w:val="00E33E8A"/>
    <w:rsid w:val="00E33F2C"/>
    <w:rsid w:val="00E340FF"/>
    <w:rsid w:val="00E343A3"/>
    <w:rsid w:val="00E34428"/>
    <w:rsid w:val="00E3463B"/>
    <w:rsid w:val="00E3465C"/>
    <w:rsid w:val="00E347F3"/>
    <w:rsid w:val="00E34998"/>
    <w:rsid w:val="00E34CF3"/>
    <w:rsid w:val="00E34D2B"/>
    <w:rsid w:val="00E34EE0"/>
    <w:rsid w:val="00E34FCA"/>
    <w:rsid w:val="00E34FD9"/>
    <w:rsid w:val="00E350E9"/>
    <w:rsid w:val="00E350F9"/>
    <w:rsid w:val="00E35223"/>
    <w:rsid w:val="00E35451"/>
    <w:rsid w:val="00E35554"/>
    <w:rsid w:val="00E35771"/>
    <w:rsid w:val="00E358ED"/>
    <w:rsid w:val="00E35915"/>
    <w:rsid w:val="00E35AB1"/>
    <w:rsid w:val="00E3624E"/>
    <w:rsid w:val="00E369D4"/>
    <w:rsid w:val="00E36A11"/>
    <w:rsid w:val="00E36A2F"/>
    <w:rsid w:val="00E36C88"/>
    <w:rsid w:val="00E36D7A"/>
    <w:rsid w:val="00E3728E"/>
    <w:rsid w:val="00E3729F"/>
    <w:rsid w:val="00E37426"/>
    <w:rsid w:val="00E376B2"/>
    <w:rsid w:val="00E37AA9"/>
    <w:rsid w:val="00E37D4B"/>
    <w:rsid w:val="00E400F9"/>
    <w:rsid w:val="00E401E8"/>
    <w:rsid w:val="00E40264"/>
    <w:rsid w:val="00E40454"/>
    <w:rsid w:val="00E4057F"/>
    <w:rsid w:val="00E40749"/>
    <w:rsid w:val="00E40AAB"/>
    <w:rsid w:val="00E40BAA"/>
    <w:rsid w:val="00E40BBC"/>
    <w:rsid w:val="00E40CAB"/>
    <w:rsid w:val="00E410D5"/>
    <w:rsid w:val="00E4131B"/>
    <w:rsid w:val="00E416D3"/>
    <w:rsid w:val="00E41756"/>
    <w:rsid w:val="00E418C7"/>
    <w:rsid w:val="00E419E1"/>
    <w:rsid w:val="00E41D0E"/>
    <w:rsid w:val="00E41E4B"/>
    <w:rsid w:val="00E4211C"/>
    <w:rsid w:val="00E4216F"/>
    <w:rsid w:val="00E42230"/>
    <w:rsid w:val="00E42B15"/>
    <w:rsid w:val="00E42C12"/>
    <w:rsid w:val="00E42CBE"/>
    <w:rsid w:val="00E42FA7"/>
    <w:rsid w:val="00E42FBF"/>
    <w:rsid w:val="00E42FCA"/>
    <w:rsid w:val="00E43224"/>
    <w:rsid w:val="00E433D5"/>
    <w:rsid w:val="00E4345B"/>
    <w:rsid w:val="00E43497"/>
    <w:rsid w:val="00E43518"/>
    <w:rsid w:val="00E436E7"/>
    <w:rsid w:val="00E43EA5"/>
    <w:rsid w:val="00E43F06"/>
    <w:rsid w:val="00E444B0"/>
    <w:rsid w:val="00E446BD"/>
    <w:rsid w:val="00E447CC"/>
    <w:rsid w:val="00E449C1"/>
    <w:rsid w:val="00E44DC6"/>
    <w:rsid w:val="00E44DE2"/>
    <w:rsid w:val="00E45132"/>
    <w:rsid w:val="00E45518"/>
    <w:rsid w:val="00E455D6"/>
    <w:rsid w:val="00E4599F"/>
    <w:rsid w:val="00E459D4"/>
    <w:rsid w:val="00E45A35"/>
    <w:rsid w:val="00E45D63"/>
    <w:rsid w:val="00E45D8B"/>
    <w:rsid w:val="00E45DF2"/>
    <w:rsid w:val="00E46125"/>
    <w:rsid w:val="00E464EC"/>
    <w:rsid w:val="00E46512"/>
    <w:rsid w:val="00E467A2"/>
    <w:rsid w:val="00E468A0"/>
    <w:rsid w:val="00E46B2A"/>
    <w:rsid w:val="00E4704E"/>
    <w:rsid w:val="00E47058"/>
    <w:rsid w:val="00E4710A"/>
    <w:rsid w:val="00E4717D"/>
    <w:rsid w:val="00E472B8"/>
    <w:rsid w:val="00E47650"/>
    <w:rsid w:val="00E47D4D"/>
    <w:rsid w:val="00E50128"/>
    <w:rsid w:val="00E502C9"/>
    <w:rsid w:val="00E50362"/>
    <w:rsid w:val="00E5080A"/>
    <w:rsid w:val="00E509E8"/>
    <w:rsid w:val="00E50B04"/>
    <w:rsid w:val="00E50BC7"/>
    <w:rsid w:val="00E50C57"/>
    <w:rsid w:val="00E50F3C"/>
    <w:rsid w:val="00E5106B"/>
    <w:rsid w:val="00E5134A"/>
    <w:rsid w:val="00E51397"/>
    <w:rsid w:val="00E513A6"/>
    <w:rsid w:val="00E5142E"/>
    <w:rsid w:val="00E517EB"/>
    <w:rsid w:val="00E51A5C"/>
    <w:rsid w:val="00E5266A"/>
    <w:rsid w:val="00E52753"/>
    <w:rsid w:val="00E52797"/>
    <w:rsid w:val="00E527F8"/>
    <w:rsid w:val="00E52B60"/>
    <w:rsid w:val="00E52CB9"/>
    <w:rsid w:val="00E52D5F"/>
    <w:rsid w:val="00E52DD8"/>
    <w:rsid w:val="00E52E25"/>
    <w:rsid w:val="00E52E9A"/>
    <w:rsid w:val="00E53194"/>
    <w:rsid w:val="00E53488"/>
    <w:rsid w:val="00E53530"/>
    <w:rsid w:val="00E53E99"/>
    <w:rsid w:val="00E54019"/>
    <w:rsid w:val="00E54529"/>
    <w:rsid w:val="00E5485E"/>
    <w:rsid w:val="00E549F4"/>
    <w:rsid w:val="00E54BE1"/>
    <w:rsid w:val="00E54ECE"/>
    <w:rsid w:val="00E54F5A"/>
    <w:rsid w:val="00E551F1"/>
    <w:rsid w:val="00E552B9"/>
    <w:rsid w:val="00E55A82"/>
    <w:rsid w:val="00E55EAF"/>
    <w:rsid w:val="00E55EC8"/>
    <w:rsid w:val="00E55FD9"/>
    <w:rsid w:val="00E5633E"/>
    <w:rsid w:val="00E56778"/>
    <w:rsid w:val="00E567CE"/>
    <w:rsid w:val="00E56A2F"/>
    <w:rsid w:val="00E56A33"/>
    <w:rsid w:val="00E571DB"/>
    <w:rsid w:val="00E572CF"/>
    <w:rsid w:val="00E57335"/>
    <w:rsid w:val="00E57731"/>
    <w:rsid w:val="00E57878"/>
    <w:rsid w:val="00E57B06"/>
    <w:rsid w:val="00E57C76"/>
    <w:rsid w:val="00E57E06"/>
    <w:rsid w:val="00E57E59"/>
    <w:rsid w:val="00E60110"/>
    <w:rsid w:val="00E601E9"/>
    <w:rsid w:val="00E6023B"/>
    <w:rsid w:val="00E602F7"/>
    <w:rsid w:val="00E603DF"/>
    <w:rsid w:val="00E604C6"/>
    <w:rsid w:val="00E604DB"/>
    <w:rsid w:val="00E604E3"/>
    <w:rsid w:val="00E604F0"/>
    <w:rsid w:val="00E6082C"/>
    <w:rsid w:val="00E609DB"/>
    <w:rsid w:val="00E61294"/>
    <w:rsid w:val="00E61342"/>
    <w:rsid w:val="00E61559"/>
    <w:rsid w:val="00E615CA"/>
    <w:rsid w:val="00E617F8"/>
    <w:rsid w:val="00E619B4"/>
    <w:rsid w:val="00E61A14"/>
    <w:rsid w:val="00E61B16"/>
    <w:rsid w:val="00E61DE6"/>
    <w:rsid w:val="00E61E6A"/>
    <w:rsid w:val="00E61EB6"/>
    <w:rsid w:val="00E62421"/>
    <w:rsid w:val="00E62583"/>
    <w:rsid w:val="00E62727"/>
    <w:rsid w:val="00E6284D"/>
    <w:rsid w:val="00E62AE0"/>
    <w:rsid w:val="00E62D94"/>
    <w:rsid w:val="00E62FEB"/>
    <w:rsid w:val="00E63202"/>
    <w:rsid w:val="00E6331C"/>
    <w:rsid w:val="00E63602"/>
    <w:rsid w:val="00E6368B"/>
    <w:rsid w:val="00E6372C"/>
    <w:rsid w:val="00E63A97"/>
    <w:rsid w:val="00E63B92"/>
    <w:rsid w:val="00E640DA"/>
    <w:rsid w:val="00E6414B"/>
    <w:rsid w:val="00E64374"/>
    <w:rsid w:val="00E645D7"/>
    <w:rsid w:val="00E648EF"/>
    <w:rsid w:val="00E64C0E"/>
    <w:rsid w:val="00E64C76"/>
    <w:rsid w:val="00E64D12"/>
    <w:rsid w:val="00E64E30"/>
    <w:rsid w:val="00E65111"/>
    <w:rsid w:val="00E651EC"/>
    <w:rsid w:val="00E652ED"/>
    <w:rsid w:val="00E653B4"/>
    <w:rsid w:val="00E6541B"/>
    <w:rsid w:val="00E65573"/>
    <w:rsid w:val="00E6559A"/>
    <w:rsid w:val="00E6573A"/>
    <w:rsid w:val="00E65E16"/>
    <w:rsid w:val="00E65ED3"/>
    <w:rsid w:val="00E65EDF"/>
    <w:rsid w:val="00E660F5"/>
    <w:rsid w:val="00E6620F"/>
    <w:rsid w:val="00E6633E"/>
    <w:rsid w:val="00E66555"/>
    <w:rsid w:val="00E66632"/>
    <w:rsid w:val="00E66B32"/>
    <w:rsid w:val="00E66BB1"/>
    <w:rsid w:val="00E66D23"/>
    <w:rsid w:val="00E6714A"/>
    <w:rsid w:val="00E67822"/>
    <w:rsid w:val="00E6784F"/>
    <w:rsid w:val="00E67888"/>
    <w:rsid w:val="00E67B07"/>
    <w:rsid w:val="00E67BDB"/>
    <w:rsid w:val="00E67EBB"/>
    <w:rsid w:val="00E70075"/>
    <w:rsid w:val="00E7023A"/>
    <w:rsid w:val="00E702E3"/>
    <w:rsid w:val="00E7034F"/>
    <w:rsid w:val="00E709B0"/>
    <w:rsid w:val="00E70A1B"/>
    <w:rsid w:val="00E70A2A"/>
    <w:rsid w:val="00E71061"/>
    <w:rsid w:val="00E716BF"/>
    <w:rsid w:val="00E716D8"/>
    <w:rsid w:val="00E717E1"/>
    <w:rsid w:val="00E71B00"/>
    <w:rsid w:val="00E71B0D"/>
    <w:rsid w:val="00E71BA4"/>
    <w:rsid w:val="00E71BC4"/>
    <w:rsid w:val="00E71C64"/>
    <w:rsid w:val="00E71CE2"/>
    <w:rsid w:val="00E71D58"/>
    <w:rsid w:val="00E71DC3"/>
    <w:rsid w:val="00E72541"/>
    <w:rsid w:val="00E7292A"/>
    <w:rsid w:val="00E72960"/>
    <w:rsid w:val="00E72A2B"/>
    <w:rsid w:val="00E72B12"/>
    <w:rsid w:val="00E72E2A"/>
    <w:rsid w:val="00E72E77"/>
    <w:rsid w:val="00E72F83"/>
    <w:rsid w:val="00E73157"/>
    <w:rsid w:val="00E733B7"/>
    <w:rsid w:val="00E733D7"/>
    <w:rsid w:val="00E73696"/>
    <w:rsid w:val="00E736AD"/>
    <w:rsid w:val="00E738C8"/>
    <w:rsid w:val="00E73F8B"/>
    <w:rsid w:val="00E74015"/>
    <w:rsid w:val="00E740A7"/>
    <w:rsid w:val="00E740C4"/>
    <w:rsid w:val="00E740C8"/>
    <w:rsid w:val="00E7412C"/>
    <w:rsid w:val="00E7422A"/>
    <w:rsid w:val="00E7427F"/>
    <w:rsid w:val="00E74692"/>
    <w:rsid w:val="00E74D25"/>
    <w:rsid w:val="00E74D55"/>
    <w:rsid w:val="00E74DDD"/>
    <w:rsid w:val="00E752E0"/>
    <w:rsid w:val="00E753AE"/>
    <w:rsid w:val="00E7545A"/>
    <w:rsid w:val="00E75781"/>
    <w:rsid w:val="00E75794"/>
    <w:rsid w:val="00E759D4"/>
    <w:rsid w:val="00E75AF5"/>
    <w:rsid w:val="00E75DBB"/>
    <w:rsid w:val="00E75E94"/>
    <w:rsid w:val="00E75EC0"/>
    <w:rsid w:val="00E75FA4"/>
    <w:rsid w:val="00E76551"/>
    <w:rsid w:val="00E765A5"/>
    <w:rsid w:val="00E76AF2"/>
    <w:rsid w:val="00E76C69"/>
    <w:rsid w:val="00E76CD9"/>
    <w:rsid w:val="00E76CE9"/>
    <w:rsid w:val="00E773C1"/>
    <w:rsid w:val="00E77740"/>
    <w:rsid w:val="00E77C47"/>
    <w:rsid w:val="00E77C8C"/>
    <w:rsid w:val="00E77CBD"/>
    <w:rsid w:val="00E80074"/>
    <w:rsid w:val="00E80557"/>
    <w:rsid w:val="00E80694"/>
    <w:rsid w:val="00E807EC"/>
    <w:rsid w:val="00E80815"/>
    <w:rsid w:val="00E80834"/>
    <w:rsid w:val="00E80A21"/>
    <w:rsid w:val="00E80A88"/>
    <w:rsid w:val="00E80B1D"/>
    <w:rsid w:val="00E80CB0"/>
    <w:rsid w:val="00E80D86"/>
    <w:rsid w:val="00E80FAB"/>
    <w:rsid w:val="00E810D0"/>
    <w:rsid w:val="00E81143"/>
    <w:rsid w:val="00E8153B"/>
    <w:rsid w:val="00E816D2"/>
    <w:rsid w:val="00E823A8"/>
    <w:rsid w:val="00E82415"/>
    <w:rsid w:val="00E82634"/>
    <w:rsid w:val="00E827B9"/>
    <w:rsid w:val="00E82819"/>
    <w:rsid w:val="00E82836"/>
    <w:rsid w:val="00E8286C"/>
    <w:rsid w:val="00E828F0"/>
    <w:rsid w:val="00E8299A"/>
    <w:rsid w:val="00E82B1E"/>
    <w:rsid w:val="00E82F18"/>
    <w:rsid w:val="00E833E4"/>
    <w:rsid w:val="00E83582"/>
    <w:rsid w:val="00E83590"/>
    <w:rsid w:val="00E83908"/>
    <w:rsid w:val="00E83BCD"/>
    <w:rsid w:val="00E83D50"/>
    <w:rsid w:val="00E8411D"/>
    <w:rsid w:val="00E8473F"/>
    <w:rsid w:val="00E84743"/>
    <w:rsid w:val="00E84783"/>
    <w:rsid w:val="00E84888"/>
    <w:rsid w:val="00E849FD"/>
    <w:rsid w:val="00E84B9B"/>
    <w:rsid w:val="00E84C06"/>
    <w:rsid w:val="00E84C19"/>
    <w:rsid w:val="00E84C79"/>
    <w:rsid w:val="00E84D98"/>
    <w:rsid w:val="00E85981"/>
    <w:rsid w:val="00E85C22"/>
    <w:rsid w:val="00E85CAE"/>
    <w:rsid w:val="00E85D27"/>
    <w:rsid w:val="00E85EE5"/>
    <w:rsid w:val="00E8617A"/>
    <w:rsid w:val="00E86316"/>
    <w:rsid w:val="00E86392"/>
    <w:rsid w:val="00E8646B"/>
    <w:rsid w:val="00E86606"/>
    <w:rsid w:val="00E866F8"/>
    <w:rsid w:val="00E867E1"/>
    <w:rsid w:val="00E8680A"/>
    <w:rsid w:val="00E86A98"/>
    <w:rsid w:val="00E86B1A"/>
    <w:rsid w:val="00E86F7B"/>
    <w:rsid w:val="00E86F8B"/>
    <w:rsid w:val="00E87138"/>
    <w:rsid w:val="00E8717F"/>
    <w:rsid w:val="00E87263"/>
    <w:rsid w:val="00E872C5"/>
    <w:rsid w:val="00E87301"/>
    <w:rsid w:val="00E874F6"/>
    <w:rsid w:val="00E87540"/>
    <w:rsid w:val="00E8760F"/>
    <w:rsid w:val="00E8763E"/>
    <w:rsid w:val="00E876D5"/>
    <w:rsid w:val="00E8785E"/>
    <w:rsid w:val="00E878BD"/>
    <w:rsid w:val="00E87971"/>
    <w:rsid w:val="00E879D8"/>
    <w:rsid w:val="00E87D87"/>
    <w:rsid w:val="00E901D4"/>
    <w:rsid w:val="00E90799"/>
    <w:rsid w:val="00E90BE1"/>
    <w:rsid w:val="00E90C9B"/>
    <w:rsid w:val="00E90ECC"/>
    <w:rsid w:val="00E91026"/>
    <w:rsid w:val="00E914EF"/>
    <w:rsid w:val="00E916F9"/>
    <w:rsid w:val="00E9189B"/>
    <w:rsid w:val="00E91AF0"/>
    <w:rsid w:val="00E91E99"/>
    <w:rsid w:val="00E91EC4"/>
    <w:rsid w:val="00E91FA8"/>
    <w:rsid w:val="00E923BC"/>
    <w:rsid w:val="00E92808"/>
    <w:rsid w:val="00E92D34"/>
    <w:rsid w:val="00E92D66"/>
    <w:rsid w:val="00E9303F"/>
    <w:rsid w:val="00E931BD"/>
    <w:rsid w:val="00E93285"/>
    <w:rsid w:val="00E9346C"/>
    <w:rsid w:val="00E9356F"/>
    <w:rsid w:val="00E935D6"/>
    <w:rsid w:val="00E9373A"/>
    <w:rsid w:val="00E93943"/>
    <w:rsid w:val="00E93B66"/>
    <w:rsid w:val="00E93BF0"/>
    <w:rsid w:val="00E93E07"/>
    <w:rsid w:val="00E94510"/>
    <w:rsid w:val="00E94A09"/>
    <w:rsid w:val="00E94A2A"/>
    <w:rsid w:val="00E94F9F"/>
    <w:rsid w:val="00E9533B"/>
    <w:rsid w:val="00E95449"/>
    <w:rsid w:val="00E9563A"/>
    <w:rsid w:val="00E95718"/>
    <w:rsid w:val="00E95CA8"/>
    <w:rsid w:val="00E95F17"/>
    <w:rsid w:val="00E96184"/>
    <w:rsid w:val="00E961BB"/>
    <w:rsid w:val="00E961CD"/>
    <w:rsid w:val="00E961F7"/>
    <w:rsid w:val="00E962CB"/>
    <w:rsid w:val="00E963C0"/>
    <w:rsid w:val="00E96498"/>
    <w:rsid w:val="00E964CB"/>
    <w:rsid w:val="00E96738"/>
    <w:rsid w:val="00E96B8B"/>
    <w:rsid w:val="00E96BA7"/>
    <w:rsid w:val="00E96C1F"/>
    <w:rsid w:val="00E96C5C"/>
    <w:rsid w:val="00E96F49"/>
    <w:rsid w:val="00E96F7D"/>
    <w:rsid w:val="00E970C4"/>
    <w:rsid w:val="00E971B5"/>
    <w:rsid w:val="00E9737D"/>
    <w:rsid w:val="00E97497"/>
    <w:rsid w:val="00E9772F"/>
    <w:rsid w:val="00E97731"/>
    <w:rsid w:val="00E977CD"/>
    <w:rsid w:val="00E97BD1"/>
    <w:rsid w:val="00E97C5C"/>
    <w:rsid w:val="00EA0398"/>
    <w:rsid w:val="00EA05E8"/>
    <w:rsid w:val="00EA0656"/>
    <w:rsid w:val="00EA06E6"/>
    <w:rsid w:val="00EA082F"/>
    <w:rsid w:val="00EA0AAA"/>
    <w:rsid w:val="00EA0C8F"/>
    <w:rsid w:val="00EA0D85"/>
    <w:rsid w:val="00EA12BD"/>
    <w:rsid w:val="00EA150F"/>
    <w:rsid w:val="00EA1653"/>
    <w:rsid w:val="00EA1963"/>
    <w:rsid w:val="00EA1DC0"/>
    <w:rsid w:val="00EA1DEB"/>
    <w:rsid w:val="00EA1FAE"/>
    <w:rsid w:val="00EA1FE6"/>
    <w:rsid w:val="00EA20B1"/>
    <w:rsid w:val="00EA2515"/>
    <w:rsid w:val="00EA26A1"/>
    <w:rsid w:val="00EA2A92"/>
    <w:rsid w:val="00EA2EA4"/>
    <w:rsid w:val="00EA3100"/>
    <w:rsid w:val="00EA315F"/>
    <w:rsid w:val="00EA321B"/>
    <w:rsid w:val="00EA327A"/>
    <w:rsid w:val="00EA3493"/>
    <w:rsid w:val="00EA368C"/>
    <w:rsid w:val="00EA3D24"/>
    <w:rsid w:val="00EA3F1B"/>
    <w:rsid w:val="00EA4162"/>
    <w:rsid w:val="00EA42AD"/>
    <w:rsid w:val="00EA475E"/>
    <w:rsid w:val="00EA48ED"/>
    <w:rsid w:val="00EA490D"/>
    <w:rsid w:val="00EA49F8"/>
    <w:rsid w:val="00EA4AC7"/>
    <w:rsid w:val="00EA4FF3"/>
    <w:rsid w:val="00EA552D"/>
    <w:rsid w:val="00EA55D3"/>
    <w:rsid w:val="00EA5914"/>
    <w:rsid w:val="00EA59D5"/>
    <w:rsid w:val="00EA59DB"/>
    <w:rsid w:val="00EA5A9B"/>
    <w:rsid w:val="00EA5C19"/>
    <w:rsid w:val="00EA5C75"/>
    <w:rsid w:val="00EA5CF4"/>
    <w:rsid w:val="00EA6117"/>
    <w:rsid w:val="00EA6312"/>
    <w:rsid w:val="00EA6387"/>
    <w:rsid w:val="00EA652B"/>
    <w:rsid w:val="00EA66DB"/>
    <w:rsid w:val="00EA6AE5"/>
    <w:rsid w:val="00EA6B87"/>
    <w:rsid w:val="00EA6C51"/>
    <w:rsid w:val="00EA6CF9"/>
    <w:rsid w:val="00EA6E72"/>
    <w:rsid w:val="00EA7006"/>
    <w:rsid w:val="00EA711E"/>
    <w:rsid w:val="00EA7194"/>
    <w:rsid w:val="00EA73D7"/>
    <w:rsid w:val="00EA7594"/>
    <w:rsid w:val="00EA76FE"/>
    <w:rsid w:val="00EA7736"/>
    <w:rsid w:val="00EA77A7"/>
    <w:rsid w:val="00EA7815"/>
    <w:rsid w:val="00EA7898"/>
    <w:rsid w:val="00EA796C"/>
    <w:rsid w:val="00EA7EF5"/>
    <w:rsid w:val="00EB0472"/>
    <w:rsid w:val="00EB049F"/>
    <w:rsid w:val="00EB0745"/>
    <w:rsid w:val="00EB08FD"/>
    <w:rsid w:val="00EB0C4F"/>
    <w:rsid w:val="00EB0EF7"/>
    <w:rsid w:val="00EB10D4"/>
    <w:rsid w:val="00EB19D6"/>
    <w:rsid w:val="00EB1BAA"/>
    <w:rsid w:val="00EB1E6C"/>
    <w:rsid w:val="00EB235D"/>
    <w:rsid w:val="00EB24FC"/>
    <w:rsid w:val="00EB2517"/>
    <w:rsid w:val="00EB2519"/>
    <w:rsid w:val="00EB2880"/>
    <w:rsid w:val="00EB2D36"/>
    <w:rsid w:val="00EB3149"/>
    <w:rsid w:val="00EB3385"/>
    <w:rsid w:val="00EB34CD"/>
    <w:rsid w:val="00EB34D9"/>
    <w:rsid w:val="00EB36C3"/>
    <w:rsid w:val="00EB37C3"/>
    <w:rsid w:val="00EB37D9"/>
    <w:rsid w:val="00EB38AD"/>
    <w:rsid w:val="00EB3B7F"/>
    <w:rsid w:val="00EB3CA4"/>
    <w:rsid w:val="00EB4339"/>
    <w:rsid w:val="00EB440A"/>
    <w:rsid w:val="00EB4589"/>
    <w:rsid w:val="00EB458D"/>
    <w:rsid w:val="00EB48B0"/>
    <w:rsid w:val="00EB4992"/>
    <w:rsid w:val="00EB4A01"/>
    <w:rsid w:val="00EB4A27"/>
    <w:rsid w:val="00EB4BB8"/>
    <w:rsid w:val="00EB4C55"/>
    <w:rsid w:val="00EB5345"/>
    <w:rsid w:val="00EB546C"/>
    <w:rsid w:val="00EB5490"/>
    <w:rsid w:val="00EB5A6B"/>
    <w:rsid w:val="00EB5C54"/>
    <w:rsid w:val="00EB5D11"/>
    <w:rsid w:val="00EB63FA"/>
    <w:rsid w:val="00EB6513"/>
    <w:rsid w:val="00EB65E0"/>
    <w:rsid w:val="00EB6725"/>
    <w:rsid w:val="00EB681F"/>
    <w:rsid w:val="00EB6A14"/>
    <w:rsid w:val="00EB703D"/>
    <w:rsid w:val="00EB707A"/>
    <w:rsid w:val="00EB717F"/>
    <w:rsid w:val="00EB724C"/>
    <w:rsid w:val="00EB72B7"/>
    <w:rsid w:val="00EB72F1"/>
    <w:rsid w:val="00EB7625"/>
    <w:rsid w:val="00EB767D"/>
    <w:rsid w:val="00EB7A31"/>
    <w:rsid w:val="00EB7CDF"/>
    <w:rsid w:val="00EC0095"/>
    <w:rsid w:val="00EC00E2"/>
    <w:rsid w:val="00EC04D7"/>
    <w:rsid w:val="00EC07BA"/>
    <w:rsid w:val="00EC0813"/>
    <w:rsid w:val="00EC0B82"/>
    <w:rsid w:val="00EC0B9D"/>
    <w:rsid w:val="00EC0DC9"/>
    <w:rsid w:val="00EC0DCC"/>
    <w:rsid w:val="00EC0E15"/>
    <w:rsid w:val="00EC115E"/>
    <w:rsid w:val="00EC16EC"/>
    <w:rsid w:val="00EC194D"/>
    <w:rsid w:val="00EC19FB"/>
    <w:rsid w:val="00EC1B17"/>
    <w:rsid w:val="00EC1E12"/>
    <w:rsid w:val="00EC217E"/>
    <w:rsid w:val="00EC21C1"/>
    <w:rsid w:val="00EC21EE"/>
    <w:rsid w:val="00EC228A"/>
    <w:rsid w:val="00EC2292"/>
    <w:rsid w:val="00EC2367"/>
    <w:rsid w:val="00EC27D7"/>
    <w:rsid w:val="00EC2869"/>
    <w:rsid w:val="00EC2CA0"/>
    <w:rsid w:val="00EC2E74"/>
    <w:rsid w:val="00EC3062"/>
    <w:rsid w:val="00EC30FD"/>
    <w:rsid w:val="00EC3119"/>
    <w:rsid w:val="00EC32AF"/>
    <w:rsid w:val="00EC3358"/>
    <w:rsid w:val="00EC3725"/>
    <w:rsid w:val="00EC3748"/>
    <w:rsid w:val="00EC3AB1"/>
    <w:rsid w:val="00EC3BC5"/>
    <w:rsid w:val="00EC41F1"/>
    <w:rsid w:val="00EC43EE"/>
    <w:rsid w:val="00EC43F4"/>
    <w:rsid w:val="00EC44A8"/>
    <w:rsid w:val="00EC44B6"/>
    <w:rsid w:val="00EC46DF"/>
    <w:rsid w:val="00EC473D"/>
    <w:rsid w:val="00EC4768"/>
    <w:rsid w:val="00EC47EB"/>
    <w:rsid w:val="00EC4960"/>
    <w:rsid w:val="00EC4B02"/>
    <w:rsid w:val="00EC4FB9"/>
    <w:rsid w:val="00EC51BF"/>
    <w:rsid w:val="00EC532C"/>
    <w:rsid w:val="00EC5656"/>
    <w:rsid w:val="00EC5948"/>
    <w:rsid w:val="00EC5DD9"/>
    <w:rsid w:val="00EC609C"/>
    <w:rsid w:val="00EC6124"/>
    <w:rsid w:val="00EC6152"/>
    <w:rsid w:val="00EC6313"/>
    <w:rsid w:val="00EC6323"/>
    <w:rsid w:val="00EC6354"/>
    <w:rsid w:val="00EC6407"/>
    <w:rsid w:val="00EC65AA"/>
    <w:rsid w:val="00EC6A17"/>
    <w:rsid w:val="00EC6DD4"/>
    <w:rsid w:val="00EC751A"/>
    <w:rsid w:val="00EC7764"/>
    <w:rsid w:val="00EC7A0A"/>
    <w:rsid w:val="00EC7B89"/>
    <w:rsid w:val="00EC7C44"/>
    <w:rsid w:val="00EC7D84"/>
    <w:rsid w:val="00EC7F5E"/>
    <w:rsid w:val="00EC7F60"/>
    <w:rsid w:val="00ED0008"/>
    <w:rsid w:val="00ED01F9"/>
    <w:rsid w:val="00ED025E"/>
    <w:rsid w:val="00ED03BF"/>
    <w:rsid w:val="00ED0450"/>
    <w:rsid w:val="00ED0741"/>
    <w:rsid w:val="00ED082F"/>
    <w:rsid w:val="00ED08B8"/>
    <w:rsid w:val="00ED0A3B"/>
    <w:rsid w:val="00ED0BC2"/>
    <w:rsid w:val="00ED0D55"/>
    <w:rsid w:val="00ED0E29"/>
    <w:rsid w:val="00ED0F0D"/>
    <w:rsid w:val="00ED0FBC"/>
    <w:rsid w:val="00ED11D7"/>
    <w:rsid w:val="00ED1260"/>
    <w:rsid w:val="00ED12AC"/>
    <w:rsid w:val="00ED137B"/>
    <w:rsid w:val="00ED13F5"/>
    <w:rsid w:val="00ED1631"/>
    <w:rsid w:val="00ED190D"/>
    <w:rsid w:val="00ED19AE"/>
    <w:rsid w:val="00ED1AA0"/>
    <w:rsid w:val="00ED1B83"/>
    <w:rsid w:val="00ED1E19"/>
    <w:rsid w:val="00ED1FF9"/>
    <w:rsid w:val="00ED213D"/>
    <w:rsid w:val="00ED2232"/>
    <w:rsid w:val="00ED2519"/>
    <w:rsid w:val="00ED260D"/>
    <w:rsid w:val="00ED26EF"/>
    <w:rsid w:val="00ED26F4"/>
    <w:rsid w:val="00ED2F43"/>
    <w:rsid w:val="00ED316A"/>
    <w:rsid w:val="00ED317F"/>
    <w:rsid w:val="00ED3285"/>
    <w:rsid w:val="00ED330C"/>
    <w:rsid w:val="00ED371B"/>
    <w:rsid w:val="00ED393F"/>
    <w:rsid w:val="00ED3FED"/>
    <w:rsid w:val="00ED429A"/>
    <w:rsid w:val="00ED43A6"/>
    <w:rsid w:val="00ED4662"/>
    <w:rsid w:val="00ED4751"/>
    <w:rsid w:val="00ED4C2F"/>
    <w:rsid w:val="00ED4CC0"/>
    <w:rsid w:val="00ED4D77"/>
    <w:rsid w:val="00ED4E0A"/>
    <w:rsid w:val="00ED4E6B"/>
    <w:rsid w:val="00ED5035"/>
    <w:rsid w:val="00ED511D"/>
    <w:rsid w:val="00ED520E"/>
    <w:rsid w:val="00ED54F1"/>
    <w:rsid w:val="00ED563F"/>
    <w:rsid w:val="00ED5B20"/>
    <w:rsid w:val="00ED5D92"/>
    <w:rsid w:val="00ED5DE5"/>
    <w:rsid w:val="00ED64CC"/>
    <w:rsid w:val="00ED655E"/>
    <w:rsid w:val="00ED65A8"/>
    <w:rsid w:val="00ED672B"/>
    <w:rsid w:val="00ED6F12"/>
    <w:rsid w:val="00ED7139"/>
    <w:rsid w:val="00ED72DA"/>
    <w:rsid w:val="00ED741B"/>
    <w:rsid w:val="00ED7436"/>
    <w:rsid w:val="00ED7A29"/>
    <w:rsid w:val="00ED7C7F"/>
    <w:rsid w:val="00EE0006"/>
    <w:rsid w:val="00EE043B"/>
    <w:rsid w:val="00EE04AA"/>
    <w:rsid w:val="00EE04D5"/>
    <w:rsid w:val="00EE09BF"/>
    <w:rsid w:val="00EE0A9C"/>
    <w:rsid w:val="00EE0B47"/>
    <w:rsid w:val="00EE0C61"/>
    <w:rsid w:val="00EE0EBE"/>
    <w:rsid w:val="00EE11DE"/>
    <w:rsid w:val="00EE121C"/>
    <w:rsid w:val="00EE12A0"/>
    <w:rsid w:val="00EE13D9"/>
    <w:rsid w:val="00EE18E4"/>
    <w:rsid w:val="00EE1904"/>
    <w:rsid w:val="00EE1A96"/>
    <w:rsid w:val="00EE1AF9"/>
    <w:rsid w:val="00EE1F5F"/>
    <w:rsid w:val="00EE2740"/>
    <w:rsid w:val="00EE288D"/>
    <w:rsid w:val="00EE2B25"/>
    <w:rsid w:val="00EE2B7E"/>
    <w:rsid w:val="00EE2D83"/>
    <w:rsid w:val="00EE2E25"/>
    <w:rsid w:val="00EE3020"/>
    <w:rsid w:val="00EE31C6"/>
    <w:rsid w:val="00EE326B"/>
    <w:rsid w:val="00EE35A5"/>
    <w:rsid w:val="00EE394D"/>
    <w:rsid w:val="00EE3A38"/>
    <w:rsid w:val="00EE3B3A"/>
    <w:rsid w:val="00EE3BE3"/>
    <w:rsid w:val="00EE3C83"/>
    <w:rsid w:val="00EE3C86"/>
    <w:rsid w:val="00EE3ED6"/>
    <w:rsid w:val="00EE4001"/>
    <w:rsid w:val="00EE4156"/>
    <w:rsid w:val="00EE4520"/>
    <w:rsid w:val="00EE4E2C"/>
    <w:rsid w:val="00EE5263"/>
    <w:rsid w:val="00EE5283"/>
    <w:rsid w:val="00EE5316"/>
    <w:rsid w:val="00EE53D0"/>
    <w:rsid w:val="00EE5459"/>
    <w:rsid w:val="00EE5845"/>
    <w:rsid w:val="00EE5899"/>
    <w:rsid w:val="00EE59A6"/>
    <w:rsid w:val="00EE59DB"/>
    <w:rsid w:val="00EE5D81"/>
    <w:rsid w:val="00EE5DAE"/>
    <w:rsid w:val="00EE6270"/>
    <w:rsid w:val="00EE6299"/>
    <w:rsid w:val="00EE64B9"/>
    <w:rsid w:val="00EE6618"/>
    <w:rsid w:val="00EE6748"/>
    <w:rsid w:val="00EE6758"/>
    <w:rsid w:val="00EE6BA3"/>
    <w:rsid w:val="00EE6F3B"/>
    <w:rsid w:val="00EE70FD"/>
    <w:rsid w:val="00EE720F"/>
    <w:rsid w:val="00EE73D7"/>
    <w:rsid w:val="00EE76B7"/>
    <w:rsid w:val="00EE7832"/>
    <w:rsid w:val="00EE791C"/>
    <w:rsid w:val="00EE7A21"/>
    <w:rsid w:val="00EE7EB8"/>
    <w:rsid w:val="00EE7FB9"/>
    <w:rsid w:val="00EE7FF3"/>
    <w:rsid w:val="00EE7FFB"/>
    <w:rsid w:val="00EF02A5"/>
    <w:rsid w:val="00EF0547"/>
    <w:rsid w:val="00EF0575"/>
    <w:rsid w:val="00EF0793"/>
    <w:rsid w:val="00EF07D2"/>
    <w:rsid w:val="00EF08D3"/>
    <w:rsid w:val="00EF08FE"/>
    <w:rsid w:val="00EF0ADA"/>
    <w:rsid w:val="00EF0B1D"/>
    <w:rsid w:val="00EF0D70"/>
    <w:rsid w:val="00EF0FB7"/>
    <w:rsid w:val="00EF0FD2"/>
    <w:rsid w:val="00EF117E"/>
    <w:rsid w:val="00EF12A9"/>
    <w:rsid w:val="00EF145C"/>
    <w:rsid w:val="00EF1726"/>
    <w:rsid w:val="00EF177A"/>
    <w:rsid w:val="00EF18DD"/>
    <w:rsid w:val="00EF1AAD"/>
    <w:rsid w:val="00EF1B68"/>
    <w:rsid w:val="00EF1DDC"/>
    <w:rsid w:val="00EF1DE5"/>
    <w:rsid w:val="00EF2165"/>
    <w:rsid w:val="00EF223A"/>
    <w:rsid w:val="00EF24F4"/>
    <w:rsid w:val="00EF29A0"/>
    <w:rsid w:val="00EF2A04"/>
    <w:rsid w:val="00EF2FE1"/>
    <w:rsid w:val="00EF3176"/>
    <w:rsid w:val="00EF33E3"/>
    <w:rsid w:val="00EF3C4D"/>
    <w:rsid w:val="00EF40FC"/>
    <w:rsid w:val="00EF415F"/>
    <w:rsid w:val="00EF46EA"/>
    <w:rsid w:val="00EF46F1"/>
    <w:rsid w:val="00EF49B1"/>
    <w:rsid w:val="00EF4D11"/>
    <w:rsid w:val="00EF4E68"/>
    <w:rsid w:val="00EF4EE0"/>
    <w:rsid w:val="00EF50CE"/>
    <w:rsid w:val="00EF546B"/>
    <w:rsid w:val="00EF563B"/>
    <w:rsid w:val="00EF590A"/>
    <w:rsid w:val="00EF5A7F"/>
    <w:rsid w:val="00EF5B26"/>
    <w:rsid w:val="00EF5E8D"/>
    <w:rsid w:val="00EF6319"/>
    <w:rsid w:val="00EF6361"/>
    <w:rsid w:val="00EF6859"/>
    <w:rsid w:val="00EF691C"/>
    <w:rsid w:val="00EF6D94"/>
    <w:rsid w:val="00EF6E78"/>
    <w:rsid w:val="00EF7168"/>
    <w:rsid w:val="00EF76EF"/>
    <w:rsid w:val="00EF77DE"/>
    <w:rsid w:val="00EF7972"/>
    <w:rsid w:val="00EF7CAC"/>
    <w:rsid w:val="00EF7E11"/>
    <w:rsid w:val="00EF7E7B"/>
    <w:rsid w:val="00F000DE"/>
    <w:rsid w:val="00F00146"/>
    <w:rsid w:val="00F00541"/>
    <w:rsid w:val="00F0059D"/>
    <w:rsid w:val="00F0063E"/>
    <w:rsid w:val="00F00928"/>
    <w:rsid w:val="00F00D25"/>
    <w:rsid w:val="00F01543"/>
    <w:rsid w:val="00F01897"/>
    <w:rsid w:val="00F018CB"/>
    <w:rsid w:val="00F0191D"/>
    <w:rsid w:val="00F01AAE"/>
    <w:rsid w:val="00F01ED3"/>
    <w:rsid w:val="00F01FD6"/>
    <w:rsid w:val="00F029C2"/>
    <w:rsid w:val="00F02B32"/>
    <w:rsid w:val="00F02B94"/>
    <w:rsid w:val="00F02DFE"/>
    <w:rsid w:val="00F031D4"/>
    <w:rsid w:val="00F0320A"/>
    <w:rsid w:val="00F032BD"/>
    <w:rsid w:val="00F03321"/>
    <w:rsid w:val="00F0332E"/>
    <w:rsid w:val="00F03361"/>
    <w:rsid w:val="00F03482"/>
    <w:rsid w:val="00F0352D"/>
    <w:rsid w:val="00F03782"/>
    <w:rsid w:val="00F03B87"/>
    <w:rsid w:val="00F03D2B"/>
    <w:rsid w:val="00F03E7B"/>
    <w:rsid w:val="00F0447E"/>
    <w:rsid w:val="00F046FA"/>
    <w:rsid w:val="00F04708"/>
    <w:rsid w:val="00F047BF"/>
    <w:rsid w:val="00F0483D"/>
    <w:rsid w:val="00F048C7"/>
    <w:rsid w:val="00F048C9"/>
    <w:rsid w:val="00F04B45"/>
    <w:rsid w:val="00F04B6C"/>
    <w:rsid w:val="00F04F57"/>
    <w:rsid w:val="00F04FF3"/>
    <w:rsid w:val="00F0563C"/>
    <w:rsid w:val="00F057FE"/>
    <w:rsid w:val="00F05902"/>
    <w:rsid w:val="00F05D68"/>
    <w:rsid w:val="00F05EA0"/>
    <w:rsid w:val="00F05FFF"/>
    <w:rsid w:val="00F0608F"/>
    <w:rsid w:val="00F060E5"/>
    <w:rsid w:val="00F06272"/>
    <w:rsid w:val="00F064EB"/>
    <w:rsid w:val="00F065CC"/>
    <w:rsid w:val="00F065ED"/>
    <w:rsid w:val="00F066E0"/>
    <w:rsid w:val="00F0691E"/>
    <w:rsid w:val="00F06C61"/>
    <w:rsid w:val="00F06EA3"/>
    <w:rsid w:val="00F07591"/>
    <w:rsid w:val="00F077D7"/>
    <w:rsid w:val="00F07856"/>
    <w:rsid w:val="00F07ABC"/>
    <w:rsid w:val="00F07C77"/>
    <w:rsid w:val="00F07DD9"/>
    <w:rsid w:val="00F07EB6"/>
    <w:rsid w:val="00F07FEA"/>
    <w:rsid w:val="00F102C6"/>
    <w:rsid w:val="00F10379"/>
    <w:rsid w:val="00F1038E"/>
    <w:rsid w:val="00F103CB"/>
    <w:rsid w:val="00F10415"/>
    <w:rsid w:val="00F105B0"/>
    <w:rsid w:val="00F10E17"/>
    <w:rsid w:val="00F1113E"/>
    <w:rsid w:val="00F11225"/>
    <w:rsid w:val="00F11721"/>
    <w:rsid w:val="00F117F7"/>
    <w:rsid w:val="00F11B4D"/>
    <w:rsid w:val="00F11D46"/>
    <w:rsid w:val="00F11E4A"/>
    <w:rsid w:val="00F11F05"/>
    <w:rsid w:val="00F12006"/>
    <w:rsid w:val="00F1201A"/>
    <w:rsid w:val="00F12245"/>
    <w:rsid w:val="00F1281B"/>
    <w:rsid w:val="00F129FB"/>
    <w:rsid w:val="00F12AAA"/>
    <w:rsid w:val="00F12B7D"/>
    <w:rsid w:val="00F12B7F"/>
    <w:rsid w:val="00F12EBE"/>
    <w:rsid w:val="00F130CF"/>
    <w:rsid w:val="00F132AC"/>
    <w:rsid w:val="00F13572"/>
    <w:rsid w:val="00F138ED"/>
    <w:rsid w:val="00F13992"/>
    <w:rsid w:val="00F139A3"/>
    <w:rsid w:val="00F139D1"/>
    <w:rsid w:val="00F13A47"/>
    <w:rsid w:val="00F13B84"/>
    <w:rsid w:val="00F14143"/>
    <w:rsid w:val="00F1414C"/>
    <w:rsid w:val="00F14325"/>
    <w:rsid w:val="00F145DD"/>
    <w:rsid w:val="00F1478B"/>
    <w:rsid w:val="00F14794"/>
    <w:rsid w:val="00F14973"/>
    <w:rsid w:val="00F14A23"/>
    <w:rsid w:val="00F14A2F"/>
    <w:rsid w:val="00F14D01"/>
    <w:rsid w:val="00F1507B"/>
    <w:rsid w:val="00F150FC"/>
    <w:rsid w:val="00F15160"/>
    <w:rsid w:val="00F15252"/>
    <w:rsid w:val="00F154DC"/>
    <w:rsid w:val="00F155FB"/>
    <w:rsid w:val="00F158C6"/>
    <w:rsid w:val="00F158D7"/>
    <w:rsid w:val="00F159A2"/>
    <w:rsid w:val="00F15A72"/>
    <w:rsid w:val="00F15D7F"/>
    <w:rsid w:val="00F1641E"/>
    <w:rsid w:val="00F1657C"/>
    <w:rsid w:val="00F165CF"/>
    <w:rsid w:val="00F165DE"/>
    <w:rsid w:val="00F16692"/>
    <w:rsid w:val="00F16938"/>
    <w:rsid w:val="00F16D73"/>
    <w:rsid w:val="00F17097"/>
    <w:rsid w:val="00F17247"/>
    <w:rsid w:val="00F1729D"/>
    <w:rsid w:val="00F172EA"/>
    <w:rsid w:val="00F1735C"/>
    <w:rsid w:val="00F1736E"/>
    <w:rsid w:val="00F177A4"/>
    <w:rsid w:val="00F179FA"/>
    <w:rsid w:val="00F17B5F"/>
    <w:rsid w:val="00F17B83"/>
    <w:rsid w:val="00F17DD7"/>
    <w:rsid w:val="00F17E6E"/>
    <w:rsid w:val="00F17FB2"/>
    <w:rsid w:val="00F200BE"/>
    <w:rsid w:val="00F2020F"/>
    <w:rsid w:val="00F20268"/>
    <w:rsid w:val="00F20281"/>
    <w:rsid w:val="00F20618"/>
    <w:rsid w:val="00F209B4"/>
    <w:rsid w:val="00F20A59"/>
    <w:rsid w:val="00F210E8"/>
    <w:rsid w:val="00F2133C"/>
    <w:rsid w:val="00F21385"/>
    <w:rsid w:val="00F216E7"/>
    <w:rsid w:val="00F21737"/>
    <w:rsid w:val="00F219BD"/>
    <w:rsid w:val="00F219F9"/>
    <w:rsid w:val="00F21D95"/>
    <w:rsid w:val="00F22198"/>
    <w:rsid w:val="00F224EA"/>
    <w:rsid w:val="00F22537"/>
    <w:rsid w:val="00F22A73"/>
    <w:rsid w:val="00F22E6C"/>
    <w:rsid w:val="00F23100"/>
    <w:rsid w:val="00F23651"/>
    <w:rsid w:val="00F2373B"/>
    <w:rsid w:val="00F237D0"/>
    <w:rsid w:val="00F2380B"/>
    <w:rsid w:val="00F2387B"/>
    <w:rsid w:val="00F23942"/>
    <w:rsid w:val="00F23956"/>
    <w:rsid w:val="00F23E34"/>
    <w:rsid w:val="00F23F6F"/>
    <w:rsid w:val="00F2417D"/>
    <w:rsid w:val="00F24404"/>
    <w:rsid w:val="00F244E2"/>
    <w:rsid w:val="00F2486C"/>
    <w:rsid w:val="00F2498B"/>
    <w:rsid w:val="00F249D3"/>
    <w:rsid w:val="00F24B68"/>
    <w:rsid w:val="00F25315"/>
    <w:rsid w:val="00F259AA"/>
    <w:rsid w:val="00F25AB1"/>
    <w:rsid w:val="00F25B54"/>
    <w:rsid w:val="00F25C6A"/>
    <w:rsid w:val="00F25E3B"/>
    <w:rsid w:val="00F25FF8"/>
    <w:rsid w:val="00F26005"/>
    <w:rsid w:val="00F2612B"/>
    <w:rsid w:val="00F2620F"/>
    <w:rsid w:val="00F264E7"/>
    <w:rsid w:val="00F26586"/>
    <w:rsid w:val="00F266F0"/>
    <w:rsid w:val="00F26ABE"/>
    <w:rsid w:val="00F26B5A"/>
    <w:rsid w:val="00F26DA2"/>
    <w:rsid w:val="00F26EE2"/>
    <w:rsid w:val="00F27140"/>
    <w:rsid w:val="00F2728D"/>
    <w:rsid w:val="00F27459"/>
    <w:rsid w:val="00F27487"/>
    <w:rsid w:val="00F275CE"/>
    <w:rsid w:val="00F277E6"/>
    <w:rsid w:val="00F2790B"/>
    <w:rsid w:val="00F279FC"/>
    <w:rsid w:val="00F27A34"/>
    <w:rsid w:val="00F27A5D"/>
    <w:rsid w:val="00F27B79"/>
    <w:rsid w:val="00F27DEA"/>
    <w:rsid w:val="00F27E5C"/>
    <w:rsid w:val="00F302F5"/>
    <w:rsid w:val="00F3033C"/>
    <w:rsid w:val="00F30638"/>
    <w:rsid w:val="00F3065A"/>
    <w:rsid w:val="00F3069F"/>
    <w:rsid w:val="00F3070E"/>
    <w:rsid w:val="00F307BF"/>
    <w:rsid w:val="00F3080B"/>
    <w:rsid w:val="00F30814"/>
    <w:rsid w:val="00F308CE"/>
    <w:rsid w:val="00F30B0A"/>
    <w:rsid w:val="00F30CD1"/>
    <w:rsid w:val="00F31078"/>
    <w:rsid w:val="00F31283"/>
    <w:rsid w:val="00F312EB"/>
    <w:rsid w:val="00F31343"/>
    <w:rsid w:val="00F31576"/>
    <w:rsid w:val="00F31596"/>
    <w:rsid w:val="00F315C0"/>
    <w:rsid w:val="00F3162A"/>
    <w:rsid w:val="00F3175B"/>
    <w:rsid w:val="00F31927"/>
    <w:rsid w:val="00F31A7E"/>
    <w:rsid w:val="00F31C3C"/>
    <w:rsid w:val="00F31CA5"/>
    <w:rsid w:val="00F31DCF"/>
    <w:rsid w:val="00F31F91"/>
    <w:rsid w:val="00F31FB2"/>
    <w:rsid w:val="00F3210E"/>
    <w:rsid w:val="00F321BB"/>
    <w:rsid w:val="00F32205"/>
    <w:rsid w:val="00F3227B"/>
    <w:rsid w:val="00F322A2"/>
    <w:rsid w:val="00F3245D"/>
    <w:rsid w:val="00F327A0"/>
    <w:rsid w:val="00F32814"/>
    <w:rsid w:val="00F32977"/>
    <w:rsid w:val="00F33301"/>
    <w:rsid w:val="00F3330F"/>
    <w:rsid w:val="00F3383A"/>
    <w:rsid w:val="00F33905"/>
    <w:rsid w:val="00F33A53"/>
    <w:rsid w:val="00F33B2F"/>
    <w:rsid w:val="00F33B98"/>
    <w:rsid w:val="00F33BC7"/>
    <w:rsid w:val="00F33C88"/>
    <w:rsid w:val="00F33D7E"/>
    <w:rsid w:val="00F340A8"/>
    <w:rsid w:val="00F34258"/>
    <w:rsid w:val="00F34343"/>
    <w:rsid w:val="00F346C5"/>
    <w:rsid w:val="00F34707"/>
    <w:rsid w:val="00F348BA"/>
    <w:rsid w:val="00F34AB4"/>
    <w:rsid w:val="00F34BC5"/>
    <w:rsid w:val="00F34C5B"/>
    <w:rsid w:val="00F3503B"/>
    <w:rsid w:val="00F3508F"/>
    <w:rsid w:val="00F351DA"/>
    <w:rsid w:val="00F354A5"/>
    <w:rsid w:val="00F35879"/>
    <w:rsid w:val="00F358B8"/>
    <w:rsid w:val="00F35C23"/>
    <w:rsid w:val="00F35D40"/>
    <w:rsid w:val="00F35F12"/>
    <w:rsid w:val="00F35F29"/>
    <w:rsid w:val="00F368D3"/>
    <w:rsid w:val="00F369A3"/>
    <w:rsid w:val="00F36A6E"/>
    <w:rsid w:val="00F36ADD"/>
    <w:rsid w:val="00F37673"/>
    <w:rsid w:val="00F378FE"/>
    <w:rsid w:val="00F3791A"/>
    <w:rsid w:val="00F379AF"/>
    <w:rsid w:val="00F37CDF"/>
    <w:rsid w:val="00F37F04"/>
    <w:rsid w:val="00F37F8F"/>
    <w:rsid w:val="00F401DA"/>
    <w:rsid w:val="00F401F5"/>
    <w:rsid w:val="00F404DF"/>
    <w:rsid w:val="00F40526"/>
    <w:rsid w:val="00F4059A"/>
    <w:rsid w:val="00F4090D"/>
    <w:rsid w:val="00F40AE2"/>
    <w:rsid w:val="00F40B17"/>
    <w:rsid w:val="00F40E02"/>
    <w:rsid w:val="00F40FC3"/>
    <w:rsid w:val="00F4110E"/>
    <w:rsid w:val="00F41388"/>
    <w:rsid w:val="00F413C9"/>
    <w:rsid w:val="00F41503"/>
    <w:rsid w:val="00F41DC6"/>
    <w:rsid w:val="00F41EBC"/>
    <w:rsid w:val="00F42094"/>
    <w:rsid w:val="00F42095"/>
    <w:rsid w:val="00F420CD"/>
    <w:rsid w:val="00F421DD"/>
    <w:rsid w:val="00F428D9"/>
    <w:rsid w:val="00F429A7"/>
    <w:rsid w:val="00F4316F"/>
    <w:rsid w:val="00F43198"/>
    <w:rsid w:val="00F431F2"/>
    <w:rsid w:val="00F43346"/>
    <w:rsid w:val="00F433A6"/>
    <w:rsid w:val="00F43466"/>
    <w:rsid w:val="00F434FD"/>
    <w:rsid w:val="00F4370D"/>
    <w:rsid w:val="00F437F3"/>
    <w:rsid w:val="00F4382D"/>
    <w:rsid w:val="00F43ADF"/>
    <w:rsid w:val="00F43BD9"/>
    <w:rsid w:val="00F43CD4"/>
    <w:rsid w:val="00F43D57"/>
    <w:rsid w:val="00F43DB0"/>
    <w:rsid w:val="00F43FE4"/>
    <w:rsid w:val="00F440C9"/>
    <w:rsid w:val="00F442DE"/>
    <w:rsid w:val="00F44761"/>
    <w:rsid w:val="00F448D9"/>
    <w:rsid w:val="00F44939"/>
    <w:rsid w:val="00F44A1C"/>
    <w:rsid w:val="00F44A8D"/>
    <w:rsid w:val="00F44AE9"/>
    <w:rsid w:val="00F44C0D"/>
    <w:rsid w:val="00F44C9D"/>
    <w:rsid w:val="00F44CEA"/>
    <w:rsid w:val="00F44DB8"/>
    <w:rsid w:val="00F45546"/>
    <w:rsid w:val="00F4559F"/>
    <w:rsid w:val="00F457B8"/>
    <w:rsid w:val="00F4581C"/>
    <w:rsid w:val="00F4590A"/>
    <w:rsid w:val="00F459F1"/>
    <w:rsid w:val="00F45D9F"/>
    <w:rsid w:val="00F45EBE"/>
    <w:rsid w:val="00F45F8D"/>
    <w:rsid w:val="00F4604A"/>
    <w:rsid w:val="00F460CE"/>
    <w:rsid w:val="00F4616E"/>
    <w:rsid w:val="00F462C8"/>
    <w:rsid w:val="00F46360"/>
    <w:rsid w:val="00F4648F"/>
    <w:rsid w:val="00F467B2"/>
    <w:rsid w:val="00F467D8"/>
    <w:rsid w:val="00F467E6"/>
    <w:rsid w:val="00F471B6"/>
    <w:rsid w:val="00F471DD"/>
    <w:rsid w:val="00F472A1"/>
    <w:rsid w:val="00F4736A"/>
    <w:rsid w:val="00F47427"/>
    <w:rsid w:val="00F47B30"/>
    <w:rsid w:val="00F47B4B"/>
    <w:rsid w:val="00F47BC3"/>
    <w:rsid w:val="00F47DAF"/>
    <w:rsid w:val="00F47EA2"/>
    <w:rsid w:val="00F501C5"/>
    <w:rsid w:val="00F5035D"/>
    <w:rsid w:val="00F504CD"/>
    <w:rsid w:val="00F505D2"/>
    <w:rsid w:val="00F506FF"/>
    <w:rsid w:val="00F507AC"/>
    <w:rsid w:val="00F50A32"/>
    <w:rsid w:val="00F50B3B"/>
    <w:rsid w:val="00F510DC"/>
    <w:rsid w:val="00F512E9"/>
    <w:rsid w:val="00F51411"/>
    <w:rsid w:val="00F5142B"/>
    <w:rsid w:val="00F51496"/>
    <w:rsid w:val="00F5159F"/>
    <w:rsid w:val="00F515D8"/>
    <w:rsid w:val="00F518DA"/>
    <w:rsid w:val="00F51B97"/>
    <w:rsid w:val="00F51DC1"/>
    <w:rsid w:val="00F52391"/>
    <w:rsid w:val="00F524C8"/>
    <w:rsid w:val="00F525A1"/>
    <w:rsid w:val="00F52DB4"/>
    <w:rsid w:val="00F5302C"/>
    <w:rsid w:val="00F5305B"/>
    <w:rsid w:val="00F530A5"/>
    <w:rsid w:val="00F533A9"/>
    <w:rsid w:val="00F5349A"/>
    <w:rsid w:val="00F5365B"/>
    <w:rsid w:val="00F537BB"/>
    <w:rsid w:val="00F5391D"/>
    <w:rsid w:val="00F53A88"/>
    <w:rsid w:val="00F53F3F"/>
    <w:rsid w:val="00F540F0"/>
    <w:rsid w:val="00F5419C"/>
    <w:rsid w:val="00F54210"/>
    <w:rsid w:val="00F54274"/>
    <w:rsid w:val="00F54279"/>
    <w:rsid w:val="00F542FE"/>
    <w:rsid w:val="00F543D9"/>
    <w:rsid w:val="00F5445D"/>
    <w:rsid w:val="00F5499F"/>
    <w:rsid w:val="00F54B48"/>
    <w:rsid w:val="00F54BFE"/>
    <w:rsid w:val="00F54C89"/>
    <w:rsid w:val="00F54D62"/>
    <w:rsid w:val="00F54DC8"/>
    <w:rsid w:val="00F54F1E"/>
    <w:rsid w:val="00F550D4"/>
    <w:rsid w:val="00F550F4"/>
    <w:rsid w:val="00F551B3"/>
    <w:rsid w:val="00F55214"/>
    <w:rsid w:val="00F55448"/>
    <w:rsid w:val="00F556C3"/>
    <w:rsid w:val="00F5572B"/>
    <w:rsid w:val="00F5595A"/>
    <w:rsid w:val="00F5610C"/>
    <w:rsid w:val="00F56349"/>
    <w:rsid w:val="00F56476"/>
    <w:rsid w:val="00F564AB"/>
    <w:rsid w:val="00F566AB"/>
    <w:rsid w:val="00F56831"/>
    <w:rsid w:val="00F56849"/>
    <w:rsid w:val="00F56990"/>
    <w:rsid w:val="00F56B3D"/>
    <w:rsid w:val="00F56DC4"/>
    <w:rsid w:val="00F56EEA"/>
    <w:rsid w:val="00F57238"/>
    <w:rsid w:val="00F57406"/>
    <w:rsid w:val="00F57746"/>
    <w:rsid w:val="00F577F4"/>
    <w:rsid w:val="00F57DC5"/>
    <w:rsid w:val="00F57E36"/>
    <w:rsid w:val="00F6002D"/>
    <w:rsid w:val="00F6036E"/>
    <w:rsid w:val="00F6041F"/>
    <w:rsid w:val="00F6044E"/>
    <w:rsid w:val="00F607B0"/>
    <w:rsid w:val="00F60FF9"/>
    <w:rsid w:val="00F61135"/>
    <w:rsid w:val="00F61612"/>
    <w:rsid w:val="00F619F9"/>
    <w:rsid w:val="00F61A10"/>
    <w:rsid w:val="00F61F17"/>
    <w:rsid w:val="00F62017"/>
    <w:rsid w:val="00F62471"/>
    <w:rsid w:val="00F62535"/>
    <w:rsid w:val="00F6307A"/>
    <w:rsid w:val="00F633DB"/>
    <w:rsid w:val="00F6352D"/>
    <w:rsid w:val="00F6352F"/>
    <w:rsid w:val="00F63628"/>
    <w:rsid w:val="00F63A6A"/>
    <w:rsid w:val="00F63B2F"/>
    <w:rsid w:val="00F63CC9"/>
    <w:rsid w:val="00F63D22"/>
    <w:rsid w:val="00F64254"/>
    <w:rsid w:val="00F6425F"/>
    <w:rsid w:val="00F64325"/>
    <w:rsid w:val="00F64620"/>
    <w:rsid w:val="00F64716"/>
    <w:rsid w:val="00F6474C"/>
    <w:rsid w:val="00F648DC"/>
    <w:rsid w:val="00F64916"/>
    <w:rsid w:val="00F64E8B"/>
    <w:rsid w:val="00F65208"/>
    <w:rsid w:val="00F6549E"/>
    <w:rsid w:val="00F654EC"/>
    <w:rsid w:val="00F65633"/>
    <w:rsid w:val="00F6570F"/>
    <w:rsid w:val="00F659DB"/>
    <w:rsid w:val="00F65BFC"/>
    <w:rsid w:val="00F65D0F"/>
    <w:rsid w:val="00F663B5"/>
    <w:rsid w:val="00F667B6"/>
    <w:rsid w:val="00F667DB"/>
    <w:rsid w:val="00F66CB1"/>
    <w:rsid w:val="00F66CBA"/>
    <w:rsid w:val="00F66CC8"/>
    <w:rsid w:val="00F66E5E"/>
    <w:rsid w:val="00F66EFB"/>
    <w:rsid w:val="00F67047"/>
    <w:rsid w:val="00F6708D"/>
    <w:rsid w:val="00F6735A"/>
    <w:rsid w:val="00F674FD"/>
    <w:rsid w:val="00F67C94"/>
    <w:rsid w:val="00F67CDA"/>
    <w:rsid w:val="00F67CDB"/>
    <w:rsid w:val="00F67CE9"/>
    <w:rsid w:val="00F67DAF"/>
    <w:rsid w:val="00F67F9F"/>
    <w:rsid w:val="00F70052"/>
    <w:rsid w:val="00F70103"/>
    <w:rsid w:val="00F70206"/>
    <w:rsid w:val="00F70412"/>
    <w:rsid w:val="00F70758"/>
    <w:rsid w:val="00F70791"/>
    <w:rsid w:val="00F708F2"/>
    <w:rsid w:val="00F70C23"/>
    <w:rsid w:val="00F70D2A"/>
    <w:rsid w:val="00F71137"/>
    <w:rsid w:val="00F7139C"/>
    <w:rsid w:val="00F7145B"/>
    <w:rsid w:val="00F7159A"/>
    <w:rsid w:val="00F715BC"/>
    <w:rsid w:val="00F7192B"/>
    <w:rsid w:val="00F71B81"/>
    <w:rsid w:val="00F721CC"/>
    <w:rsid w:val="00F72414"/>
    <w:rsid w:val="00F72555"/>
    <w:rsid w:val="00F72570"/>
    <w:rsid w:val="00F727AC"/>
    <w:rsid w:val="00F72B73"/>
    <w:rsid w:val="00F72D83"/>
    <w:rsid w:val="00F72F66"/>
    <w:rsid w:val="00F7315A"/>
    <w:rsid w:val="00F73264"/>
    <w:rsid w:val="00F733E0"/>
    <w:rsid w:val="00F73A65"/>
    <w:rsid w:val="00F73CC2"/>
    <w:rsid w:val="00F73F21"/>
    <w:rsid w:val="00F73F42"/>
    <w:rsid w:val="00F74018"/>
    <w:rsid w:val="00F74174"/>
    <w:rsid w:val="00F7442E"/>
    <w:rsid w:val="00F74504"/>
    <w:rsid w:val="00F746EF"/>
    <w:rsid w:val="00F748A9"/>
    <w:rsid w:val="00F74A75"/>
    <w:rsid w:val="00F75018"/>
    <w:rsid w:val="00F751B8"/>
    <w:rsid w:val="00F755BC"/>
    <w:rsid w:val="00F75716"/>
    <w:rsid w:val="00F75846"/>
    <w:rsid w:val="00F7588C"/>
    <w:rsid w:val="00F75C2B"/>
    <w:rsid w:val="00F75C60"/>
    <w:rsid w:val="00F75CF6"/>
    <w:rsid w:val="00F75F3F"/>
    <w:rsid w:val="00F760CF"/>
    <w:rsid w:val="00F7619B"/>
    <w:rsid w:val="00F762A9"/>
    <w:rsid w:val="00F76481"/>
    <w:rsid w:val="00F76603"/>
    <w:rsid w:val="00F76AFD"/>
    <w:rsid w:val="00F76B06"/>
    <w:rsid w:val="00F76C5D"/>
    <w:rsid w:val="00F76D59"/>
    <w:rsid w:val="00F76D99"/>
    <w:rsid w:val="00F77050"/>
    <w:rsid w:val="00F77299"/>
    <w:rsid w:val="00F77519"/>
    <w:rsid w:val="00F77613"/>
    <w:rsid w:val="00F776E4"/>
    <w:rsid w:val="00F7777C"/>
    <w:rsid w:val="00F77A3E"/>
    <w:rsid w:val="00F77C71"/>
    <w:rsid w:val="00F77D8B"/>
    <w:rsid w:val="00F77DB6"/>
    <w:rsid w:val="00F80561"/>
    <w:rsid w:val="00F80573"/>
    <w:rsid w:val="00F808C6"/>
    <w:rsid w:val="00F80F81"/>
    <w:rsid w:val="00F811D0"/>
    <w:rsid w:val="00F813EA"/>
    <w:rsid w:val="00F8149C"/>
    <w:rsid w:val="00F814E9"/>
    <w:rsid w:val="00F8167C"/>
    <w:rsid w:val="00F8195F"/>
    <w:rsid w:val="00F8197E"/>
    <w:rsid w:val="00F81A4E"/>
    <w:rsid w:val="00F81E2C"/>
    <w:rsid w:val="00F820D4"/>
    <w:rsid w:val="00F821AC"/>
    <w:rsid w:val="00F823A0"/>
    <w:rsid w:val="00F82563"/>
    <w:rsid w:val="00F8263A"/>
    <w:rsid w:val="00F828A8"/>
    <w:rsid w:val="00F829EB"/>
    <w:rsid w:val="00F82CE7"/>
    <w:rsid w:val="00F82DD6"/>
    <w:rsid w:val="00F8301D"/>
    <w:rsid w:val="00F830ED"/>
    <w:rsid w:val="00F83301"/>
    <w:rsid w:val="00F8343F"/>
    <w:rsid w:val="00F8349B"/>
    <w:rsid w:val="00F838E7"/>
    <w:rsid w:val="00F83937"/>
    <w:rsid w:val="00F83A93"/>
    <w:rsid w:val="00F83AA3"/>
    <w:rsid w:val="00F83D4C"/>
    <w:rsid w:val="00F840E3"/>
    <w:rsid w:val="00F842CB"/>
    <w:rsid w:val="00F842EC"/>
    <w:rsid w:val="00F844EA"/>
    <w:rsid w:val="00F849C8"/>
    <w:rsid w:val="00F84B7C"/>
    <w:rsid w:val="00F84BAE"/>
    <w:rsid w:val="00F84EDC"/>
    <w:rsid w:val="00F84FFA"/>
    <w:rsid w:val="00F85184"/>
    <w:rsid w:val="00F851D9"/>
    <w:rsid w:val="00F85225"/>
    <w:rsid w:val="00F853D9"/>
    <w:rsid w:val="00F856D9"/>
    <w:rsid w:val="00F8578A"/>
    <w:rsid w:val="00F85960"/>
    <w:rsid w:val="00F85B67"/>
    <w:rsid w:val="00F85DD7"/>
    <w:rsid w:val="00F85E74"/>
    <w:rsid w:val="00F85FF3"/>
    <w:rsid w:val="00F86001"/>
    <w:rsid w:val="00F8622D"/>
    <w:rsid w:val="00F86808"/>
    <w:rsid w:val="00F86905"/>
    <w:rsid w:val="00F869A7"/>
    <w:rsid w:val="00F869AB"/>
    <w:rsid w:val="00F86B28"/>
    <w:rsid w:val="00F86B7E"/>
    <w:rsid w:val="00F86E94"/>
    <w:rsid w:val="00F87101"/>
    <w:rsid w:val="00F871F9"/>
    <w:rsid w:val="00F8743F"/>
    <w:rsid w:val="00F8748B"/>
    <w:rsid w:val="00F874E1"/>
    <w:rsid w:val="00F87AD9"/>
    <w:rsid w:val="00F90196"/>
    <w:rsid w:val="00F904A1"/>
    <w:rsid w:val="00F90590"/>
    <w:rsid w:val="00F9062A"/>
    <w:rsid w:val="00F907FB"/>
    <w:rsid w:val="00F90962"/>
    <w:rsid w:val="00F90A0C"/>
    <w:rsid w:val="00F90D25"/>
    <w:rsid w:val="00F90F5B"/>
    <w:rsid w:val="00F914F7"/>
    <w:rsid w:val="00F9160A"/>
    <w:rsid w:val="00F9214E"/>
    <w:rsid w:val="00F9229E"/>
    <w:rsid w:val="00F92314"/>
    <w:rsid w:val="00F92423"/>
    <w:rsid w:val="00F92875"/>
    <w:rsid w:val="00F92932"/>
    <w:rsid w:val="00F92957"/>
    <w:rsid w:val="00F92ABD"/>
    <w:rsid w:val="00F92B33"/>
    <w:rsid w:val="00F92C95"/>
    <w:rsid w:val="00F92D3E"/>
    <w:rsid w:val="00F934CD"/>
    <w:rsid w:val="00F9362D"/>
    <w:rsid w:val="00F93A3F"/>
    <w:rsid w:val="00F93AC5"/>
    <w:rsid w:val="00F93B06"/>
    <w:rsid w:val="00F93C24"/>
    <w:rsid w:val="00F93C5C"/>
    <w:rsid w:val="00F93CA7"/>
    <w:rsid w:val="00F93EE1"/>
    <w:rsid w:val="00F94509"/>
    <w:rsid w:val="00F946EA"/>
    <w:rsid w:val="00F947B9"/>
    <w:rsid w:val="00F94A55"/>
    <w:rsid w:val="00F94AB9"/>
    <w:rsid w:val="00F94B8E"/>
    <w:rsid w:val="00F94CC1"/>
    <w:rsid w:val="00F9501F"/>
    <w:rsid w:val="00F95374"/>
    <w:rsid w:val="00F953F0"/>
    <w:rsid w:val="00F95629"/>
    <w:rsid w:val="00F9569D"/>
    <w:rsid w:val="00F957FB"/>
    <w:rsid w:val="00F95812"/>
    <w:rsid w:val="00F95AE6"/>
    <w:rsid w:val="00F95B50"/>
    <w:rsid w:val="00F95CD0"/>
    <w:rsid w:val="00F95F26"/>
    <w:rsid w:val="00F96541"/>
    <w:rsid w:val="00F96894"/>
    <w:rsid w:val="00F96D73"/>
    <w:rsid w:val="00F96F34"/>
    <w:rsid w:val="00F97780"/>
    <w:rsid w:val="00F978D1"/>
    <w:rsid w:val="00F97A7C"/>
    <w:rsid w:val="00F97C73"/>
    <w:rsid w:val="00F97D5E"/>
    <w:rsid w:val="00F97F11"/>
    <w:rsid w:val="00FA0062"/>
    <w:rsid w:val="00FA01D0"/>
    <w:rsid w:val="00FA021D"/>
    <w:rsid w:val="00FA03BD"/>
    <w:rsid w:val="00FA03C9"/>
    <w:rsid w:val="00FA04F1"/>
    <w:rsid w:val="00FA0619"/>
    <w:rsid w:val="00FA068F"/>
    <w:rsid w:val="00FA07D9"/>
    <w:rsid w:val="00FA0945"/>
    <w:rsid w:val="00FA0E41"/>
    <w:rsid w:val="00FA0E6A"/>
    <w:rsid w:val="00FA1569"/>
    <w:rsid w:val="00FA1C53"/>
    <w:rsid w:val="00FA1E49"/>
    <w:rsid w:val="00FA2371"/>
    <w:rsid w:val="00FA27B1"/>
    <w:rsid w:val="00FA2943"/>
    <w:rsid w:val="00FA2A51"/>
    <w:rsid w:val="00FA2AB5"/>
    <w:rsid w:val="00FA2B4A"/>
    <w:rsid w:val="00FA2F43"/>
    <w:rsid w:val="00FA2F8A"/>
    <w:rsid w:val="00FA329C"/>
    <w:rsid w:val="00FA376B"/>
    <w:rsid w:val="00FA3975"/>
    <w:rsid w:val="00FA3ADA"/>
    <w:rsid w:val="00FA3CEC"/>
    <w:rsid w:val="00FA3DB2"/>
    <w:rsid w:val="00FA3E1E"/>
    <w:rsid w:val="00FA420A"/>
    <w:rsid w:val="00FA4528"/>
    <w:rsid w:val="00FA4914"/>
    <w:rsid w:val="00FA4928"/>
    <w:rsid w:val="00FA4A57"/>
    <w:rsid w:val="00FA4BB8"/>
    <w:rsid w:val="00FA4D13"/>
    <w:rsid w:val="00FA4E44"/>
    <w:rsid w:val="00FA5019"/>
    <w:rsid w:val="00FA54D3"/>
    <w:rsid w:val="00FA572F"/>
    <w:rsid w:val="00FA59DC"/>
    <w:rsid w:val="00FA5A15"/>
    <w:rsid w:val="00FA6138"/>
    <w:rsid w:val="00FA61F1"/>
    <w:rsid w:val="00FA66AE"/>
    <w:rsid w:val="00FA6C83"/>
    <w:rsid w:val="00FA7020"/>
    <w:rsid w:val="00FA713F"/>
    <w:rsid w:val="00FA7326"/>
    <w:rsid w:val="00FA7344"/>
    <w:rsid w:val="00FA7359"/>
    <w:rsid w:val="00FA7571"/>
    <w:rsid w:val="00FA76D3"/>
    <w:rsid w:val="00FA7776"/>
    <w:rsid w:val="00FA77D0"/>
    <w:rsid w:val="00FA7893"/>
    <w:rsid w:val="00FA7917"/>
    <w:rsid w:val="00FA7BD7"/>
    <w:rsid w:val="00FA7E09"/>
    <w:rsid w:val="00FA7E34"/>
    <w:rsid w:val="00FA7E5E"/>
    <w:rsid w:val="00FB01E8"/>
    <w:rsid w:val="00FB0253"/>
    <w:rsid w:val="00FB0466"/>
    <w:rsid w:val="00FB05BA"/>
    <w:rsid w:val="00FB05C1"/>
    <w:rsid w:val="00FB0713"/>
    <w:rsid w:val="00FB071A"/>
    <w:rsid w:val="00FB0CDB"/>
    <w:rsid w:val="00FB117A"/>
    <w:rsid w:val="00FB1205"/>
    <w:rsid w:val="00FB12C6"/>
    <w:rsid w:val="00FB13A4"/>
    <w:rsid w:val="00FB14DA"/>
    <w:rsid w:val="00FB1749"/>
    <w:rsid w:val="00FB195C"/>
    <w:rsid w:val="00FB1A58"/>
    <w:rsid w:val="00FB1B5E"/>
    <w:rsid w:val="00FB1BB9"/>
    <w:rsid w:val="00FB1D1F"/>
    <w:rsid w:val="00FB2036"/>
    <w:rsid w:val="00FB22B1"/>
    <w:rsid w:val="00FB2721"/>
    <w:rsid w:val="00FB2AE6"/>
    <w:rsid w:val="00FB2E0B"/>
    <w:rsid w:val="00FB2E7C"/>
    <w:rsid w:val="00FB2EFC"/>
    <w:rsid w:val="00FB33E0"/>
    <w:rsid w:val="00FB398E"/>
    <w:rsid w:val="00FB3A42"/>
    <w:rsid w:val="00FB3EB7"/>
    <w:rsid w:val="00FB4228"/>
    <w:rsid w:val="00FB425E"/>
    <w:rsid w:val="00FB4514"/>
    <w:rsid w:val="00FB456D"/>
    <w:rsid w:val="00FB4590"/>
    <w:rsid w:val="00FB45FF"/>
    <w:rsid w:val="00FB4654"/>
    <w:rsid w:val="00FB4800"/>
    <w:rsid w:val="00FB48A4"/>
    <w:rsid w:val="00FB48FC"/>
    <w:rsid w:val="00FB4AD3"/>
    <w:rsid w:val="00FB543C"/>
    <w:rsid w:val="00FB57F1"/>
    <w:rsid w:val="00FB58D5"/>
    <w:rsid w:val="00FB597B"/>
    <w:rsid w:val="00FB5C55"/>
    <w:rsid w:val="00FB5DF1"/>
    <w:rsid w:val="00FB620E"/>
    <w:rsid w:val="00FB627B"/>
    <w:rsid w:val="00FB6304"/>
    <w:rsid w:val="00FB64F7"/>
    <w:rsid w:val="00FB652F"/>
    <w:rsid w:val="00FB6611"/>
    <w:rsid w:val="00FB66CC"/>
    <w:rsid w:val="00FB683F"/>
    <w:rsid w:val="00FB6923"/>
    <w:rsid w:val="00FB6F30"/>
    <w:rsid w:val="00FB6F92"/>
    <w:rsid w:val="00FB700D"/>
    <w:rsid w:val="00FB7077"/>
    <w:rsid w:val="00FB71E9"/>
    <w:rsid w:val="00FB7247"/>
    <w:rsid w:val="00FB76B3"/>
    <w:rsid w:val="00FB77AB"/>
    <w:rsid w:val="00FB7B9A"/>
    <w:rsid w:val="00FB7CA8"/>
    <w:rsid w:val="00FB7F23"/>
    <w:rsid w:val="00FC0079"/>
    <w:rsid w:val="00FC0425"/>
    <w:rsid w:val="00FC04EF"/>
    <w:rsid w:val="00FC0570"/>
    <w:rsid w:val="00FC06AC"/>
    <w:rsid w:val="00FC0B9D"/>
    <w:rsid w:val="00FC0D94"/>
    <w:rsid w:val="00FC0DDE"/>
    <w:rsid w:val="00FC1109"/>
    <w:rsid w:val="00FC1233"/>
    <w:rsid w:val="00FC1273"/>
    <w:rsid w:val="00FC1661"/>
    <w:rsid w:val="00FC1A3B"/>
    <w:rsid w:val="00FC1DC9"/>
    <w:rsid w:val="00FC1EBE"/>
    <w:rsid w:val="00FC1F45"/>
    <w:rsid w:val="00FC1F61"/>
    <w:rsid w:val="00FC27AF"/>
    <w:rsid w:val="00FC2884"/>
    <w:rsid w:val="00FC2A10"/>
    <w:rsid w:val="00FC2E5D"/>
    <w:rsid w:val="00FC2F05"/>
    <w:rsid w:val="00FC38EE"/>
    <w:rsid w:val="00FC393C"/>
    <w:rsid w:val="00FC3AE6"/>
    <w:rsid w:val="00FC3DC1"/>
    <w:rsid w:val="00FC3E63"/>
    <w:rsid w:val="00FC4129"/>
    <w:rsid w:val="00FC4136"/>
    <w:rsid w:val="00FC41B5"/>
    <w:rsid w:val="00FC42FC"/>
    <w:rsid w:val="00FC4318"/>
    <w:rsid w:val="00FC44B2"/>
    <w:rsid w:val="00FC4673"/>
    <w:rsid w:val="00FC4830"/>
    <w:rsid w:val="00FC4B2F"/>
    <w:rsid w:val="00FC4D33"/>
    <w:rsid w:val="00FC573B"/>
    <w:rsid w:val="00FC5F4F"/>
    <w:rsid w:val="00FC5F6C"/>
    <w:rsid w:val="00FC651F"/>
    <w:rsid w:val="00FC67CA"/>
    <w:rsid w:val="00FC682D"/>
    <w:rsid w:val="00FC6C86"/>
    <w:rsid w:val="00FC7183"/>
    <w:rsid w:val="00FC71F0"/>
    <w:rsid w:val="00FC79E5"/>
    <w:rsid w:val="00FC7A9C"/>
    <w:rsid w:val="00FC7AB7"/>
    <w:rsid w:val="00FC7CBF"/>
    <w:rsid w:val="00FC7E6B"/>
    <w:rsid w:val="00FC7EE0"/>
    <w:rsid w:val="00FD030F"/>
    <w:rsid w:val="00FD0511"/>
    <w:rsid w:val="00FD073E"/>
    <w:rsid w:val="00FD095A"/>
    <w:rsid w:val="00FD0A37"/>
    <w:rsid w:val="00FD0CDE"/>
    <w:rsid w:val="00FD0D02"/>
    <w:rsid w:val="00FD0DA3"/>
    <w:rsid w:val="00FD0F7A"/>
    <w:rsid w:val="00FD10F6"/>
    <w:rsid w:val="00FD12B5"/>
    <w:rsid w:val="00FD14E1"/>
    <w:rsid w:val="00FD16CC"/>
    <w:rsid w:val="00FD18B7"/>
    <w:rsid w:val="00FD18CD"/>
    <w:rsid w:val="00FD1C5B"/>
    <w:rsid w:val="00FD1F02"/>
    <w:rsid w:val="00FD2331"/>
    <w:rsid w:val="00FD236E"/>
    <w:rsid w:val="00FD2A22"/>
    <w:rsid w:val="00FD2BD0"/>
    <w:rsid w:val="00FD2C10"/>
    <w:rsid w:val="00FD2E9D"/>
    <w:rsid w:val="00FD2FA1"/>
    <w:rsid w:val="00FD3177"/>
    <w:rsid w:val="00FD368C"/>
    <w:rsid w:val="00FD36C7"/>
    <w:rsid w:val="00FD36E7"/>
    <w:rsid w:val="00FD386C"/>
    <w:rsid w:val="00FD3980"/>
    <w:rsid w:val="00FD3B1E"/>
    <w:rsid w:val="00FD3C3D"/>
    <w:rsid w:val="00FD41E7"/>
    <w:rsid w:val="00FD435E"/>
    <w:rsid w:val="00FD486B"/>
    <w:rsid w:val="00FD4A17"/>
    <w:rsid w:val="00FD4E38"/>
    <w:rsid w:val="00FD508E"/>
    <w:rsid w:val="00FD518B"/>
    <w:rsid w:val="00FD5567"/>
    <w:rsid w:val="00FD5ABA"/>
    <w:rsid w:val="00FD5B0E"/>
    <w:rsid w:val="00FD5C1A"/>
    <w:rsid w:val="00FD5C5A"/>
    <w:rsid w:val="00FD5EC1"/>
    <w:rsid w:val="00FD6191"/>
    <w:rsid w:val="00FD629F"/>
    <w:rsid w:val="00FD62B7"/>
    <w:rsid w:val="00FD62C2"/>
    <w:rsid w:val="00FD6541"/>
    <w:rsid w:val="00FD658D"/>
    <w:rsid w:val="00FD66BD"/>
    <w:rsid w:val="00FD67F7"/>
    <w:rsid w:val="00FD6833"/>
    <w:rsid w:val="00FD6B0D"/>
    <w:rsid w:val="00FD6DD2"/>
    <w:rsid w:val="00FD6E3A"/>
    <w:rsid w:val="00FD7013"/>
    <w:rsid w:val="00FD7094"/>
    <w:rsid w:val="00FD7099"/>
    <w:rsid w:val="00FD74A2"/>
    <w:rsid w:val="00FD7811"/>
    <w:rsid w:val="00FD7815"/>
    <w:rsid w:val="00FD79A3"/>
    <w:rsid w:val="00FD7D52"/>
    <w:rsid w:val="00FD7DA1"/>
    <w:rsid w:val="00FD7DCF"/>
    <w:rsid w:val="00FE00BA"/>
    <w:rsid w:val="00FE08CF"/>
    <w:rsid w:val="00FE0AAD"/>
    <w:rsid w:val="00FE0FA4"/>
    <w:rsid w:val="00FE0FF8"/>
    <w:rsid w:val="00FE1145"/>
    <w:rsid w:val="00FE161B"/>
    <w:rsid w:val="00FE168C"/>
    <w:rsid w:val="00FE17FD"/>
    <w:rsid w:val="00FE1C91"/>
    <w:rsid w:val="00FE1ECE"/>
    <w:rsid w:val="00FE209F"/>
    <w:rsid w:val="00FE223E"/>
    <w:rsid w:val="00FE22EB"/>
    <w:rsid w:val="00FE2517"/>
    <w:rsid w:val="00FE26BE"/>
    <w:rsid w:val="00FE2874"/>
    <w:rsid w:val="00FE2C3B"/>
    <w:rsid w:val="00FE3525"/>
    <w:rsid w:val="00FE36CD"/>
    <w:rsid w:val="00FE3827"/>
    <w:rsid w:val="00FE3A03"/>
    <w:rsid w:val="00FE3BE4"/>
    <w:rsid w:val="00FE3C6A"/>
    <w:rsid w:val="00FE3D06"/>
    <w:rsid w:val="00FE3D3E"/>
    <w:rsid w:val="00FE4079"/>
    <w:rsid w:val="00FE4095"/>
    <w:rsid w:val="00FE4274"/>
    <w:rsid w:val="00FE4530"/>
    <w:rsid w:val="00FE4D1C"/>
    <w:rsid w:val="00FE50AB"/>
    <w:rsid w:val="00FE5186"/>
    <w:rsid w:val="00FE5241"/>
    <w:rsid w:val="00FE5320"/>
    <w:rsid w:val="00FE53C5"/>
    <w:rsid w:val="00FE597B"/>
    <w:rsid w:val="00FE5992"/>
    <w:rsid w:val="00FE5A28"/>
    <w:rsid w:val="00FE5AAD"/>
    <w:rsid w:val="00FE5C26"/>
    <w:rsid w:val="00FE5CC5"/>
    <w:rsid w:val="00FE5F68"/>
    <w:rsid w:val="00FE61D5"/>
    <w:rsid w:val="00FE6789"/>
    <w:rsid w:val="00FE682D"/>
    <w:rsid w:val="00FE68C3"/>
    <w:rsid w:val="00FE69F9"/>
    <w:rsid w:val="00FE6C78"/>
    <w:rsid w:val="00FE6DEB"/>
    <w:rsid w:val="00FE756A"/>
    <w:rsid w:val="00FE76A3"/>
    <w:rsid w:val="00FE77D5"/>
    <w:rsid w:val="00FE78DA"/>
    <w:rsid w:val="00FE7930"/>
    <w:rsid w:val="00FE7F24"/>
    <w:rsid w:val="00FE7FE0"/>
    <w:rsid w:val="00FF00AD"/>
    <w:rsid w:val="00FF00C6"/>
    <w:rsid w:val="00FF00F3"/>
    <w:rsid w:val="00FF0796"/>
    <w:rsid w:val="00FF07D2"/>
    <w:rsid w:val="00FF082C"/>
    <w:rsid w:val="00FF0A54"/>
    <w:rsid w:val="00FF0C4B"/>
    <w:rsid w:val="00FF0F56"/>
    <w:rsid w:val="00FF1331"/>
    <w:rsid w:val="00FF136F"/>
    <w:rsid w:val="00FF16D8"/>
    <w:rsid w:val="00FF1A58"/>
    <w:rsid w:val="00FF20D4"/>
    <w:rsid w:val="00FF224D"/>
    <w:rsid w:val="00FF23CB"/>
    <w:rsid w:val="00FF2611"/>
    <w:rsid w:val="00FF2780"/>
    <w:rsid w:val="00FF27F4"/>
    <w:rsid w:val="00FF27FE"/>
    <w:rsid w:val="00FF289E"/>
    <w:rsid w:val="00FF2935"/>
    <w:rsid w:val="00FF293A"/>
    <w:rsid w:val="00FF29A3"/>
    <w:rsid w:val="00FF2AEF"/>
    <w:rsid w:val="00FF301E"/>
    <w:rsid w:val="00FF30C1"/>
    <w:rsid w:val="00FF3520"/>
    <w:rsid w:val="00FF3565"/>
    <w:rsid w:val="00FF3740"/>
    <w:rsid w:val="00FF380F"/>
    <w:rsid w:val="00FF3AD3"/>
    <w:rsid w:val="00FF3C1D"/>
    <w:rsid w:val="00FF3FE2"/>
    <w:rsid w:val="00FF407F"/>
    <w:rsid w:val="00FF42E1"/>
    <w:rsid w:val="00FF4403"/>
    <w:rsid w:val="00FF44CB"/>
    <w:rsid w:val="00FF4775"/>
    <w:rsid w:val="00FF49D8"/>
    <w:rsid w:val="00FF4B10"/>
    <w:rsid w:val="00FF4C42"/>
    <w:rsid w:val="00FF4D00"/>
    <w:rsid w:val="00FF4EB1"/>
    <w:rsid w:val="00FF4FC6"/>
    <w:rsid w:val="00FF5588"/>
    <w:rsid w:val="00FF5761"/>
    <w:rsid w:val="00FF58D1"/>
    <w:rsid w:val="00FF5ADA"/>
    <w:rsid w:val="00FF5F27"/>
    <w:rsid w:val="00FF61A9"/>
    <w:rsid w:val="00FF6271"/>
    <w:rsid w:val="00FF6285"/>
    <w:rsid w:val="00FF63FC"/>
    <w:rsid w:val="00FF6575"/>
    <w:rsid w:val="00FF65B5"/>
    <w:rsid w:val="00FF65DE"/>
    <w:rsid w:val="00FF66E2"/>
    <w:rsid w:val="00FF67D4"/>
    <w:rsid w:val="00FF6877"/>
    <w:rsid w:val="00FF69CC"/>
    <w:rsid w:val="00FF69FB"/>
    <w:rsid w:val="00FF6B45"/>
    <w:rsid w:val="00FF6D63"/>
    <w:rsid w:val="00FF6E4F"/>
    <w:rsid w:val="00FF7124"/>
    <w:rsid w:val="00FF7225"/>
    <w:rsid w:val="00FF7324"/>
    <w:rsid w:val="00FF7370"/>
    <w:rsid w:val="00FF74D0"/>
    <w:rsid w:val="00FF7827"/>
    <w:rsid w:val="00FF7852"/>
    <w:rsid w:val="00FF7AD1"/>
    <w:rsid w:val="087FE02B"/>
    <w:rsid w:val="0AA362C6"/>
    <w:rsid w:val="0D1FB79B"/>
    <w:rsid w:val="0F901606"/>
    <w:rsid w:val="11CAE9FC"/>
    <w:rsid w:val="121E50F6"/>
    <w:rsid w:val="1A5D58BF"/>
    <w:rsid w:val="38D43A3F"/>
    <w:rsid w:val="4026E4CE"/>
    <w:rsid w:val="4729DE56"/>
    <w:rsid w:val="51648112"/>
    <w:rsid w:val="527AE24E"/>
    <w:rsid w:val="5569688C"/>
    <w:rsid w:val="6956EC18"/>
    <w:rsid w:val="6FBAEBB4"/>
    <w:rsid w:val="70098B7C"/>
    <w:rsid w:val="72BEF485"/>
    <w:rsid w:val="730BBDDC"/>
    <w:rsid w:val="7341EA3A"/>
    <w:rsid w:val="74908EF7"/>
    <w:rsid w:val="7BF1938B"/>
    <w:rsid w:val="7D1CB2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ABEC1"/>
  <w15:docId w15:val="{03AA244C-9040-4063-8B23-F3C1F68B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9" w:qFormat="1"/>
    <w:lsdException w:name="heading 5" w:uiPriority="9" w:qFormat="1"/>
    <w:lsdException w:name="heading 6" w:semiHidden="1" w:uiPriority="9" w:unhideWhenUsed="1"/>
    <w:lsdException w:name="heading 7" w:semiHidden="1" w:unhideWhenUsed="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5" w:unhideWhenUsed="1"/>
    <w:lsdException w:name="toc 5" w:semiHidden="1" w:uiPriority="5" w:unhideWhenUsed="1"/>
    <w:lsdException w:name="toc 6" w:semiHidden="1" w:uiPriority="5" w:unhideWhenUsed="1"/>
    <w:lsdException w:name="toc 7" w:semiHidden="1" w:uiPriority="5" w:unhideWhenUsed="1"/>
    <w:lsdException w:name="toc 8" w:semiHidden="1" w:uiPriority="5" w:unhideWhenUsed="1"/>
    <w:lsdException w:name="toc 9" w:semiHidden="1" w:uiPriority="5" w:unhideWhenUsed="1"/>
    <w:lsdException w:name="Normal Indent" w:semiHidden="1" w:unhideWhenUsed="1"/>
    <w:lsdException w:name="footnote text" w:semiHidden="1" w:unhideWhenUsed="1"/>
    <w:lsdException w:name="annotation text" w:semiHidden="1"/>
    <w:lsdException w:name="header" w:uiPriority="7"/>
    <w:lsdException w:name="index heading" w:semiHidden="1" w:unhideWhenUsed="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uiPriority="3"/>
    <w:lsdException w:name="List Bullet 4" w:semiHidden="1"/>
    <w:lsdException w:name="List Bullet 5" w:semiHidden="1"/>
    <w:lsdException w:name="List Number 2" w:uiPriority="9"/>
    <w:lsdException w:name="List Number 3" w:uiPriority="9"/>
    <w:lsdException w:name="List Number 4" w:semiHidden="1" w:uiPriority="9"/>
    <w:lsdException w:name="List Number 5" w:semiHidden="1" w:uiPriority="9"/>
    <w:lsdException w:name="Title" w:semiHidden="1"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nhideWhenUsed="1"/>
    <w:lsdException w:name="Strong" w:semiHidden="1"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106559"/>
    <w:pPr>
      <w:spacing w:before="120" w:after="120" w:line="264" w:lineRule="auto"/>
    </w:pPr>
    <w:rPr>
      <w:rFonts w:ascii="Arial" w:hAnsi="Arial"/>
      <w:color w:val="000000" w:themeColor="text1"/>
      <w:sz w:val="20"/>
    </w:rPr>
  </w:style>
  <w:style w:type="paragraph" w:styleId="Heading1">
    <w:name w:val="heading 1"/>
    <w:next w:val="BodyText"/>
    <w:link w:val="Heading1Char"/>
    <w:uiPriority w:val="2"/>
    <w:qFormat/>
    <w:rsid w:val="00E82415"/>
    <w:pPr>
      <w:keepNext/>
      <w:keepLines/>
      <w:spacing w:before="480" w:after="480" w:line="192" w:lineRule="auto"/>
      <w:outlineLvl w:val="0"/>
    </w:pPr>
    <w:rPr>
      <w:rFonts w:eastAsiaTheme="majorEastAsia" w:cstheme="majorBidi"/>
      <w:color w:val="0C233C" w:themeColor="accent3"/>
      <w:sz w:val="72"/>
      <w:szCs w:val="32"/>
    </w:rPr>
  </w:style>
  <w:style w:type="paragraph" w:styleId="Heading2">
    <w:name w:val="heading 2"/>
    <w:basedOn w:val="Heading1"/>
    <w:next w:val="BodyText"/>
    <w:link w:val="Heading2Char"/>
    <w:uiPriority w:val="2"/>
    <w:qFormat/>
    <w:rsid w:val="002B0BFF"/>
    <w:pPr>
      <w:spacing w:before="120" w:after="240"/>
      <w:outlineLvl w:val="1"/>
    </w:pPr>
    <w:rPr>
      <w:sz w:val="40"/>
      <w:szCs w:val="26"/>
    </w:rPr>
  </w:style>
  <w:style w:type="paragraph" w:styleId="Heading3">
    <w:name w:val="heading 3"/>
    <w:basedOn w:val="Heading2"/>
    <w:next w:val="BodyText"/>
    <w:link w:val="Heading3Char"/>
    <w:uiPriority w:val="2"/>
    <w:qFormat/>
    <w:rsid w:val="00A3224D"/>
    <w:pPr>
      <w:spacing w:before="240" w:after="120" w:line="240" w:lineRule="auto"/>
      <w:outlineLvl w:val="2"/>
    </w:pPr>
    <w:rPr>
      <w:rFonts w:ascii="Arial Bold" w:hAnsi="Arial Bold"/>
      <w:b/>
      <w:color w:val="540EAF" w:themeColor="accent5" w:themeShade="BF"/>
      <w:sz w:val="24"/>
      <w:szCs w:val="24"/>
    </w:rPr>
  </w:style>
  <w:style w:type="paragraph" w:styleId="Heading4">
    <w:name w:val="heading 4"/>
    <w:basedOn w:val="Heading3"/>
    <w:next w:val="BodyText"/>
    <w:link w:val="Heading4Char"/>
    <w:uiPriority w:val="2"/>
    <w:qFormat/>
    <w:rsid w:val="009C2C76"/>
    <w:pPr>
      <w:outlineLvl w:val="3"/>
    </w:pPr>
    <w:rPr>
      <w:rFonts w:ascii="Arial" w:hAnsi="Arial"/>
      <w:iCs/>
      <w:color w:val="0C233C" w:themeColor="accent3"/>
      <w:sz w:val="22"/>
    </w:rPr>
  </w:style>
  <w:style w:type="paragraph" w:styleId="Heading5">
    <w:name w:val="heading 5"/>
    <w:basedOn w:val="Heading4"/>
    <w:next w:val="BodyText"/>
    <w:link w:val="Heading5Char"/>
    <w:uiPriority w:val="2"/>
    <w:qFormat/>
    <w:rsid w:val="00F302F5"/>
    <w:pPr>
      <w:spacing w:before="120"/>
      <w:outlineLvl w:val="4"/>
    </w:pPr>
    <w:rPr>
      <w:rFonts w:ascii="Arial Bold" w:hAnsi="Arial Bold"/>
      <w:color w:val="000000" w:themeColor="text1"/>
      <w:sz w:val="20"/>
    </w:rPr>
  </w:style>
  <w:style w:type="paragraph" w:styleId="Heading6">
    <w:name w:val="heading 6"/>
    <w:next w:val="BodyText"/>
    <w:link w:val="Heading6Char"/>
    <w:uiPriority w:val="99"/>
    <w:semiHidden/>
    <w:rsid w:val="00CE377E"/>
    <w:pPr>
      <w:keepNext/>
      <w:keepLines/>
      <w:spacing w:before="40" w:after="0"/>
      <w:outlineLvl w:val="5"/>
    </w:pPr>
    <w:rPr>
      <w:rFonts w:asciiTheme="majorHAnsi" w:eastAsiaTheme="majorEastAsia" w:hAnsiTheme="majorHAnsi" w:cstheme="majorBidi"/>
      <w:color w:val="0E2370" w:themeColor="accent1" w:themeShade="7F"/>
      <w:sz w:val="24"/>
    </w:rPr>
  </w:style>
  <w:style w:type="paragraph" w:styleId="Heading7">
    <w:name w:val="heading 7"/>
    <w:next w:val="BodyText"/>
    <w:link w:val="Heading7Char"/>
    <w:uiPriority w:val="99"/>
    <w:qFormat/>
    <w:rsid w:val="00C5628A"/>
    <w:pPr>
      <w:keepNext/>
      <w:keepLines/>
      <w:spacing w:before="40" w:after="0"/>
      <w:outlineLvl w:val="6"/>
    </w:pPr>
    <w:rPr>
      <w:rFonts w:asciiTheme="majorHAnsi" w:eastAsiaTheme="majorEastAsia" w:hAnsiTheme="majorHAnsi" w:cstheme="majorBidi"/>
      <w:i/>
      <w:iCs/>
      <w:color w:val="0E237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0282C"/>
    <w:pPr>
      <w:spacing w:before="120" w:after="120" w:line="264" w:lineRule="auto"/>
    </w:pPr>
    <w:rPr>
      <w:rFonts w:ascii="Arial" w:hAnsi="Arial"/>
      <w:color w:val="000000" w:themeColor="text1"/>
      <w:sz w:val="20"/>
    </w:rPr>
  </w:style>
  <w:style w:type="character" w:customStyle="1" w:styleId="BodyTextChar">
    <w:name w:val="Body Text Char"/>
    <w:basedOn w:val="DefaultParagraphFont"/>
    <w:link w:val="BodyText"/>
    <w:rsid w:val="00793A62"/>
    <w:rPr>
      <w:rFonts w:ascii="Arial" w:hAnsi="Arial"/>
      <w:color w:val="000000" w:themeColor="text1"/>
      <w:sz w:val="20"/>
    </w:rPr>
  </w:style>
  <w:style w:type="paragraph" w:styleId="ListBullet">
    <w:name w:val="List Bullet"/>
    <w:basedOn w:val="BodyText"/>
    <w:uiPriority w:val="99"/>
    <w:semiHidden/>
    <w:rsid w:val="00A3224D"/>
    <w:pPr>
      <w:numPr>
        <w:numId w:val="8"/>
      </w:numPr>
    </w:pPr>
  </w:style>
  <w:style w:type="paragraph" w:styleId="ListBullet2">
    <w:name w:val="List Bullet 2"/>
    <w:uiPriority w:val="99"/>
    <w:semiHidden/>
    <w:rsid w:val="00881B36"/>
    <w:pPr>
      <w:numPr>
        <w:numId w:val="6"/>
      </w:numPr>
      <w:tabs>
        <w:tab w:val="clear" w:pos="340"/>
        <w:tab w:val="num" w:pos="680"/>
      </w:tabs>
      <w:spacing w:before="120" w:after="120" w:line="264" w:lineRule="auto"/>
      <w:ind w:left="680"/>
    </w:pPr>
    <w:rPr>
      <w:rFonts w:ascii="Arial" w:hAnsi="Arial"/>
      <w:color w:val="000000" w:themeColor="text1"/>
      <w:sz w:val="20"/>
    </w:rPr>
  </w:style>
  <w:style w:type="paragraph" w:styleId="ListBullet3">
    <w:name w:val="List Bullet 3"/>
    <w:uiPriority w:val="99"/>
    <w:semiHidden/>
    <w:rsid w:val="009A1577"/>
    <w:pPr>
      <w:numPr>
        <w:numId w:val="12"/>
      </w:numPr>
      <w:spacing w:before="60" w:after="60" w:line="240" w:lineRule="auto"/>
    </w:pPr>
    <w:rPr>
      <w:rFonts w:ascii="Arial" w:hAnsi="Arial"/>
      <w:color w:val="000000" w:themeColor="text1"/>
      <w:sz w:val="20"/>
    </w:rPr>
  </w:style>
  <w:style w:type="character" w:customStyle="1" w:styleId="Heading1Char">
    <w:name w:val="Heading 1 Char"/>
    <w:basedOn w:val="DefaultParagraphFont"/>
    <w:link w:val="Heading1"/>
    <w:uiPriority w:val="2"/>
    <w:rsid w:val="00E82415"/>
    <w:rPr>
      <w:rFonts w:eastAsiaTheme="majorEastAsia" w:cstheme="majorBidi"/>
      <w:color w:val="0C233C" w:themeColor="accent3"/>
      <w:sz w:val="72"/>
      <w:szCs w:val="32"/>
    </w:rPr>
  </w:style>
  <w:style w:type="character" w:customStyle="1" w:styleId="Heading2Char">
    <w:name w:val="Heading 2 Char"/>
    <w:basedOn w:val="DefaultParagraphFont"/>
    <w:link w:val="Heading2"/>
    <w:uiPriority w:val="1"/>
    <w:rsid w:val="002B0BFF"/>
    <w:rPr>
      <w:rFonts w:ascii="KPMG Bold" w:eastAsiaTheme="majorEastAsia" w:hAnsi="KPMG Bold" w:cstheme="majorBidi"/>
      <w:color w:val="0C233C" w:themeColor="accent3"/>
      <w:sz w:val="40"/>
      <w:szCs w:val="26"/>
    </w:rPr>
  </w:style>
  <w:style w:type="character" w:customStyle="1" w:styleId="Heading3Char">
    <w:name w:val="Heading 3 Char"/>
    <w:basedOn w:val="DefaultParagraphFont"/>
    <w:link w:val="Heading3"/>
    <w:uiPriority w:val="2"/>
    <w:rsid w:val="00F510DC"/>
    <w:rPr>
      <w:rFonts w:ascii="Arial Bold" w:eastAsiaTheme="majorEastAsia" w:hAnsi="Arial Bold" w:cstheme="majorBidi"/>
      <w:b/>
      <w:color w:val="540EAF" w:themeColor="accent5" w:themeShade="BF"/>
      <w:sz w:val="24"/>
      <w:szCs w:val="24"/>
    </w:rPr>
  </w:style>
  <w:style w:type="character" w:customStyle="1" w:styleId="Heading4Char">
    <w:name w:val="Heading 4 Char"/>
    <w:basedOn w:val="DefaultParagraphFont"/>
    <w:link w:val="Heading4"/>
    <w:uiPriority w:val="2"/>
    <w:rsid w:val="009C2C76"/>
    <w:rPr>
      <w:rFonts w:ascii="Arial" w:eastAsiaTheme="majorEastAsia" w:hAnsi="Arial" w:cstheme="majorBidi"/>
      <w:b/>
      <w:iCs/>
      <w:color w:val="0C233C" w:themeColor="accent3"/>
      <w:szCs w:val="24"/>
    </w:rPr>
  </w:style>
  <w:style w:type="character" w:customStyle="1" w:styleId="Heading5Char">
    <w:name w:val="Heading 5 Char"/>
    <w:basedOn w:val="DefaultParagraphFont"/>
    <w:link w:val="Heading5"/>
    <w:uiPriority w:val="2"/>
    <w:rsid w:val="00F302F5"/>
    <w:rPr>
      <w:rFonts w:ascii="Arial Bold" w:eastAsiaTheme="majorEastAsia" w:hAnsi="Arial Bold" w:cstheme="majorBidi"/>
      <w:b/>
      <w:iCs/>
      <w:color w:val="000000" w:themeColor="text1"/>
      <w:sz w:val="20"/>
      <w:szCs w:val="24"/>
    </w:rPr>
  </w:style>
  <w:style w:type="character" w:customStyle="1" w:styleId="Heading6Char">
    <w:name w:val="Heading 6 Char"/>
    <w:basedOn w:val="DefaultParagraphFont"/>
    <w:link w:val="Heading6"/>
    <w:uiPriority w:val="99"/>
    <w:semiHidden/>
    <w:rsid w:val="00CE377E"/>
    <w:rPr>
      <w:rFonts w:asciiTheme="majorHAnsi" w:eastAsiaTheme="majorEastAsia" w:hAnsiTheme="majorHAnsi" w:cstheme="majorBidi"/>
      <w:color w:val="0E2370" w:themeColor="accent1" w:themeShade="7F"/>
      <w:sz w:val="24"/>
    </w:rPr>
  </w:style>
  <w:style w:type="character" w:customStyle="1" w:styleId="Heading7Char">
    <w:name w:val="Heading 7 Char"/>
    <w:basedOn w:val="DefaultParagraphFont"/>
    <w:link w:val="Heading7"/>
    <w:uiPriority w:val="99"/>
    <w:semiHidden/>
    <w:rsid w:val="00DE7371"/>
    <w:rPr>
      <w:rFonts w:asciiTheme="majorHAnsi" w:eastAsiaTheme="majorEastAsia" w:hAnsiTheme="majorHAnsi" w:cstheme="majorBidi"/>
      <w:i/>
      <w:iCs/>
      <w:color w:val="0E2370" w:themeColor="accent1" w:themeShade="7F"/>
      <w:sz w:val="20"/>
    </w:rPr>
  </w:style>
  <w:style w:type="paragraph" w:customStyle="1" w:styleId="Introtext">
    <w:name w:val="Intro text"/>
    <w:basedOn w:val="BodyText"/>
    <w:next w:val="BodyText"/>
    <w:uiPriority w:val="3"/>
    <w:qFormat/>
    <w:rsid w:val="00C23D08"/>
    <w:pPr>
      <w:pBdr>
        <w:left w:val="single" w:sz="12" w:space="4" w:color="auto"/>
      </w:pBdr>
      <w:spacing w:line="288" w:lineRule="auto"/>
      <w:ind w:left="113"/>
    </w:pPr>
    <w:rPr>
      <w:b/>
      <w:sz w:val="22"/>
      <w:szCs w:val="32"/>
    </w:rPr>
  </w:style>
  <w:style w:type="paragraph" w:customStyle="1" w:styleId="CoverTitle1">
    <w:name w:val="Cover Title 1"/>
    <w:basedOn w:val="BodyText"/>
    <w:next w:val="Covertitle2"/>
    <w:uiPriority w:val="4"/>
    <w:qFormat/>
    <w:rsid w:val="00C9316A"/>
    <w:pPr>
      <w:framePr w:hSpace="180" w:wrap="around" w:vAnchor="text" w:hAnchor="text" w:x="284" w:y="1"/>
      <w:spacing w:after="400" w:line="180" w:lineRule="auto"/>
      <w:suppressOverlap/>
    </w:pPr>
    <w:rPr>
      <w:rFonts w:ascii="KPMG Bold" w:hAnsi="KPMG Bold"/>
      <w:color w:val="00338D" w:themeColor="accent2"/>
      <w:sz w:val="160"/>
      <w:szCs w:val="180"/>
    </w:rPr>
  </w:style>
  <w:style w:type="paragraph" w:customStyle="1" w:styleId="Covertitle2">
    <w:name w:val="Cover title 2"/>
    <w:uiPriority w:val="4"/>
    <w:qFormat/>
    <w:rsid w:val="007259DF"/>
    <w:pPr>
      <w:spacing w:before="120" w:after="120" w:line="192" w:lineRule="auto"/>
    </w:pPr>
    <w:rPr>
      <w:rFonts w:ascii="Arial" w:hAnsi="Arial"/>
      <w:b/>
      <w:bCs/>
      <w:color w:val="0C233C" w:themeColor="accent3"/>
      <w:sz w:val="28"/>
      <w:szCs w:val="40"/>
    </w:rPr>
  </w:style>
  <w:style w:type="paragraph" w:customStyle="1" w:styleId="CoverTitle3White">
    <w:name w:val="Cover Title 3 White"/>
    <w:uiPriority w:val="4"/>
    <w:qFormat/>
    <w:rsid w:val="008D4CD0"/>
    <w:pPr>
      <w:spacing w:before="120" w:after="120" w:line="240" w:lineRule="auto"/>
    </w:pPr>
    <w:rPr>
      <w:rFonts w:ascii="Arial" w:hAnsi="Arial"/>
      <w:color w:val="FFFFFF" w:themeColor="background1"/>
      <w:sz w:val="32"/>
      <w:szCs w:val="32"/>
    </w:rPr>
  </w:style>
  <w:style w:type="paragraph" w:customStyle="1" w:styleId="CoverTitle4White">
    <w:name w:val="Cover Title 4 White"/>
    <w:basedOn w:val="BodyText"/>
    <w:uiPriority w:val="4"/>
    <w:qFormat/>
    <w:rsid w:val="007C5F05"/>
    <w:rPr>
      <w:color w:val="FFFFFF" w:themeColor="background1"/>
      <w:szCs w:val="24"/>
    </w:rPr>
  </w:style>
  <w:style w:type="table" w:styleId="TableGrid">
    <w:name w:val="Table Grid"/>
    <w:basedOn w:val="TableNormal"/>
    <w:uiPriority w:val="59"/>
    <w:rsid w:val="00926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9261CA"/>
    <w:pPr>
      <w:spacing w:after="0" w:line="240" w:lineRule="auto"/>
    </w:pPr>
    <w:tblPr>
      <w:tblStyleRowBandSize w:val="1"/>
      <w:tblStyleColBandSize w:val="1"/>
    </w:tblPr>
    <w:tblStylePr w:type="firstRow">
      <w:rPr>
        <w:b/>
        <w:bCs/>
      </w:rPr>
      <w:tblPr/>
      <w:tcPr>
        <w:tcBorders>
          <w:bottom w:val="single" w:sz="4" w:space="0" w:color="7791ED" w:themeColor="accent1" w:themeTint="99"/>
        </w:tcBorders>
      </w:tcPr>
    </w:tblStylePr>
    <w:tblStylePr w:type="lastRow">
      <w:rPr>
        <w:b/>
        <w:bCs/>
      </w:rPr>
      <w:tblPr/>
      <w:tcPr>
        <w:tcBorders>
          <w:top w:val="single" w:sz="4" w:space="0" w:color="7791ED" w:themeColor="accent1" w:themeTint="99"/>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GridTable3-Accent1">
    <w:name w:val="Grid Table 3 Accent 1"/>
    <w:basedOn w:val="TableNormal"/>
    <w:uiPriority w:val="48"/>
    <w:rsid w:val="009261CA"/>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1" w:themeFillTint="33"/>
      </w:tcPr>
    </w:tblStylePr>
    <w:tblStylePr w:type="band1Horz">
      <w:tblPr/>
      <w:tcPr>
        <w:shd w:val="clear" w:color="auto" w:fill="D1DAF9" w:themeFill="accent1" w:themeFillTint="33"/>
      </w:tcPr>
    </w:tblStylePr>
    <w:tblStylePr w:type="neCell">
      <w:tblPr/>
      <w:tcPr>
        <w:tcBorders>
          <w:bottom w:val="single" w:sz="4" w:space="0" w:color="7791ED" w:themeColor="accent1" w:themeTint="99"/>
        </w:tcBorders>
      </w:tcPr>
    </w:tblStylePr>
    <w:tblStylePr w:type="nwCell">
      <w:tblPr/>
      <w:tcPr>
        <w:tcBorders>
          <w:bottom w:val="single" w:sz="4" w:space="0" w:color="7791ED" w:themeColor="accent1" w:themeTint="99"/>
        </w:tcBorders>
      </w:tcPr>
    </w:tblStylePr>
    <w:tblStylePr w:type="seCell">
      <w:tblPr/>
      <w:tcPr>
        <w:tcBorders>
          <w:top w:val="single" w:sz="4" w:space="0" w:color="7791ED" w:themeColor="accent1" w:themeTint="99"/>
        </w:tcBorders>
      </w:tcPr>
    </w:tblStylePr>
    <w:tblStylePr w:type="swCell">
      <w:tblPr/>
      <w:tcPr>
        <w:tcBorders>
          <w:top w:val="single" w:sz="4" w:space="0" w:color="7791ED" w:themeColor="accent1" w:themeTint="99"/>
        </w:tcBorders>
      </w:tcPr>
    </w:tblStylePr>
  </w:style>
  <w:style w:type="table" w:customStyle="1" w:styleId="KPMGTable">
    <w:name w:val="KPMG Table"/>
    <w:basedOn w:val="TableNormal"/>
    <w:uiPriority w:val="99"/>
    <w:rsid w:val="00D636CA"/>
    <w:pPr>
      <w:spacing w:after="0" w:line="240" w:lineRule="auto"/>
    </w:pPr>
    <w:rPr>
      <w:rFonts w:ascii="Arial" w:hAnsi="Arial"/>
      <w:sz w:val="20"/>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1E49E2" w:themeColor="accent1"/>
      </w:rPr>
      <w:tblPr/>
      <w:tcPr>
        <w:tcBorders>
          <w:bottom w:val="single" w:sz="4" w:space="0" w:color="1E49E2" w:themeColor="accent1"/>
        </w:tcBorders>
        <w:shd w:val="clear" w:color="auto" w:fill="FFFFFF" w:themeFill="background1"/>
      </w:tcPr>
    </w:tblStylePr>
    <w:tblStylePr w:type="lastRow">
      <w:tblPr/>
      <w:tcPr>
        <w:tcBorders>
          <w:bottom w:val="single" w:sz="4" w:space="0" w:color="1E49E2" w:themeColor="accent1"/>
        </w:tcBorders>
      </w:tcPr>
    </w:tblStylePr>
    <w:tblStylePr w:type="firstCol">
      <w:tblPr/>
      <w:tcPr>
        <w:shd w:val="clear" w:color="auto" w:fill="F2F2F2" w:themeFill="background1" w:themeFillShade="F2"/>
      </w:tcPr>
    </w:tblStylePr>
  </w:style>
  <w:style w:type="paragraph" w:customStyle="1" w:styleId="TableHeading">
    <w:name w:val="Table Heading"/>
    <w:basedOn w:val="BodyText"/>
    <w:uiPriority w:val="6"/>
    <w:qFormat/>
    <w:rsid w:val="009261CA"/>
    <w:rPr>
      <w:b/>
      <w:color w:val="1E49E2" w:themeColor="accent1"/>
    </w:rPr>
  </w:style>
  <w:style w:type="paragraph" w:styleId="TOC1">
    <w:name w:val="toc 1"/>
    <w:basedOn w:val="Normal"/>
    <w:next w:val="Normal"/>
    <w:autoRedefine/>
    <w:uiPriority w:val="39"/>
    <w:rsid w:val="008C6242"/>
    <w:pPr>
      <w:tabs>
        <w:tab w:val="left" w:pos="426"/>
        <w:tab w:val="left" w:pos="8505"/>
      </w:tabs>
      <w:spacing w:afterLines="60" w:after="144"/>
      <w:ind w:right="624"/>
    </w:pPr>
    <w:rPr>
      <w:rFonts w:ascii="KPMG Bold" w:hAnsi="KPMG Bold"/>
      <w:noProof/>
      <w:sz w:val="32"/>
    </w:rPr>
  </w:style>
  <w:style w:type="paragraph" w:styleId="Header">
    <w:name w:val="header"/>
    <w:link w:val="HeaderChar"/>
    <w:uiPriority w:val="7"/>
    <w:rsid w:val="00120F2A"/>
    <w:pPr>
      <w:tabs>
        <w:tab w:val="center" w:pos="4513"/>
        <w:tab w:val="right" w:pos="9026"/>
      </w:tabs>
      <w:spacing w:after="60" w:line="240" w:lineRule="auto"/>
    </w:pPr>
    <w:rPr>
      <w:rFonts w:ascii="Arial" w:hAnsi="Arial"/>
      <w:color w:val="404040" w:themeColor="text1" w:themeTint="BF"/>
      <w:sz w:val="16"/>
    </w:rPr>
  </w:style>
  <w:style w:type="character" w:customStyle="1" w:styleId="HeaderChar">
    <w:name w:val="Header Char"/>
    <w:basedOn w:val="DefaultParagraphFont"/>
    <w:link w:val="Header"/>
    <w:uiPriority w:val="7"/>
    <w:rsid w:val="00120F2A"/>
    <w:rPr>
      <w:rFonts w:ascii="Arial" w:hAnsi="Arial"/>
      <w:color w:val="404040" w:themeColor="text1" w:themeTint="BF"/>
      <w:sz w:val="16"/>
    </w:rPr>
  </w:style>
  <w:style w:type="paragraph" w:styleId="Footer">
    <w:name w:val="footer"/>
    <w:link w:val="FooterChar"/>
    <w:uiPriority w:val="99"/>
    <w:rsid w:val="00120F2A"/>
    <w:pPr>
      <w:tabs>
        <w:tab w:val="center" w:pos="4513"/>
        <w:tab w:val="right" w:pos="9026"/>
      </w:tabs>
      <w:spacing w:after="60" w:line="240" w:lineRule="auto"/>
    </w:pPr>
    <w:rPr>
      <w:rFonts w:ascii="Arial" w:hAnsi="Arial"/>
      <w:color w:val="404040" w:themeColor="text1" w:themeTint="BF"/>
      <w:sz w:val="12"/>
    </w:rPr>
  </w:style>
  <w:style w:type="character" w:customStyle="1" w:styleId="FooterChar">
    <w:name w:val="Footer Char"/>
    <w:basedOn w:val="DefaultParagraphFont"/>
    <w:link w:val="Footer"/>
    <w:uiPriority w:val="99"/>
    <w:rsid w:val="00120F2A"/>
    <w:rPr>
      <w:rFonts w:ascii="Arial" w:hAnsi="Arial"/>
      <w:color w:val="404040" w:themeColor="text1" w:themeTint="BF"/>
      <w:sz w:val="12"/>
    </w:rPr>
  </w:style>
  <w:style w:type="character" w:styleId="Hyperlink">
    <w:name w:val="Hyperlink"/>
    <w:uiPriority w:val="99"/>
    <w:rsid w:val="004A5C0B"/>
    <w:rPr>
      <w:color w:val="auto"/>
      <w:u w:val="single"/>
    </w:rPr>
  </w:style>
  <w:style w:type="paragraph" w:styleId="ListNumber">
    <w:name w:val="List Number"/>
    <w:basedOn w:val="ListParagraph"/>
    <w:uiPriority w:val="9"/>
    <w:rsid w:val="00945BCD"/>
    <w:pPr>
      <w:numPr>
        <w:numId w:val="11"/>
      </w:numPr>
      <w:spacing w:before="40" w:after="160" w:line="288" w:lineRule="auto"/>
    </w:pPr>
    <w:rPr>
      <w:color w:val="auto"/>
    </w:rPr>
  </w:style>
  <w:style w:type="paragraph" w:styleId="ListNumber2">
    <w:name w:val="List Number 2"/>
    <w:basedOn w:val="Normal"/>
    <w:uiPriority w:val="9"/>
    <w:rsid w:val="00BD2137"/>
    <w:pPr>
      <w:numPr>
        <w:ilvl w:val="1"/>
        <w:numId w:val="2"/>
      </w:numPr>
    </w:pPr>
  </w:style>
  <w:style w:type="paragraph" w:styleId="ListNumber3">
    <w:name w:val="List Number 3"/>
    <w:basedOn w:val="Normal"/>
    <w:uiPriority w:val="9"/>
    <w:rsid w:val="00BD2137"/>
    <w:pPr>
      <w:numPr>
        <w:ilvl w:val="2"/>
        <w:numId w:val="2"/>
      </w:numPr>
    </w:pPr>
  </w:style>
  <w:style w:type="numbering" w:customStyle="1" w:styleId="Bullets">
    <w:name w:val="Bullets"/>
    <w:uiPriority w:val="99"/>
    <w:rsid w:val="000B471F"/>
    <w:pPr>
      <w:numPr>
        <w:numId w:val="1"/>
      </w:numPr>
    </w:pPr>
  </w:style>
  <w:style w:type="paragraph" w:customStyle="1" w:styleId="CVTitle">
    <w:name w:val="CV Title"/>
    <w:next w:val="BodyText"/>
    <w:uiPriority w:val="11"/>
    <w:qFormat/>
    <w:rsid w:val="00F84B7C"/>
    <w:pPr>
      <w:spacing w:before="60" w:after="120" w:line="240" w:lineRule="auto"/>
    </w:pPr>
    <w:rPr>
      <w:rFonts w:ascii="Arial" w:hAnsi="Arial"/>
      <w:b/>
      <w:bCs/>
      <w:color w:val="000000" w:themeColor="text1"/>
      <w:sz w:val="20"/>
    </w:rPr>
  </w:style>
  <w:style w:type="paragraph" w:customStyle="1" w:styleId="CVHeading">
    <w:name w:val="CV Heading"/>
    <w:basedOn w:val="BodyText"/>
    <w:uiPriority w:val="12"/>
    <w:qFormat/>
    <w:rsid w:val="00E11D06"/>
    <w:rPr>
      <w:b/>
      <w:bCs/>
      <w:color w:val="00338D" w:themeColor="text2"/>
      <w:sz w:val="22"/>
      <w:szCs w:val="28"/>
      <w:lang w:val="en-US" w:eastAsia="en-AU"/>
    </w:rPr>
  </w:style>
  <w:style w:type="paragraph" w:customStyle="1" w:styleId="Heading1TOCNoShow">
    <w:name w:val="Heading 1 TOC No Show"/>
    <w:next w:val="BodyText"/>
    <w:link w:val="Heading1TOCNoShowChar"/>
    <w:uiPriority w:val="2"/>
    <w:qFormat/>
    <w:rsid w:val="00E82415"/>
    <w:pPr>
      <w:spacing w:before="480" w:after="240" w:line="192" w:lineRule="auto"/>
    </w:pPr>
    <w:rPr>
      <w:rFonts w:eastAsiaTheme="majorEastAsia" w:cstheme="majorBidi"/>
      <w:color w:val="0C233C" w:themeColor="accent3"/>
      <w:sz w:val="72"/>
      <w:szCs w:val="28"/>
    </w:rPr>
  </w:style>
  <w:style w:type="paragraph" w:styleId="TOC2">
    <w:name w:val="toc 2"/>
    <w:basedOn w:val="Normal"/>
    <w:next w:val="Normal"/>
    <w:autoRedefine/>
    <w:uiPriority w:val="39"/>
    <w:rsid w:val="00BA5E6F"/>
    <w:pPr>
      <w:tabs>
        <w:tab w:val="right" w:leader="dot" w:pos="8647"/>
      </w:tabs>
      <w:ind w:right="566"/>
    </w:pPr>
  </w:style>
  <w:style w:type="paragraph" w:customStyle="1" w:styleId="Bullet1stlevel">
    <w:name w:val="Bullet 1st level"/>
    <w:link w:val="Bullet1stlevelChar"/>
    <w:qFormat/>
    <w:rsid w:val="001003A7"/>
    <w:pPr>
      <w:numPr>
        <w:numId w:val="4"/>
      </w:numPr>
      <w:spacing w:before="60" w:after="60" w:line="240" w:lineRule="auto"/>
    </w:pPr>
    <w:rPr>
      <w:rFonts w:ascii="Arial" w:hAnsi="Arial"/>
      <w:color w:val="000000" w:themeColor="text1"/>
      <w:sz w:val="20"/>
    </w:rPr>
  </w:style>
  <w:style w:type="paragraph" w:customStyle="1" w:styleId="Bullet2ndlevel">
    <w:name w:val="Bullet 2nd level"/>
    <w:uiPriority w:val="1"/>
    <w:qFormat/>
    <w:rsid w:val="00DE7371"/>
    <w:pPr>
      <w:spacing w:before="60" w:after="60" w:line="240" w:lineRule="auto"/>
    </w:pPr>
    <w:rPr>
      <w:rFonts w:ascii="Arial" w:hAnsi="Arial"/>
      <w:color w:val="000000" w:themeColor="text1"/>
      <w:sz w:val="20"/>
    </w:rPr>
  </w:style>
  <w:style w:type="paragraph" w:customStyle="1" w:styleId="Bullet3rdlevel">
    <w:name w:val="Bullet 3rd level"/>
    <w:uiPriority w:val="1"/>
    <w:qFormat/>
    <w:rsid w:val="000D36F7"/>
    <w:pPr>
      <w:spacing w:before="60" w:after="60" w:line="240" w:lineRule="auto"/>
    </w:pPr>
    <w:rPr>
      <w:rFonts w:ascii="Arial" w:hAnsi="Arial"/>
      <w:color w:val="000000" w:themeColor="text1"/>
      <w:sz w:val="20"/>
    </w:rPr>
  </w:style>
  <w:style w:type="character" w:styleId="UnresolvedMention">
    <w:name w:val="Unresolved Mention"/>
    <w:basedOn w:val="DefaultParagraphFont"/>
    <w:uiPriority w:val="99"/>
    <w:unhideWhenUsed/>
    <w:rsid w:val="00F94AB9"/>
    <w:rPr>
      <w:color w:val="605E5C"/>
      <w:shd w:val="clear" w:color="auto" w:fill="E1DFDD"/>
    </w:rPr>
  </w:style>
  <w:style w:type="character" w:styleId="FollowedHyperlink">
    <w:name w:val="FollowedHyperlink"/>
    <w:basedOn w:val="DefaultParagraphFont"/>
    <w:uiPriority w:val="99"/>
    <w:semiHidden/>
    <w:unhideWhenUsed/>
    <w:rsid w:val="005D48F7"/>
    <w:rPr>
      <w:color w:val="098E80" w:themeColor="followedHyperlink"/>
      <w:u w:val="single"/>
    </w:rPr>
  </w:style>
  <w:style w:type="paragraph" w:customStyle="1" w:styleId="CredName">
    <w:name w:val="Cred Name"/>
    <w:basedOn w:val="BodyText"/>
    <w:uiPriority w:val="99"/>
    <w:qFormat/>
    <w:rsid w:val="00F05902"/>
    <w:pPr>
      <w:spacing w:after="0"/>
    </w:pPr>
    <w:rPr>
      <w:b/>
      <w:bCs/>
      <w:color w:val="FFFFFF" w:themeColor="background1"/>
      <w:sz w:val="28"/>
      <w:szCs w:val="28"/>
    </w:rPr>
  </w:style>
  <w:style w:type="paragraph" w:customStyle="1" w:styleId="CredProject">
    <w:name w:val="Cred Project"/>
    <w:basedOn w:val="CredName"/>
    <w:uiPriority w:val="99"/>
    <w:qFormat/>
    <w:rsid w:val="00FA713F"/>
    <w:pPr>
      <w:spacing w:before="0"/>
    </w:pPr>
    <w:rPr>
      <w:b w:val="0"/>
      <w:bCs w:val="0"/>
      <w:sz w:val="24"/>
      <w:szCs w:val="24"/>
    </w:rPr>
  </w:style>
  <w:style w:type="paragraph" w:customStyle="1" w:styleId="CredHeading">
    <w:name w:val="Cred Heading"/>
    <w:basedOn w:val="BodyText"/>
    <w:uiPriority w:val="99"/>
    <w:qFormat/>
    <w:rsid w:val="00FA713F"/>
    <w:rPr>
      <w:rFonts w:cs="Arial"/>
      <w:b/>
      <w:bCs/>
      <w:color w:val="1E49E2" w:themeColor="accent1"/>
      <w:kern w:val="24"/>
      <w:sz w:val="24"/>
      <w:szCs w:val="24"/>
    </w:rPr>
  </w:style>
  <w:style w:type="paragraph" w:customStyle="1" w:styleId="CVphone-email">
    <w:name w:val="CV phone - email"/>
    <w:basedOn w:val="BodyText"/>
    <w:link w:val="CVphone-emailChar"/>
    <w:uiPriority w:val="99"/>
    <w:qFormat/>
    <w:rsid w:val="005D4BB1"/>
    <w:pPr>
      <w:spacing w:after="0"/>
    </w:pPr>
  </w:style>
  <w:style w:type="character" w:customStyle="1" w:styleId="CVphone-emailChar">
    <w:name w:val="CV phone - email Char"/>
    <w:basedOn w:val="BodyTextChar"/>
    <w:link w:val="CVphone-email"/>
    <w:uiPriority w:val="99"/>
    <w:rsid w:val="005D4BB1"/>
    <w:rPr>
      <w:rFonts w:ascii="Arial" w:hAnsi="Arial"/>
      <w:color w:val="000000" w:themeColor="text1"/>
      <w:sz w:val="20"/>
    </w:rPr>
  </w:style>
  <w:style w:type="character" w:styleId="Emphasis">
    <w:name w:val="Emphasis"/>
    <w:basedOn w:val="DefaultParagraphFont"/>
    <w:uiPriority w:val="20"/>
    <w:qFormat/>
    <w:rsid w:val="002D1979"/>
    <w:rPr>
      <w:i/>
      <w:iCs/>
    </w:rPr>
  </w:style>
  <w:style w:type="paragraph" w:styleId="NormalWeb">
    <w:name w:val="Normal (Web)"/>
    <w:basedOn w:val="Normal"/>
    <w:uiPriority w:val="99"/>
    <w:unhideWhenUsed/>
    <w:rsid w:val="00305DDE"/>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BodyTextSingleSpacing">
    <w:name w:val="Body Text Single Spacing"/>
    <w:basedOn w:val="BodyText"/>
    <w:uiPriority w:val="99"/>
    <w:rsid w:val="00305DDE"/>
    <w:pPr>
      <w:spacing w:after="0"/>
    </w:pPr>
  </w:style>
  <w:style w:type="paragraph" w:customStyle="1" w:styleId="CVSubTitle">
    <w:name w:val="CV Sub Title"/>
    <w:basedOn w:val="CVTitle"/>
    <w:autoRedefine/>
    <w:uiPriority w:val="99"/>
    <w:qFormat/>
    <w:rsid w:val="00E11D06"/>
    <w:rPr>
      <w:b w:val="0"/>
      <w:bCs w:val="0"/>
      <w:color w:val="1E49E2" w:themeColor="accent1"/>
    </w:rPr>
  </w:style>
  <w:style w:type="table" w:customStyle="1" w:styleId="TableGrid2">
    <w:name w:val="Table Grid2"/>
    <w:basedOn w:val="TableNormal"/>
    <w:next w:val="TableGrid"/>
    <w:uiPriority w:val="39"/>
    <w:rsid w:val="00A41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MGTable6">
    <w:name w:val="KPMG Table6"/>
    <w:basedOn w:val="TableNormal"/>
    <w:uiPriority w:val="99"/>
    <w:rsid w:val="00A41233"/>
    <w:pPr>
      <w:spacing w:after="0" w:line="240" w:lineRule="auto"/>
    </w:pPr>
    <w:rPr>
      <w:rFonts w:ascii="Arial" w:hAnsi="Arial"/>
      <w:sz w:val="20"/>
    </w:rPr>
    <w:tblPr>
      <w:tblBorders>
        <w:bottom w:val="single" w:sz="4" w:space="0" w:color="BFBFBF"/>
        <w:insideH w:val="single" w:sz="4" w:space="0" w:color="BFBFBF"/>
      </w:tblBorders>
    </w:tblPr>
    <w:tblStylePr w:type="firstRow">
      <w:pPr>
        <w:jc w:val="left"/>
      </w:pPr>
      <w:rPr>
        <w:rFonts w:ascii="Arial" w:hAnsi="Arial"/>
        <w:b w:val="0"/>
        <w:i w:val="0"/>
        <w:color w:val="1E49E2"/>
      </w:rPr>
      <w:tblPr/>
      <w:tcPr>
        <w:tcBorders>
          <w:bottom w:val="single" w:sz="4" w:space="0" w:color="1E49E2"/>
        </w:tcBorders>
        <w:shd w:val="clear" w:color="auto" w:fill="FFFFFF"/>
      </w:tcPr>
    </w:tblStylePr>
    <w:tblStylePr w:type="lastRow">
      <w:tblPr/>
      <w:tcPr>
        <w:tcBorders>
          <w:bottom w:val="single" w:sz="4" w:space="0" w:color="1E49E2"/>
        </w:tcBorders>
      </w:tcPr>
    </w:tblStylePr>
    <w:tblStylePr w:type="firstCol">
      <w:tblPr/>
      <w:tcPr>
        <w:shd w:val="clear" w:color="auto" w:fill="F2F2F2"/>
      </w:tcPr>
    </w:tblStylePr>
  </w:style>
  <w:style w:type="table" w:customStyle="1" w:styleId="GridTable1Light-Accent32">
    <w:name w:val="Grid Table 1 Light - Accent 32"/>
    <w:basedOn w:val="TableNormal"/>
    <w:next w:val="GridTable1Light-Accent3"/>
    <w:uiPriority w:val="46"/>
    <w:rsid w:val="00A41233"/>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ListParagraph">
    <w:name w:val="List Paragraph"/>
    <w:aliases w:val="Heading 2.,Keystone Numbered List,#List Paragraph,Recommendation,List Paragraph1,List Paragraph11,L,Bullet Level 1,Bullet Point,Bullet point,Bulletr List Paragraph,Content descriptions,FooterText,List Bullet 1,List Paragraph2,リスト段落,列,Dot"/>
    <w:basedOn w:val="Normal"/>
    <w:link w:val="ListParagraphChar"/>
    <w:uiPriority w:val="99"/>
    <w:qFormat/>
    <w:rsid w:val="00A41233"/>
    <w:pPr>
      <w:ind w:left="720"/>
      <w:contextualSpacing/>
    </w:pPr>
  </w:style>
  <w:style w:type="table" w:customStyle="1" w:styleId="GridTable1Light-Accent321">
    <w:name w:val="Grid Table 1 Light - Accent 321"/>
    <w:basedOn w:val="TableNormal"/>
    <w:next w:val="GridTable1Light-Accent3"/>
    <w:uiPriority w:val="46"/>
    <w:rsid w:val="00A41233"/>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1233"/>
    <w:pPr>
      <w:spacing w:after="0" w:line="240" w:lineRule="auto"/>
    </w:pPr>
    <w:tblPr>
      <w:tblStyleRowBandSize w:val="1"/>
      <w:tblStyleColBandSize w:val="1"/>
      <w:tblBorders>
        <w:top w:val="single" w:sz="4" w:space="0" w:color="6CA4E1" w:themeColor="accent3" w:themeTint="66"/>
        <w:left w:val="single" w:sz="4" w:space="0" w:color="6CA4E1" w:themeColor="accent3" w:themeTint="66"/>
        <w:bottom w:val="single" w:sz="4" w:space="0" w:color="6CA4E1" w:themeColor="accent3" w:themeTint="66"/>
        <w:right w:val="single" w:sz="4" w:space="0" w:color="6CA4E1" w:themeColor="accent3" w:themeTint="66"/>
        <w:insideH w:val="single" w:sz="4" w:space="0" w:color="6CA4E1" w:themeColor="accent3" w:themeTint="66"/>
        <w:insideV w:val="single" w:sz="4" w:space="0" w:color="6CA4E1" w:themeColor="accent3" w:themeTint="66"/>
      </w:tblBorders>
    </w:tblPr>
    <w:tblStylePr w:type="firstRow">
      <w:rPr>
        <w:b/>
        <w:bCs/>
      </w:rPr>
      <w:tblPr/>
      <w:tcPr>
        <w:tcBorders>
          <w:bottom w:val="single" w:sz="12" w:space="0" w:color="2977CD" w:themeColor="accent3" w:themeTint="99"/>
        </w:tcBorders>
      </w:tcPr>
    </w:tblStylePr>
    <w:tblStylePr w:type="lastRow">
      <w:rPr>
        <w:b/>
        <w:bCs/>
      </w:rPr>
      <w:tblPr/>
      <w:tcPr>
        <w:tcBorders>
          <w:top w:val="double" w:sz="2" w:space="0" w:color="2977CD" w:themeColor="accent3"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A41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TOCNoShowWhite">
    <w:name w:val="Heading 1 TOC No Show_White"/>
    <w:basedOn w:val="Heading1TOCNoShow"/>
    <w:uiPriority w:val="99"/>
    <w:qFormat/>
    <w:rsid w:val="00CB5681"/>
    <w:rPr>
      <w:color w:val="FFFFFF" w:themeColor="background1"/>
    </w:rPr>
  </w:style>
  <w:style w:type="paragraph" w:customStyle="1" w:styleId="LARGEEXECHEADER">
    <w:name w:val="LARGE EXEC HEADER"/>
    <w:basedOn w:val="Heading1TOCNoShow"/>
    <w:link w:val="LARGEEXECHEADERChar"/>
    <w:uiPriority w:val="99"/>
    <w:qFormat/>
    <w:rsid w:val="004A0361"/>
    <w:rPr>
      <w:sz w:val="56"/>
    </w:rPr>
  </w:style>
  <w:style w:type="character" w:customStyle="1" w:styleId="Heading1TOCNoShowChar">
    <w:name w:val="Heading 1 TOC No Show Char"/>
    <w:basedOn w:val="DefaultParagraphFont"/>
    <w:link w:val="Heading1TOCNoShow"/>
    <w:uiPriority w:val="2"/>
    <w:rsid w:val="00E82415"/>
    <w:rPr>
      <w:rFonts w:eastAsiaTheme="majorEastAsia" w:cstheme="majorBidi"/>
      <w:color w:val="0C233C" w:themeColor="accent3"/>
      <w:sz w:val="72"/>
      <w:szCs w:val="28"/>
    </w:rPr>
  </w:style>
  <w:style w:type="character" w:customStyle="1" w:styleId="LARGEEXECHEADERChar">
    <w:name w:val="LARGE EXEC HEADER Char"/>
    <w:basedOn w:val="Heading1TOCNoShowChar"/>
    <w:link w:val="LARGEEXECHEADER"/>
    <w:uiPriority w:val="99"/>
    <w:rsid w:val="004A0361"/>
    <w:rPr>
      <w:rFonts w:ascii="KPMG Bold" w:eastAsiaTheme="majorEastAsia" w:hAnsi="KPMG Bold" w:cstheme="majorBidi"/>
      <w:color w:val="0C233C" w:themeColor="accent3"/>
      <w:sz w:val="56"/>
      <w:szCs w:val="28"/>
    </w:rPr>
  </w:style>
  <w:style w:type="paragraph" w:styleId="FootnoteText">
    <w:name w:val="footnote text"/>
    <w:basedOn w:val="Normal"/>
    <w:link w:val="FootnoteTextChar"/>
    <w:uiPriority w:val="99"/>
    <w:unhideWhenUsed/>
    <w:rsid w:val="007B09DB"/>
    <w:pPr>
      <w:spacing w:before="0" w:after="0"/>
    </w:pPr>
    <w:rPr>
      <w:sz w:val="16"/>
      <w:szCs w:val="20"/>
    </w:rPr>
  </w:style>
  <w:style w:type="character" w:customStyle="1" w:styleId="FootnoteTextChar">
    <w:name w:val="Footnote Text Char"/>
    <w:basedOn w:val="DefaultParagraphFont"/>
    <w:link w:val="FootnoteText"/>
    <w:uiPriority w:val="99"/>
    <w:rsid w:val="007B09DB"/>
    <w:rPr>
      <w:rFonts w:ascii="Arial" w:hAnsi="Arial"/>
      <w:color w:val="000000" w:themeColor="text1"/>
      <w:sz w:val="16"/>
      <w:szCs w:val="20"/>
    </w:rPr>
  </w:style>
  <w:style w:type="character" w:styleId="FootnoteReference">
    <w:name w:val="footnote reference"/>
    <w:basedOn w:val="DefaultParagraphFont"/>
    <w:uiPriority w:val="99"/>
    <w:unhideWhenUsed/>
    <w:rsid w:val="00997792"/>
    <w:rPr>
      <w:vertAlign w:val="superscript"/>
    </w:rPr>
  </w:style>
  <w:style w:type="table" w:styleId="GridTable4-Accent1">
    <w:name w:val="Grid Table 4 Accent 1"/>
    <w:basedOn w:val="TableNormal"/>
    <w:uiPriority w:val="49"/>
    <w:rsid w:val="00E86F7B"/>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color w:val="FFFFFF" w:themeColor="background1"/>
      </w:rPr>
      <w:tblPr/>
      <w:tcPr>
        <w:tcBorders>
          <w:top w:val="single" w:sz="4" w:space="0" w:color="1E49E2" w:themeColor="accent1"/>
          <w:left w:val="single" w:sz="4" w:space="0" w:color="1E49E2" w:themeColor="accent1"/>
          <w:bottom w:val="single" w:sz="4" w:space="0" w:color="1E49E2" w:themeColor="accent1"/>
          <w:right w:val="single" w:sz="4" w:space="0" w:color="1E49E2" w:themeColor="accent1"/>
          <w:insideH w:val="nil"/>
          <w:insideV w:val="nil"/>
        </w:tcBorders>
        <w:shd w:val="clear" w:color="auto" w:fill="1E49E2" w:themeFill="accent1"/>
      </w:tcPr>
    </w:tblStylePr>
    <w:tblStylePr w:type="lastRow">
      <w:rPr>
        <w:b/>
        <w:bCs/>
      </w:rPr>
      <w:tblPr/>
      <w:tcPr>
        <w:tcBorders>
          <w:top w:val="double" w:sz="4" w:space="0" w:color="1E49E2" w:themeColor="accent1"/>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character" w:customStyle="1" w:styleId="ui-provider">
    <w:name w:val="ui-provider"/>
    <w:basedOn w:val="DefaultParagraphFont"/>
    <w:rsid w:val="000A440B"/>
  </w:style>
  <w:style w:type="character" w:styleId="CommentReference">
    <w:name w:val="annotation reference"/>
    <w:basedOn w:val="DefaultParagraphFont"/>
    <w:uiPriority w:val="99"/>
    <w:semiHidden/>
    <w:rsid w:val="00BA3595"/>
    <w:rPr>
      <w:sz w:val="16"/>
      <w:szCs w:val="16"/>
    </w:rPr>
  </w:style>
  <w:style w:type="paragraph" w:styleId="CommentText">
    <w:name w:val="annotation text"/>
    <w:basedOn w:val="Normal"/>
    <w:link w:val="CommentTextChar"/>
    <w:uiPriority w:val="99"/>
    <w:rsid w:val="00BA3595"/>
    <w:rPr>
      <w:szCs w:val="20"/>
    </w:rPr>
  </w:style>
  <w:style w:type="character" w:customStyle="1" w:styleId="CommentTextChar">
    <w:name w:val="Comment Text Char"/>
    <w:basedOn w:val="DefaultParagraphFont"/>
    <w:link w:val="CommentText"/>
    <w:uiPriority w:val="99"/>
    <w:rsid w:val="00BA3595"/>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rsid w:val="00BA3595"/>
    <w:rPr>
      <w:b/>
      <w:bCs/>
    </w:rPr>
  </w:style>
  <w:style w:type="character" w:customStyle="1" w:styleId="CommentSubjectChar">
    <w:name w:val="Comment Subject Char"/>
    <w:basedOn w:val="CommentTextChar"/>
    <w:link w:val="CommentSubject"/>
    <w:uiPriority w:val="99"/>
    <w:semiHidden/>
    <w:rsid w:val="00BA3595"/>
    <w:rPr>
      <w:rFonts w:ascii="Arial" w:hAnsi="Arial"/>
      <w:b/>
      <w:bCs/>
      <w:color w:val="000000" w:themeColor="text1"/>
      <w:sz w:val="20"/>
      <w:szCs w:val="20"/>
    </w:rPr>
  </w:style>
  <w:style w:type="paragraph" w:styleId="Revision">
    <w:name w:val="Revision"/>
    <w:hidden/>
    <w:uiPriority w:val="99"/>
    <w:semiHidden/>
    <w:rsid w:val="005D73FE"/>
    <w:pPr>
      <w:spacing w:after="0" w:line="240" w:lineRule="auto"/>
    </w:pPr>
    <w:rPr>
      <w:rFonts w:ascii="Arial" w:hAnsi="Arial"/>
      <w:color w:val="000000" w:themeColor="text1"/>
      <w:sz w:val="20"/>
    </w:rPr>
  </w:style>
  <w:style w:type="character" w:styleId="Mention">
    <w:name w:val="Mention"/>
    <w:basedOn w:val="DefaultParagraphFont"/>
    <w:uiPriority w:val="99"/>
    <w:unhideWhenUsed/>
    <w:rsid w:val="005D73FE"/>
    <w:rPr>
      <w:color w:val="2B579A"/>
      <w:shd w:val="clear" w:color="auto" w:fill="E1DFDD"/>
    </w:rPr>
  </w:style>
  <w:style w:type="character" w:styleId="HTMLCite">
    <w:name w:val="HTML Cite"/>
    <w:basedOn w:val="DefaultParagraphFont"/>
    <w:uiPriority w:val="99"/>
    <w:semiHidden/>
    <w:unhideWhenUsed/>
    <w:rsid w:val="005D73FE"/>
    <w:rPr>
      <w:i/>
      <w:iCs/>
    </w:rPr>
  </w:style>
  <w:style w:type="character" w:customStyle="1" w:styleId="cf11">
    <w:name w:val="cf11"/>
    <w:basedOn w:val="DefaultParagraphFont"/>
    <w:rsid w:val="00854465"/>
    <w:rPr>
      <w:rFonts w:ascii="Segoe UI" w:hAnsi="Segoe UI" w:cs="Segoe UI" w:hint="default"/>
      <w:sz w:val="18"/>
      <w:szCs w:val="18"/>
    </w:rPr>
  </w:style>
  <w:style w:type="numbering" w:customStyle="1" w:styleId="Numberedlists">
    <w:name w:val="Numbered lists"/>
    <w:uiPriority w:val="99"/>
    <w:rsid w:val="000B5AB5"/>
    <w:pPr>
      <w:numPr>
        <w:numId w:val="3"/>
      </w:numPr>
    </w:pPr>
  </w:style>
  <w:style w:type="table" w:styleId="PlainTable3">
    <w:name w:val="Plain Table 3"/>
    <w:basedOn w:val="TableNormal"/>
    <w:uiPriority w:val="43"/>
    <w:rsid w:val="00400F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99"/>
    <w:unhideWhenUsed/>
    <w:qFormat/>
    <w:rsid w:val="00CC5889"/>
    <w:pPr>
      <w:keepNext/>
      <w:spacing w:before="240" w:after="60" w:line="240" w:lineRule="auto"/>
    </w:pPr>
    <w:rPr>
      <w:b/>
      <w:iCs/>
      <w:color w:val="0C233C" w:themeColor="accent3"/>
      <w:sz w:val="16"/>
      <w:szCs w:val="18"/>
    </w:rPr>
  </w:style>
  <w:style w:type="paragraph" w:customStyle="1" w:styleId="Tablebullet">
    <w:name w:val="Table bullet"/>
    <w:basedOn w:val="Bullet1stlevel"/>
    <w:uiPriority w:val="99"/>
    <w:qFormat/>
    <w:rsid w:val="002747B4"/>
    <w:pPr>
      <w:spacing w:before="0" w:after="20"/>
    </w:pPr>
    <w:rPr>
      <w:sz w:val="16"/>
    </w:rPr>
  </w:style>
  <w:style w:type="paragraph" w:customStyle="1" w:styleId="AoCtext">
    <w:name w:val="AoC text"/>
    <w:basedOn w:val="Normal"/>
    <w:uiPriority w:val="99"/>
    <w:qFormat/>
    <w:rsid w:val="00E879D8"/>
    <w:pPr>
      <w:ind w:left="1985"/>
    </w:pPr>
    <w:rPr>
      <w:b/>
      <w:color w:val="FFFFFF" w:themeColor="background1"/>
      <w:sz w:val="22"/>
      <w:szCs w:val="32"/>
    </w:rPr>
  </w:style>
  <w:style w:type="character" w:styleId="IntenseEmphasis">
    <w:name w:val="Intense Emphasis"/>
    <w:basedOn w:val="DefaultParagraphFont"/>
    <w:uiPriority w:val="99"/>
    <w:qFormat/>
    <w:rsid w:val="00B152CD"/>
    <w:rPr>
      <w:rFonts w:asciiTheme="minorHAnsi" w:hAnsiTheme="minorHAnsi"/>
      <w:b/>
      <w:iCs/>
      <w:color w:val="auto"/>
    </w:rPr>
  </w:style>
  <w:style w:type="character" w:customStyle="1" w:styleId="ListParagraphChar">
    <w:name w:val="List Paragraph Char"/>
    <w:aliases w:val="Heading 2. Char,Keystone Numbered List Char,#List Paragraph Char,Recommendation Char,List Paragraph1 Char,List Paragraph11 Char,L Char,Bullet Level 1 Char,Bullet Point Char,Bullet point Char,Bulletr List Paragraph Char,リスト段落 Char"/>
    <w:basedOn w:val="DefaultParagraphFont"/>
    <w:link w:val="ListParagraph"/>
    <w:uiPriority w:val="34"/>
    <w:qFormat/>
    <w:locked/>
    <w:rsid w:val="00D121B9"/>
    <w:rPr>
      <w:rFonts w:ascii="Arial" w:hAnsi="Arial"/>
      <w:color w:val="000000" w:themeColor="text1"/>
      <w:sz w:val="20"/>
    </w:rPr>
  </w:style>
  <w:style w:type="paragraph" w:customStyle="1" w:styleId="CoverTitle1blue">
    <w:name w:val="Cover Title 1 blue"/>
    <w:basedOn w:val="BodyText"/>
    <w:next w:val="Covertitle2White"/>
    <w:uiPriority w:val="4"/>
    <w:qFormat/>
    <w:rsid w:val="00E82415"/>
    <w:pPr>
      <w:spacing w:after="400" w:line="192" w:lineRule="auto"/>
    </w:pPr>
    <w:rPr>
      <w:rFonts w:asciiTheme="minorHAnsi" w:hAnsiTheme="minorHAnsi"/>
      <w:color w:val="0C233C" w:themeColor="accent3"/>
      <w:sz w:val="96"/>
      <w:szCs w:val="200"/>
    </w:rPr>
  </w:style>
  <w:style w:type="paragraph" w:customStyle="1" w:styleId="Covertitle2White">
    <w:name w:val="Cover title 2 White"/>
    <w:uiPriority w:val="4"/>
    <w:qFormat/>
    <w:rsid w:val="00161686"/>
    <w:pPr>
      <w:spacing w:before="120" w:after="120" w:line="240" w:lineRule="auto"/>
    </w:pPr>
    <w:rPr>
      <w:rFonts w:ascii="Arial" w:hAnsi="Arial"/>
      <w:b/>
      <w:bCs/>
      <w:color w:val="FFFFFF" w:themeColor="background1"/>
      <w:sz w:val="32"/>
      <w:szCs w:val="40"/>
    </w:rPr>
  </w:style>
  <w:style w:type="paragraph" w:styleId="NoSpacing">
    <w:name w:val="No Spacing"/>
    <w:link w:val="NoSpacingChar"/>
    <w:uiPriority w:val="1"/>
    <w:qFormat/>
    <w:rsid w:val="001616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1686"/>
    <w:rPr>
      <w:rFonts w:eastAsiaTheme="minorEastAsia"/>
      <w:lang w:val="en-US"/>
    </w:rPr>
  </w:style>
  <w:style w:type="paragraph" w:styleId="TOCHeading">
    <w:name w:val="TOC Heading"/>
    <w:basedOn w:val="Heading1"/>
    <w:next w:val="Normal"/>
    <w:uiPriority w:val="39"/>
    <w:unhideWhenUsed/>
    <w:qFormat/>
    <w:rsid w:val="00161686"/>
    <w:pPr>
      <w:spacing w:before="240" w:after="0" w:line="259" w:lineRule="auto"/>
      <w:outlineLvl w:val="9"/>
    </w:pPr>
    <w:rPr>
      <w:rFonts w:asciiTheme="majorHAnsi" w:hAnsiTheme="majorHAnsi"/>
      <w:color w:val="1635A9" w:themeColor="accent1" w:themeShade="BF"/>
      <w:sz w:val="32"/>
      <w:lang w:val="en-US"/>
    </w:rPr>
  </w:style>
  <w:style w:type="paragraph" w:styleId="TOC3">
    <w:name w:val="toc 3"/>
    <w:basedOn w:val="Normal"/>
    <w:next w:val="Normal"/>
    <w:autoRedefine/>
    <w:uiPriority w:val="39"/>
    <w:unhideWhenUsed/>
    <w:rsid w:val="00161686"/>
    <w:pPr>
      <w:spacing w:after="100" w:line="240" w:lineRule="auto"/>
      <w:ind w:left="400"/>
    </w:pPr>
    <w:rPr>
      <w:rFonts w:asciiTheme="minorHAnsi" w:hAnsiTheme="minorHAnsi"/>
    </w:rPr>
  </w:style>
  <w:style w:type="character" w:customStyle="1" w:styleId="cf01">
    <w:name w:val="cf01"/>
    <w:basedOn w:val="DefaultParagraphFont"/>
    <w:rsid w:val="00FA7E34"/>
    <w:rPr>
      <w:rFonts w:ascii="Segoe UI" w:hAnsi="Segoe UI" w:cs="Segoe UI" w:hint="default"/>
      <w:sz w:val="18"/>
      <w:szCs w:val="18"/>
    </w:rPr>
  </w:style>
  <w:style w:type="paragraph" w:styleId="ListContinue4">
    <w:name w:val="List Continue 4"/>
    <w:basedOn w:val="Normal"/>
    <w:uiPriority w:val="99"/>
    <w:unhideWhenUsed/>
    <w:rsid w:val="007B09DB"/>
    <w:pPr>
      <w:ind w:left="1132"/>
      <w:contextualSpacing/>
    </w:pPr>
  </w:style>
  <w:style w:type="paragraph" w:styleId="BalloonText">
    <w:name w:val="Balloon Text"/>
    <w:basedOn w:val="Normal"/>
    <w:link w:val="BalloonTextChar"/>
    <w:uiPriority w:val="99"/>
    <w:semiHidden/>
    <w:rsid w:val="003F7B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B87"/>
    <w:rPr>
      <w:rFonts w:ascii="Segoe UI" w:hAnsi="Segoe UI" w:cs="Segoe UI"/>
      <w:color w:val="000000" w:themeColor="text1"/>
      <w:sz w:val="18"/>
      <w:szCs w:val="18"/>
    </w:rPr>
  </w:style>
  <w:style w:type="character" w:customStyle="1" w:styleId="Bullet1stlevelChar">
    <w:name w:val="Bullet 1st level Char"/>
    <w:basedOn w:val="DefaultParagraphFont"/>
    <w:link w:val="Bullet1stlevel"/>
    <w:rsid w:val="00F32205"/>
    <w:rPr>
      <w:rFonts w:ascii="Arial" w:hAnsi="Arial"/>
      <w:color w:val="000000" w:themeColor="text1"/>
      <w:sz w:val="20"/>
    </w:rPr>
  </w:style>
  <w:style w:type="paragraph" w:customStyle="1" w:styleId="Heading1numbers">
    <w:name w:val="Heading 1 numbers"/>
    <w:basedOn w:val="Heading1"/>
    <w:uiPriority w:val="99"/>
    <w:qFormat/>
    <w:rsid w:val="00867DCF"/>
    <w:pPr>
      <w:numPr>
        <w:numId w:val="5"/>
      </w:numPr>
      <w:tabs>
        <w:tab w:val="clear" w:pos="340"/>
        <w:tab w:val="num" w:pos="709"/>
      </w:tabs>
      <w:ind w:left="425" w:firstLine="0"/>
    </w:pPr>
    <w:rPr>
      <w:sz w:val="144"/>
    </w:rPr>
  </w:style>
  <w:style w:type="character" w:styleId="IntenseReference">
    <w:name w:val="Intense Reference"/>
    <w:basedOn w:val="DefaultParagraphFont"/>
    <w:uiPriority w:val="99"/>
    <w:qFormat/>
    <w:rsid w:val="00300D5E"/>
    <w:rPr>
      <w:b/>
      <w:bCs/>
      <w:smallCaps/>
      <w:color w:val="1E49E2" w:themeColor="accent1"/>
      <w:spacing w:val="5"/>
    </w:rPr>
  </w:style>
  <w:style w:type="table" w:styleId="ListTable2-Accent5">
    <w:name w:val="List Table 2 Accent 5"/>
    <w:basedOn w:val="TableNormal"/>
    <w:uiPriority w:val="47"/>
    <w:rsid w:val="0094680B"/>
    <w:pPr>
      <w:spacing w:after="0" w:line="240" w:lineRule="auto"/>
    </w:pPr>
    <w:tblPr>
      <w:tblStyleRowBandSize w:val="1"/>
      <w:tblStyleColBandSize w:val="1"/>
      <w:tblBorders>
        <w:top w:val="single" w:sz="4" w:space="0" w:color="A970F3" w:themeColor="accent5" w:themeTint="99"/>
        <w:bottom w:val="single" w:sz="4" w:space="0" w:color="A970F3" w:themeColor="accent5" w:themeTint="99"/>
        <w:insideH w:val="single" w:sz="4" w:space="0" w:color="A970F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GridTable6Colorful-Accent5">
    <w:name w:val="Grid Table 6 Colorful Accent 5"/>
    <w:basedOn w:val="TableNormal"/>
    <w:uiPriority w:val="51"/>
    <w:rsid w:val="0094680B"/>
    <w:pPr>
      <w:spacing w:after="0" w:line="240" w:lineRule="auto"/>
    </w:pPr>
    <w:rPr>
      <w:color w:val="540EAF" w:themeColor="accent5" w:themeShade="BF"/>
    </w:r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rPr>
      <w:tblPr/>
      <w:tcPr>
        <w:tcBorders>
          <w:bottom w:val="single" w:sz="12" w:space="0" w:color="A970F3" w:themeColor="accent5" w:themeTint="99"/>
        </w:tcBorders>
      </w:tcPr>
    </w:tblStylePr>
    <w:tblStylePr w:type="lastRow">
      <w:rPr>
        <w:b/>
        <w:bCs/>
      </w:rPr>
      <w:tblPr/>
      <w:tcPr>
        <w:tcBorders>
          <w:top w:val="double" w:sz="4" w:space="0" w:color="A970F3" w:themeColor="accent5" w:themeTint="99"/>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paragraph" w:styleId="TableofFigures">
    <w:name w:val="table of figures"/>
    <w:basedOn w:val="Normal"/>
    <w:next w:val="Normal"/>
    <w:uiPriority w:val="99"/>
    <w:unhideWhenUsed/>
    <w:rsid w:val="00A11354"/>
    <w:pPr>
      <w:spacing w:line="240" w:lineRule="auto"/>
    </w:pPr>
    <w:rPr>
      <w:sz w:val="16"/>
    </w:rPr>
  </w:style>
  <w:style w:type="paragraph" w:styleId="TOAHeading">
    <w:name w:val="toa heading"/>
    <w:basedOn w:val="Normal"/>
    <w:next w:val="Normal"/>
    <w:uiPriority w:val="99"/>
    <w:unhideWhenUsed/>
    <w:rsid w:val="00162BA5"/>
    <w:rPr>
      <w:rFonts w:asciiTheme="majorHAnsi" w:eastAsiaTheme="majorEastAsia" w:hAnsiTheme="majorHAnsi" w:cstheme="majorBidi"/>
      <w:b/>
      <w:bCs/>
      <w:sz w:val="24"/>
      <w:szCs w:val="24"/>
    </w:rPr>
  </w:style>
  <w:style w:type="paragraph" w:customStyle="1" w:styleId="Summarytext">
    <w:name w:val="Summary text"/>
    <w:basedOn w:val="Introtext"/>
    <w:uiPriority w:val="99"/>
    <w:qFormat/>
    <w:rsid w:val="0020271D"/>
    <w:pPr>
      <w:shd w:val="clear" w:color="auto" w:fill="D9E8F7" w:themeFill="accent3" w:themeFillTint="1A"/>
      <w:spacing w:before="480"/>
    </w:pPr>
  </w:style>
  <w:style w:type="character" w:styleId="EndnoteReference">
    <w:name w:val="endnote reference"/>
    <w:basedOn w:val="DefaultParagraphFont"/>
    <w:uiPriority w:val="99"/>
    <w:unhideWhenUsed/>
    <w:rsid w:val="00B72FE0"/>
    <w:rPr>
      <w:vertAlign w:val="superscript"/>
    </w:rPr>
  </w:style>
  <w:style w:type="paragraph" w:styleId="BodyTextIndent2">
    <w:name w:val="Body Text Indent 2"/>
    <w:basedOn w:val="Normal"/>
    <w:link w:val="BodyTextIndent2Char"/>
    <w:uiPriority w:val="99"/>
    <w:semiHidden/>
    <w:rsid w:val="00B72FE0"/>
    <w:pPr>
      <w:spacing w:line="480" w:lineRule="auto"/>
      <w:ind w:left="283"/>
    </w:pPr>
  </w:style>
  <w:style w:type="character" w:customStyle="1" w:styleId="BodyTextIndent2Char">
    <w:name w:val="Body Text Indent 2 Char"/>
    <w:basedOn w:val="DefaultParagraphFont"/>
    <w:link w:val="BodyTextIndent2"/>
    <w:uiPriority w:val="99"/>
    <w:semiHidden/>
    <w:rsid w:val="00B72FE0"/>
    <w:rPr>
      <w:rFonts w:ascii="Arial" w:hAnsi="Arial"/>
      <w:color w:val="000000" w:themeColor="text1"/>
      <w:sz w:val="20"/>
    </w:rPr>
  </w:style>
  <w:style w:type="character" w:styleId="Strong">
    <w:name w:val="Strong"/>
    <w:basedOn w:val="DefaultParagraphFont"/>
    <w:uiPriority w:val="99"/>
    <w:semiHidden/>
    <w:qFormat/>
    <w:rsid w:val="00F82563"/>
    <w:rPr>
      <w:rFonts w:ascii="Arial" w:hAnsi="Arial"/>
      <w:b/>
      <w:bCs/>
      <w:color w:val="000000" w:themeColor="text1"/>
      <w:sz w:val="22"/>
    </w:rPr>
  </w:style>
  <w:style w:type="paragraph" w:customStyle="1" w:styleId="Headingdisclaimer">
    <w:name w:val="Heading disclaimer"/>
    <w:basedOn w:val="Heading1TOCNoShow"/>
    <w:uiPriority w:val="99"/>
    <w:qFormat/>
    <w:rsid w:val="00841998"/>
    <w:rPr>
      <w:rFonts w:ascii="Arial" w:hAnsi="Arial"/>
      <w:b/>
      <w:sz w:val="20"/>
    </w:rPr>
  </w:style>
  <w:style w:type="paragraph" w:customStyle="1" w:styleId="Disclaimer">
    <w:name w:val="Disclaimer"/>
    <w:basedOn w:val="Normal"/>
    <w:uiPriority w:val="99"/>
    <w:qFormat/>
    <w:rsid w:val="00F8263A"/>
    <w:rPr>
      <w:color w:val="0C233C" w:themeColor="accent3"/>
      <w:sz w:val="16"/>
    </w:rPr>
  </w:style>
  <w:style w:type="paragraph" w:customStyle="1" w:styleId="Quoteindented">
    <w:name w:val="Quote indented"/>
    <w:basedOn w:val="Normal"/>
    <w:uiPriority w:val="99"/>
    <w:qFormat/>
    <w:rsid w:val="00C64D41"/>
    <w:pPr>
      <w:spacing w:before="0" w:line="259" w:lineRule="auto"/>
      <w:ind w:left="720"/>
    </w:pPr>
    <w:rPr>
      <w:color w:val="auto"/>
    </w:rPr>
  </w:style>
  <w:style w:type="paragraph" w:customStyle="1" w:styleId="Listbullethighlighted">
    <w:name w:val="List bullet highlighted"/>
    <w:basedOn w:val="ListBullet"/>
    <w:uiPriority w:val="99"/>
    <w:qFormat/>
    <w:rsid w:val="005C46FB"/>
    <w:pPr>
      <w:shd w:val="clear" w:color="auto" w:fill="E2CFFB" w:themeFill="accent5"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81334">
      <w:bodyDiv w:val="1"/>
      <w:marLeft w:val="0"/>
      <w:marRight w:val="0"/>
      <w:marTop w:val="0"/>
      <w:marBottom w:val="0"/>
      <w:divBdr>
        <w:top w:val="none" w:sz="0" w:space="0" w:color="auto"/>
        <w:left w:val="none" w:sz="0" w:space="0" w:color="auto"/>
        <w:bottom w:val="none" w:sz="0" w:space="0" w:color="auto"/>
        <w:right w:val="none" w:sz="0" w:space="0" w:color="auto"/>
      </w:divBdr>
    </w:div>
    <w:div w:id="63988262">
      <w:bodyDiv w:val="1"/>
      <w:marLeft w:val="0"/>
      <w:marRight w:val="0"/>
      <w:marTop w:val="0"/>
      <w:marBottom w:val="0"/>
      <w:divBdr>
        <w:top w:val="none" w:sz="0" w:space="0" w:color="auto"/>
        <w:left w:val="none" w:sz="0" w:space="0" w:color="auto"/>
        <w:bottom w:val="none" w:sz="0" w:space="0" w:color="auto"/>
        <w:right w:val="none" w:sz="0" w:space="0" w:color="auto"/>
      </w:divBdr>
    </w:div>
    <w:div w:id="66418818">
      <w:bodyDiv w:val="1"/>
      <w:marLeft w:val="0"/>
      <w:marRight w:val="0"/>
      <w:marTop w:val="0"/>
      <w:marBottom w:val="0"/>
      <w:divBdr>
        <w:top w:val="none" w:sz="0" w:space="0" w:color="auto"/>
        <w:left w:val="none" w:sz="0" w:space="0" w:color="auto"/>
        <w:bottom w:val="none" w:sz="0" w:space="0" w:color="auto"/>
        <w:right w:val="none" w:sz="0" w:space="0" w:color="auto"/>
      </w:divBdr>
      <w:divsChild>
        <w:div w:id="377320893">
          <w:marLeft w:val="360"/>
          <w:marRight w:val="0"/>
          <w:marTop w:val="0"/>
          <w:marBottom w:val="0"/>
          <w:divBdr>
            <w:top w:val="none" w:sz="0" w:space="0" w:color="auto"/>
            <w:left w:val="none" w:sz="0" w:space="0" w:color="auto"/>
            <w:bottom w:val="none" w:sz="0" w:space="0" w:color="auto"/>
            <w:right w:val="none" w:sz="0" w:space="0" w:color="auto"/>
          </w:divBdr>
        </w:div>
      </w:divsChild>
    </w:div>
    <w:div w:id="86580839">
      <w:bodyDiv w:val="1"/>
      <w:marLeft w:val="0"/>
      <w:marRight w:val="0"/>
      <w:marTop w:val="0"/>
      <w:marBottom w:val="0"/>
      <w:divBdr>
        <w:top w:val="none" w:sz="0" w:space="0" w:color="auto"/>
        <w:left w:val="none" w:sz="0" w:space="0" w:color="auto"/>
        <w:bottom w:val="none" w:sz="0" w:space="0" w:color="auto"/>
        <w:right w:val="none" w:sz="0" w:space="0" w:color="auto"/>
      </w:divBdr>
    </w:div>
    <w:div w:id="93792069">
      <w:bodyDiv w:val="1"/>
      <w:marLeft w:val="0"/>
      <w:marRight w:val="0"/>
      <w:marTop w:val="0"/>
      <w:marBottom w:val="0"/>
      <w:divBdr>
        <w:top w:val="none" w:sz="0" w:space="0" w:color="auto"/>
        <w:left w:val="none" w:sz="0" w:space="0" w:color="auto"/>
        <w:bottom w:val="none" w:sz="0" w:space="0" w:color="auto"/>
        <w:right w:val="none" w:sz="0" w:space="0" w:color="auto"/>
      </w:divBdr>
    </w:div>
    <w:div w:id="107433512">
      <w:bodyDiv w:val="1"/>
      <w:marLeft w:val="0"/>
      <w:marRight w:val="0"/>
      <w:marTop w:val="0"/>
      <w:marBottom w:val="0"/>
      <w:divBdr>
        <w:top w:val="none" w:sz="0" w:space="0" w:color="auto"/>
        <w:left w:val="none" w:sz="0" w:space="0" w:color="auto"/>
        <w:bottom w:val="none" w:sz="0" w:space="0" w:color="auto"/>
        <w:right w:val="none" w:sz="0" w:space="0" w:color="auto"/>
      </w:divBdr>
    </w:div>
    <w:div w:id="174267406">
      <w:bodyDiv w:val="1"/>
      <w:marLeft w:val="0"/>
      <w:marRight w:val="0"/>
      <w:marTop w:val="0"/>
      <w:marBottom w:val="0"/>
      <w:divBdr>
        <w:top w:val="none" w:sz="0" w:space="0" w:color="auto"/>
        <w:left w:val="none" w:sz="0" w:space="0" w:color="auto"/>
        <w:bottom w:val="none" w:sz="0" w:space="0" w:color="auto"/>
        <w:right w:val="none" w:sz="0" w:space="0" w:color="auto"/>
      </w:divBdr>
    </w:div>
    <w:div w:id="183256134">
      <w:bodyDiv w:val="1"/>
      <w:marLeft w:val="0"/>
      <w:marRight w:val="0"/>
      <w:marTop w:val="0"/>
      <w:marBottom w:val="0"/>
      <w:divBdr>
        <w:top w:val="none" w:sz="0" w:space="0" w:color="auto"/>
        <w:left w:val="none" w:sz="0" w:space="0" w:color="auto"/>
        <w:bottom w:val="none" w:sz="0" w:space="0" w:color="auto"/>
        <w:right w:val="none" w:sz="0" w:space="0" w:color="auto"/>
      </w:divBdr>
    </w:div>
    <w:div w:id="199754019">
      <w:bodyDiv w:val="1"/>
      <w:marLeft w:val="0"/>
      <w:marRight w:val="0"/>
      <w:marTop w:val="0"/>
      <w:marBottom w:val="0"/>
      <w:divBdr>
        <w:top w:val="none" w:sz="0" w:space="0" w:color="auto"/>
        <w:left w:val="none" w:sz="0" w:space="0" w:color="auto"/>
        <w:bottom w:val="none" w:sz="0" w:space="0" w:color="auto"/>
        <w:right w:val="none" w:sz="0" w:space="0" w:color="auto"/>
      </w:divBdr>
    </w:div>
    <w:div w:id="243807626">
      <w:bodyDiv w:val="1"/>
      <w:marLeft w:val="0"/>
      <w:marRight w:val="0"/>
      <w:marTop w:val="0"/>
      <w:marBottom w:val="0"/>
      <w:divBdr>
        <w:top w:val="none" w:sz="0" w:space="0" w:color="auto"/>
        <w:left w:val="none" w:sz="0" w:space="0" w:color="auto"/>
        <w:bottom w:val="none" w:sz="0" w:space="0" w:color="auto"/>
        <w:right w:val="none" w:sz="0" w:space="0" w:color="auto"/>
      </w:divBdr>
    </w:div>
    <w:div w:id="254437308">
      <w:bodyDiv w:val="1"/>
      <w:marLeft w:val="0"/>
      <w:marRight w:val="0"/>
      <w:marTop w:val="0"/>
      <w:marBottom w:val="0"/>
      <w:divBdr>
        <w:top w:val="none" w:sz="0" w:space="0" w:color="auto"/>
        <w:left w:val="none" w:sz="0" w:space="0" w:color="auto"/>
        <w:bottom w:val="none" w:sz="0" w:space="0" w:color="auto"/>
        <w:right w:val="none" w:sz="0" w:space="0" w:color="auto"/>
      </w:divBdr>
      <w:divsChild>
        <w:div w:id="102922591">
          <w:marLeft w:val="331"/>
          <w:marRight w:val="0"/>
          <w:marTop w:val="0"/>
          <w:marBottom w:val="0"/>
          <w:divBdr>
            <w:top w:val="none" w:sz="0" w:space="0" w:color="auto"/>
            <w:left w:val="none" w:sz="0" w:space="0" w:color="auto"/>
            <w:bottom w:val="none" w:sz="0" w:space="0" w:color="auto"/>
            <w:right w:val="none" w:sz="0" w:space="0" w:color="auto"/>
          </w:divBdr>
        </w:div>
        <w:div w:id="306134209">
          <w:marLeft w:val="331"/>
          <w:marRight w:val="0"/>
          <w:marTop w:val="0"/>
          <w:marBottom w:val="0"/>
          <w:divBdr>
            <w:top w:val="none" w:sz="0" w:space="0" w:color="auto"/>
            <w:left w:val="none" w:sz="0" w:space="0" w:color="auto"/>
            <w:bottom w:val="none" w:sz="0" w:space="0" w:color="auto"/>
            <w:right w:val="none" w:sz="0" w:space="0" w:color="auto"/>
          </w:divBdr>
        </w:div>
        <w:div w:id="1909073413">
          <w:marLeft w:val="331"/>
          <w:marRight w:val="0"/>
          <w:marTop w:val="0"/>
          <w:marBottom w:val="0"/>
          <w:divBdr>
            <w:top w:val="none" w:sz="0" w:space="0" w:color="auto"/>
            <w:left w:val="none" w:sz="0" w:space="0" w:color="auto"/>
            <w:bottom w:val="none" w:sz="0" w:space="0" w:color="auto"/>
            <w:right w:val="none" w:sz="0" w:space="0" w:color="auto"/>
          </w:divBdr>
        </w:div>
      </w:divsChild>
    </w:div>
    <w:div w:id="264465844">
      <w:bodyDiv w:val="1"/>
      <w:marLeft w:val="0"/>
      <w:marRight w:val="0"/>
      <w:marTop w:val="0"/>
      <w:marBottom w:val="0"/>
      <w:divBdr>
        <w:top w:val="none" w:sz="0" w:space="0" w:color="auto"/>
        <w:left w:val="none" w:sz="0" w:space="0" w:color="auto"/>
        <w:bottom w:val="none" w:sz="0" w:space="0" w:color="auto"/>
        <w:right w:val="none" w:sz="0" w:space="0" w:color="auto"/>
      </w:divBdr>
      <w:divsChild>
        <w:div w:id="1525560060">
          <w:marLeft w:val="0"/>
          <w:marRight w:val="0"/>
          <w:marTop w:val="0"/>
          <w:marBottom w:val="0"/>
          <w:divBdr>
            <w:top w:val="none" w:sz="0" w:space="0" w:color="auto"/>
            <w:left w:val="none" w:sz="0" w:space="0" w:color="auto"/>
            <w:bottom w:val="none" w:sz="0" w:space="0" w:color="auto"/>
            <w:right w:val="none" w:sz="0" w:space="0" w:color="auto"/>
          </w:divBdr>
        </w:div>
      </w:divsChild>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317925831">
      <w:bodyDiv w:val="1"/>
      <w:marLeft w:val="0"/>
      <w:marRight w:val="0"/>
      <w:marTop w:val="0"/>
      <w:marBottom w:val="0"/>
      <w:divBdr>
        <w:top w:val="none" w:sz="0" w:space="0" w:color="auto"/>
        <w:left w:val="none" w:sz="0" w:space="0" w:color="auto"/>
        <w:bottom w:val="none" w:sz="0" w:space="0" w:color="auto"/>
        <w:right w:val="none" w:sz="0" w:space="0" w:color="auto"/>
      </w:divBdr>
      <w:divsChild>
        <w:div w:id="253318439">
          <w:marLeft w:val="360"/>
          <w:marRight w:val="0"/>
          <w:marTop w:val="0"/>
          <w:marBottom w:val="0"/>
          <w:divBdr>
            <w:top w:val="none" w:sz="0" w:space="0" w:color="auto"/>
            <w:left w:val="none" w:sz="0" w:space="0" w:color="auto"/>
            <w:bottom w:val="none" w:sz="0" w:space="0" w:color="auto"/>
            <w:right w:val="none" w:sz="0" w:space="0" w:color="auto"/>
          </w:divBdr>
        </w:div>
        <w:div w:id="1271207194">
          <w:marLeft w:val="360"/>
          <w:marRight w:val="0"/>
          <w:marTop w:val="0"/>
          <w:marBottom w:val="0"/>
          <w:divBdr>
            <w:top w:val="none" w:sz="0" w:space="0" w:color="auto"/>
            <w:left w:val="none" w:sz="0" w:space="0" w:color="auto"/>
            <w:bottom w:val="none" w:sz="0" w:space="0" w:color="auto"/>
            <w:right w:val="none" w:sz="0" w:space="0" w:color="auto"/>
          </w:divBdr>
        </w:div>
      </w:divsChild>
    </w:div>
    <w:div w:id="376197460">
      <w:bodyDiv w:val="1"/>
      <w:marLeft w:val="0"/>
      <w:marRight w:val="0"/>
      <w:marTop w:val="0"/>
      <w:marBottom w:val="0"/>
      <w:divBdr>
        <w:top w:val="none" w:sz="0" w:space="0" w:color="auto"/>
        <w:left w:val="none" w:sz="0" w:space="0" w:color="auto"/>
        <w:bottom w:val="none" w:sz="0" w:space="0" w:color="auto"/>
        <w:right w:val="none" w:sz="0" w:space="0" w:color="auto"/>
      </w:divBdr>
    </w:div>
    <w:div w:id="393895659">
      <w:bodyDiv w:val="1"/>
      <w:marLeft w:val="0"/>
      <w:marRight w:val="0"/>
      <w:marTop w:val="0"/>
      <w:marBottom w:val="0"/>
      <w:divBdr>
        <w:top w:val="none" w:sz="0" w:space="0" w:color="auto"/>
        <w:left w:val="none" w:sz="0" w:space="0" w:color="auto"/>
        <w:bottom w:val="none" w:sz="0" w:space="0" w:color="auto"/>
        <w:right w:val="none" w:sz="0" w:space="0" w:color="auto"/>
      </w:divBdr>
      <w:divsChild>
        <w:div w:id="1685941813">
          <w:marLeft w:val="360"/>
          <w:marRight w:val="0"/>
          <w:marTop w:val="0"/>
          <w:marBottom w:val="0"/>
          <w:divBdr>
            <w:top w:val="none" w:sz="0" w:space="0" w:color="auto"/>
            <w:left w:val="none" w:sz="0" w:space="0" w:color="auto"/>
            <w:bottom w:val="none" w:sz="0" w:space="0" w:color="auto"/>
            <w:right w:val="none" w:sz="0" w:space="0" w:color="auto"/>
          </w:divBdr>
        </w:div>
      </w:divsChild>
    </w:div>
    <w:div w:id="441386823">
      <w:bodyDiv w:val="1"/>
      <w:marLeft w:val="0"/>
      <w:marRight w:val="0"/>
      <w:marTop w:val="0"/>
      <w:marBottom w:val="0"/>
      <w:divBdr>
        <w:top w:val="none" w:sz="0" w:space="0" w:color="auto"/>
        <w:left w:val="none" w:sz="0" w:space="0" w:color="auto"/>
        <w:bottom w:val="none" w:sz="0" w:space="0" w:color="auto"/>
        <w:right w:val="none" w:sz="0" w:space="0" w:color="auto"/>
      </w:divBdr>
    </w:div>
    <w:div w:id="446241442">
      <w:bodyDiv w:val="1"/>
      <w:marLeft w:val="0"/>
      <w:marRight w:val="0"/>
      <w:marTop w:val="0"/>
      <w:marBottom w:val="0"/>
      <w:divBdr>
        <w:top w:val="none" w:sz="0" w:space="0" w:color="auto"/>
        <w:left w:val="none" w:sz="0" w:space="0" w:color="auto"/>
        <w:bottom w:val="none" w:sz="0" w:space="0" w:color="auto"/>
        <w:right w:val="none" w:sz="0" w:space="0" w:color="auto"/>
      </w:divBdr>
    </w:div>
    <w:div w:id="455175958">
      <w:bodyDiv w:val="1"/>
      <w:marLeft w:val="0"/>
      <w:marRight w:val="0"/>
      <w:marTop w:val="0"/>
      <w:marBottom w:val="0"/>
      <w:divBdr>
        <w:top w:val="none" w:sz="0" w:space="0" w:color="auto"/>
        <w:left w:val="none" w:sz="0" w:space="0" w:color="auto"/>
        <w:bottom w:val="none" w:sz="0" w:space="0" w:color="auto"/>
        <w:right w:val="none" w:sz="0" w:space="0" w:color="auto"/>
      </w:divBdr>
    </w:div>
    <w:div w:id="584534436">
      <w:bodyDiv w:val="1"/>
      <w:marLeft w:val="0"/>
      <w:marRight w:val="0"/>
      <w:marTop w:val="0"/>
      <w:marBottom w:val="0"/>
      <w:divBdr>
        <w:top w:val="none" w:sz="0" w:space="0" w:color="auto"/>
        <w:left w:val="none" w:sz="0" w:space="0" w:color="auto"/>
        <w:bottom w:val="none" w:sz="0" w:space="0" w:color="auto"/>
        <w:right w:val="none" w:sz="0" w:space="0" w:color="auto"/>
      </w:divBdr>
    </w:div>
    <w:div w:id="598174996">
      <w:bodyDiv w:val="1"/>
      <w:marLeft w:val="0"/>
      <w:marRight w:val="0"/>
      <w:marTop w:val="0"/>
      <w:marBottom w:val="0"/>
      <w:divBdr>
        <w:top w:val="none" w:sz="0" w:space="0" w:color="auto"/>
        <w:left w:val="none" w:sz="0" w:space="0" w:color="auto"/>
        <w:bottom w:val="none" w:sz="0" w:space="0" w:color="auto"/>
        <w:right w:val="none" w:sz="0" w:space="0" w:color="auto"/>
      </w:divBdr>
      <w:divsChild>
        <w:div w:id="1494954085">
          <w:marLeft w:val="360"/>
          <w:marRight w:val="0"/>
          <w:marTop w:val="0"/>
          <w:marBottom w:val="0"/>
          <w:divBdr>
            <w:top w:val="none" w:sz="0" w:space="0" w:color="auto"/>
            <w:left w:val="none" w:sz="0" w:space="0" w:color="auto"/>
            <w:bottom w:val="none" w:sz="0" w:space="0" w:color="auto"/>
            <w:right w:val="none" w:sz="0" w:space="0" w:color="auto"/>
          </w:divBdr>
        </w:div>
      </w:divsChild>
    </w:div>
    <w:div w:id="634796772">
      <w:bodyDiv w:val="1"/>
      <w:marLeft w:val="0"/>
      <w:marRight w:val="0"/>
      <w:marTop w:val="0"/>
      <w:marBottom w:val="0"/>
      <w:divBdr>
        <w:top w:val="none" w:sz="0" w:space="0" w:color="auto"/>
        <w:left w:val="none" w:sz="0" w:space="0" w:color="auto"/>
        <w:bottom w:val="none" w:sz="0" w:space="0" w:color="auto"/>
        <w:right w:val="none" w:sz="0" w:space="0" w:color="auto"/>
      </w:divBdr>
      <w:divsChild>
        <w:div w:id="2071994361">
          <w:marLeft w:val="360"/>
          <w:marRight w:val="0"/>
          <w:marTop w:val="0"/>
          <w:marBottom w:val="0"/>
          <w:divBdr>
            <w:top w:val="none" w:sz="0" w:space="0" w:color="auto"/>
            <w:left w:val="none" w:sz="0" w:space="0" w:color="auto"/>
            <w:bottom w:val="none" w:sz="0" w:space="0" w:color="auto"/>
            <w:right w:val="none" w:sz="0" w:space="0" w:color="auto"/>
          </w:divBdr>
        </w:div>
      </w:divsChild>
    </w:div>
    <w:div w:id="646276316">
      <w:bodyDiv w:val="1"/>
      <w:marLeft w:val="0"/>
      <w:marRight w:val="0"/>
      <w:marTop w:val="0"/>
      <w:marBottom w:val="0"/>
      <w:divBdr>
        <w:top w:val="none" w:sz="0" w:space="0" w:color="auto"/>
        <w:left w:val="none" w:sz="0" w:space="0" w:color="auto"/>
        <w:bottom w:val="none" w:sz="0" w:space="0" w:color="auto"/>
        <w:right w:val="none" w:sz="0" w:space="0" w:color="auto"/>
      </w:divBdr>
    </w:div>
    <w:div w:id="666128143">
      <w:bodyDiv w:val="1"/>
      <w:marLeft w:val="0"/>
      <w:marRight w:val="0"/>
      <w:marTop w:val="0"/>
      <w:marBottom w:val="0"/>
      <w:divBdr>
        <w:top w:val="none" w:sz="0" w:space="0" w:color="auto"/>
        <w:left w:val="none" w:sz="0" w:space="0" w:color="auto"/>
        <w:bottom w:val="none" w:sz="0" w:space="0" w:color="auto"/>
        <w:right w:val="none" w:sz="0" w:space="0" w:color="auto"/>
      </w:divBdr>
    </w:div>
    <w:div w:id="708455094">
      <w:bodyDiv w:val="1"/>
      <w:marLeft w:val="0"/>
      <w:marRight w:val="0"/>
      <w:marTop w:val="0"/>
      <w:marBottom w:val="0"/>
      <w:divBdr>
        <w:top w:val="none" w:sz="0" w:space="0" w:color="auto"/>
        <w:left w:val="none" w:sz="0" w:space="0" w:color="auto"/>
        <w:bottom w:val="none" w:sz="0" w:space="0" w:color="auto"/>
        <w:right w:val="none" w:sz="0" w:space="0" w:color="auto"/>
      </w:divBdr>
      <w:divsChild>
        <w:div w:id="365719629">
          <w:marLeft w:val="245"/>
          <w:marRight w:val="0"/>
          <w:marTop w:val="0"/>
          <w:marBottom w:val="0"/>
          <w:divBdr>
            <w:top w:val="none" w:sz="0" w:space="0" w:color="auto"/>
            <w:left w:val="none" w:sz="0" w:space="0" w:color="auto"/>
            <w:bottom w:val="none" w:sz="0" w:space="0" w:color="auto"/>
            <w:right w:val="none" w:sz="0" w:space="0" w:color="auto"/>
          </w:divBdr>
        </w:div>
        <w:div w:id="1799446763">
          <w:marLeft w:val="245"/>
          <w:marRight w:val="0"/>
          <w:marTop w:val="0"/>
          <w:marBottom w:val="0"/>
          <w:divBdr>
            <w:top w:val="none" w:sz="0" w:space="0" w:color="auto"/>
            <w:left w:val="none" w:sz="0" w:space="0" w:color="auto"/>
            <w:bottom w:val="none" w:sz="0" w:space="0" w:color="auto"/>
            <w:right w:val="none" w:sz="0" w:space="0" w:color="auto"/>
          </w:divBdr>
        </w:div>
      </w:divsChild>
    </w:div>
    <w:div w:id="708914374">
      <w:bodyDiv w:val="1"/>
      <w:marLeft w:val="0"/>
      <w:marRight w:val="0"/>
      <w:marTop w:val="0"/>
      <w:marBottom w:val="0"/>
      <w:divBdr>
        <w:top w:val="none" w:sz="0" w:space="0" w:color="auto"/>
        <w:left w:val="none" w:sz="0" w:space="0" w:color="auto"/>
        <w:bottom w:val="none" w:sz="0" w:space="0" w:color="auto"/>
        <w:right w:val="none" w:sz="0" w:space="0" w:color="auto"/>
      </w:divBdr>
    </w:div>
    <w:div w:id="731927589">
      <w:bodyDiv w:val="1"/>
      <w:marLeft w:val="0"/>
      <w:marRight w:val="0"/>
      <w:marTop w:val="0"/>
      <w:marBottom w:val="0"/>
      <w:divBdr>
        <w:top w:val="none" w:sz="0" w:space="0" w:color="auto"/>
        <w:left w:val="none" w:sz="0" w:space="0" w:color="auto"/>
        <w:bottom w:val="none" w:sz="0" w:space="0" w:color="auto"/>
        <w:right w:val="none" w:sz="0" w:space="0" w:color="auto"/>
      </w:divBdr>
    </w:div>
    <w:div w:id="740520342">
      <w:bodyDiv w:val="1"/>
      <w:marLeft w:val="0"/>
      <w:marRight w:val="0"/>
      <w:marTop w:val="0"/>
      <w:marBottom w:val="0"/>
      <w:divBdr>
        <w:top w:val="none" w:sz="0" w:space="0" w:color="auto"/>
        <w:left w:val="none" w:sz="0" w:space="0" w:color="auto"/>
        <w:bottom w:val="none" w:sz="0" w:space="0" w:color="auto"/>
        <w:right w:val="none" w:sz="0" w:space="0" w:color="auto"/>
      </w:divBdr>
      <w:divsChild>
        <w:div w:id="55130400">
          <w:marLeft w:val="331"/>
          <w:marRight w:val="0"/>
          <w:marTop w:val="0"/>
          <w:marBottom w:val="120"/>
          <w:divBdr>
            <w:top w:val="none" w:sz="0" w:space="0" w:color="auto"/>
            <w:left w:val="none" w:sz="0" w:space="0" w:color="auto"/>
            <w:bottom w:val="none" w:sz="0" w:space="0" w:color="auto"/>
            <w:right w:val="none" w:sz="0" w:space="0" w:color="auto"/>
          </w:divBdr>
        </w:div>
        <w:div w:id="532962876">
          <w:marLeft w:val="331"/>
          <w:marRight w:val="0"/>
          <w:marTop w:val="0"/>
          <w:marBottom w:val="120"/>
          <w:divBdr>
            <w:top w:val="none" w:sz="0" w:space="0" w:color="auto"/>
            <w:left w:val="none" w:sz="0" w:space="0" w:color="auto"/>
            <w:bottom w:val="none" w:sz="0" w:space="0" w:color="auto"/>
            <w:right w:val="none" w:sz="0" w:space="0" w:color="auto"/>
          </w:divBdr>
        </w:div>
        <w:div w:id="734472361">
          <w:marLeft w:val="331"/>
          <w:marRight w:val="0"/>
          <w:marTop w:val="0"/>
          <w:marBottom w:val="120"/>
          <w:divBdr>
            <w:top w:val="none" w:sz="0" w:space="0" w:color="auto"/>
            <w:left w:val="none" w:sz="0" w:space="0" w:color="auto"/>
            <w:bottom w:val="none" w:sz="0" w:space="0" w:color="auto"/>
            <w:right w:val="none" w:sz="0" w:space="0" w:color="auto"/>
          </w:divBdr>
        </w:div>
        <w:div w:id="1205361793">
          <w:marLeft w:val="331"/>
          <w:marRight w:val="0"/>
          <w:marTop w:val="0"/>
          <w:marBottom w:val="120"/>
          <w:divBdr>
            <w:top w:val="none" w:sz="0" w:space="0" w:color="auto"/>
            <w:left w:val="none" w:sz="0" w:space="0" w:color="auto"/>
            <w:bottom w:val="none" w:sz="0" w:space="0" w:color="auto"/>
            <w:right w:val="none" w:sz="0" w:space="0" w:color="auto"/>
          </w:divBdr>
        </w:div>
        <w:div w:id="1845777120">
          <w:marLeft w:val="331"/>
          <w:marRight w:val="0"/>
          <w:marTop w:val="0"/>
          <w:marBottom w:val="120"/>
          <w:divBdr>
            <w:top w:val="none" w:sz="0" w:space="0" w:color="auto"/>
            <w:left w:val="none" w:sz="0" w:space="0" w:color="auto"/>
            <w:bottom w:val="none" w:sz="0" w:space="0" w:color="auto"/>
            <w:right w:val="none" w:sz="0" w:space="0" w:color="auto"/>
          </w:divBdr>
        </w:div>
      </w:divsChild>
    </w:div>
    <w:div w:id="766387719">
      <w:bodyDiv w:val="1"/>
      <w:marLeft w:val="0"/>
      <w:marRight w:val="0"/>
      <w:marTop w:val="0"/>
      <w:marBottom w:val="0"/>
      <w:divBdr>
        <w:top w:val="none" w:sz="0" w:space="0" w:color="auto"/>
        <w:left w:val="none" w:sz="0" w:space="0" w:color="auto"/>
        <w:bottom w:val="none" w:sz="0" w:space="0" w:color="auto"/>
        <w:right w:val="none" w:sz="0" w:space="0" w:color="auto"/>
      </w:divBdr>
    </w:div>
    <w:div w:id="770129347">
      <w:bodyDiv w:val="1"/>
      <w:marLeft w:val="0"/>
      <w:marRight w:val="0"/>
      <w:marTop w:val="0"/>
      <w:marBottom w:val="0"/>
      <w:divBdr>
        <w:top w:val="none" w:sz="0" w:space="0" w:color="auto"/>
        <w:left w:val="none" w:sz="0" w:space="0" w:color="auto"/>
        <w:bottom w:val="none" w:sz="0" w:space="0" w:color="auto"/>
        <w:right w:val="none" w:sz="0" w:space="0" w:color="auto"/>
      </w:divBdr>
    </w:div>
    <w:div w:id="785389418">
      <w:bodyDiv w:val="1"/>
      <w:marLeft w:val="0"/>
      <w:marRight w:val="0"/>
      <w:marTop w:val="0"/>
      <w:marBottom w:val="0"/>
      <w:divBdr>
        <w:top w:val="none" w:sz="0" w:space="0" w:color="auto"/>
        <w:left w:val="none" w:sz="0" w:space="0" w:color="auto"/>
        <w:bottom w:val="none" w:sz="0" w:space="0" w:color="auto"/>
        <w:right w:val="none" w:sz="0" w:space="0" w:color="auto"/>
      </w:divBdr>
      <w:divsChild>
        <w:div w:id="146944664">
          <w:marLeft w:val="0"/>
          <w:marRight w:val="0"/>
          <w:marTop w:val="0"/>
          <w:marBottom w:val="0"/>
          <w:divBdr>
            <w:top w:val="none" w:sz="0" w:space="0" w:color="auto"/>
            <w:left w:val="none" w:sz="0" w:space="0" w:color="auto"/>
            <w:bottom w:val="none" w:sz="0" w:space="0" w:color="auto"/>
            <w:right w:val="none" w:sz="0" w:space="0" w:color="auto"/>
          </w:divBdr>
          <w:divsChild>
            <w:div w:id="1208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689">
      <w:bodyDiv w:val="1"/>
      <w:marLeft w:val="0"/>
      <w:marRight w:val="0"/>
      <w:marTop w:val="0"/>
      <w:marBottom w:val="0"/>
      <w:divBdr>
        <w:top w:val="none" w:sz="0" w:space="0" w:color="auto"/>
        <w:left w:val="none" w:sz="0" w:space="0" w:color="auto"/>
        <w:bottom w:val="none" w:sz="0" w:space="0" w:color="auto"/>
        <w:right w:val="none" w:sz="0" w:space="0" w:color="auto"/>
      </w:divBdr>
    </w:div>
    <w:div w:id="855271987">
      <w:bodyDiv w:val="1"/>
      <w:marLeft w:val="0"/>
      <w:marRight w:val="0"/>
      <w:marTop w:val="0"/>
      <w:marBottom w:val="0"/>
      <w:divBdr>
        <w:top w:val="none" w:sz="0" w:space="0" w:color="auto"/>
        <w:left w:val="none" w:sz="0" w:space="0" w:color="auto"/>
        <w:bottom w:val="none" w:sz="0" w:space="0" w:color="auto"/>
        <w:right w:val="none" w:sz="0" w:space="0" w:color="auto"/>
      </w:divBdr>
    </w:div>
    <w:div w:id="857813548">
      <w:bodyDiv w:val="1"/>
      <w:marLeft w:val="0"/>
      <w:marRight w:val="0"/>
      <w:marTop w:val="0"/>
      <w:marBottom w:val="0"/>
      <w:divBdr>
        <w:top w:val="none" w:sz="0" w:space="0" w:color="auto"/>
        <w:left w:val="none" w:sz="0" w:space="0" w:color="auto"/>
        <w:bottom w:val="none" w:sz="0" w:space="0" w:color="auto"/>
        <w:right w:val="none" w:sz="0" w:space="0" w:color="auto"/>
      </w:divBdr>
    </w:div>
    <w:div w:id="875972074">
      <w:bodyDiv w:val="1"/>
      <w:marLeft w:val="0"/>
      <w:marRight w:val="0"/>
      <w:marTop w:val="0"/>
      <w:marBottom w:val="0"/>
      <w:divBdr>
        <w:top w:val="none" w:sz="0" w:space="0" w:color="auto"/>
        <w:left w:val="none" w:sz="0" w:space="0" w:color="auto"/>
        <w:bottom w:val="none" w:sz="0" w:space="0" w:color="auto"/>
        <w:right w:val="none" w:sz="0" w:space="0" w:color="auto"/>
      </w:divBdr>
    </w:div>
    <w:div w:id="895243199">
      <w:bodyDiv w:val="1"/>
      <w:marLeft w:val="0"/>
      <w:marRight w:val="0"/>
      <w:marTop w:val="0"/>
      <w:marBottom w:val="0"/>
      <w:divBdr>
        <w:top w:val="none" w:sz="0" w:space="0" w:color="auto"/>
        <w:left w:val="none" w:sz="0" w:space="0" w:color="auto"/>
        <w:bottom w:val="none" w:sz="0" w:space="0" w:color="auto"/>
        <w:right w:val="none" w:sz="0" w:space="0" w:color="auto"/>
      </w:divBdr>
    </w:div>
    <w:div w:id="923034637">
      <w:bodyDiv w:val="1"/>
      <w:marLeft w:val="0"/>
      <w:marRight w:val="0"/>
      <w:marTop w:val="0"/>
      <w:marBottom w:val="0"/>
      <w:divBdr>
        <w:top w:val="none" w:sz="0" w:space="0" w:color="auto"/>
        <w:left w:val="none" w:sz="0" w:space="0" w:color="auto"/>
        <w:bottom w:val="none" w:sz="0" w:space="0" w:color="auto"/>
        <w:right w:val="none" w:sz="0" w:space="0" w:color="auto"/>
      </w:divBdr>
    </w:div>
    <w:div w:id="926503672">
      <w:bodyDiv w:val="1"/>
      <w:marLeft w:val="0"/>
      <w:marRight w:val="0"/>
      <w:marTop w:val="0"/>
      <w:marBottom w:val="0"/>
      <w:divBdr>
        <w:top w:val="none" w:sz="0" w:space="0" w:color="auto"/>
        <w:left w:val="none" w:sz="0" w:space="0" w:color="auto"/>
        <w:bottom w:val="none" w:sz="0" w:space="0" w:color="auto"/>
        <w:right w:val="none" w:sz="0" w:space="0" w:color="auto"/>
      </w:divBdr>
    </w:div>
    <w:div w:id="936599663">
      <w:bodyDiv w:val="1"/>
      <w:marLeft w:val="0"/>
      <w:marRight w:val="0"/>
      <w:marTop w:val="0"/>
      <w:marBottom w:val="0"/>
      <w:divBdr>
        <w:top w:val="none" w:sz="0" w:space="0" w:color="auto"/>
        <w:left w:val="none" w:sz="0" w:space="0" w:color="auto"/>
        <w:bottom w:val="none" w:sz="0" w:space="0" w:color="auto"/>
        <w:right w:val="none" w:sz="0" w:space="0" w:color="auto"/>
      </w:divBdr>
      <w:divsChild>
        <w:div w:id="237516465">
          <w:marLeft w:val="331"/>
          <w:marRight w:val="0"/>
          <w:marTop w:val="0"/>
          <w:marBottom w:val="0"/>
          <w:divBdr>
            <w:top w:val="none" w:sz="0" w:space="0" w:color="auto"/>
            <w:left w:val="none" w:sz="0" w:space="0" w:color="auto"/>
            <w:bottom w:val="none" w:sz="0" w:space="0" w:color="auto"/>
            <w:right w:val="none" w:sz="0" w:space="0" w:color="auto"/>
          </w:divBdr>
        </w:div>
        <w:div w:id="496850948">
          <w:marLeft w:val="331"/>
          <w:marRight w:val="0"/>
          <w:marTop w:val="0"/>
          <w:marBottom w:val="0"/>
          <w:divBdr>
            <w:top w:val="none" w:sz="0" w:space="0" w:color="auto"/>
            <w:left w:val="none" w:sz="0" w:space="0" w:color="auto"/>
            <w:bottom w:val="none" w:sz="0" w:space="0" w:color="auto"/>
            <w:right w:val="none" w:sz="0" w:space="0" w:color="auto"/>
          </w:divBdr>
        </w:div>
        <w:div w:id="2136484451">
          <w:marLeft w:val="331"/>
          <w:marRight w:val="0"/>
          <w:marTop w:val="0"/>
          <w:marBottom w:val="0"/>
          <w:divBdr>
            <w:top w:val="none" w:sz="0" w:space="0" w:color="auto"/>
            <w:left w:val="none" w:sz="0" w:space="0" w:color="auto"/>
            <w:bottom w:val="none" w:sz="0" w:space="0" w:color="auto"/>
            <w:right w:val="none" w:sz="0" w:space="0" w:color="auto"/>
          </w:divBdr>
        </w:div>
      </w:divsChild>
    </w:div>
    <w:div w:id="979917197">
      <w:bodyDiv w:val="1"/>
      <w:marLeft w:val="0"/>
      <w:marRight w:val="0"/>
      <w:marTop w:val="0"/>
      <w:marBottom w:val="0"/>
      <w:divBdr>
        <w:top w:val="none" w:sz="0" w:space="0" w:color="auto"/>
        <w:left w:val="none" w:sz="0" w:space="0" w:color="auto"/>
        <w:bottom w:val="none" w:sz="0" w:space="0" w:color="auto"/>
        <w:right w:val="none" w:sz="0" w:space="0" w:color="auto"/>
      </w:divBdr>
    </w:div>
    <w:div w:id="981540868">
      <w:bodyDiv w:val="1"/>
      <w:marLeft w:val="0"/>
      <w:marRight w:val="0"/>
      <w:marTop w:val="0"/>
      <w:marBottom w:val="0"/>
      <w:divBdr>
        <w:top w:val="none" w:sz="0" w:space="0" w:color="auto"/>
        <w:left w:val="none" w:sz="0" w:space="0" w:color="auto"/>
        <w:bottom w:val="none" w:sz="0" w:space="0" w:color="auto"/>
        <w:right w:val="none" w:sz="0" w:space="0" w:color="auto"/>
      </w:divBdr>
    </w:div>
    <w:div w:id="1019545558">
      <w:bodyDiv w:val="1"/>
      <w:marLeft w:val="0"/>
      <w:marRight w:val="0"/>
      <w:marTop w:val="0"/>
      <w:marBottom w:val="0"/>
      <w:divBdr>
        <w:top w:val="none" w:sz="0" w:space="0" w:color="auto"/>
        <w:left w:val="none" w:sz="0" w:space="0" w:color="auto"/>
        <w:bottom w:val="none" w:sz="0" w:space="0" w:color="auto"/>
        <w:right w:val="none" w:sz="0" w:space="0" w:color="auto"/>
      </w:divBdr>
    </w:div>
    <w:div w:id="1031568568">
      <w:bodyDiv w:val="1"/>
      <w:marLeft w:val="0"/>
      <w:marRight w:val="0"/>
      <w:marTop w:val="0"/>
      <w:marBottom w:val="0"/>
      <w:divBdr>
        <w:top w:val="none" w:sz="0" w:space="0" w:color="auto"/>
        <w:left w:val="none" w:sz="0" w:space="0" w:color="auto"/>
        <w:bottom w:val="none" w:sz="0" w:space="0" w:color="auto"/>
        <w:right w:val="none" w:sz="0" w:space="0" w:color="auto"/>
      </w:divBdr>
    </w:div>
    <w:div w:id="1081634930">
      <w:bodyDiv w:val="1"/>
      <w:marLeft w:val="0"/>
      <w:marRight w:val="0"/>
      <w:marTop w:val="0"/>
      <w:marBottom w:val="0"/>
      <w:divBdr>
        <w:top w:val="none" w:sz="0" w:space="0" w:color="auto"/>
        <w:left w:val="none" w:sz="0" w:space="0" w:color="auto"/>
        <w:bottom w:val="none" w:sz="0" w:space="0" w:color="auto"/>
        <w:right w:val="none" w:sz="0" w:space="0" w:color="auto"/>
      </w:divBdr>
    </w:div>
    <w:div w:id="1093817455">
      <w:bodyDiv w:val="1"/>
      <w:marLeft w:val="0"/>
      <w:marRight w:val="0"/>
      <w:marTop w:val="0"/>
      <w:marBottom w:val="0"/>
      <w:divBdr>
        <w:top w:val="none" w:sz="0" w:space="0" w:color="auto"/>
        <w:left w:val="none" w:sz="0" w:space="0" w:color="auto"/>
        <w:bottom w:val="none" w:sz="0" w:space="0" w:color="auto"/>
        <w:right w:val="none" w:sz="0" w:space="0" w:color="auto"/>
      </w:divBdr>
    </w:div>
    <w:div w:id="1099184454">
      <w:bodyDiv w:val="1"/>
      <w:marLeft w:val="0"/>
      <w:marRight w:val="0"/>
      <w:marTop w:val="0"/>
      <w:marBottom w:val="0"/>
      <w:divBdr>
        <w:top w:val="none" w:sz="0" w:space="0" w:color="auto"/>
        <w:left w:val="none" w:sz="0" w:space="0" w:color="auto"/>
        <w:bottom w:val="none" w:sz="0" w:space="0" w:color="auto"/>
        <w:right w:val="none" w:sz="0" w:space="0" w:color="auto"/>
      </w:divBdr>
      <w:divsChild>
        <w:div w:id="495539716">
          <w:marLeft w:val="360"/>
          <w:marRight w:val="0"/>
          <w:marTop w:val="0"/>
          <w:marBottom w:val="0"/>
          <w:divBdr>
            <w:top w:val="none" w:sz="0" w:space="0" w:color="auto"/>
            <w:left w:val="none" w:sz="0" w:space="0" w:color="auto"/>
            <w:bottom w:val="none" w:sz="0" w:space="0" w:color="auto"/>
            <w:right w:val="none" w:sz="0" w:space="0" w:color="auto"/>
          </w:divBdr>
        </w:div>
        <w:div w:id="632561915">
          <w:marLeft w:val="360"/>
          <w:marRight w:val="0"/>
          <w:marTop w:val="0"/>
          <w:marBottom w:val="0"/>
          <w:divBdr>
            <w:top w:val="none" w:sz="0" w:space="0" w:color="auto"/>
            <w:left w:val="none" w:sz="0" w:space="0" w:color="auto"/>
            <w:bottom w:val="none" w:sz="0" w:space="0" w:color="auto"/>
            <w:right w:val="none" w:sz="0" w:space="0" w:color="auto"/>
          </w:divBdr>
        </w:div>
        <w:div w:id="825706426">
          <w:marLeft w:val="360"/>
          <w:marRight w:val="0"/>
          <w:marTop w:val="0"/>
          <w:marBottom w:val="0"/>
          <w:divBdr>
            <w:top w:val="none" w:sz="0" w:space="0" w:color="auto"/>
            <w:left w:val="none" w:sz="0" w:space="0" w:color="auto"/>
            <w:bottom w:val="none" w:sz="0" w:space="0" w:color="auto"/>
            <w:right w:val="none" w:sz="0" w:space="0" w:color="auto"/>
          </w:divBdr>
        </w:div>
        <w:div w:id="1133329437">
          <w:marLeft w:val="360"/>
          <w:marRight w:val="0"/>
          <w:marTop w:val="0"/>
          <w:marBottom w:val="0"/>
          <w:divBdr>
            <w:top w:val="none" w:sz="0" w:space="0" w:color="auto"/>
            <w:left w:val="none" w:sz="0" w:space="0" w:color="auto"/>
            <w:bottom w:val="none" w:sz="0" w:space="0" w:color="auto"/>
            <w:right w:val="none" w:sz="0" w:space="0" w:color="auto"/>
          </w:divBdr>
        </w:div>
      </w:divsChild>
    </w:div>
    <w:div w:id="1110079692">
      <w:bodyDiv w:val="1"/>
      <w:marLeft w:val="0"/>
      <w:marRight w:val="0"/>
      <w:marTop w:val="0"/>
      <w:marBottom w:val="0"/>
      <w:divBdr>
        <w:top w:val="none" w:sz="0" w:space="0" w:color="auto"/>
        <w:left w:val="none" w:sz="0" w:space="0" w:color="auto"/>
        <w:bottom w:val="none" w:sz="0" w:space="0" w:color="auto"/>
        <w:right w:val="none" w:sz="0" w:space="0" w:color="auto"/>
      </w:divBdr>
      <w:divsChild>
        <w:div w:id="2147090584">
          <w:marLeft w:val="360"/>
          <w:marRight w:val="0"/>
          <w:marTop w:val="0"/>
          <w:marBottom w:val="0"/>
          <w:divBdr>
            <w:top w:val="none" w:sz="0" w:space="0" w:color="auto"/>
            <w:left w:val="none" w:sz="0" w:space="0" w:color="auto"/>
            <w:bottom w:val="none" w:sz="0" w:space="0" w:color="auto"/>
            <w:right w:val="none" w:sz="0" w:space="0" w:color="auto"/>
          </w:divBdr>
        </w:div>
      </w:divsChild>
    </w:div>
    <w:div w:id="1116019658">
      <w:bodyDiv w:val="1"/>
      <w:marLeft w:val="0"/>
      <w:marRight w:val="0"/>
      <w:marTop w:val="0"/>
      <w:marBottom w:val="0"/>
      <w:divBdr>
        <w:top w:val="none" w:sz="0" w:space="0" w:color="auto"/>
        <w:left w:val="none" w:sz="0" w:space="0" w:color="auto"/>
        <w:bottom w:val="none" w:sz="0" w:space="0" w:color="auto"/>
        <w:right w:val="none" w:sz="0" w:space="0" w:color="auto"/>
      </w:divBdr>
    </w:div>
    <w:div w:id="1118060383">
      <w:bodyDiv w:val="1"/>
      <w:marLeft w:val="0"/>
      <w:marRight w:val="0"/>
      <w:marTop w:val="0"/>
      <w:marBottom w:val="0"/>
      <w:divBdr>
        <w:top w:val="none" w:sz="0" w:space="0" w:color="auto"/>
        <w:left w:val="none" w:sz="0" w:space="0" w:color="auto"/>
        <w:bottom w:val="none" w:sz="0" w:space="0" w:color="auto"/>
        <w:right w:val="none" w:sz="0" w:space="0" w:color="auto"/>
      </w:divBdr>
    </w:div>
    <w:div w:id="1130631607">
      <w:bodyDiv w:val="1"/>
      <w:marLeft w:val="0"/>
      <w:marRight w:val="0"/>
      <w:marTop w:val="0"/>
      <w:marBottom w:val="0"/>
      <w:divBdr>
        <w:top w:val="none" w:sz="0" w:space="0" w:color="auto"/>
        <w:left w:val="none" w:sz="0" w:space="0" w:color="auto"/>
        <w:bottom w:val="none" w:sz="0" w:space="0" w:color="auto"/>
        <w:right w:val="none" w:sz="0" w:space="0" w:color="auto"/>
      </w:divBdr>
    </w:div>
    <w:div w:id="1159032788">
      <w:bodyDiv w:val="1"/>
      <w:marLeft w:val="0"/>
      <w:marRight w:val="0"/>
      <w:marTop w:val="0"/>
      <w:marBottom w:val="0"/>
      <w:divBdr>
        <w:top w:val="none" w:sz="0" w:space="0" w:color="auto"/>
        <w:left w:val="none" w:sz="0" w:space="0" w:color="auto"/>
        <w:bottom w:val="none" w:sz="0" w:space="0" w:color="auto"/>
        <w:right w:val="none" w:sz="0" w:space="0" w:color="auto"/>
      </w:divBdr>
      <w:divsChild>
        <w:div w:id="1736856170">
          <w:marLeft w:val="360"/>
          <w:marRight w:val="0"/>
          <w:marTop w:val="0"/>
          <w:marBottom w:val="0"/>
          <w:divBdr>
            <w:top w:val="none" w:sz="0" w:space="0" w:color="auto"/>
            <w:left w:val="none" w:sz="0" w:space="0" w:color="auto"/>
            <w:bottom w:val="none" w:sz="0" w:space="0" w:color="auto"/>
            <w:right w:val="none" w:sz="0" w:space="0" w:color="auto"/>
          </w:divBdr>
        </w:div>
      </w:divsChild>
    </w:div>
    <w:div w:id="1162349729">
      <w:bodyDiv w:val="1"/>
      <w:marLeft w:val="0"/>
      <w:marRight w:val="0"/>
      <w:marTop w:val="0"/>
      <w:marBottom w:val="0"/>
      <w:divBdr>
        <w:top w:val="none" w:sz="0" w:space="0" w:color="auto"/>
        <w:left w:val="none" w:sz="0" w:space="0" w:color="auto"/>
        <w:bottom w:val="none" w:sz="0" w:space="0" w:color="auto"/>
        <w:right w:val="none" w:sz="0" w:space="0" w:color="auto"/>
      </w:divBdr>
    </w:div>
    <w:div w:id="1164972249">
      <w:bodyDiv w:val="1"/>
      <w:marLeft w:val="0"/>
      <w:marRight w:val="0"/>
      <w:marTop w:val="0"/>
      <w:marBottom w:val="0"/>
      <w:divBdr>
        <w:top w:val="none" w:sz="0" w:space="0" w:color="auto"/>
        <w:left w:val="none" w:sz="0" w:space="0" w:color="auto"/>
        <w:bottom w:val="none" w:sz="0" w:space="0" w:color="auto"/>
        <w:right w:val="none" w:sz="0" w:space="0" w:color="auto"/>
      </w:divBdr>
    </w:div>
    <w:div w:id="1170024964">
      <w:bodyDiv w:val="1"/>
      <w:marLeft w:val="0"/>
      <w:marRight w:val="0"/>
      <w:marTop w:val="0"/>
      <w:marBottom w:val="0"/>
      <w:divBdr>
        <w:top w:val="none" w:sz="0" w:space="0" w:color="auto"/>
        <w:left w:val="none" w:sz="0" w:space="0" w:color="auto"/>
        <w:bottom w:val="none" w:sz="0" w:space="0" w:color="auto"/>
        <w:right w:val="none" w:sz="0" w:space="0" w:color="auto"/>
      </w:divBdr>
    </w:div>
    <w:div w:id="1196381781">
      <w:bodyDiv w:val="1"/>
      <w:marLeft w:val="0"/>
      <w:marRight w:val="0"/>
      <w:marTop w:val="0"/>
      <w:marBottom w:val="0"/>
      <w:divBdr>
        <w:top w:val="none" w:sz="0" w:space="0" w:color="auto"/>
        <w:left w:val="none" w:sz="0" w:space="0" w:color="auto"/>
        <w:bottom w:val="none" w:sz="0" w:space="0" w:color="auto"/>
        <w:right w:val="none" w:sz="0" w:space="0" w:color="auto"/>
      </w:divBdr>
    </w:div>
    <w:div w:id="1230001473">
      <w:bodyDiv w:val="1"/>
      <w:marLeft w:val="0"/>
      <w:marRight w:val="0"/>
      <w:marTop w:val="0"/>
      <w:marBottom w:val="0"/>
      <w:divBdr>
        <w:top w:val="none" w:sz="0" w:space="0" w:color="auto"/>
        <w:left w:val="none" w:sz="0" w:space="0" w:color="auto"/>
        <w:bottom w:val="none" w:sz="0" w:space="0" w:color="auto"/>
        <w:right w:val="none" w:sz="0" w:space="0" w:color="auto"/>
      </w:divBdr>
    </w:div>
    <w:div w:id="1238326624">
      <w:bodyDiv w:val="1"/>
      <w:marLeft w:val="0"/>
      <w:marRight w:val="0"/>
      <w:marTop w:val="0"/>
      <w:marBottom w:val="0"/>
      <w:divBdr>
        <w:top w:val="none" w:sz="0" w:space="0" w:color="auto"/>
        <w:left w:val="none" w:sz="0" w:space="0" w:color="auto"/>
        <w:bottom w:val="none" w:sz="0" w:space="0" w:color="auto"/>
        <w:right w:val="none" w:sz="0" w:space="0" w:color="auto"/>
      </w:divBdr>
    </w:div>
    <w:div w:id="1246841791">
      <w:bodyDiv w:val="1"/>
      <w:marLeft w:val="0"/>
      <w:marRight w:val="0"/>
      <w:marTop w:val="0"/>
      <w:marBottom w:val="0"/>
      <w:divBdr>
        <w:top w:val="none" w:sz="0" w:space="0" w:color="auto"/>
        <w:left w:val="none" w:sz="0" w:space="0" w:color="auto"/>
        <w:bottom w:val="none" w:sz="0" w:space="0" w:color="auto"/>
        <w:right w:val="none" w:sz="0" w:space="0" w:color="auto"/>
      </w:divBdr>
      <w:divsChild>
        <w:div w:id="182326210">
          <w:marLeft w:val="360"/>
          <w:marRight w:val="0"/>
          <w:marTop w:val="0"/>
          <w:marBottom w:val="0"/>
          <w:divBdr>
            <w:top w:val="none" w:sz="0" w:space="0" w:color="auto"/>
            <w:left w:val="none" w:sz="0" w:space="0" w:color="auto"/>
            <w:bottom w:val="none" w:sz="0" w:space="0" w:color="auto"/>
            <w:right w:val="none" w:sz="0" w:space="0" w:color="auto"/>
          </w:divBdr>
        </w:div>
        <w:div w:id="411897132">
          <w:marLeft w:val="360"/>
          <w:marRight w:val="0"/>
          <w:marTop w:val="0"/>
          <w:marBottom w:val="0"/>
          <w:divBdr>
            <w:top w:val="none" w:sz="0" w:space="0" w:color="auto"/>
            <w:left w:val="none" w:sz="0" w:space="0" w:color="auto"/>
            <w:bottom w:val="none" w:sz="0" w:space="0" w:color="auto"/>
            <w:right w:val="none" w:sz="0" w:space="0" w:color="auto"/>
          </w:divBdr>
        </w:div>
        <w:div w:id="1150709039">
          <w:marLeft w:val="360"/>
          <w:marRight w:val="0"/>
          <w:marTop w:val="0"/>
          <w:marBottom w:val="0"/>
          <w:divBdr>
            <w:top w:val="none" w:sz="0" w:space="0" w:color="auto"/>
            <w:left w:val="none" w:sz="0" w:space="0" w:color="auto"/>
            <w:bottom w:val="none" w:sz="0" w:space="0" w:color="auto"/>
            <w:right w:val="none" w:sz="0" w:space="0" w:color="auto"/>
          </w:divBdr>
        </w:div>
        <w:div w:id="1160149746">
          <w:marLeft w:val="360"/>
          <w:marRight w:val="0"/>
          <w:marTop w:val="0"/>
          <w:marBottom w:val="0"/>
          <w:divBdr>
            <w:top w:val="none" w:sz="0" w:space="0" w:color="auto"/>
            <w:left w:val="none" w:sz="0" w:space="0" w:color="auto"/>
            <w:bottom w:val="none" w:sz="0" w:space="0" w:color="auto"/>
            <w:right w:val="none" w:sz="0" w:space="0" w:color="auto"/>
          </w:divBdr>
        </w:div>
        <w:div w:id="1732079170">
          <w:marLeft w:val="360"/>
          <w:marRight w:val="0"/>
          <w:marTop w:val="0"/>
          <w:marBottom w:val="0"/>
          <w:divBdr>
            <w:top w:val="none" w:sz="0" w:space="0" w:color="auto"/>
            <w:left w:val="none" w:sz="0" w:space="0" w:color="auto"/>
            <w:bottom w:val="none" w:sz="0" w:space="0" w:color="auto"/>
            <w:right w:val="none" w:sz="0" w:space="0" w:color="auto"/>
          </w:divBdr>
        </w:div>
        <w:div w:id="1833789986">
          <w:marLeft w:val="360"/>
          <w:marRight w:val="0"/>
          <w:marTop w:val="0"/>
          <w:marBottom w:val="0"/>
          <w:divBdr>
            <w:top w:val="none" w:sz="0" w:space="0" w:color="auto"/>
            <w:left w:val="none" w:sz="0" w:space="0" w:color="auto"/>
            <w:bottom w:val="none" w:sz="0" w:space="0" w:color="auto"/>
            <w:right w:val="none" w:sz="0" w:space="0" w:color="auto"/>
          </w:divBdr>
        </w:div>
        <w:div w:id="2091535162">
          <w:marLeft w:val="360"/>
          <w:marRight w:val="0"/>
          <w:marTop w:val="0"/>
          <w:marBottom w:val="0"/>
          <w:divBdr>
            <w:top w:val="none" w:sz="0" w:space="0" w:color="auto"/>
            <w:left w:val="none" w:sz="0" w:space="0" w:color="auto"/>
            <w:bottom w:val="none" w:sz="0" w:space="0" w:color="auto"/>
            <w:right w:val="none" w:sz="0" w:space="0" w:color="auto"/>
          </w:divBdr>
        </w:div>
      </w:divsChild>
    </w:div>
    <w:div w:id="1302882370">
      <w:bodyDiv w:val="1"/>
      <w:marLeft w:val="0"/>
      <w:marRight w:val="0"/>
      <w:marTop w:val="0"/>
      <w:marBottom w:val="0"/>
      <w:divBdr>
        <w:top w:val="none" w:sz="0" w:space="0" w:color="auto"/>
        <w:left w:val="none" w:sz="0" w:space="0" w:color="auto"/>
        <w:bottom w:val="none" w:sz="0" w:space="0" w:color="auto"/>
        <w:right w:val="none" w:sz="0" w:space="0" w:color="auto"/>
      </w:divBdr>
    </w:div>
    <w:div w:id="1318342735">
      <w:bodyDiv w:val="1"/>
      <w:marLeft w:val="0"/>
      <w:marRight w:val="0"/>
      <w:marTop w:val="0"/>
      <w:marBottom w:val="0"/>
      <w:divBdr>
        <w:top w:val="none" w:sz="0" w:space="0" w:color="auto"/>
        <w:left w:val="none" w:sz="0" w:space="0" w:color="auto"/>
        <w:bottom w:val="none" w:sz="0" w:space="0" w:color="auto"/>
        <w:right w:val="none" w:sz="0" w:space="0" w:color="auto"/>
      </w:divBdr>
    </w:div>
    <w:div w:id="1335568811">
      <w:bodyDiv w:val="1"/>
      <w:marLeft w:val="0"/>
      <w:marRight w:val="0"/>
      <w:marTop w:val="0"/>
      <w:marBottom w:val="0"/>
      <w:divBdr>
        <w:top w:val="none" w:sz="0" w:space="0" w:color="auto"/>
        <w:left w:val="none" w:sz="0" w:space="0" w:color="auto"/>
        <w:bottom w:val="none" w:sz="0" w:space="0" w:color="auto"/>
        <w:right w:val="none" w:sz="0" w:space="0" w:color="auto"/>
      </w:divBdr>
    </w:div>
    <w:div w:id="1392075915">
      <w:bodyDiv w:val="1"/>
      <w:marLeft w:val="0"/>
      <w:marRight w:val="0"/>
      <w:marTop w:val="0"/>
      <w:marBottom w:val="0"/>
      <w:divBdr>
        <w:top w:val="none" w:sz="0" w:space="0" w:color="auto"/>
        <w:left w:val="none" w:sz="0" w:space="0" w:color="auto"/>
        <w:bottom w:val="none" w:sz="0" w:space="0" w:color="auto"/>
        <w:right w:val="none" w:sz="0" w:space="0" w:color="auto"/>
      </w:divBdr>
    </w:div>
    <w:div w:id="1397895337">
      <w:bodyDiv w:val="1"/>
      <w:marLeft w:val="0"/>
      <w:marRight w:val="0"/>
      <w:marTop w:val="0"/>
      <w:marBottom w:val="0"/>
      <w:divBdr>
        <w:top w:val="none" w:sz="0" w:space="0" w:color="auto"/>
        <w:left w:val="none" w:sz="0" w:space="0" w:color="auto"/>
        <w:bottom w:val="none" w:sz="0" w:space="0" w:color="auto"/>
        <w:right w:val="none" w:sz="0" w:space="0" w:color="auto"/>
      </w:divBdr>
    </w:div>
    <w:div w:id="1435709687">
      <w:bodyDiv w:val="1"/>
      <w:marLeft w:val="0"/>
      <w:marRight w:val="0"/>
      <w:marTop w:val="0"/>
      <w:marBottom w:val="0"/>
      <w:divBdr>
        <w:top w:val="none" w:sz="0" w:space="0" w:color="auto"/>
        <w:left w:val="none" w:sz="0" w:space="0" w:color="auto"/>
        <w:bottom w:val="none" w:sz="0" w:space="0" w:color="auto"/>
        <w:right w:val="none" w:sz="0" w:space="0" w:color="auto"/>
      </w:divBdr>
      <w:divsChild>
        <w:div w:id="1351297733">
          <w:marLeft w:val="360"/>
          <w:marRight w:val="0"/>
          <w:marTop w:val="0"/>
          <w:marBottom w:val="0"/>
          <w:divBdr>
            <w:top w:val="none" w:sz="0" w:space="0" w:color="auto"/>
            <w:left w:val="none" w:sz="0" w:space="0" w:color="auto"/>
            <w:bottom w:val="none" w:sz="0" w:space="0" w:color="auto"/>
            <w:right w:val="none" w:sz="0" w:space="0" w:color="auto"/>
          </w:divBdr>
        </w:div>
      </w:divsChild>
    </w:div>
    <w:div w:id="1447508789">
      <w:bodyDiv w:val="1"/>
      <w:marLeft w:val="0"/>
      <w:marRight w:val="0"/>
      <w:marTop w:val="0"/>
      <w:marBottom w:val="0"/>
      <w:divBdr>
        <w:top w:val="none" w:sz="0" w:space="0" w:color="auto"/>
        <w:left w:val="none" w:sz="0" w:space="0" w:color="auto"/>
        <w:bottom w:val="none" w:sz="0" w:space="0" w:color="auto"/>
        <w:right w:val="none" w:sz="0" w:space="0" w:color="auto"/>
      </w:divBdr>
    </w:div>
    <w:div w:id="1455755950">
      <w:bodyDiv w:val="1"/>
      <w:marLeft w:val="0"/>
      <w:marRight w:val="0"/>
      <w:marTop w:val="0"/>
      <w:marBottom w:val="0"/>
      <w:divBdr>
        <w:top w:val="none" w:sz="0" w:space="0" w:color="auto"/>
        <w:left w:val="none" w:sz="0" w:space="0" w:color="auto"/>
        <w:bottom w:val="none" w:sz="0" w:space="0" w:color="auto"/>
        <w:right w:val="none" w:sz="0" w:space="0" w:color="auto"/>
      </w:divBdr>
    </w:div>
    <w:div w:id="1471170106">
      <w:bodyDiv w:val="1"/>
      <w:marLeft w:val="0"/>
      <w:marRight w:val="0"/>
      <w:marTop w:val="0"/>
      <w:marBottom w:val="0"/>
      <w:divBdr>
        <w:top w:val="none" w:sz="0" w:space="0" w:color="auto"/>
        <w:left w:val="none" w:sz="0" w:space="0" w:color="auto"/>
        <w:bottom w:val="none" w:sz="0" w:space="0" w:color="auto"/>
        <w:right w:val="none" w:sz="0" w:space="0" w:color="auto"/>
      </w:divBdr>
    </w:div>
    <w:div w:id="1495805624">
      <w:bodyDiv w:val="1"/>
      <w:marLeft w:val="0"/>
      <w:marRight w:val="0"/>
      <w:marTop w:val="0"/>
      <w:marBottom w:val="0"/>
      <w:divBdr>
        <w:top w:val="none" w:sz="0" w:space="0" w:color="auto"/>
        <w:left w:val="none" w:sz="0" w:space="0" w:color="auto"/>
        <w:bottom w:val="none" w:sz="0" w:space="0" w:color="auto"/>
        <w:right w:val="none" w:sz="0" w:space="0" w:color="auto"/>
      </w:divBdr>
      <w:divsChild>
        <w:div w:id="195772035">
          <w:marLeft w:val="0"/>
          <w:marRight w:val="0"/>
          <w:marTop w:val="0"/>
          <w:marBottom w:val="0"/>
          <w:divBdr>
            <w:top w:val="none" w:sz="0" w:space="0" w:color="auto"/>
            <w:left w:val="none" w:sz="0" w:space="0" w:color="auto"/>
            <w:bottom w:val="none" w:sz="0" w:space="0" w:color="auto"/>
            <w:right w:val="none" w:sz="0" w:space="0" w:color="auto"/>
          </w:divBdr>
        </w:div>
        <w:div w:id="522524900">
          <w:marLeft w:val="0"/>
          <w:marRight w:val="0"/>
          <w:marTop w:val="0"/>
          <w:marBottom w:val="0"/>
          <w:divBdr>
            <w:top w:val="none" w:sz="0" w:space="0" w:color="auto"/>
            <w:left w:val="none" w:sz="0" w:space="0" w:color="auto"/>
            <w:bottom w:val="none" w:sz="0" w:space="0" w:color="auto"/>
            <w:right w:val="none" w:sz="0" w:space="0" w:color="auto"/>
          </w:divBdr>
        </w:div>
        <w:div w:id="835922368">
          <w:marLeft w:val="0"/>
          <w:marRight w:val="0"/>
          <w:marTop w:val="0"/>
          <w:marBottom w:val="0"/>
          <w:divBdr>
            <w:top w:val="none" w:sz="0" w:space="0" w:color="auto"/>
            <w:left w:val="none" w:sz="0" w:space="0" w:color="auto"/>
            <w:bottom w:val="none" w:sz="0" w:space="0" w:color="auto"/>
            <w:right w:val="none" w:sz="0" w:space="0" w:color="auto"/>
          </w:divBdr>
        </w:div>
        <w:div w:id="967005245">
          <w:marLeft w:val="0"/>
          <w:marRight w:val="0"/>
          <w:marTop w:val="0"/>
          <w:marBottom w:val="0"/>
          <w:divBdr>
            <w:top w:val="none" w:sz="0" w:space="0" w:color="auto"/>
            <w:left w:val="none" w:sz="0" w:space="0" w:color="auto"/>
            <w:bottom w:val="none" w:sz="0" w:space="0" w:color="auto"/>
            <w:right w:val="none" w:sz="0" w:space="0" w:color="auto"/>
          </w:divBdr>
        </w:div>
        <w:div w:id="975338097">
          <w:marLeft w:val="0"/>
          <w:marRight w:val="0"/>
          <w:marTop w:val="0"/>
          <w:marBottom w:val="0"/>
          <w:divBdr>
            <w:top w:val="none" w:sz="0" w:space="0" w:color="auto"/>
            <w:left w:val="none" w:sz="0" w:space="0" w:color="auto"/>
            <w:bottom w:val="none" w:sz="0" w:space="0" w:color="auto"/>
            <w:right w:val="none" w:sz="0" w:space="0" w:color="auto"/>
          </w:divBdr>
        </w:div>
        <w:div w:id="1844126757">
          <w:marLeft w:val="0"/>
          <w:marRight w:val="0"/>
          <w:marTop w:val="0"/>
          <w:marBottom w:val="0"/>
          <w:divBdr>
            <w:top w:val="none" w:sz="0" w:space="0" w:color="auto"/>
            <w:left w:val="none" w:sz="0" w:space="0" w:color="auto"/>
            <w:bottom w:val="none" w:sz="0" w:space="0" w:color="auto"/>
            <w:right w:val="none" w:sz="0" w:space="0" w:color="auto"/>
          </w:divBdr>
        </w:div>
        <w:div w:id="1889143339">
          <w:marLeft w:val="0"/>
          <w:marRight w:val="0"/>
          <w:marTop w:val="0"/>
          <w:marBottom w:val="0"/>
          <w:divBdr>
            <w:top w:val="none" w:sz="0" w:space="0" w:color="auto"/>
            <w:left w:val="none" w:sz="0" w:space="0" w:color="auto"/>
            <w:bottom w:val="none" w:sz="0" w:space="0" w:color="auto"/>
            <w:right w:val="none" w:sz="0" w:space="0" w:color="auto"/>
          </w:divBdr>
        </w:div>
        <w:div w:id="2043627656">
          <w:marLeft w:val="0"/>
          <w:marRight w:val="0"/>
          <w:marTop w:val="0"/>
          <w:marBottom w:val="0"/>
          <w:divBdr>
            <w:top w:val="none" w:sz="0" w:space="0" w:color="auto"/>
            <w:left w:val="none" w:sz="0" w:space="0" w:color="auto"/>
            <w:bottom w:val="none" w:sz="0" w:space="0" w:color="auto"/>
            <w:right w:val="none" w:sz="0" w:space="0" w:color="auto"/>
          </w:divBdr>
        </w:div>
      </w:divsChild>
    </w:div>
    <w:div w:id="1547446558">
      <w:bodyDiv w:val="1"/>
      <w:marLeft w:val="0"/>
      <w:marRight w:val="0"/>
      <w:marTop w:val="0"/>
      <w:marBottom w:val="0"/>
      <w:divBdr>
        <w:top w:val="none" w:sz="0" w:space="0" w:color="auto"/>
        <w:left w:val="none" w:sz="0" w:space="0" w:color="auto"/>
        <w:bottom w:val="none" w:sz="0" w:space="0" w:color="auto"/>
        <w:right w:val="none" w:sz="0" w:space="0" w:color="auto"/>
      </w:divBdr>
    </w:div>
    <w:div w:id="1550536539">
      <w:bodyDiv w:val="1"/>
      <w:marLeft w:val="0"/>
      <w:marRight w:val="0"/>
      <w:marTop w:val="0"/>
      <w:marBottom w:val="0"/>
      <w:divBdr>
        <w:top w:val="none" w:sz="0" w:space="0" w:color="auto"/>
        <w:left w:val="none" w:sz="0" w:space="0" w:color="auto"/>
        <w:bottom w:val="none" w:sz="0" w:space="0" w:color="auto"/>
        <w:right w:val="none" w:sz="0" w:space="0" w:color="auto"/>
      </w:divBdr>
      <w:divsChild>
        <w:div w:id="1027605916">
          <w:marLeft w:val="331"/>
          <w:marRight w:val="0"/>
          <w:marTop w:val="0"/>
          <w:marBottom w:val="0"/>
          <w:divBdr>
            <w:top w:val="none" w:sz="0" w:space="0" w:color="auto"/>
            <w:left w:val="none" w:sz="0" w:space="0" w:color="auto"/>
            <w:bottom w:val="none" w:sz="0" w:space="0" w:color="auto"/>
            <w:right w:val="none" w:sz="0" w:space="0" w:color="auto"/>
          </w:divBdr>
        </w:div>
        <w:div w:id="1044526239">
          <w:marLeft w:val="331"/>
          <w:marRight w:val="0"/>
          <w:marTop w:val="0"/>
          <w:marBottom w:val="0"/>
          <w:divBdr>
            <w:top w:val="none" w:sz="0" w:space="0" w:color="auto"/>
            <w:left w:val="none" w:sz="0" w:space="0" w:color="auto"/>
            <w:bottom w:val="none" w:sz="0" w:space="0" w:color="auto"/>
            <w:right w:val="none" w:sz="0" w:space="0" w:color="auto"/>
          </w:divBdr>
        </w:div>
        <w:div w:id="1533690051">
          <w:marLeft w:val="331"/>
          <w:marRight w:val="0"/>
          <w:marTop w:val="0"/>
          <w:marBottom w:val="0"/>
          <w:divBdr>
            <w:top w:val="none" w:sz="0" w:space="0" w:color="auto"/>
            <w:left w:val="none" w:sz="0" w:space="0" w:color="auto"/>
            <w:bottom w:val="none" w:sz="0" w:space="0" w:color="auto"/>
            <w:right w:val="none" w:sz="0" w:space="0" w:color="auto"/>
          </w:divBdr>
        </w:div>
      </w:divsChild>
    </w:div>
    <w:div w:id="1584947552">
      <w:bodyDiv w:val="1"/>
      <w:marLeft w:val="0"/>
      <w:marRight w:val="0"/>
      <w:marTop w:val="0"/>
      <w:marBottom w:val="0"/>
      <w:divBdr>
        <w:top w:val="none" w:sz="0" w:space="0" w:color="auto"/>
        <w:left w:val="none" w:sz="0" w:space="0" w:color="auto"/>
        <w:bottom w:val="none" w:sz="0" w:space="0" w:color="auto"/>
        <w:right w:val="none" w:sz="0" w:space="0" w:color="auto"/>
      </w:divBdr>
      <w:divsChild>
        <w:div w:id="1148740840">
          <w:marLeft w:val="360"/>
          <w:marRight w:val="0"/>
          <w:marTop w:val="0"/>
          <w:marBottom w:val="0"/>
          <w:divBdr>
            <w:top w:val="none" w:sz="0" w:space="0" w:color="auto"/>
            <w:left w:val="none" w:sz="0" w:space="0" w:color="auto"/>
            <w:bottom w:val="none" w:sz="0" w:space="0" w:color="auto"/>
            <w:right w:val="none" w:sz="0" w:space="0" w:color="auto"/>
          </w:divBdr>
        </w:div>
        <w:div w:id="1382167271">
          <w:marLeft w:val="360"/>
          <w:marRight w:val="0"/>
          <w:marTop w:val="0"/>
          <w:marBottom w:val="0"/>
          <w:divBdr>
            <w:top w:val="none" w:sz="0" w:space="0" w:color="auto"/>
            <w:left w:val="none" w:sz="0" w:space="0" w:color="auto"/>
            <w:bottom w:val="none" w:sz="0" w:space="0" w:color="auto"/>
            <w:right w:val="none" w:sz="0" w:space="0" w:color="auto"/>
          </w:divBdr>
        </w:div>
        <w:div w:id="1478305791">
          <w:marLeft w:val="360"/>
          <w:marRight w:val="0"/>
          <w:marTop w:val="0"/>
          <w:marBottom w:val="0"/>
          <w:divBdr>
            <w:top w:val="none" w:sz="0" w:space="0" w:color="auto"/>
            <w:left w:val="none" w:sz="0" w:space="0" w:color="auto"/>
            <w:bottom w:val="none" w:sz="0" w:space="0" w:color="auto"/>
            <w:right w:val="none" w:sz="0" w:space="0" w:color="auto"/>
          </w:divBdr>
        </w:div>
        <w:div w:id="2034070648">
          <w:marLeft w:val="360"/>
          <w:marRight w:val="0"/>
          <w:marTop w:val="0"/>
          <w:marBottom w:val="0"/>
          <w:divBdr>
            <w:top w:val="none" w:sz="0" w:space="0" w:color="auto"/>
            <w:left w:val="none" w:sz="0" w:space="0" w:color="auto"/>
            <w:bottom w:val="none" w:sz="0" w:space="0" w:color="auto"/>
            <w:right w:val="none" w:sz="0" w:space="0" w:color="auto"/>
          </w:divBdr>
        </w:div>
      </w:divsChild>
    </w:div>
    <w:div w:id="1618827779">
      <w:bodyDiv w:val="1"/>
      <w:marLeft w:val="0"/>
      <w:marRight w:val="0"/>
      <w:marTop w:val="0"/>
      <w:marBottom w:val="0"/>
      <w:divBdr>
        <w:top w:val="none" w:sz="0" w:space="0" w:color="auto"/>
        <w:left w:val="none" w:sz="0" w:space="0" w:color="auto"/>
        <w:bottom w:val="none" w:sz="0" w:space="0" w:color="auto"/>
        <w:right w:val="none" w:sz="0" w:space="0" w:color="auto"/>
      </w:divBdr>
    </w:div>
    <w:div w:id="1694768409">
      <w:bodyDiv w:val="1"/>
      <w:marLeft w:val="0"/>
      <w:marRight w:val="0"/>
      <w:marTop w:val="0"/>
      <w:marBottom w:val="0"/>
      <w:divBdr>
        <w:top w:val="none" w:sz="0" w:space="0" w:color="auto"/>
        <w:left w:val="none" w:sz="0" w:space="0" w:color="auto"/>
        <w:bottom w:val="none" w:sz="0" w:space="0" w:color="auto"/>
        <w:right w:val="none" w:sz="0" w:space="0" w:color="auto"/>
      </w:divBdr>
    </w:div>
    <w:div w:id="1771470633">
      <w:bodyDiv w:val="1"/>
      <w:marLeft w:val="0"/>
      <w:marRight w:val="0"/>
      <w:marTop w:val="0"/>
      <w:marBottom w:val="0"/>
      <w:divBdr>
        <w:top w:val="none" w:sz="0" w:space="0" w:color="auto"/>
        <w:left w:val="none" w:sz="0" w:space="0" w:color="auto"/>
        <w:bottom w:val="none" w:sz="0" w:space="0" w:color="auto"/>
        <w:right w:val="none" w:sz="0" w:space="0" w:color="auto"/>
      </w:divBdr>
    </w:div>
    <w:div w:id="1806583114">
      <w:bodyDiv w:val="1"/>
      <w:marLeft w:val="0"/>
      <w:marRight w:val="0"/>
      <w:marTop w:val="0"/>
      <w:marBottom w:val="0"/>
      <w:divBdr>
        <w:top w:val="none" w:sz="0" w:space="0" w:color="auto"/>
        <w:left w:val="none" w:sz="0" w:space="0" w:color="auto"/>
        <w:bottom w:val="none" w:sz="0" w:space="0" w:color="auto"/>
        <w:right w:val="none" w:sz="0" w:space="0" w:color="auto"/>
      </w:divBdr>
      <w:divsChild>
        <w:div w:id="1009914347">
          <w:marLeft w:val="360"/>
          <w:marRight w:val="0"/>
          <w:marTop w:val="0"/>
          <w:marBottom w:val="0"/>
          <w:divBdr>
            <w:top w:val="none" w:sz="0" w:space="0" w:color="auto"/>
            <w:left w:val="none" w:sz="0" w:space="0" w:color="auto"/>
            <w:bottom w:val="none" w:sz="0" w:space="0" w:color="auto"/>
            <w:right w:val="none" w:sz="0" w:space="0" w:color="auto"/>
          </w:divBdr>
        </w:div>
      </w:divsChild>
    </w:div>
    <w:div w:id="1841962134">
      <w:bodyDiv w:val="1"/>
      <w:marLeft w:val="0"/>
      <w:marRight w:val="0"/>
      <w:marTop w:val="0"/>
      <w:marBottom w:val="0"/>
      <w:divBdr>
        <w:top w:val="none" w:sz="0" w:space="0" w:color="auto"/>
        <w:left w:val="none" w:sz="0" w:space="0" w:color="auto"/>
        <w:bottom w:val="none" w:sz="0" w:space="0" w:color="auto"/>
        <w:right w:val="none" w:sz="0" w:space="0" w:color="auto"/>
      </w:divBdr>
    </w:div>
    <w:div w:id="1871450068">
      <w:bodyDiv w:val="1"/>
      <w:marLeft w:val="0"/>
      <w:marRight w:val="0"/>
      <w:marTop w:val="0"/>
      <w:marBottom w:val="0"/>
      <w:divBdr>
        <w:top w:val="none" w:sz="0" w:space="0" w:color="auto"/>
        <w:left w:val="none" w:sz="0" w:space="0" w:color="auto"/>
        <w:bottom w:val="none" w:sz="0" w:space="0" w:color="auto"/>
        <w:right w:val="none" w:sz="0" w:space="0" w:color="auto"/>
      </w:divBdr>
    </w:div>
    <w:div w:id="1879586744">
      <w:bodyDiv w:val="1"/>
      <w:marLeft w:val="0"/>
      <w:marRight w:val="0"/>
      <w:marTop w:val="0"/>
      <w:marBottom w:val="0"/>
      <w:divBdr>
        <w:top w:val="none" w:sz="0" w:space="0" w:color="auto"/>
        <w:left w:val="none" w:sz="0" w:space="0" w:color="auto"/>
        <w:bottom w:val="none" w:sz="0" w:space="0" w:color="auto"/>
        <w:right w:val="none" w:sz="0" w:space="0" w:color="auto"/>
      </w:divBdr>
      <w:divsChild>
        <w:div w:id="1804888421">
          <w:marLeft w:val="360"/>
          <w:marRight w:val="0"/>
          <w:marTop w:val="0"/>
          <w:marBottom w:val="0"/>
          <w:divBdr>
            <w:top w:val="none" w:sz="0" w:space="0" w:color="auto"/>
            <w:left w:val="none" w:sz="0" w:space="0" w:color="auto"/>
            <w:bottom w:val="none" w:sz="0" w:space="0" w:color="auto"/>
            <w:right w:val="none" w:sz="0" w:space="0" w:color="auto"/>
          </w:divBdr>
        </w:div>
      </w:divsChild>
    </w:div>
    <w:div w:id="1917520373">
      <w:bodyDiv w:val="1"/>
      <w:marLeft w:val="0"/>
      <w:marRight w:val="0"/>
      <w:marTop w:val="0"/>
      <w:marBottom w:val="0"/>
      <w:divBdr>
        <w:top w:val="none" w:sz="0" w:space="0" w:color="auto"/>
        <w:left w:val="none" w:sz="0" w:space="0" w:color="auto"/>
        <w:bottom w:val="none" w:sz="0" w:space="0" w:color="auto"/>
        <w:right w:val="none" w:sz="0" w:space="0" w:color="auto"/>
      </w:divBdr>
      <w:divsChild>
        <w:div w:id="402215732">
          <w:marLeft w:val="331"/>
          <w:marRight w:val="0"/>
          <w:marTop w:val="0"/>
          <w:marBottom w:val="120"/>
          <w:divBdr>
            <w:top w:val="none" w:sz="0" w:space="0" w:color="auto"/>
            <w:left w:val="none" w:sz="0" w:space="0" w:color="auto"/>
            <w:bottom w:val="none" w:sz="0" w:space="0" w:color="auto"/>
            <w:right w:val="none" w:sz="0" w:space="0" w:color="auto"/>
          </w:divBdr>
        </w:div>
        <w:div w:id="406610229">
          <w:marLeft w:val="331"/>
          <w:marRight w:val="0"/>
          <w:marTop w:val="0"/>
          <w:marBottom w:val="120"/>
          <w:divBdr>
            <w:top w:val="none" w:sz="0" w:space="0" w:color="auto"/>
            <w:left w:val="none" w:sz="0" w:space="0" w:color="auto"/>
            <w:bottom w:val="none" w:sz="0" w:space="0" w:color="auto"/>
            <w:right w:val="none" w:sz="0" w:space="0" w:color="auto"/>
          </w:divBdr>
        </w:div>
        <w:div w:id="432478765">
          <w:marLeft w:val="331"/>
          <w:marRight w:val="0"/>
          <w:marTop w:val="0"/>
          <w:marBottom w:val="120"/>
          <w:divBdr>
            <w:top w:val="none" w:sz="0" w:space="0" w:color="auto"/>
            <w:left w:val="none" w:sz="0" w:space="0" w:color="auto"/>
            <w:bottom w:val="none" w:sz="0" w:space="0" w:color="auto"/>
            <w:right w:val="none" w:sz="0" w:space="0" w:color="auto"/>
          </w:divBdr>
        </w:div>
        <w:div w:id="611473358">
          <w:marLeft w:val="331"/>
          <w:marRight w:val="0"/>
          <w:marTop w:val="0"/>
          <w:marBottom w:val="120"/>
          <w:divBdr>
            <w:top w:val="none" w:sz="0" w:space="0" w:color="auto"/>
            <w:left w:val="none" w:sz="0" w:space="0" w:color="auto"/>
            <w:bottom w:val="none" w:sz="0" w:space="0" w:color="auto"/>
            <w:right w:val="none" w:sz="0" w:space="0" w:color="auto"/>
          </w:divBdr>
        </w:div>
        <w:div w:id="825703421">
          <w:marLeft w:val="331"/>
          <w:marRight w:val="0"/>
          <w:marTop w:val="0"/>
          <w:marBottom w:val="120"/>
          <w:divBdr>
            <w:top w:val="none" w:sz="0" w:space="0" w:color="auto"/>
            <w:left w:val="none" w:sz="0" w:space="0" w:color="auto"/>
            <w:bottom w:val="none" w:sz="0" w:space="0" w:color="auto"/>
            <w:right w:val="none" w:sz="0" w:space="0" w:color="auto"/>
          </w:divBdr>
        </w:div>
      </w:divsChild>
    </w:div>
    <w:div w:id="1922374078">
      <w:bodyDiv w:val="1"/>
      <w:marLeft w:val="0"/>
      <w:marRight w:val="0"/>
      <w:marTop w:val="0"/>
      <w:marBottom w:val="0"/>
      <w:divBdr>
        <w:top w:val="none" w:sz="0" w:space="0" w:color="auto"/>
        <w:left w:val="none" w:sz="0" w:space="0" w:color="auto"/>
        <w:bottom w:val="none" w:sz="0" w:space="0" w:color="auto"/>
        <w:right w:val="none" w:sz="0" w:space="0" w:color="auto"/>
      </w:divBdr>
    </w:div>
    <w:div w:id="1954944286">
      <w:bodyDiv w:val="1"/>
      <w:marLeft w:val="0"/>
      <w:marRight w:val="0"/>
      <w:marTop w:val="0"/>
      <w:marBottom w:val="0"/>
      <w:divBdr>
        <w:top w:val="none" w:sz="0" w:space="0" w:color="auto"/>
        <w:left w:val="none" w:sz="0" w:space="0" w:color="auto"/>
        <w:bottom w:val="none" w:sz="0" w:space="0" w:color="auto"/>
        <w:right w:val="none" w:sz="0" w:space="0" w:color="auto"/>
      </w:divBdr>
    </w:div>
    <w:div w:id="1983726311">
      <w:bodyDiv w:val="1"/>
      <w:marLeft w:val="0"/>
      <w:marRight w:val="0"/>
      <w:marTop w:val="0"/>
      <w:marBottom w:val="0"/>
      <w:divBdr>
        <w:top w:val="none" w:sz="0" w:space="0" w:color="auto"/>
        <w:left w:val="none" w:sz="0" w:space="0" w:color="auto"/>
        <w:bottom w:val="none" w:sz="0" w:space="0" w:color="auto"/>
        <w:right w:val="none" w:sz="0" w:space="0" w:color="auto"/>
      </w:divBdr>
    </w:div>
    <w:div w:id="1987777829">
      <w:bodyDiv w:val="1"/>
      <w:marLeft w:val="0"/>
      <w:marRight w:val="0"/>
      <w:marTop w:val="0"/>
      <w:marBottom w:val="0"/>
      <w:divBdr>
        <w:top w:val="none" w:sz="0" w:space="0" w:color="auto"/>
        <w:left w:val="none" w:sz="0" w:space="0" w:color="auto"/>
        <w:bottom w:val="none" w:sz="0" w:space="0" w:color="auto"/>
        <w:right w:val="none" w:sz="0" w:space="0" w:color="auto"/>
      </w:divBdr>
    </w:div>
    <w:div w:id="2008052839">
      <w:bodyDiv w:val="1"/>
      <w:marLeft w:val="0"/>
      <w:marRight w:val="0"/>
      <w:marTop w:val="0"/>
      <w:marBottom w:val="0"/>
      <w:divBdr>
        <w:top w:val="none" w:sz="0" w:space="0" w:color="auto"/>
        <w:left w:val="none" w:sz="0" w:space="0" w:color="auto"/>
        <w:bottom w:val="none" w:sz="0" w:space="0" w:color="auto"/>
        <w:right w:val="none" w:sz="0" w:space="0" w:color="auto"/>
      </w:divBdr>
    </w:div>
    <w:div w:id="2078554691">
      <w:bodyDiv w:val="1"/>
      <w:marLeft w:val="0"/>
      <w:marRight w:val="0"/>
      <w:marTop w:val="0"/>
      <w:marBottom w:val="0"/>
      <w:divBdr>
        <w:top w:val="none" w:sz="0" w:space="0" w:color="auto"/>
        <w:left w:val="none" w:sz="0" w:space="0" w:color="auto"/>
        <w:bottom w:val="none" w:sz="0" w:space="0" w:color="auto"/>
        <w:right w:val="none" w:sz="0" w:space="0" w:color="auto"/>
      </w:divBdr>
    </w:div>
    <w:div w:id="213316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www.health.gov.au/our-work/star-ratings-for-residential-aged-care"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royalcommission.gov.au/system/files/202103/finalreportrecommendations.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health.gov.au/our-work/aged-care-act/abou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yperlink" Target="http://www.health.gov.au/sites/default/files/2025-01/star-ratings-evaluation-summary-report_0.pdf"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www.health.gov.au/sites/default/files/202411/designchangesforstarratingsconsultationpaper.pdf"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sites/default/files/2024&#8209;11/design&#8209;changes&#8209;for&#8209;star&#8209;ratings&#8209;consultation&#8209;paper.pdf" TargetMode="External"/><Relationship Id="rId2" Type="http://schemas.openxmlformats.org/officeDocument/2006/relationships/hyperlink" Target="http://www.royalcommission.gov.au/system/files/202103/finalreportrecommendations.pdf" TargetMode="External"/><Relationship Id="rId1" Type="http://schemas.openxmlformats.org/officeDocument/2006/relationships/hyperlink" Target="http://www.health.gov.au/our-work/aged-care-act/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doonan\AppData\Local\Temp\Templafy\WordVsto\Report%20Template.dotx" TargetMode="External"/></Relationships>
</file>

<file path=word/theme/theme1.xml><?xml version="1.0" encoding="utf-8"?>
<a:theme xmlns:a="http://schemas.openxmlformats.org/drawingml/2006/main" name="Office Theme">
  <a:themeElements>
    <a:clrScheme name="!KPMG full set">
      <a:dk1>
        <a:srgbClr val="000000"/>
      </a:dk1>
      <a:lt1>
        <a:sysClr val="window" lastClr="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80"/>
      </a:folHlink>
    </a:clrScheme>
    <a:fontScheme name="KPMG Fonts">
      <a:majorFont>
        <a:latin typeface="KPMG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ECCDC5E33FE24588535A9DF3F09E53" ma:contentTypeVersion="11" ma:contentTypeDescription="Create a new document." ma:contentTypeScope="" ma:versionID="a5fd1bf93c33e09cd926fec7d7a86673">
  <xsd:schema xmlns:xsd="http://www.w3.org/2001/XMLSchema" xmlns:xs="http://www.w3.org/2001/XMLSchema" xmlns:p="http://schemas.microsoft.com/office/2006/metadata/properties" xmlns:ns2="0cf7f5cb-1b77-4c8f-9b4f-394c1e7a4c82" xmlns:ns3="6560b47b-8856-4e8c-bda0-122f200b5f73" targetNamespace="http://schemas.microsoft.com/office/2006/metadata/properties" ma:root="true" ma:fieldsID="0fefe45e154e1c006c540f92223eaf2e" ns2:_="" ns3:_="">
    <xsd:import namespace="0cf7f5cb-1b77-4c8f-9b4f-394c1e7a4c82"/>
    <xsd:import namespace="6560b47b-8856-4e8c-bda0-122f200b5f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7f5cb-1b77-4c8f-9b4f-394c1e7a4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83d318-f35c-4577-94aa-4c8e836d27a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0b47b-8856-4e8c-bda0-122f200b5f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95182f-4ac9-43ff-b69c-cabd4d8af645}" ma:internalName="TaxCatchAll" ma:showField="CatchAllData" ma:web="6560b47b-8856-4e8c-bda0-122f200b5f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Report Template","templateDescription":"","enableDocumentContentUpdater":false,"version":"2.0"}]]></TemplafyTemplateConfiguration>
</file>

<file path=customXml/item4.xml><?xml version="1.0" encoding="utf-8"?>
<TemplafyFormConfiguration><![CDATA[{"formFields":[],"formDataEntries":[]}]]></TemplafyFormConfiguration>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cf7f5cb-1b77-4c8f-9b4f-394c1e7a4c82">
      <Terms xmlns="http://schemas.microsoft.com/office/infopath/2007/PartnerControls"/>
    </lcf76f155ced4ddcb4097134ff3c332f>
    <TaxCatchAll xmlns="6560b47b-8856-4e8c-bda0-122f200b5f7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67E47-3CF4-493F-BBD3-177BE31EFD5D}">
  <ds:schemaRefs>
    <ds:schemaRef ds:uri="http://schemas.microsoft.com/sharepoint/v3/contenttype/forms"/>
  </ds:schemaRefs>
</ds:datastoreItem>
</file>

<file path=customXml/itemProps2.xml><?xml version="1.0" encoding="utf-8"?>
<ds:datastoreItem xmlns:ds="http://schemas.openxmlformats.org/officeDocument/2006/customXml" ds:itemID="{B6735416-A468-454A-B124-3DE5E9005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7f5cb-1b77-4c8f-9b4f-394c1e7a4c82"/>
    <ds:schemaRef ds:uri="6560b47b-8856-4e8c-bda0-122f200b5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BE696B-D946-405C-8F4C-63B247C928E8}">
  <ds:schemaRefs/>
</ds:datastoreItem>
</file>

<file path=customXml/itemProps4.xml><?xml version="1.0" encoding="utf-8"?>
<ds:datastoreItem xmlns:ds="http://schemas.openxmlformats.org/officeDocument/2006/customXml" ds:itemID="{CDB18FB9-0BE6-4B50-93DE-5909F8ADB767}">
  <ds:schemaRefs/>
</ds:datastoreItem>
</file>

<file path=customXml/itemProps5.xml><?xml version="1.0" encoding="utf-8"?>
<ds:datastoreItem xmlns:ds="http://schemas.openxmlformats.org/officeDocument/2006/customXml" ds:itemID="{C557A6B2-28E0-4DDA-89B6-24266CB9C7A6}">
  <ds:schemaRefs>
    <ds:schemaRef ds:uri="http://purl.org/dc/terms/"/>
    <ds:schemaRef ds:uri="0cf7f5cb-1b77-4c8f-9b4f-394c1e7a4c82"/>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6560b47b-8856-4e8c-bda0-122f200b5f73"/>
    <ds:schemaRef ds:uri="http://purl.org/dc/dcmitype/"/>
  </ds:schemaRefs>
</ds:datastoreItem>
</file>

<file path=customXml/itemProps6.xml><?xml version="1.0" encoding="utf-8"?>
<ds:datastoreItem xmlns:ds="http://schemas.openxmlformats.org/officeDocument/2006/customXml" ds:itemID="{B554258E-302F-4080-BC10-81E1451F5F09}">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Report Template.dotx</Template>
  <TotalTime>6</TotalTime>
  <Pages>20</Pages>
  <Words>6934</Words>
  <Characters>39526</Characters>
  <Application>Microsoft Office Word</Application>
  <DocSecurity>8</DocSecurity>
  <Lines>329</Lines>
  <Paragraphs>92</Paragraphs>
  <ScaleCrop>false</ScaleCrop>
  <HeadingPairs>
    <vt:vector size="2" baseType="variant">
      <vt:variant>
        <vt:lpstr>Title</vt:lpstr>
      </vt:variant>
      <vt:variant>
        <vt:i4>1</vt:i4>
      </vt:variant>
    </vt:vector>
  </HeadingPairs>
  <TitlesOfParts>
    <vt:vector size="1" baseType="lpstr">
      <vt:lpstr>Summary Report Design Changes for Star Ratings Report Final</vt:lpstr>
    </vt:vector>
  </TitlesOfParts>
  <Company/>
  <LinksUpToDate>false</LinksUpToDate>
  <CharactersWithSpaces>46368</CharactersWithSpaces>
  <SharedDoc>false</SharedDoc>
  <HLinks>
    <vt:vector size="48" baseType="variant">
      <vt:variant>
        <vt:i4>7209047</vt:i4>
      </vt:variant>
      <vt:variant>
        <vt:i4>36</vt:i4>
      </vt:variant>
      <vt:variant>
        <vt:i4>0</vt:i4>
      </vt:variant>
      <vt:variant>
        <vt:i4>5</vt:i4>
      </vt:variant>
      <vt:variant>
        <vt:lpwstr>https://www.health.gov.au/sites/default/files/2025-01/star-ratings-evaluation-summary-report_0.pdf</vt:lpwstr>
      </vt:variant>
      <vt:variant>
        <vt:lpwstr/>
      </vt:variant>
      <vt:variant>
        <vt:i4>5439556</vt:i4>
      </vt:variant>
      <vt:variant>
        <vt:i4>33</vt:i4>
      </vt:variant>
      <vt:variant>
        <vt:i4>0</vt:i4>
      </vt:variant>
      <vt:variant>
        <vt:i4>5</vt:i4>
      </vt:variant>
      <vt:variant>
        <vt:lpwstr>http://www.health.gov.au/sites/default/files/202411/designchangesforstarratingsconsultationpaper.pdf</vt:lpwstr>
      </vt:variant>
      <vt:variant>
        <vt:lpwstr/>
      </vt:variant>
      <vt:variant>
        <vt:i4>5636191</vt:i4>
      </vt:variant>
      <vt:variant>
        <vt:i4>30</vt:i4>
      </vt:variant>
      <vt:variant>
        <vt:i4>0</vt:i4>
      </vt:variant>
      <vt:variant>
        <vt:i4>5</vt:i4>
      </vt:variant>
      <vt:variant>
        <vt:lpwstr>https://www.health.gov.au/our-work/star-ratings-for-residential-aged-care</vt:lpwstr>
      </vt:variant>
      <vt:variant>
        <vt:lpwstr/>
      </vt:variant>
      <vt:variant>
        <vt:i4>1572955</vt:i4>
      </vt:variant>
      <vt:variant>
        <vt:i4>27</vt:i4>
      </vt:variant>
      <vt:variant>
        <vt:i4>0</vt:i4>
      </vt:variant>
      <vt:variant>
        <vt:i4>5</vt:i4>
      </vt:variant>
      <vt:variant>
        <vt:lpwstr>http://www.royalcommission.gov.au/system/files/202103/finalreportrecommendations.pdf</vt:lpwstr>
      </vt:variant>
      <vt:variant>
        <vt:lpwstr/>
      </vt:variant>
      <vt:variant>
        <vt:i4>2031620</vt:i4>
      </vt:variant>
      <vt:variant>
        <vt:i4>24</vt:i4>
      </vt:variant>
      <vt:variant>
        <vt:i4>0</vt:i4>
      </vt:variant>
      <vt:variant>
        <vt:i4>5</vt:i4>
      </vt:variant>
      <vt:variant>
        <vt:lpwstr>http://www.health.gov.au/our-work/aged-care-act/about</vt:lpwstr>
      </vt:variant>
      <vt:variant>
        <vt:lpwstr/>
      </vt:variant>
      <vt:variant>
        <vt:i4>542769210</vt:i4>
      </vt:variant>
      <vt:variant>
        <vt:i4>6</vt:i4>
      </vt:variant>
      <vt:variant>
        <vt:i4>0</vt:i4>
      </vt:variant>
      <vt:variant>
        <vt:i4>5</vt:i4>
      </vt:variant>
      <vt:variant>
        <vt:lpwstr>http://www.health.gov.au/sites/default/files/2024‑11/design‑changes‑for‑star‑ratings‑consultation‑paper.pdf</vt:lpwstr>
      </vt:variant>
      <vt:variant>
        <vt:lpwstr/>
      </vt:variant>
      <vt:variant>
        <vt:i4>1572955</vt:i4>
      </vt:variant>
      <vt:variant>
        <vt:i4>3</vt:i4>
      </vt:variant>
      <vt:variant>
        <vt:i4>0</vt:i4>
      </vt:variant>
      <vt:variant>
        <vt:i4>5</vt:i4>
      </vt:variant>
      <vt:variant>
        <vt:lpwstr>http://www.royalcommission.gov.au/system/files/202103/finalreportrecommendations.pdf</vt:lpwstr>
      </vt:variant>
      <vt:variant>
        <vt:lpwstr/>
      </vt:variant>
      <vt:variant>
        <vt:i4>2031620</vt:i4>
      </vt:variant>
      <vt:variant>
        <vt:i4>0</vt:i4>
      </vt:variant>
      <vt:variant>
        <vt:i4>0</vt:i4>
      </vt:variant>
      <vt:variant>
        <vt:i4>5</vt:i4>
      </vt:variant>
      <vt:variant>
        <vt:lpwstr>http://www.health.gov.au/our-work/aged-care-act/about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Design Changes for Star Ratings Report Final</dc:title>
  <dc:subject>Star Rating</dc:subject>
  <dc:creator>Australian Government Department of Health and Aged Care</dc:creator>
  <cp:keywords/>
  <dc:description/>
  <cp:revision>10</cp:revision>
  <cp:lastPrinted>2025-02-06T17:04:00Z</cp:lastPrinted>
  <dcterms:created xsi:type="dcterms:W3CDTF">2025-03-17T05:52:00Z</dcterms:created>
  <dcterms:modified xsi:type="dcterms:W3CDTF">2025-03-17T06:12:00Z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0x01010070ECCDC5E33FE24588535A9DF3F09E53</vt:lpwstr>
  </property>
  <property fmtid="{D5CDD505-2E9C-101B-9397-08002B2CF9AE}" pid="4" name="TemplafyTenantId">
    <vt:lpwstr>kpmgau</vt:lpwstr>
  </property>
  <property fmtid="{D5CDD505-2E9C-101B-9397-08002B2CF9AE}" pid="5" name="TemplafyTemplateId">
    <vt:lpwstr>748945574276890624</vt:lpwstr>
  </property>
  <property fmtid="{D5CDD505-2E9C-101B-9397-08002B2CF9AE}" pid="6" name="TemplafyUserProfileId">
    <vt:lpwstr>637925849780367491</vt:lpwstr>
  </property>
  <property fmtid="{D5CDD505-2E9C-101B-9397-08002B2CF9AE}" pid="7" name="TemplafyFromBlank">
    <vt:bool>false</vt:bool>
  </property>
</Properties>
</file>