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C9D6B" w14:textId="77777777" w:rsidR="00D167F5" w:rsidRDefault="00D167F5" w:rsidP="00D167F5">
      <w:pPr>
        <w:pStyle w:val="Heading1"/>
        <w:spacing w:before="120" w:after="120" w:line="240" w:lineRule="auto"/>
        <w:jc w:val="center"/>
      </w:pPr>
      <w:r>
        <w:t>Consumer Health Literacy</w:t>
      </w:r>
    </w:p>
    <w:p w14:paraId="52EFC8B8" w14:textId="77777777" w:rsidR="003619F4" w:rsidRDefault="00D167F5" w:rsidP="00D167F5">
      <w:pPr>
        <w:pStyle w:val="Heading1"/>
        <w:spacing w:before="120" w:after="120" w:line="240" w:lineRule="auto"/>
        <w:jc w:val="center"/>
      </w:pPr>
      <w:r>
        <w:t>Round Two Grant Recipients</w:t>
      </w:r>
    </w:p>
    <w:tbl>
      <w:tblPr>
        <w:tblStyle w:val="GridTable4"/>
        <w:tblW w:w="5000" w:type="pct"/>
        <w:tblLook w:val="04A0" w:firstRow="1" w:lastRow="0" w:firstColumn="1" w:lastColumn="0" w:noHBand="0" w:noVBand="1"/>
      </w:tblPr>
      <w:tblGrid>
        <w:gridCol w:w="2706"/>
        <w:gridCol w:w="5105"/>
        <w:gridCol w:w="2383"/>
      </w:tblGrid>
      <w:tr w:rsidR="00D167F5" w:rsidRPr="00F25628" w14:paraId="286116F7" w14:textId="77777777" w:rsidTr="006B75F3">
        <w:trPr>
          <w:cnfStyle w:val="100000000000" w:firstRow="1" w:lastRow="0" w:firstColumn="0" w:lastColumn="0" w:oddVBand="0" w:evenVBand="0" w:oddHBand="0" w:evenHBand="0" w:firstRowFirstColumn="0" w:firstRowLastColumn="0" w:lastRowFirstColumn="0" w:lastRowLastColumn="0"/>
          <w:trHeight w:val="359"/>
          <w:tblHeader/>
        </w:trPr>
        <w:tc>
          <w:tcPr>
            <w:cnfStyle w:val="001000000000" w:firstRow="0" w:lastRow="0" w:firstColumn="1" w:lastColumn="0" w:oddVBand="0" w:evenVBand="0" w:oddHBand="0" w:evenHBand="0" w:firstRowFirstColumn="0" w:firstRowLastColumn="0" w:lastRowFirstColumn="0" w:lastRowLastColumn="0"/>
            <w:tcW w:w="1327" w:type="pct"/>
            <w:vAlign w:val="center"/>
          </w:tcPr>
          <w:p w14:paraId="53F4132F" w14:textId="77777777" w:rsidR="00D167F5" w:rsidRPr="00F25628" w:rsidRDefault="00D167F5" w:rsidP="006B75F3">
            <w:pPr>
              <w:rPr>
                <w:rFonts w:eastAsia="Calibri"/>
              </w:rPr>
            </w:pPr>
            <w:r w:rsidRPr="00F25628">
              <w:rPr>
                <w:rFonts w:eastAsia="Calibri"/>
              </w:rPr>
              <w:t>Project Title</w:t>
            </w:r>
          </w:p>
        </w:tc>
        <w:tc>
          <w:tcPr>
            <w:tcW w:w="2504" w:type="pct"/>
            <w:vAlign w:val="center"/>
          </w:tcPr>
          <w:p w14:paraId="5590D1D5" w14:textId="77777777" w:rsidR="00D167F5" w:rsidRPr="00F25628" w:rsidRDefault="00D167F5" w:rsidP="006B75F3">
            <w:pPr>
              <w:cnfStyle w:val="100000000000" w:firstRow="1" w:lastRow="0" w:firstColumn="0" w:lastColumn="0" w:oddVBand="0" w:evenVBand="0" w:oddHBand="0" w:evenHBand="0" w:firstRowFirstColumn="0" w:firstRowLastColumn="0" w:lastRowFirstColumn="0" w:lastRowLastColumn="0"/>
              <w:rPr>
                <w:rFonts w:eastAsia="Calibri"/>
              </w:rPr>
            </w:pPr>
            <w:r w:rsidRPr="00F25628">
              <w:rPr>
                <w:rFonts w:eastAsia="Calibri"/>
              </w:rPr>
              <w:t>Project Summary</w:t>
            </w:r>
          </w:p>
        </w:tc>
        <w:tc>
          <w:tcPr>
            <w:tcW w:w="1169" w:type="pct"/>
            <w:vAlign w:val="center"/>
          </w:tcPr>
          <w:p w14:paraId="2FCEB777" w14:textId="77777777" w:rsidR="00D167F5" w:rsidRPr="00F25628" w:rsidRDefault="00D167F5" w:rsidP="006B75F3">
            <w:pPr>
              <w:cnfStyle w:val="100000000000" w:firstRow="1" w:lastRow="0" w:firstColumn="0" w:lastColumn="0" w:oddVBand="0" w:evenVBand="0" w:oddHBand="0" w:evenHBand="0" w:firstRowFirstColumn="0" w:firstRowLastColumn="0" w:lastRowFirstColumn="0" w:lastRowLastColumn="0"/>
              <w:rPr>
                <w:rFonts w:eastAsia="Calibri"/>
              </w:rPr>
            </w:pPr>
            <w:r w:rsidRPr="00F25628">
              <w:rPr>
                <w:rFonts w:eastAsia="Calibri"/>
              </w:rPr>
              <w:t>Recipient</w:t>
            </w:r>
          </w:p>
        </w:tc>
      </w:tr>
      <w:tr w:rsidR="00D167F5" w:rsidRPr="00F25628" w14:paraId="109E5E4D" w14:textId="77777777" w:rsidTr="00D167F5">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327" w:type="pct"/>
            <w:shd w:val="clear" w:color="auto" w:fill="D8DBDB" w:themeFill="background1" w:themeFillShade="E6"/>
          </w:tcPr>
          <w:p w14:paraId="2FBAC731" w14:textId="77777777" w:rsidR="00D167F5" w:rsidRPr="00F25628" w:rsidRDefault="00D167F5" w:rsidP="006B75F3">
            <w:pPr>
              <w:rPr>
                <w:rFonts w:eastAsia="Calibri"/>
                <w:b w:val="0"/>
                <w:bCs w:val="0"/>
                <w:sz w:val="20"/>
                <w:szCs w:val="20"/>
              </w:rPr>
            </w:pPr>
            <w:r w:rsidRPr="00F25628">
              <w:rPr>
                <w:sz w:val="20"/>
                <w:szCs w:val="20"/>
              </w:rPr>
              <w:t>Using Medicines for Better Health – Consumer Health Literacy for Quality Use of Medicines (CHL for QUM) Program</w:t>
            </w:r>
            <w:r w:rsidRPr="00F25628" w:rsidDel="002D0EC1">
              <w:rPr>
                <w:rFonts w:eastAsia="Calibri"/>
                <w:b w:val="0"/>
                <w:bCs w:val="0"/>
                <w:sz w:val="20"/>
                <w:szCs w:val="20"/>
              </w:rPr>
              <w:t xml:space="preserve"> </w:t>
            </w:r>
          </w:p>
        </w:tc>
        <w:tc>
          <w:tcPr>
            <w:tcW w:w="2504" w:type="pct"/>
            <w:shd w:val="clear" w:color="auto" w:fill="D8DBDB" w:themeFill="background1" w:themeFillShade="E6"/>
          </w:tcPr>
          <w:p w14:paraId="2B7864E4" w14:textId="77777777" w:rsidR="00D167F5" w:rsidRPr="00F25628" w:rsidRDefault="00D167F5" w:rsidP="006B75F3">
            <w:pP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25628">
              <w:rPr>
                <w:sz w:val="20"/>
                <w:szCs w:val="20"/>
              </w:rPr>
              <w:t>Leading a consortium of 11 organisations, HCCA leads the QUM alliance to improve Consumer Health Literacy in four priority areas, building upon current QUDTP Consumer Health Literacy initiatives, using their existing partnerships to deliver increased reach and greater impact. HCCA brings together subject matter expertise and consumer experience to ensure high quality, evidence-based resources and education, supporting implementation across a board audience.</w:t>
            </w:r>
          </w:p>
        </w:tc>
        <w:tc>
          <w:tcPr>
            <w:tcW w:w="1169" w:type="pct"/>
            <w:shd w:val="clear" w:color="auto" w:fill="D8DBDB" w:themeFill="background1" w:themeFillShade="E6"/>
          </w:tcPr>
          <w:p w14:paraId="44C33A3F" w14:textId="77777777" w:rsidR="00D167F5" w:rsidRPr="00F25628" w:rsidRDefault="00D167F5" w:rsidP="006B75F3">
            <w:pP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25628">
              <w:rPr>
                <w:sz w:val="20"/>
                <w:szCs w:val="20"/>
              </w:rPr>
              <w:t>Health Care Consumers’ Association of the ACT Incorporated – HCCA</w:t>
            </w:r>
            <w:r w:rsidRPr="00F25628" w:rsidDel="002D0EC1">
              <w:rPr>
                <w:rFonts w:eastAsia="Calibri"/>
                <w:sz w:val="20"/>
                <w:szCs w:val="20"/>
              </w:rPr>
              <w:t xml:space="preserve"> </w:t>
            </w:r>
          </w:p>
        </w:tc>
      </w:tr>
      <w:tr w:rsidR="00D167F5" w:rsidRPr="00F25628" w14:paraId="585E834C" w14:textId="77777777" w:rsidTr="006B75F3">
        <w:trPr>
          <w:trHeight w:val="378"/>
        </w:trPr>
        <w:tc>
          <w:tcPr>
            <w:cnfStyle w:val="001000000000" w:firstRow="0" w:lastRow="0" w:firstColumn="1" w:lastColumn="0" w:oddVBand="0" w:evenVBand="0" w:oddHBand="0" w:evenHBand="0" w:firstRowFirstColumn="0" w:firstRowLastColumn="0" w:lastRowFirstColumn="0" w:lastRowLastColumn="0"/>
            <w:tcW w:w="1327" w:type="pct"/>
          </w:tcPr>
          <w:p w14:paraId="26947A87" w14:textId="77777777" w:rsidR="00D167F5" w:rsidRPr="00F25628" w:rsidRDefault="00D167F5" w:rsidP="006B75F3">
            <w:pPr>
              <w:rPr>
                <w:rFonts w:eastAsia="Calibri"/>
                <w:b w:val="0"/>
                <w:bCs w:val="0"/>
                <w:sz w:val="20"/>
                <w:szCs w:val="20"/>
              </w:rPr>
            </w:pPr>
            <w:r w:rsidRPr="00F25628">
              <w:rPr>
                <w:sz w:val="20"/>
                <w:szCs w:val="20"/>
              </w:rPr>
              <w:t>Attack Asthma: Consumer Health Literacy Campaign</w:t>
            </w:r>
            <w:r w:rsidRPr="00F25628" w:rsidDel="002D0EC1">
              <w:rPr>
                <w:rFonts w:eastAsia="Calibri"/>
                <w:b w:val="0"/>
                <w:bCs w:val="0"/>
                <w:sz w:val="20"/>
                <w:szCs w:val="20"/>
              </w:rPr>
              <w:t xml:space="preserve"> </w:t>
            </w:r>
          </w:p>
        </w:tc>
        <w:tc>
          <w:tcPr>
            <w:tcW w:w="2504" w:type="pct"/>
          </w:tcPr>
          <w:p w14:paraId="292D5C9E" w14:textId="77777777" w:rsidR="00D167F5" w:rsidRPr="00F25628" w:rsidRDefault="00D167F5" w:rsidP="006B75F3">
            <w:pP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F25628">
              <w:rPr>
                <w:sz w:val="20"/>
                <w:szCs w:val="20"/>
              </w:rPr>
              <w:t>This campaign aims to deliver a national asthma health literacy campaign for families of children with asthma, aimed at improving preventative care, with an approach underpinned by a behaviour change framework and principles built on person-centred, evidence-based and best practice information at critical points in a child’s asthma journey.</w:t>
            </w:r>
          </w:p>
        </w:tc>
        <w:tc>
          <w:tcPr>
            <w:tcW w:w="1169" w:type="pct"/>
          </w:tcPr>
          <w:p w14:paraId="4C46EF7E" w14:textId="77777777" w:rsidR="00D167F5" w:rsidRPr="00F25628" w:rsidRDefault="00D167F5" w:rsidP="006B75F3">
            <w:pP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F25628">
              <w:rPr>
                <w:sz w:val="20"/>
                <w:szCs w:val="20"/>
              </w:rPr>
              <w:t>Asthma Australia</w:t>
            </w:r>
            <w:r w:rsidRPr="00F25628" w:rsidDel="002D0EC1">
              <w:rPr>
                <w:rFonts w:eastAsia="Calibri"/>
                <w:sz w:val="20"/>
                <w:szCs w:val="20"/>
              </w:rPr>
              <w:t xml:space="preserve"> </w:t>
            </w:r>
          </w:p>
        </w:tc>
      </w:tr>
      <w:tr w:rsidR="00D167F5" w:rsidRPr="00F25628" w14:paraId="4228DF3B" w14:textId="77777777" w:rsidTr="00D167F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327" w:type="pct"/>
            <w:shd w:val="clear" w:color="auto" w:fill="D8DBDB" w:themeFill="background1" w:themeFillShade="E6"/>
          </w:tcPr>
          <w:p w14:paraId="3CDFE23C" w14:textId="77777777" w:rsidR="00D167F5" w:rsidRPr="00F25628" w:rsidRDefault="00D167F5" w:rsidP="006B75F3">
            <w:pPr>
              <w:rPr>
                <w:rFonts w:eastAsia="Calibri"/>
                <w:b w:val="0"/>
                <w:bCs w:val="0"/>
                <w:sz w:val="20"/>
                <w:szCs w:val="20"/>
              </w:rPr>
            </w:pPr>
            <w:r w:rsidRPr="00F25628">
              <w:rPr>
                <w:sz w:val="20"/>
                <w:szCs w:val="20"/>
              </w:rPr>
              <w:t>'Osteoporosis medication health literacy resource packages: co-design and automated dissemination at the time of dispensing targeted medicines in community pharmacies.</w:t>
            </w:r>
          </w:p>
        </w:tc>
        <w:tc>
          <w:tcPr>
            <w:tcW w:w="2504" w:type="pct"/>
            <w:shd w:val="clear" w:color="auto" w:fill="D8DBDB" w:themeFill="background1" w:themeFillShade="E6"/>
          </w:tcPr>
          <w:p w14:paraId="73F6F9A6" w14:textId="77777777" w:rsidR="00D167F5" w:rsidRPr="00F25628" w:rsidRDefault="00D167F5" w:rsidP="006B75F3">
            <w:pP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25628">
              <w:rPr>
                <w:sz w:val="20"/>
                <w:szCs w:val="20"/>
              </w:rPr>
              <w:t>Healthily Pty Ltd aims to co-design and disseminate consumer health literacy resource packages in multiple languages for people prescribed osteoporosis medications, using Healthily’s patient education platform, GoShare, in collaboration with Fred IT’s leading pharmacy dispense software, Fred Dispense Plus. The project aims to improve medication health literacy for people with osteoporosis, and improve self-management knowledge and skills, with emphasis on medication adherence.</w:t>
            </w:r>
          </w:p>
        </w:tc>
        <w:tc>
          <w:tcPr>
            <w:tcW w:w="1169" w:type="pct"/>
            <w:shd w:val="clear" w:color="auto" w:fill="D8DBDB" w:themeFill="background1" w:themeFillShade="E6"/>
          </w:tcPr>
          <w:p w14:paraId="64D45E0C" w14:textId="77777777" w:rsidR="00D167F5" w:rsidRPr="00F25628" w:rsidRDefault="00D167F5" w:rsidP="006B75F3">
            <w:pP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25628">
              <w:rPr>
                <w:sz w:val="20"/>
                <w:szCs w:val="20"/>
              </w:rPr>
              <w:t>Healthily Pty Ltd</w:t>
            </w:r>
            <w:r w:rsidRPr="00F25628" w:rsidDel="002D0EC1">
              <w:rPr>
                <w:rFonts w:eastAsia="Calibri"/>
                <w:sz w:val="20"/>
                <w:szCs w:val="20"/>
              </w:rPr>
              <w:t xml:space="preserve"> </w:t>
            </w:r>
          </w:p>
        </w:tc>
      </w:tr>
      <w:tr w:rsidR="00D167F5" w:rsidRPr="00F25628" w14:paraId="09413910" w14:textId="77777777" w:rsidTr="006B75F3">
        <w:trPr>
          <w:trHeight w:val="340"/>
        </w:trPr>
        <w:tc>
          <w:tcPr>
            <w:cnfStyle w:val="001000000000" w:firstRow="0" w:lastRow="0" w:firstColumn="1" w:lastColumn="0" w:oddVBand="0" w:evenVBand="0" w:oddHBand="0" w:evenHBand="0" w:firstRowFirstColumn="0" w:firstRowLastColumn="0" w:lastRowFirstColumn="0" w:lastRowLastColumn="0"/>
            <w:tcW w:w="1327" w:type="pct"/>
          </w:tcPr>
          <w:p w14:paraId="3508B15A" w14:textId="77777777" w:rsidR="00D167F5" w:rsidRPr="00F25628" w:rsidRDefault="00D167F5" w:rsidP="006B75F3">
            <w:pPr>
              <w:rPr>
                <w:rFonts w:eastAsia="Calibri"/>
                <w:b w:val="0"/>
                <w:bCs w:val="0"/>
                <w:sz w:val="20"/>
                <w:szCs w:val="20"/>
              </w:rPr>
            </w:pPr>
            <w:r w:rsidRPr="00F25628">
              <w:rPr>
                <w:sz w:val="20"/>
                <w:szCs w:val="20"/>
              </w:rPr>
              <w:t>Beyond Prescribing: Supporting Consumers to Adhere to Diabetes Medication through DARE (Digital &amp; Animated Resources for Engagement in Diabetes)</w:t>
            </w:r>
          </w:p>
        </w:tc>
        <w:tc>
          <w:tcPr>
            <w:tcW w:w="2504" w:type="pct"/>
          </w:tcPr>
          <w:p w14:paraId="29889826" w14:textId="6A9A71AB" w:rsidR="00D167F5" w:rsidRPr="00F25628" w:rsidRDefault="00D167F5" w:rsidP="006B75F3">
            <w:pP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F25628">
              <w:rPr>
                <w:sz w:val="20"/>
                <w:szCs w:val="20"/>
              </w:rPr>
              <w:t xml:space="preserve">Diabetes </w:t>
            </w:r>
            <w:r w:rsidR="0025525C">
              <w:rPr>
                <w:sz w:val="20"/>
                <w:szCs w:val="20"/>
              </w:rPr>
              <w:t>WA</w:t>
            </w:r>
            <w:r w:rsidRPr="00F25628">
              <w:rPr>
                <w:sz w:val="20"/>
                <w:szCs w:val="20"/>
              </w:rPr>
              <w:t xml:space="preserve"> seeks to improve medication adherence for type-2 diabetes sufferers, eliciting a deeper understanding of the practical barriers of medication adherence, determining the content and type of digital resources that type-2 diabetes patients will engage with, determine feasibility of using animation and digital resources during the prescribing and dispense process, build confidence in discussing medication adherence with health professionals, and providing increased accessibility for the culturally and linguistically diverse communities most impacted by diabetes.</w:t>
            </w:r>
          </w:p>
        </w:tc>
        <w:tc>
          <w:tcPr>
            <w:tcW w:w="1169" w:type="pct"/>
          </w:tcPr>
          <w:p w14:paraId="7841A419" w14:textId="48B285AC" w:rsidR="00D167F5" w:rsidRPr="00F25628" w:rsidRDefault="00D167F5" w:rsidP="006B75F3">
            <w:pP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F25628">
              <w:rPr>
                <w:sz w:val="20"/>
                <w:szCs w:val="20"/>
              </w:rPr>
              <w:t xml:space="preserve">Diabetes </w:t>
            </w:r>
            <w:r w:rsidR="008E1579">
              <w:rPr>
                <w:sz w:val="20"/>
                <w:szCs w:val="20"/>
              </w:rPr>
              <w:t>WA</w:t>
            </w:r>
            <w:r w:rsidRPr="00F25628" w:rsidDel="002D0EC1">
              <w:rPr>
                <w:rFonts w:eastAsia="Calibri"/>
                <w:sz w:val="20"/>
                <w:szCs w:val="20"/>
              </w:rPr>
              <w:t xml:space="preserve"> </w:t>
            </w:r>
          </w:p>
        </w:tc>
      </w:tr>
    </w:tbl>
    <w:p w14:paraId="2636D688" w14:textId="77777777" w:rsidR="00D167F5" w:rsidRDefault="00D167F5" w:rsidP="00D167F5">
      <w:pPr>
        <w:pStyle w:val="Heading1"/>
        <w:spacing w:before="120" w:after="120" w:line="240" w:lineRule="auto"/>
        <w:jc w:val="center"/>
      </w:pPr>
      <w:r>
        <w:lastRenderedPageBreak/>
        <w:t>Health Professional Education Round Two Grant Recipients</w:t>
      </w:r>
    </w:p>
    <w:tbl>
      <w:tblPr>
        <w:tblStyle w:val="GridTable4"/>
        <w:tblpPr w:leftFromText="180" w:rightFromText="180" w:vertAnchor="text" w:tblpY="1"/>
        <w:tblOverlap w:val="never"/>
        <w:tblW w:w="5000" w:type="pct"/>
        <w:tblLook w:val="04A0" w:firstRow="1" w:lastRow="0" w:firstColumn="1" w:lastColumn="0" w:noHBand="0" w:noVBand="1"/>
      </w:tblPr>
      <w:tblGrid>
        <w:gridCol w:w="2706"/>
        <w:gridCol w:w="5105"/>
        <w:gridCol w:w="2383"/>
      </w:tblGrid>
      <w:tr w:rsidR="00D167F5" w:rsidRPr="00F25628" w14:paraId="176F09B4" w14:textId="77777777" w:rsidTr="006B75F3">
        <w:trPr>
          <w:cnfStyle w:val="100000000000" w:firstRow="1" w:lastRow="0" w:firstColumn="0" w:lastColumn="0" w:oddVBand="0" w:evenVBand="0" w:oddHBand="0" w:evenHBand="0" w:firstRowFirstColumn="0" w:firstRowLastColumn="0" w:lastRowFirstColumn="0" w:lastRowLastColumn="0"/>
          <w:trHeight w:val="359"/>
          <w:tblHeader/>
        </w:trPr>
        <w:tc>
          <w:tcPr>
            <w:cnfStyle w:val="001000000000" w:firstRow="0" w:lastRow="0" w:firstColumn="1" w:lastColumn="0" w:oddVBand="0" w:evenVBand="0" w:oddHBand="0" w:evenHBand="0" w:firstRowFirstColumn="0" w:firstRowLastColumn="0" w:lastRowFirstColumn="0" w:lastRowLastColumn="0"/>
            <w:tcW w:w="1327" w:type="pct"/>
            <w:vAlign w:val="center"/>
          </w:tcPr>
          <w:p w14:paraId="20D0F055" w14:textId="77777777" w:rsidR="00D167F5" w:rsidRPr="00F25628" w:rsidRDefault="00D167F5" w:rsidP="006B75F3">
            <w:pPr>
              <w:rPr>
                <w:rFonts w:eastAsia="Calibri"/>
                <w:sz w:val="20"/>
                <w:szCs w:val="20"/>
              </w:rPr>
            </w:pPr>
            <w:r w:rsidRPr="00F25628">
              <w:rPr>
                <w:rFonts w:eastAsia="Calibri"/>
                <w:sz w:val="20"/>
                <w:szCs w:val="20"/>
              </w:rPr>
              <w:t>Project Title</w:t>
            </w:r>
          </w:p>
        </w:tc>
        <w:tc>
          <w:tcPr>
            <w:tcW w:w="2504" w:type="pct"/>
            <w:vAlign w:val="center"/>
          </w:tcPr>
          <w:p w14:paraId="0AA0A6F4" w14:textId="77777777" w:rsidR="00D167F5" w:rsidRPr="00F25628" w:rsidRDefault="00D167F5" w:rsidP="006B75F3">
            <w:pPr>
              <w:cnfStyle w:val="100000000000" w:firstRow="1" w:lastRow="0" w:firstColumn="0" w:lastColumn="0" w:oddVBand="0" w:evenVBand="0" w:oddHBand="0" w:evenHBand="0" w:firstRowFirstColumn="0" w:firstRowLastColumn="0" w:lastRowFirstColumn="0" w:lastRowLastColumn="0"/>
              <w:rPr>
                <w:rFonts w:eastAsia="Calibri"/>
                <w:sz w:val="20"/>
                <w:szCs w:val="20"/>
              </w:rPr>
            </w:pPr>
            <w:r w:rsidRPr="00F25628">
              <w:rPr>
                <w:rFonts w:eastAsia="Calibri"/>
                <w:sz w:val="20"/>
                <w:szCs w:val="20"/>
              </w:rPr>
              <w:t>Project Summary</w:t>
            </w:r>
          </w:p>
        </w:tc>
        <w:tc>
          <w:tcPr>
            <w:tcW w:w="1169" w:type="pct"/>
            <w:vAlign w:val="center"/>
          </w:tcPr>
          <w:p w14:paraId="50318959" w14:textId="77777777" w:rsidR="00D167F5" w:rsidRPr="00F25628" w:rsidRDefault="00D167F5" w:rsidP="006B75F3">
            <w:pPr>
              <w:cnfStyle w:val="100000000000" w:firstRow="1" w:lastRow="0" w:firstColumn="0" w:lastColumn="0" w:oddVBand="0" w:evenVBand="0" w:oddHBand="0" w:evenHBand="0" w:firstRowFirstColumn="0" w:firstRowLastColumn="0" w:lastRowFirstColumn="0" w:lastRowLastColumn="0"/>
              <w:rPr>
                <w:rFonts w:eastAsia="Calibri"/>
                <w:sz w:val="20"/>
                <w:szCs w:val="20"/>
              </w:rPr>
            </w:pPr>
            <w:r w:rsidRPr="00F25628">
              <w:rPr>
                <w:rFonts w:eastAsia="Calibri"/>
                <w:sz w:val="20"/>
                <w:szCs w:val="20"/>
              </w:rPr>
              <w:t>Recipient</w:t>
            </w:r>
          </w:p>
        </w:tc>
      </w:tr>
      <w:tr w:rsidR="00D167F5" w:rsidRPr="00F25628" w14:paraId="5A35AEE0" w14:textId="77777777" w:rsidTr="00D167F5">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327" w:type="pct"/>
            <w:shd w:val="clear" w:color="auto" w:fill="D8DBDB" w:themeFill="background1" w:themeFillShade="E6"/>
          </w:tcPr>
          <w:p w14:paraId="19D40739" w14:textId="77777777" w:rsidR="00D167F5" w:rsidRPr="00F25628" w:rsidRDefault="00D167F5" w:rsidP="006B75F3">
            <w:pPr>
              <w:rPr>
                <w:rFonts w:eastAsia="Calibri"/>
                <w:sz w:val="20"/>
                <w:szCs w:val="20"/>
              </w:rPr>
            </w:pPr>
            <w:r w:rsidRPr="00F25628">
              <w:rPr>
                <w:rFonts w:eastAsia="Calibri"/>
                <w:sz w:val="20"/>
                <w:szCs w:val="20"/>
              </w:rPr>
              <w:t>Educating health professionals through a Knowledge Transfer Framework to reduce use of high-risk, and/or unnecessary medicines</w:t>
            </w:r>
          </w:p>
        </w:tc>
        <w:tc>
          <w:tcPr>
            <w:tcW w:w="2504" w:type="pct"/>
            <w:shd w:val="clear" w:color="auto" w:fill="D8DBDB" w:themeFill="background1" w:themeFillShade="E6"/>
          </w:tcPr>
          <w:p w14:paraId="7625DE76" w14:textId="77777777" w:rsidR="00D167F5" w:rsidRPr="00F25628" w:rsidRDefault="00D167F5" w:rsidP="006B75F3">
            <w:pP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25628">
              <w:rPr>
                <w:rFonts w:eastAsia="Calibri"/>
                <w:sz w:val="20"/>
                <w:szCs w:val="20"/>
              </w:rPr>
              <w:t>This education program seeks to reduce polypharmacy and focus on deprescribing starting with opioid analgesics and benzodiazepines and the polypharmacy of people in aged care.</w:t>
            </w:r>
          </w:p>
        </w:tc>
        <w:tc>
          <w:tcPr>
            <w:tcW w:w="1169" w:type="pct"/>
            <w:shd w:val="clear" w:color="auto" w:fill="D8DBDB" w:themeFill="background1" w:themeFillShade="E6"/>
          </w:tcPr>
          <w:p w14:paraId="25D43D05" w14:textId="77777777" w:rsidR="00D167F5" w:rsidRPr="00F25628" w:rsidRDefault="00D167F5" w:rsidP="006B75F3">
            <w:pP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25628">
              <w:rPr>
                <w:rFonts w:eastAsia="Calibri"/>
                <w:sz w:val="20"/>
                <w:szCs w:val="20"/>
              </w:rPr>
              <w:t>Monash University</w:t>
            </w:r>
            <w:r w:rsidRPr="00F25628" w:rsidDel="002D0EC1">
              <w:rPr>
                <w:rFonts w:eastAsia="Calibri"/>
                <w:sz w:val="20"/>
                <w:szCs w:val="20"/>
              </w:rPr>
              <w:t xml:space="preserve"> </w:t>
            </w:r>
          </w:p>
        </w:tc>
      </w:tr>
      <w:tr w:rsidR="00D167F5" w:rsidRPr="00F25628" w14:paraId="7AABB870" w14:textId="77777777" w:rsidTr="006B75F3">
        <w:trPr>
          <w:trHeight w:val="340"/>
        </w:trPr>
        <w:tc>
          <w:tcPr>
            <w:cnfStyle w:val="001000000000" w:firstRow="0" w:lastRow="0" w:firstColumn="1" w:lastColumn="0" w:oddVBand="0" w:evenVBand="0" w:oddHBand="0" w:evenHBand="0" w:firstRowFirstColumn="0" w:firstRowLastColumn="0" w:lastRowFirstColumn="0" w:lastRowLastColumn="0"/>
            <w:tcW w:w="1327" w:type="pct"/>
          </w:tcPr>
          <w:p w14:paraId="58829AD8" w14:textId="77777777" w:rsidR="00D167F5" w:rsidRPr="00F25628" w:rsidRDefault="00D167F5" w:rsidP="006B75F3">
            <w:pPr>
              <w:rPr>
                <w:rFonts w:eastAsia="Calibri"/>
                <w:sz w:val="20"/>
                <w:szCs w:val="20"/>
              </w:rPr>
            </w:pPr>
            <w:r w:rsidRPr="00F25628">
              <w:rPr>
                <w:rFonts w:eastAsia="Calibri"/>
                <w:sz w:val="20"/>
                <w:szCs w:val="20"/>
              </w:rPr>
              <w:t>QHUB: Quality Use of Medicines Education Collaboration</w:t>
            </w:r>
          </w:p>
        </w:tc>
        <w:tc>
          <w:tcPr>
            <w:tcW w:w="2504" w:type="pct"/>
          </w:tcPr>
          <w:p w14:paraId="257B37A6" w14:textId="77777777" w:rsidR="00D167F5" w:rsidRPr="00F25628" w:rsidRDefault="00D167F5" w:rsidP="006B75F3">
            <w:pP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F25628">
              <w:rPr>
                <w:rFonts w:eastAsia="Calibri"/>
                <w:sz w:val="20"/>
                <w:szCs w:val="20"/>
              </w:rPr>
              <w:t>A health professional education program focussing on 5 workstreams including: secondary stroke prevention; complex multimorbidity in older adults; menopause; antidepressants in teens and young adults; osteoporosis (secondary fracture prevention); and related conditions. Priority populations include First Nations people, multicultural communities, rural/remote communities, older people with polypharmacy and people who identify as LGBTQI+.</w:t>
            </w:r>
          </w:p>
        </w:tc>
        <w:tc>
          <w:tcPr>
            <w:tcW w:w="1169" w:type="pct"/>
          </w:tcPr>
          <w:p w14:paraId="0312935B" w14:textId="77777777" w:rsidR="00D167F5" w:rsidRPr="00F25628" w:rsidRDefault="00D167F5" w:rsidP="006B75F3">
            <w:pP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F25628">
              <w:rPr>
                <w:sz w:val="20"/>
                <w:szCs w:val="20"/>
              </w:rPr>
              <w:t>Medcast Pty Ltd</w:t>
            </w:r>
            <w:r w:rsidRPr="00F25628" w:rsidDel="002D0EC1">
              <w:rPr>
                <w:rFonts w:eastAsia="Calibri"/>
                <w:sz w:val="20"/>
                <w:szCs w:val="20"/>
              </w:rPr>
              <w:t xml:space="preserve"> </w:t>
            </w:r>
          </w:p>
        </w:tc>
      </w:tr>
      <w:tr w:rsidR="00D167F5" w:rsidRPr="00F25628" w14:paraId="176A5BC8" w14:textId="77777777" w:rsidTr="00D167F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327" w:type="pct"/>
            <w:shd w:val="clear" w:color="auto" w:fill="D8DBDB" w:themeFill="background1" w:themeFillShade="E6"/>
          </w:tcPr>
          <w:p w14:paraId="28CF8B3D" w14:textId="77777777" w:rsidR="00D167F5" w:rsidRPr="00F25628" w:rsidRDefault="00D167F5" w:rsidP="006B75F3">
            <w:pPr>
              <w:rPr>
                <w:rFonts w:eastAsia="Calibri"/>
                <w:sz w:val="20"/>
                <w:szCs w:val="20"/>
              </w:rPr>
            </w:pPr>
            <w:r w:rsidRPr="00F25628">
              <w:rPr>
                <w:rFonts w:eastAsia="Calibri"/>
                <w:sz w:val="20"/>
                <w:szCs w:val="20"/>
              </w:rPr>
              <w:t>Safer Surgery: Optimising perioperative medicines use</w:t>
            </w:r>
          </w:p>
        </w:tc>
        <w:tc>
          <w:tcPr>
            <w:tcW w:w="2504" w:type="pct"/>
            <w:shd w:val="clear" w:color="auto" w:fill="D8DBDB" w:themeFill="background1" w:themeFillShade="E6"/>
          </w:tcPr>
          <w:p w14:paraId="3D1D78F4" w14:textId="77777777" w:rsidR="00D167F5" w:rsidRPr="00F25628" w:rsidRDefault="00D167F5" w:rsidP="006B75F3">
            <w:pP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25628">
              <w:rPr>
                <w:rFonts w:eastAsia="Calibri"/>
                <w:sz w:val="20"/>
                <w:szCs w:val="20"/>
              </w:rPr>
              <w:t>The safer surgery project will develop educational resources targeted at perioperative medication management and a broad spectrum of health professionals involved in perioperative care including nurses, pharmacists, GPs, surgeons, anaesthetists, dietitians, dentists and students.</w:t>
            </w:r>
          </w:p>
        </w:tc>
        <w:tc>
          <w:tcPr>
            <w:tcW w:w="1169" w:type="pct"/>
            <w:shd w:val="clear" w:color="auto" w:fill="D8DBDB" w:themeFill="background1" w:themeFillShade="E6"/>
          </w:tcPr>
          <w:p w14:paraId="2EB601A8" w14:textId="77777777" w:rsidR="00D167F5" w:rsidRPr="00F25628" w:rsidRDefault="00D167F5" w:rsidP="006B75F3">
            <w:pP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25628">
              <w:rPr>
                <w:sz w:val="20"/>
                <w:szCs w:val="20"/>
              </w:rPr>
              <w:t>Advanced Pharmacy Australia (formerly The Society of Hospital Pharmacists Australia)</w:t>
            </w:r>
          </w:p>
        </w:tc>
      </w:tr>
      <w:tr w:rsidR="00D167F5" w:rsidRPr="00F25628" w14:paraId="13E3B4E8" w14:textId="77777777" w:rsidTr="006B75F3">
        <w:trPr>
          <w:trHeight w:val="340"/>
        </w:trPr>
        <w:tc>
          <w:tcPr>
            <w:cnfStyle w:val="001000000000" w:firstRow="0" w:lastRow="0" w:firstColumn="1" w:lastColumn="0" w:oddVBand="0" w:evenVBand="0" w:oddHBand="0" w:evenHBand="0" w:firstRowFirstColumn="0" w:firstRowLastColumn="0" w:lastRowFirstColumn="0" w:lastRowLastColumn="0"/>
            <w:tcW w:w="1327" w:type="pct"/>
          </w:tcPr>
          <w:p w14:paraId="664FC1A6" w14:textId="77777777" w:rsidR="00D167F5" w:rsidRPr="00F25628" w:rsidRDefault="00D167F5" w:rsidP="006B75F3">
            <w:pPr>
              <w:rPr>
                <w:rFonts w:eastAsia="Calibri"/>
                <w:sz w:val="20"/>
                <w:szCs w:val="20"/>
              </w:rPr>
            </w:pPr>
            <w:r w:rsidRPr="00F25628">
              <w:rPr>
                <w:rFonts w:eastAsia="Calibri"/>
                <w:sz w:val="20"/>
                <w:szCs w:val="20"/>
              </w:rPr>
              <w:t>Inclusive Conversations for Safer Medicine Use: Equipping Australian Pharmacists to communicate effectively with consumers with communication support needs</w:t>
            </w:r>
          </w:p>
        </w:tc>
        <w:tc>
          <w:tcPr>
            <w:tcW w:w="2504" w:type="pct"/>
          </w:tcPr>
          <w:p w14:paraId="1CC4EDC6" w14:textId="77777777" w:rsidR="00D167F5" w:rsidRPr="00F25628" w:rsidRDefault="00D167F5" w:rsidP="006B75F3">
            <w:pP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F25628">
              <w:rPr>
                <w:rFonts w:eastAsia="Calibri"/>
                <w:sz w:val="20"/>
                <w:szCs w:val="20"/>
              </w:rPr>
              <w:t>An online education and resource package for pharmacists to have best practice conversations about medication with consumers in high priority groups with communication support needs, including older people, people with a disability, people with low English literacy and limited health literacy.</w:t>
            </w:r>
          </w:p>
        </w:tc>
        <w:tc>
          <w:tcPr>
            <w:tcW w:w="1169" w:type="pct"/>
          </w:tcPr>
          <w:p w14:paraId="49E2910E" w14:textId="77777777" w:rsidR="00D167F5" w:rsidRPr="00F25628" w:rsidRDefault="00D167F5" w:rsidP="006B75F3">
            <w:pP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F25628">
              <w:rPr>
                <w:sz w:val="20"/>
                <w:szCs w:val="20"/>
              </w:rPr>
              <w:t>La Trobe University</w:t>
            </w:r>
            <w:r w:rsidRPr="00F25628" w:rsidDel="002D0EC1">
              <w:rPr>
                <w:rFonts w:eastAsia="Calibri"/>
                <w:sz w:val="20"/>
                <w:szCs w:val="20"/>
              </w:rPr>
              <w:t xml:space="preserve"> </w:t>
            </w:r>
          </w:p>
        </w:tc>
      </w:tr>
      <w:tr w:rsidR="00D167F5" w:rsidRPr="00F25628" w14:paraId="5E8DC981" w14:textId="77777777" w:rsidTr="00D167F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327" w:type="pct"/>
            <w:shd w:val="clear" w:color="auto" w:fill="D8DBDB" w:themeFill="background1" w:themeFillShade="E6"/>
          </w:tcPr>
          <w:p w14:paraId="219FF48F" w14:textId="77777777" w:rsidR="00D167F5" w:rsidRPr="00F25628" w:rsidDel="002D0EC1" w:rsidRDefault="00D167F5" w:rsidP="006B75F3">
            <w:pPr>
              <w:rPr>
                <w:rFonts w:eastAsia="Calibri"/>
                <w:sz w:val="20"/>
                <w:szCs w:val="20"/>
              </w:rPr>
            </w:pPr>
            <w:r w:rsidRPr="00F25628">
              <w:rPr>
                <w:rFonts w:eastAsia="Calibri"/>
                <w:sz w:val="20"/>
                <w:szCs w:val="20"/>
              </w:rPr>
              <w:t>Quality Use of Community Palliative Care Medicines Project</w:t>
            </w:r>
          </w:p>
        </w:tc>
        <w:tc>
          <w:tcPr>
            <w:tcW w:w="2504" w:type="pct"/>
            <w:shd w:val="clear" w:color="auto" w:fill="D8DBDB" w:themeFill="background1" w:themeFillShade="E6"/>
          </w:tcPr>
          <w:p w14:paraId="1075E858" w14:textId="77777777" w:rsidR="00D167F5" w:rsidRPr="00F25628" w:rsidDel="002D0EC1" w:rsidRDefault="00D167F5" w:rsidP="006B75F3">
            <w:pP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25628">
              <w:rPr>
                <w:rFonts w:eastAsia="Calibri"/>
                <w:sz w:val="20"/>
                <w:szCs w:val="20"/>
              </w:rPr>
              <w:t>Health Professional education targeted at prescribers and pharmacists to support palliative patients with medication safety and reduce avoidable hospitalisation who choose to be cared for at home or die in their preferred place.</w:t>
            </w:r>
          </w:p>
        </w:tc>
        <w:tc>
          <w:tcPr>
            <w:tcW w:w="1169" w:type="pct"/>
            <w:shd w:val="clear" w:color="auto" w:fill="D8DBDB" w:themeFill="background1" w:themeFillShade="E6"/>
          </w:tcPr>
          <w:p w14:paraId="165F3C02" w14:textId="77777777" w:rsidR="00D167F5" w:rsidRPr="00F25628" w:rsidDel="002D0EC1" w:rsidRDefault="00D167F5" w:rsidP="006B75F3">
            <w:pP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25628">
              <w:rPr>
                <w:sz w:val="20"/>
                <w:szCs w:val="20"/>
              </w:rPr>
              <w:t>Palliative Care Australia Ltd</w:t>
            </w:r>
          </w:p>
        </w:tc>
      </w:tr>
      <w:tr w:rsidR="00D167F5" w:rsidRPr="00F25628" w14:paraId="7122B35E" w14:textId="77777777" w:rsidTr="006B75F3">
        <w:trPr>
          <w:trHeight w:val="340"/>
        </w:trPr>
        <w:tc>
          <w:tcPr>
            <w:cnfStyle w:val="001000000000" w:firstRow="0" w:lastRow="0" w:firstColumn="1" w:lastColumn="0" w:oddVBand="0" w:evenVBand="0" w:oddHBand="0" w:evenHBand="0" w:firstRowFirstColumn="0" w:firstRowLastColumn="0" w:lastRowFirstColumn="0" w:lastRowLastColumn="0"/>
            <w:tcW w:w="1327" w:type="pct"/>
          </w:tcPr>
          <w:p w14:paraId="00783D39" w14:textId="77777777" w:rsidR="00D167F5" w:rsidRPr="00F25628" w:rsidDel="002D0EC1" w:rsidRDefault="00D167F5" w:rsidP="006B75F3">
            <w:pPr>
              <w:rPr>
                <w:rFonts w:eastAsia="Calibri"/>
                <w:sz w:val="20"/>
                <w:szCs w:val="20"/>
              </w:rPr>
            </w:pPr>
            <w:r w:rsidRPr="00F25628">
              <w:rPr>
                <w:rFonts w:eastAsia="Calibri"/>
                <w:sz w:val="20"/>
                <w:szCs w:val="20"/>
              </w:rPr>
              <w:t>Quality Use of Medicines for Contraception, Gender-Affirming Hormone Therapy, and Early Medical Abortion</w:t>
            </w:r>
          </w:p>
        </w:tc>
        <w:tc>
          <w:tcPr>
            <w:tcW w:w="2504" w:type="pct"/>
          </w:tcPr>
          <w:p w14:paraId="1FD161A4" w14:textId="77777777" w:rsidR="00D167F5" w:rsidRPr="00F25628" w:rsidDel="002D0EC1" w:rsidRDefault="00D167F5" w:rsidP="006B75F3">
            <w:pP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F25628">
              <w:rPr>
                <w:rFonts w:eastAsia="Calibri"/>
                <w:sz w:val="20"/>
                <w:szCs w:val="20"/>
              </w:rPr>
              <w:t>The project will develop educational resources to support primary healthcare clinicians, pharmacists and other health professionals involved in the counselling and provision of medicines related to contraceptive care, early medical abortion and gender affirming care for women and trans and gender diverse people.</w:t>
            </w:r>
          </w:p>
        </w:tc>
        <w:tc>
          <w:tcPr>
            <w:tcW w:w="1169" w:type="pct"/>
          </w:tcPr>
          <w:p w14:paraId="3E9B9151" w14:textId="77777777" w:rsidR="00D167F5" w:rsidRPr="00F25628" w:rsidDel="002D0EC1" w:rsidRDefault="00D167F5" w:rsidP="006B75F3">
            <w:pP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F25628">
              <w:rPr>
                <w:sz w:val="20"/>
                <w:szCs w:val="20"/>
              </w:rPr>
              <w:t>ASHM Health</w:t>
            </w:r>
          </w:p>
        </w:tc>
      </w:tr>
    </w:tbl>
    <w:p w14:paraId="5B4804B3" w14:textId="77777777" w:rsidR="00422631" w:rsidRPr="00D167F5" w:rsidRDefault="00D167F5" w:rsidP="00D167F5">
      <w:pPr>
        <w:rPr>
          <w:b/>
          <w:bCs/>
          <w:sz w:val="22"/>
          <w:szCs w:val="22"/>
          <w:lang w:eastAsia="en-AU"/>
        </w:rPr>
      </w:pPr>
      <w:r w:rsidRPr="00D167F5">
        <w:rPr>
          <w:b/>
          <w:bCs/>
          <w:sz w:val="22"/>
          <w:szCs w:val="22"/>
          <w:lang w:eastAsia="en-AU"/>
        </w:rPr>
        <w:t xml:space="preserve">Please note – this </w:t>
      </w:r>
      <w:r w:rsidRPr="00D167F5">
        <w:rPr>
          <w:rFonts w:eastAsia="Calibri"/>
          <w:b/>
          <w:bCs/>
          <w:sz w:val="22"/>
          <w:szCs w:val="22"/>
        </w:rPr>
        <w:t>not a complete list, as some CHL and HPE grants are still being finalised.</w:t>
      </w:r>
    </w:p>
    <w:sectPr w:rsidR="00422631" w:rsidRPr="00D167F5" w:rsidSect="0077419E">
      <w:headerReference w:type="first" r:id="rId13"/>
      <w:pgSz w:w="11906" w:h="16838" w:code="9"/>
      <w:pgMar w:top="1440" w:right="851" w:bottom="851" w:left="851" w:header="170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8F942" w14:textId="77777777" w:rsidR="008E1579" w:rsidRDefault="008E1579" w:rsidP="0076491B">
      <w:pPr>
        <w:spacing w:before="0" w:after="0" w:line="240" w:lineRule="auto"/>
      </w:pPr>
      <w:r>
        <w:separator/>
      </w:r>
    </w:p>
  </w:endnote>
  <w:endnote w:type="continuationSeparator" w:id="0">
    <w:p w14:paraId="15DACEDE" w14:textId="77777777" w:rsidR="008E1579" w:rsidRDefault="008E1579" w:rsidP="0076491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CB441" w14:textId="77777777" w:rsidR="008E1579" w:rsidRDefault="008E1579" w:rsidP="0076491B">
      <w:pPr>
        <w:spacing w:before="0" w:after="0" w:line="240" w:lineRule="auto"/>
      </w:pPr>
      <w:r>
        <w:separator/>
      </w:r>
    </w:p>
  </w:footnote>
  <w:footnote w:type="continuationSeparator" w:id="0">
    <w:p w14:paraId="742D12EB" w14:textId="77777777" w:rsidR="008E1579" w:rsidRDefault="008E1579" w:rsidP="0076491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8803F" w14:textId="77777777" w:rsidR="0076491B" w:rsidRDefault="0077419E">
    <w:pPr>
      <w:pStyle w:val="Header"/>
    </w:pPr>
    <w:r>
      <w:rPr>
        <w:noProof/>
      </w:rPr>
      <w:drawing>
        <wp:anchor distT="0" distB="0" distL="114300" distR="114300" simplePos="0" relativeHeight="251660288" behindDoc="0" locked="0" layoutInCell="1" allowOverlap="1" wp14:anchorId="150200EE" wp14:editId="08EA63EF">
          <wp:simplePos x="0" y="0"/>
          <wp:positionH relativeFrom="page">
            <wp:align>right</wp:align>
          </wp:positionH>
          <wp:positionV relativeFrom="page">
            <wp:align>top</wp:align>
          </wp:positionV>
          <wp:extent cx="2283822" cy="2109470"/>
          <wp:effectExtent l="0" t="0" r="2540" b="5080"/>
          <wp:wrapNone/>
          <wp:docPr id="223325330" name="Picture 2233253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69673"/>
                  <a:stretch/>
                </pic:blipFill>
                <pic:spPr bwMode="auto">
                  <a:xfrm>
                    <a:off x="0" y="0"/>
                    <a:ext cx="2283822" cy="21094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6491B">
      <w:rPr>
        <w:noProof/>
      </w:rPr>
      <w:drawing>
        <wp:anchor distT="0" distB="0" distL="114300" distR="114300" simplePos="0" relativeHeight="251658240" behindDoc="0" locked="0" layoutInCell="1" allowOverlap="1" wp14:anchorId="23088784" wp14:editId="19439591">
          <wp:simplePos x="0" y="0"/>
          <wp:positionH relativeFrom="page">
            <wp:align>left</wp:align>
          </wp:positionH>
          <wp:positionV relativeFrom="page">
            <wp:align>top</wp:align>
          </wp:positionV>
          <wp:extent cx="3744595" cy="1077686"/>
          <wp:effectExtent l="0" t="0" r="8255" b="0"/>
          <wp:wrapNone/>
          <wp:docPr id="1766726507" name="Picture 17667265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r="50274" b="48911"/>
                  <a:stretch/>
                </pic:blipFill>
                <pic:spPr bwMode="auto">
                  <a:xfrm>
                    <a:off x="0" y="0"/>
                    <a:ext cx="3744917" cy="107777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D0C9B"/>
    <w:multiLevelType w:val="hybridMultilevel"/>
    <w:tmpl w:val="CB484122"/>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5D850F3"/>
    <w:multiLevelType w:val="hybridMultilevel"/>
    <w:tmpl w:val="7EB2E112"/>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9A6CFC"/>
    <w:multiLevelType w:val="hybridMultilevel"/>
    <w:tmpl w:val="F04C3AF0"/>
    <w:lvl w:ilvl="0" w:tplc="5770D766">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06F5CDB"/>
    <w:multiLevelType w:val="hybridMultilevel"/>
    <w:tmpl w:val="7F926684"/>
    <w:lvl w:ilvl="0" w:tplc="C9CE7010">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0ED3C1E"/>
    <w:multiLevelType w:val="hybridMultilevel"/>
    <w:tmpl w:val="0B2ABC50"/>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5" w15:restartNumberingAfterBreak="0">
    <w:nsid w:val="316478CD"/>
    <w:multiLevelType w:val="hybridMultilevel"/>
    <w:tmpl w:val="0276DAE8"/>
    <w:lvl w:ilvl="0" w:tplc="D11EFA4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061057"/>
    <w:multiLevelType w:val="hybridMultilevel"/>
    <w:tmpl w:val="F9F266F8"/>
    <w:lvl w:ilvl="0" w:tplc="52A619C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EBA1844"/>
    <w:multiLevelType w:val="hybridMultilevel"/>
    <w:tmpl w:val="3CC4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882E49"/>
    <w:multiLevelType w:val="hybridMultilevel"/>
    <w:tmpl w:val="00FC372E"/>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482A2C4D"/>
    <w:multiLevelType w:val="hybridMultilevel"/>
    <w:tmpl w:val="9F4255D2"/>
    <w:lvl w:ilvl="0" w:tplc="0C090001">
      <w:start w:val="1"/>
      <w:numFmt w:val="bullet"/>
      <w:lvlText w:val=""/>
      <w:lvlJc w:val="left"/>
      <w:pPr>
        <w:ind w:left="1582" w:hanging="360"/>
      </w:pPr>
      <w:rPr>
        <w:rFonts w:ascii="Symbol" w:hAnsi="Symbol" w:hint="default"/>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10" w15:restartNumberingAfterBreak="0">
    <w:nsid w:val="491D2983"/>
    <w:multiLevelType w:val="hybridMultilevel"/>
    <w:tmpl w:val="54605FE8"/>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F1D57B8"/>
    <w:multiLevelType w:val="hybridMultilevel"/>
    <w:tmpl w:val="CB54CEB0"/>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F509F4"/>
    <w:multiLevelType w:val="hybridMultilevel"/>
    <w:tmpl w:val="0E401322"/>
    <w:lvl w:ilvl="0" w:tplc="FC34FDC6">
      <w:start w:val="1"/>
      <w:numFmt w:val="bullet"/>
      <w:lvlText w:val=""/>
      <w:lvlJc w:val="left"/>
      <w:pPr>
        <w:ind w:left="360" w:hanging="360"/>
      </w:pPr>
      <w:rPr>
        <w:rFonts w:ascii="Symbol" w:hAnsi="Symbol" w:hint="default"/>
        <w:color w:val="2AB1BB" w:themeColor="accent1"/>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59B95FCA"/>
    <w:multiLevelType w:val="hybridMultilevel"/>
    <w:tmpl w:val="140C4EAC"/>
    <w:lvl w:ilvl="0" w:tplc="C698354E">
      <w:numFmt w:val="bullet"/>
      <w:lvlText w:val="○"/>
      <w:lvlJc w:val="left"/>
      <w:pPr>
        <w:ind w:left="1582" w:hanging="720"/>
      </w:pPr>
      <w:rPr>
        <w:rFonts w:ascii="Arial" w:eastAsiaTheme="minorHAnsi" w:hAnsi="Aria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4" w15:restartNumberingAfterBreak="0">
    <w:nsid w:val="65C57DFD"/>
    <w:multiLevelType w:val="hybridMultilevel"/>
    <w:tmpl w:val="521E9DF2"/>
    <w:lvl w:ilvl="0" w:tplc="FD900A08">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9570BA3"/>
    <w:multiLevelType w:val="hybridMultilevel"/>
    <w:tmpl w:val="48C8B4FA"/>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6AF21357"/>
    <w:multiLevelType w:val="hybridMultilevel"/>
    <w:tmpl w:val="62E215F0"/>
    <w:lvl w:ilvl="0" w:tplc="FC34FDC6">
      <w:start w:val="1"/>
      <w:numFmt w:val="bullet"/>
      <w:lvlText w:val=""/>
      <w:lvlJc w:val="left"/>
      <w:pPr>
        <w:ind w:left="360" w:hanging="360"/>
      </w:pPr>
      <w:rPr>
        <w:rFonts w:ascii="Symbol" w:hAnsi="Symbol" w:hint="default"/>
        <w:color w:val="2AB1BB"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8996252"/>
    <w:multiLevelType w:val="hybridMultilevel"/>
    <w:tmpl w:val="7310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44157D"/>
    <w:multiLevelType w:val="hybridMultilevel"/>
    <w:tmpl w:val="01709A6E"/>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648852">
    <w:abstractNumId w:val="17"/>
  </w:num>
  <w:num w:numId="2" w16cid:durableId="521826961">
    <w:abstractNumId w:val="3"/>
  </w:num>
  <w:num w:numId="3" w16cid:durableId="166022179">
    <w:abstractNumId w:val="15"/>
  </w:num>
  <w:num w:numId="4" w16cid:durableId="35665871">
    <w:abstractNumId w:val="16"/>
  </w:num>
  <w:num w:numId="5" w16cid:durableId="773598755">
    <w:abstractNumId w:val="7"/>
  </w:num>
  <w:num w:numId="6" w16cid:durableId="1170633510">
    <w:abstractNumId w:val="2"/>
  </w:num>
  <w:num w:numId="7" w16cid:durableId="1513489604">
    <w:abstractNumId w:val="12"/>
  </w:num>
  <w:num w:numId="8" w16cid:durableId="1685202624">
    <w:abstractNumId w:val="11"/>
  </w:num>
  <w:num w:numId="9" w16cid:durableId="822546691">
    <w:abstractNumId w:val="14"/>
  </w:num>
  <w:num w:numId="10" w16cid:durableId="1691688490">
    <w:abstractNumId w:val="0"/>
  </w:num>
  <w:num w:numId="11" w16cid:durableId="2091733023">
    <w:abstractNumId w:val="18"/>
  </w:num>
  <w:num w:numId="12" w16cid:durableId="92744231">
    <w:abstractNumId w:val="5"/>
  </w:num>
  <w:num w:numId="13" w16cid:durableId="130908021">
    <w:abstractNumId w:val="10"/>
  </w:num>
  <w:num w:numId="14" w16cid:durableId="22217975">
    <w:abstractNumId w:val="1"/>
  </w:num>
  <w:num w:numId="15" w16cid:durableId="319113600">
    <w:abstractNumId w:val="6"/>
  </w:num>
  <w:num w:numId="16" w16cid:durableId="820584042">
    <w:abstractNumId w:val="8"/>
  </w:num>
  <w:num w:numId="17" w16cid:durableId="1963531651">
    <w:abstractNumId w:val="13"/>
  </w:num>
  <w:num w:numId="18" w16cid:durableId="1773699041">
    <w:abstractNumId w:val="9"/>
  </w:num>
  <w:num w:numId="19" w16cid:durableId="3424388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579"/>
    <w:rsid w:val="000315A9"/>
    <w:rsid w:val="0018537B"/>
    <w:rsid w:val="002328A7"/>
    <w:rsid w:val="0025525C"/>
    <w:rsid w:val="002C2D46"/>
    <w:rsid w:val="00360B34"/>
    <w:rsid w:val="003619F4"/>
    <w:rsid w:val="003D26C0"/>
    <w:rsid w:val="00422631"/>
    <w:rsid w:val="004557A0"/>
    <w:rsid w:val="004C11EB"/>
    <w:rsid w:val="004D7C5F"/>
    <w:rsid w:val="004F7E50"/>
    <w:rsid w:val="005035B6"/>
    <w:rsid w:val="00633DB4"/>
    <w:rsid w:val="006477F8"/>
    <w:rsid w:val="006C07D3"/>
    <w:rsid w:val="00726939"/>
    <w:rsid w:val="0076491B"/>
    <w:rsid w:val="0077419E"/>
    <w:rsid w:val="007A16DA"/>
    <w:rsid w:val="007E444A"/>
    <w:rsid w:val="008C5978"/>
    <w:rsid w:val="008E1579"/>
    <w:rsid w:val="008F467F"/>
    <w:rsid w:val="00914DF8"/>
    <w:rsid w:val="009346B6"/>
    <w:rsid w:val="00940DEE"/>
    <w:rsid w:val="009B2828"/>
    <w:rsid w:val="009F20E3"/>
    <w:rsid w:val="00A079B1"/>
    <w:rsid w:val="00AC04A6"/>
    <w:rsid w:val="00AF3EEB"/>
    <w:rsid w:val="00B5728B"/>
    <w:rsid w:val="00BD577C"/>
    <w:rsid w:val="00C074CB"/>
    <w:rsid w:val="00C46331"/>
    <w:rsid w:val="00C76B54"/>
    <w:rsid w:val="00C9187A"/>
    <w:rsid w:val="00CA0CFC"/>
    <w:rsid w:val="00D167F5"/>
    <w:rsid w:val="00E91C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9DD27"/>
  <w15:chartTrackingRefBased/>
  <w15:docId w15:val="{68072D03-0CA8-48EC-B871-5210AB43C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87A"/>
    <w:pPr>
      <w:spacing w:before="120" w:after="120" w:line="276" w:lineRule="auto"/>
    </w:pPr>
    <w:rPr>
      <w:rFonts w:ascii="Arial" w:hAnsi="Arial"/>
    </w:rPr>
  </w:style>
  <w:style w:type="paragraph" w:styleId="Heading1">
    <w:name w:val="heading 1"/>
    <w:basedOn w:val="Normal"/>
    <w:next w:val="Normal"/>
    <w:link w:val="Heading1Char"/>
    <w:uiPriority w:val="9"/>
    <w:qFormat/>
    <w:rsid w:val="004D7C5F"/>
    <w:pPr>
      <w:keepNext/>
      <w:keepLines/>
      <w:spacing w:before="360" w:after="240"/>
      <w:outlineLvl w:val="0"/>
    </w:pPr>
    <w:rPr>
      <w:rFonts w:eastAsiaTheme="majorEastAsia" w:cs="Arial"/>
      <w:b/>
      <w:bCs/>
      <w:color w:val="1E1544" w:themeColor="text1"/>
      <w:sz w:val="60"/>
      <w:szCs w:val="60"/>
    </w:rPr>
  </w:style>
  <w:style w:type="paragraph" w:styleId="Heading2">
    <w:name w:val="heading 2"/>
    <w:basedOn w:val="Normal"/>
    <w:next w:val="Normal"/>
    <w:link w:val="Heading2Char"/>
    <w:uiPriority w:val="9"/>
    <w:unhideWhenUsed/>
    <w:qFormat/>
    <w:rsid w:val="00422631"/>
    <w:pPr>
      <w:keepNext/>
      <w:keepLines/>
      <w:spacing w:before="240"/>
      <w:outlineLvl w:val="1"/>
    </w:pPr>
    <w:rPr>
      <w:rFonts w:eastAsiaTheme="majorEastAsia" w:cstheme="majorBidi"/>
      <w:b/>
      <w:color w:val="1E1544" w:themeColor="text1"/>
      <w:sz w:val="32"/>
      <w:szCs w:val="26"/>
    </w:rPr>
  </w:style>
  <w:style w:type="paragraph" w:styleId="Heading3">
    <w:name w:val="heading 3"/>
    <w:basedOn w:val="Heading2"/>
    <w:next w:val="Normal"/>
    <w:link w:val="Heading3Char"/>
    <w:uiPriority w:val="9"/>
    <w:unhideWhenUsed/>
    <w:qFormat/>
    <w:rsid w:val="0076491B"/>
    <w:pPr>
      <w:outlineLvl w:val="2"/>
    </w:pPr>
    <w:rPr>
      <w:sz w:val="28"/>
      <w:szCs w:val="24"/>
    </w:rPr>
  </w:style>
  <w:style w:type="paragraph" w:styleId="Heading4">
    <w:name w:val="heading 4"/>
    <w:basedOn w:val="Heading3"/>
    <w:next w:val="Normal"/>
    <w:link w:val="Heading4Char"/>
    <w:uiPriority w:val="9"/>
    <w:unhideWhenUsed/>
    <w:qFormat/>
    <w:rsid w:val="0076491B"/>
    <w:pPr>
      <w:outlineLvl w:val="3"/>
    </w:pPr>
    <w:rPr>
      <w:sz w:val="24"/>
      <w:szCs w:val="22"/>
    </w:rPr>
  </w:style>
  <w:style w:type="paragraph" w:styleId="Heading5">
    <w:name w:val="heading 5"/>
    <w:basedOn w:val="Normal"/>
    <w:next w:val="Normal"/>
    <w:link w:val="Heading5Char"/>
    <w:uiPriority w:val="9"/>
    <w:unhideWhenUsed/>
    <w:qFormat/>
    <w:rsid w:val="0018537B"/>
    <w:pPr>
      <w:keepNext/>
      <w:keepLines/>
      <w:spacing w:before="40" w:after="0"/>
      <w:outlineLvl w:val="4"/>
    </w:pPr>
    <w:rPr>
      <w:rFonts w:eastAsiaTheme="majorEastAsia" w:cstheme="majorBidi"/>
      <w:color w:val="1E1544"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C5F"/>
    <w:rPr>
      <w:rFonts w:ascii="Arial" w:eastAsiaTheme="majorEastAsia" w:hAnsi="Arial" w:cs="Arial"/>
      <w:b/>
      <w:bCs/>
      <w:color w:val="1E1544" w:themeColor="text1"/>
      <w:sz w:val="60"/>
      <w:szCs w:val="60"/>
    </w:rPr>
  </w:style>
  <w:style w:type="paragraph" w:styleId="NoSpacing">
    <w:name w:val="No Spacing"/>
    <w:uiPriority w:val="1"/>
    <w:qFormat/>
    <w:rsid w:val="00C9187A"/>
    <w:pPr>
      <w:spacing w:line="276" w:lineRule="auto"/>
    </w:pPr>
    <w:rPr>
      <w:rFonts w:ascii="Arial" w:hAnsi="Arial"/>
    </w:rPr>
  </w:style>
  <w:style w:type="character" w:customStyle="1" w:styleId="Heading2Char">
    <w:name w:val="Heading 2 Char"/>
    <w:basedOn w:val="DefaultParagraphFont"/>
    <w:link w:val="Heading2"/>
    <w:uiPriority w:val="9"/>
    <w:rsid w:val="00422631"/>
    <w:rPr>
      <w:rFonts w:ascii="Arial" w:eastAsiaTheme="majorEastAsia" w:hAnsi="Arial" w:cstheme="majorBidi"/>
      <w:b/>
      <w:color w:val="1E1544" w:themeColor="text1"/>
      <w:sz w:val="32"/>
      <w:szCs w:val="26"/>
    </w:rPr>
  </w:style>
  <w:style w:type="paragraph" w:styleId="ListParagraph">
    <w:name w:val="List Paragraph"/>
    <w:basedOn w:val="Normal"/>
    <w:uiPriority w:val="34"/>
    <w:qFormat/>
    <w:rsid w:val="00C9187A"/>
    <w:pPr>
      <w:ind w:left="720"/>
      <w:contextualSpacing/>
    </w:pPr>
  </w:style>
  <w:style w:type="character" w:customStyle="1" w:styleId="Heading3Char">
    <w:name w:val="Heading 3 Char"/>
    <w:basedOn w:val="DefaultParagraphFont"/>
    <w:link w:val="Heading3"/>
    <w:uiPriority w:val="9"/>
    <w:rsid w:val="0076491B"/>
    <w:rPr>
      <w:rFonts w:ascii="Arial" w:eastAsiaTheme="majorEastAsia" w:hAnsi="Arial" w:cstheme="majorBidi"/>
      <w:b/>
      <w:color w:val="1E1544" w:themeColor="text1"/>
      <w:sz w:val="28"/>
    </w:rPr>
  </w:style>
  <w:style w:type="character" w:customStyle="1" w:styleId="Heading4Char">
    <w:name w:val="Heading 4 Char"/>
    <w:basedOn w:val="DefaultParagraphFont"/>
    <w:link w:val="Heading4"/>
    <w:uiPriority w:val="9"/>
    <w:rsid w:val="0076491B"/>
    <w:rPr>
      <w:rFonts w:ascii="Arial" w:eastAsiaTheme="majorEastAsia" w:hAnsi="Arial" w:cstheme="majorBidi"/>
      <w:b/>
      <w:color w:val="1E1544" w:themeColor="text1"/>
      <w:szCs w:val="22"/>
    </w:rPr>
  </w:style>
  <w:style w:type="paragraph" w:styleId="Header">
    <w:name w:val="header"/>
    <w:basedOn w:val="Normal"/>
    <w:link w:val="HeaderChar"/>
    <w:uiPriority w:val="99"/>
    <w:unhideWhenUsed/>
    <w:rsid w:val="0076491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6491B"/>
    <w:rPr>
      <w:rFonts w:ascii="Arial" w:hAnsi="Arial"/>
    </w:rPr>
  </w:style>
  <w:style w:type="paragraph" w:styleId="Footer">
    <w:name w:val="footer"/>
    <w:basedOn w:val="Normal"/>
    <w:link w:val="FooterChar"/>
    <w:uiPriority w:val="99"/>
    <w:unhideWhenUsed/>
    <w:rsid w:val="0076491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6491B"/>
    <w:rPr>
      <w:rFonts w:ascii="Arial" w:hAnsi="Arial"/>
    </w:rPr>
  </w:style>
  <w:style w:type="paragraph" w:customStyle="1" w:styleId="Introduction">
    <w:name w:val="Introduction"/>
    <w:basedOn w:val="Normal"/>
    <w:qFormat/>
    <w:rsid w:val="009B2828"/>
    <w:pPr>
      <w:spacing w:before="0"/>
    </w:pPr>
    <w:rPr>
      <w:color w:val="1E1544" w:themeColor="text1"/>
      <w:sz w:val="32"/>
      <w:szCs w:val="32"/>
    </w:rPr>
  </w:style>
  <w:style w:type="character" w:customStyle="1" w:styleId="Heading5Char">
    <w:name w:val="Heading 5 Char"/>
    <w:basedOn w:val="DefaultParagraphFont"/>
    <w:link w:val="Heading5"/>
    <w:uiPriority w:val="9"/>
    <w:rsid w:val="0018537B"/>
    <w:rPr>
      <w:rFonts w:ascii="Arial" w:eastAsiaTheme="majorEastAsia" w:hAnsi="Arial" w:cstheme="majorBidi"/>
      <w:color w:val="1E1544" w:themeColor="text1"/>
    </w:rPr>
  </w:style>
  <w:style w:type="paragraph" w:customStyle="1" w:styleId="TableHeading">
    <w:name w:val="TableHeading"/>
    <w:qFormat/>
    <w:rsid w:val="0018537B"/>
    <w:pPr>
      <w:spacing w:before="240" w:after="120" w:line="276" w:lineRule="auto"/>
    </w:pPr>
    <w:rPr>
      <w:rFonts w:ascii="Arial" w:eastAsiaTheme="majorEastAsia" w:hAnsi="Arial" w:cstheme="majorBidi"/>
      <w:b/>
      <w:bCs/>
      <w:color w:val="1E1544" w:themeColor="text1"/>
    </w:rPr>
  </w:style>
  <w:style w:type="table" w:styleId="TableGrid">
    <w:name w:val="Table Grid"/>
    <w:aliases w:val="Aged Care"/>
    <w:basedOn w:val="TableNormal"/>
    <w:uiPriority w:val="39"/>
    <w:rsid w:val="008F467F"/>
    <w:pPr>
      <w:spacing w:after="240"/>
    </w:pPr>
    <w:rPr>
      <w:rFonts w:ascii="Arial" w:hAnsi="Arial"/>
    </w:rPr>
    <w:tblPr>
      <w:tblBorders>
        <w:top w:val="single" w:sz="4" w:space="0" w:color="2AB1BB" w:themeColor="accent1"/>
        <w:bottom w:val="single" w:sz="4" w:space="0" w:color="2AB1BB" w:themeColor="accent1"/>
        <w:insideH w:val="single" w:sz="4" w:space="0" w:color="2AB1BB" w:themeColor="accent1"/>
      </w:tblBorders>
    </w:tblPr>
    <w:trPr>
      <w:cantSplit/>
    </w:trPr>
    <w:tcPr>
      <w:shd w:val="clear" w:color="auto" w:fill="auto"/>
    </w:tcPr>
    <w:tblStylePr w:type="firstRow">
      <w:rPr>
        <w:rFonts w:ascii="Arial" w:hAnsi="Arial"/>
        <w:b/>
        <w:sz w:val="24"/>
      </w:rPr>
    </w:tblStylePr>
  </w:style>
  <w:style w:type="table" w:styleId="GridTable1Light">
    <w:name w:val="Grid Table 1 Light"/>
    <w:basedOn w:val="TableNormal"/>
    <w:uiPriority w:val="46"/>
    <w:rsid w:val="0018537B"/>
    <w:tblPr>
      <w:tblStyleRowBandSize w:val="1"/>
      <w:tblStyleColBandSize w:val="1"/>
      <w:tblBorders>
        <w:top w:val="single" w:sz="4" w:space="0" w:color="8E7ED7" w:themeColor="text1" w:themeTint="66"/>
        <w:bottom w:val="single" w:sz="4" w:space="0" w:color="8E7ED7" w:themeColor="text1" w:themeTint="66"/>
        <w:insideH w:val="single" w:sz="4" w:space="0" w:color="8E7ED7" w:themeColor="text1" w:themeTint="66"/>
      </w:tblBorders>
    </w:tblPr>
    <w:tblStylePr w:type="firstRow">
      <w:rPr>
        <w:b/>
        <w:bCs/>
      </w:rPr>
      <w:tblPr/>
      <w:tcPr>
        <w:tcBorders>
          <w:bottom w:val="single" w:sz="12" w:space="0" w:color="573EC3" w:themeColor="text1" w:themeTint="99"/>
        </w:tcBorders>
      </w:tcPr>
    </w:tblStylePr>
    <w:tblStylePr w:type="lastRow">
      <w:rPr>
        <w:b/>
        <w:bCs/>
      </w:rPr>
      <w:tblPr/>
      <w:tcPr>
        <w:tcBorders>
          <w:top w:val="double" w:sz="2" w:space="0" w:color="573EC3"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8537B"/>
    <w:rPr>
      <w:rFonts w:ascii="Arial" w:hAnsi="Arial"/>
    </w:rPr>
    <w:tblPr>
      <w:tblStyleRowBandSize w:val="1"/>
      <w:tblStyleColBandSize w:val="1"/>
      <w:tblBorders>
        <w:top w:val="single" w:sz="4" w:space="0" w:color="A3E5EA" w:themeColor="accent1" w:themeTint="66"/>
        <w:bottom w:val="single" w:sz="4" w:space="0" w:color="A3E5EA" w:themeColor="accent1" w:themeTint="66"/>
        <w:insideH w:val="single" w:sz="4" w:space="0" w:color="A3E5EA" w:themeColor="accent1" w:themeTint="66"/>
      </w:tblBorders>
    </w:tblPr>
    <w:tblStylePr w:type="firstRow">
      <w:rPr>
        <w:b/>
        <w:bCs/>
      </w:rPr>
      <w:tblPr/>
      <w:tcPr>
        <w:tcBorders>
          <w:bottom w:val="single" w:sz="12" w:space="0" w:color="75D8E0" w:themeColor="accent1" w:themeTint="99"/>
        </w:tcBorders>
      </w:tcPr>
    </w:tblStylePr>
    <w:tblStylePr w:type="lastRow">
      <w:rPr>
        <w:b/>
        <w:bCs/>
      </w:rPr>
      <w:tblPr/>
      <w:tcPr>
        <w:tcBorders>
          <w:top w:val="double" w:sz="2" w:space="0" w:color="75D8E0"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C04A6"/>
    <w:pPr>
      <w:spacing w:before="200" w:after="160"/>
      <w:ind w:left="864" w:right="864"/>
      <w:jc w:val="center"/>
    </w:pPr>
    <w:rPr>
      <w:i/>
      <w:iCs/>
      <w:color w:val="412E94" w:themeColor="text1" w:themeTint="BF"/>
    </w:rPr>
  </w:style>
  <w:style w:type="character" w:customStyle="1" w:styleId="QuoteChar">
    <w:name w:val="Quote Char"/>
    <w:basedOn w:val="DefaultParagraphFont"/>
    <w:link w:val="Quote"/>
    <w:uiPriority w:val="29"/>
    <w:rsid w:val="00AC04A6"/>
    <w:rPr>
      <w:rFonts w:ascii="Arial" w:hAnsi="Arial"/>
      <w:i/>
      <w:iCs/>
      <w:color w:val="412E94" w:themeColor="text1" w:themeTint="BF"/>
    </w:rPr>
  </w:style>
  <w:style w:type="paragraph" w:styleId="IntenseQuote">
    <w:name w:val="Intense Quote"/>
    <w:aliases w:val="Boxed text Heading"/>
    <w:basedOn w:val="Normal"/>
    <w:next w:val="Normal"/>
    <w:link w:val="IntenseQuoteChar"/>
    <w:uiPriority w:val="30"/>
    <w:qFormat/>
    <w:rsid w:val="00AC04A6"/>
    <w:pPr>
      <w:pBdr>
        <w:top w:val="single" w:sz="4" w:space="10" w:color="2AB1BB" w:themeColor="accent1"/>
        <w:left w:val="single" w:sz="4" w:space="4" w:color="2AB1BB" w:themeColor="accent1"/>
        <w:bottom w:val="single" w:sz="4" w:space="10" w:color="2AB1BB" w:themeColor="accent1"/>
        <w:right w:val="single" w:sz="4" w:space="4" w:color="2AB1BB" w:themeColor="accent1"/>
      </w:pBdr>
      <w:ind w:left="862" w:right="862"/>
    </w:pPr>
    <w:rPr>
      <w:b/>
      <w:iCs/>
    </w:rPr>
  </w:style>
  <w:style w:type="character" w:customStyle="1" w:styleId="IntenseQuoteChar">
    <w:name w:val="Intense Quote Char"/>
    <w:aliases w:val="Boxed text Heading Char"/>
    <w:basedOn w:val="DefaultParagraphFont"/>
    <w:link w:val="IntenseQuote"/>
    <w:uiPriority w:val="30"/>
    <w:rsid w:val="00AC04A6"/>
    <w:rPr>
      <w:rFonts w:ascii="Arial" w:hAnsi="Arial"/>
      <w:b/>
      <w:iCs/>
    </w:rPr>
  </w:style>
  <w:style w:type="paragraph" w:customStyle="1" w:styleId="boxtext">
    <w:name w:val="box text"/>
    <w:basedOn w:val="IntenseQuote"/>
    <w:qFormat/>
    <w:rsid w:val="00AC04A6"/>
    <w:rPr>
      <w:b w:val="0"/>
      <w:bCs/>
    </w:rPr>
  </w:style>
  <w:style w:type="paragraph" w:customStyle="1" w:styleId="Boxtexthead">
    <w:name w:val="Box text head"/>
    <w:basedOn w:val="IntenseQuote"/>
    <w:qFormat/>
    <w:rsid w:val="00AC04A6"/>
  </w:style>
  <w:style w:type="character" w:styleId="IntenseEmphasis">
    <w:name w:val="Intense Emphasis"/>
    <w:basedOn w:val="DefaultParagraphFont"/>
    <w:uiPriority w:val="21"/>
    <w:qFormat/>
    <w:rsid w:val="008F467F"/>
    <w:rPr>
      <w:i/>
      <w:iCs/>
      <w:color w:val="2AB1BB" w:themeColor="accent1"/>
    </w:rPr>
  </w:style>
  <w:style w:type="paragraph" w:styleId="NormalWeb">
    <w:name w:val="Normal (Web)"/>
    <w:basedOn w:val="Normal"/>
    <w:uiPriority w:val="99"/>
    <w:unhideWhenUsed/>
    <w:rsid w:val="00E91CEE"/>
    <w:pPr>
      <w:spacing w:before="100" w:beforeAutospacing="1" w:after="100" w:afterAutospacing="1" w:line="240" w:lineRule="auto"/>
    </w:pPr>
    <w:rPr>
      <w:rFonts w:eastAsia="Times New Roman" w:cs="Times New Roman"/>
      <w:u w:val="single"/>
      <w:lang w:eastAsia="en-AU"/>
    </w:rPr>
  </w:style>
  <w:style w:type="character" w:styleId="Hyperlink">
    <w:name w:val="Hyperlink"/>
    <w:basedOn w:val="DefaultParagraphFont"/>
    <w:uiPriority w:val="99"/>
    <w:unhideWhenUsed/>
    <w:rsid w:val="00E91CEE"/>
    <w:rPr>
      <w:color w:val="1E1545" w:themeColor="hyperlink"/>
      <w:u w:val="single"/>
    </w:rPr>
  </w:style>
  <w:style w:type="character" w:styleId="UnresolvedMention">
    <w:name w:val="Unresolved Mention"/>
    <w:basedOn w:val="DefaultParagraphFont"/>
    <w:uiPriority w:val="99"/>
    <w:semiHidden/>
    <w:unhideWhenUsed/>
    <w:rsid w:val="00E91CEE"/>
    <w:rPr>
      <w:color w:val="605E5C"/>
      <w:shd w:val="clear" w:color="auto" w:fill="E1DFDD"/>
    </w:rPr>
  </w:style>
  <w:style w:type="table" w:styleId="GridTable4">
    <w:name w:val="Grid Table 4"/>
    <w:basedOn w:val="TableNormal"/>
    <w:uiPriority w:val="49"/>
    <w:rsid w:val="00D167F5"/>
    <w:rPr>
      <w:sz w:val="22"/>
      <w:szCs w:val="22"/>
    </w:rPr>
    <w:tblPr>
      <w:tblStyleRowBandSize w:val="1"/>
      <w:tblStyleColBandSize w:val="1"/>
      <w:tblBorders>
        <w:top w:val="single" w:sz="4" w:space="0" w:color="573EC3" w:themeColor="text1" w:themeTint="99"/>
        <w:left w:val="single" w:sz="4" w:space="0" w:color="573EC3" w:themeColor="text1" w:themeTint="99"/>
        <w:bottom w:val="single" w:sz="4" w:space="0" w:color="573EC3" w:themeColor="text1" w:themeTint="99"/>
        <w:right w:val="single" w:sz="4" w:space="0" w:color="573EC3" w:themeColor="text1" w:themeTint="99"/>
        <w:insideH w:val="single" w:sz="4" w:space="0" w:color="573EC3" w:themeColor="text1" w:themeTint="99"/>
        <w:insideV w:val="single" w:sz="4" w:space="0" w:color="573EC3" w:themeColor="text1" w:themeTint="99"/>
      </w:tblBorders>
    </w:tblPr>
    <w:tblStylePr w:type="firstRow">
      <w:rPr>
        <w:b/>
        <w:bCs/>
        <w:color w:val="F1F2F2" w:themeColor="background1"/>
      </w:rPr>
      <w:tblPr/>
      <w:tcPr>
        <w:tcBorders>
          <w:top w:val="single" w:sz="4" w:space="0" w:color="1E1544" w:themeColor="text1"/>
          <w:left w:val="single" w:sz="4" w:space="0" w:color="1E1544" w:themeColor="text1"/>
          <w:bottom w:val="single" w:sz="4" w:space="0" w:color="1E1544" w:themeColor="text1"/>
          <w:right w:val="single" w:sz="4" w:space="0" w:color="1E1544" w:themeColor="text1"/>
          <w:insideH w:val="nil"/>
          <w:insideV w:val="nil"/>
        </w:tcBorders>
        <w:shd w:val="clear" w:color="auto" w:fill="1E1544" w:themeFill="text1"/>
      </w:tcPr>
    </w:tblStylePr>
    <w:tblStylePr w:type="lastRow">
      <w:rPr>
        <w:b/>
        <w:bCs/>
      </w:rPr>
      <w:tblPr/>
      <w:tcPr>
        <w:tcBorders>
          <w:top w:val="double" w:sz="4" w:space="0" w:color="1E1544" w:themeColor="text1"/>
        </w:tcBorders>
      </w:tcPr>
    </w:tblStylePr>
    <w:tblStylePr w:type="firstCol">
      <w:rPr>
        <w:b/>
        <w:bCs/>
      </w:rPr>
    </w:tblStylePr>
    <w:tblStylePr w:type="lastCol">
      <w:rPr>
        <w:b/>
        <w:bCs/>
      </w:rPr>
    </w:tblStylePr>
    <w:tblStylePr w:type="band1Vert">
      <w:tblPr/>
      <w:tcPr>
        <w:shd w:val="clear" w:color="auto" w:fill="C6BEEB" w:themeFill="text1" w:themeFillTint="33"/>
      </w:tcPr>
    </w:tblStylePr>
    <w:tblStylePr w:type="band1Horz">
      <w:tblPr/>
      <w:tcPr>
        <w:shd w:val="clear" w:color="auto" w:fill="C6BEEB"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88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ngri\OneDrive%20-%20Department%20of%20Health\Attachments\Work\Grants\20250307%20-%20Consumer%20Health%20Literacy%20and%20Health%20Professional%20Education%20Grant%20Recipients.dotx" TargetMode="External"/></Relationships>
</file>

<file path=word/theme/theme1.xml><?xml version="1.0" encoding="utf-8"?>
<a:theme xmlns:a="http://schemas.openxmlformats.org/drawingml/2006/main" name="Office Theme 2013 - 2022">
  <a:themeElements>
    <a:clrScheme name="AGEDCARE">
      <a:dk1>
        <a:srgbClr val="1E1544"/>
      </a:dk1>
      <a:lt1>
        <a:srgbClr val="F1F2F2"/>
      </a:lt1>
      <a:dk2>
        <a:srgbClr val="1E1545"/>
      </a:dk2>
      <a:lt2>
        <a:srgbClr val="F1F2F2"/>
      </a:lt2>
      <a:accent1>
        <a:srgbClr val="2AB1BB"/>
      </a:accent1>
      <a:accent2>
        <a:srgbClr val="78BE43"/>
      </a:accent2>
      <a:accent3>
        <a:srgbClr val="8C59A5"/>
      </a:accent3>
      <a:accent4>
        <a:srgbClr val="DA576C"/>
      </a:accent4>
      <a:accent5>
        <a:srgbClr val="F2692B"/>
      </a:accent5>
      <a:accent6>
        <a:srgbClr val="F3B223"/>
      </a:accent6>
      <a:hlink>
        <a:srgbClr val="1E1545"/>
      </a:hlink>
      <a:folHlink>
        <a:srgbClr val="6D6D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d29d5f7a-be03-4e9c-abe5-c85ece0a2186" xsi:nil="true"/>
    <_dlc_DocIdUrl xmlns="d29d5f7a-be03-4e9c-abe5-c85ece0a2186">
      <Url>https://healthgov.sharepoint.com/sites/support-comms/_layouts/15/DocIdRedir.aspx?ID=INTCOMMS-1466148216-62</Url>
      <Description>INTCOMMS-1466148216-62</Description>
    </_dlc_DocIdUrl>
    <_dlc_DocId xmlns="d29d5f7a-be03-4e9c-abe5-c85ece0a2186">INTCOMMS-1466148216-62</_dlc_DocId>
    <TaxCatchAll xmlns="15225296-5bc7-404a-82af-55dc9cd4c2a2">
      <Value>104</Value>
      <Value>4</Value>
      <Value>30</Value>
      <Value>42</Value>
    </TaxCatchAll>
    <TaxCatchAllLabel xmlns="15225296-5bc7-404a-82af-55dc9cd4c2a2" xsi:nil="true"/>
    <kc71ab0cbf48464c93da22616a13f899 xmlns="15225296-5bc7-404a-82af-55dc9cd4c2a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0635ea83-9a41-497c-9b11-d9d7178dcab7</TermId>
        </TermInfo>
      </Terms>
    </kc71ab0cbf48464c93da22616a13f899>
    <n6ab4887e3574344bf29833a7599c9ee xmlns="15225296-5bc7-404a-82af-55dc9cd4c2a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e5d142d6-a25f-4b81-a8a4-d8f9e5839eea</TermId>
        </TermInfo>
      </Terms>
    </n6ab4887e3574344bf29833a7599c9ee>
    <k9f8275dd1c043809a82b7dbd201a9b2 xmlns="15225296-5bc7-404a-82af-55dc9cd4c2a2">
      <Terms xmlns="http://schemas.microsoft.com/office/infopath/2007/PartnerControls">
        <TermInfo xmlns="http://schemas.microsoft.com/office/infopath/2007/PartnerControls">
          <TermName xmlns="http://schemas.microsoft.com/office/infopath/2007/PartnerControls">visual identity</TermName>
          <TermId xmlns="http://schemas.microsoft.com/office/infopath/2007/PartnerControls">a54ebda2-a0fd-45ec-8fc0-1cf31001b526</TermId>
        </TermInfo>
        <TermInfo xmlns="http://schemas.microsoft.com/office/infopath/2007/PartnerControls">
          <TermName xmlns="http://schemas.microsoft.com/office/infopath/2007/PartnerControls">Aged care</TermName>
          <TermId xmlns="http://schemas.microsoft.com/office/infopath/2007/PartnerControls">15037316-ccb1-4430-a7dd-5c4031a389b1</TermId>
        </TermInfo>
      </Terms>
    </k9f8275dd1c043809a82b7dbd201a9b2>
    <Int-Intranet xmlns="15225296-5bc7-404a-82af-55dc9cd4c2a2">true</Int-Intranet>
    <Int-LastReviewed xmlns="15225296-5bc7-404a-82af-55dc9cd4c2a2">2023-11-28T13:00:00+00:00</Int-LastReviewed>
    <Int-ReferenceNo xmlns="15225296-5bc7-404a-82af-55dc9cd4c2a2" xsi:nil="true"/>
    <Int-SortOrder xmlns="15225296-5bc7-404a-82af-55dc9cd4c2a2" xsi:nil="true"/>
  </documentManagement>
</p:properties>
</file>

<file path=customXml/item2.xml><?xml version="1.0" encoding="utf-8"?>
<?mso-contentType ?>
<SharedContentType xmlns="Microsoft.SharePoint.Taxonomy.ContentTypeSync" SourceId="89927c38-8944-418e-ac9b-4d6e75543028" ContentTypeId="0x010100C2A214FDA4C8B34E994552DAA26C0715" PreviousValue="false" LastSyncTimeStamp="2024-03-01T04:37:47.153Z"/>
</file>

<file path=customXml/item3.xml><?xml version="1.0" encoding="utf-8"?>
<ct:contentTypeSchema xmlns:ct="http://schemas.microsoft.com/office/2006/metadata/contentType" xmlns:ma="http://schemas.microsoft.com/office/2006/metadata/properties/metaAttributes" ct:_="" ma:_="" ma:contentTypeName="Intranet Document" ma:contentTypeID="0x010100C2A214FDA4C8B34E994552DAA26C07150079AFCCD31D8DF84FBFA0F95ECE6BDBA6" ma:contentTypeVersion="5" ma:contentTypeDescription="Create a new document." ma:contentTypeScope="" ma:versionID="40e3ac8f0e99f73ea482c52d07781add">
  <xsd:schema xmlns:xsd="http://www.w3.org/2001/XMLSchema" xmlns:xs="http://www.w3.org/2001/XMLSchema" xmlns:p="http://schemas.microsoft.com/office/2006/metadata/properties" xmlns:ns2="15225296-5bc7-404a-82af-55dc9cd4c2a2" xmlns:ns3="d29d5f7a-be03-4e9c-abe5-c85ece0a2186" targetNamespace="http://schemas.microsoft.com/office/2006/metadata/properties" ma:root="true" ma:fieldsID="d748506b67d098199a266f9f1c404d07" ns2:_="" ns3:_="">
    <xsd:import namespace="15225296-5bc7-404a-82af-55dc9cd4c2a2"/>
    <xsd:import namespace="d29d5f7a-be03-4e9c-abe5-c85ece0a2186"/>
    <xsd:element name="properties">
      <xsd:complexType>
        <xsd:sequence>
          <xsd:element name="documentManagement">
            <xsd:complexType>
              <xsd:all>
                <xsd:element ref="ns2:n6ab4887e3574344bf29833a7599c9ee" minOccurs="0"/>
                <xsd:element ref="ns2:TaxCatchAll" minOccurs="0"/>
                <xsd:element ref="ns2:TaxCatchAllLabel" minOccurs="0"/>
                <xsd:element ref="ns2:Int-LastReviewed"/>
                <xsd:element ref="ns2:kc71ab0cbf48464c93da22616a13f899" minOccurs="0"/>
                <xsd:element ref="ns2:k9f8275dd1c043809a82b7dbd201a9b2" minOccurs="0"/>
                <xsd:element ref="ns2:Int-SortOrder" minOccurs="0"/>
                <xsd:element ref="ns2:Int-ReferenceNo" minOccurs="0"/>
                <xsd:element ref="ns2:Int-Intranet"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25296-5bc7-404a-82af-55dc9cd4c2a2" elementFormDefault="qualified">
    <xsd:import namespace="http://schemas.microsoft.com/office/2006/documentManagement/types"/>
    <xsd:import namespace="http://schemas.microsoft.com/office/infopath/2007/PartnerControls"/>
    <xsd:element name="n6ab4887e3574344bf29833a7599c9ee" ma:index="8" ma:taxonomy="true" ma:internalName="n6ab4887e3574344bf29833a7599c9ee" ma:taxonomyFieldName="Int_x002d_Contact" ma:displayName="Contact (key)" ma:fieldId="{76ab4887-e357-4344-bf29-833a7599c9ee}" ma:sspId="89927c38-8944-418e-ac9b-4d6e75543028" ma:termSetId="9c4e6da8-cca8-4ef3-87a9-3524c702ad3e" ma:anchorId="6427c93b-a2ce-47b8-adc9-3160436ccaed" ma:open="false" ma:isKeyword="false">
      <xsd:complexType>
        <xsd:sequence>
          <xsd:element ref="pc:Terms" minOccurs="0" maxOccurs="1"/>
        </xsd:sequence>
      </xsd:complexType>
    </xsd:element>
    <xsd:element name="TaxCatchAll" ma:index="9" nillable="true" ma:displayName="Taxonomy Catch All Column" ma:hidden="true" ma:list="{a0d120bb-aa24-4a37-a861-0884664f337e}" ma:internalName="TaxCatchAll"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0d120bb-aa24-4a37-a861-0884664f337e}" ma:internalName="TaxCatchAllLabel" ma:readOnly="tru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LastReviewed" ma:index="12" ma:displayName="Last reviewed" ma:default="[today]" ma:format="DateOnly" ma:internalName="Int_x002d_LastReviewed">
      <xsd:simpleType>
        <xsd:restriction base="dms:DateTime"/>
      </xsd:simpleType>
    </xsd:element>
    <xsd:element name="kc71ab0cbf48464c93da22616a13f899" ma:index="13" ma:taxonomy="true" ma:internalName="kc71ab0cbf48464c93da22616a13f899" ma:taxonomyFieldName="Int_x002d_InformationType" ma:displayName="Information Type" ma:fieldId="{4c71ab0c-bf48-464c-93da-22616a13f899}" ma:sspId="89927c38-8944-418e-ac9b-4d6e75543028" ma:termSetId="9c4e6da8-cca8-4ef3-87a9-3524c702ad3e" ma:anchorId="ababb3c8-605c-4190-9a94-e7220db2976d" ma:open="false" ma:isKeyword="false">
      <xsd:complexType>
        <xsd:sequence>
          <xsd:element ref="pc:Terms" minOccurs="0" maxOccurs="1"/>
        </xsd:sequence>
      </xsd:complexType>
    </xsd:element>
    <xsd:element name="k9f8275dd1c043809a82b7dbd201a9b2" ma:index="15" ma:taxonomy="true" ma:internalName="k9f8275dd1c043809a82b7dbd201a9b2" ma:taxonomyFieldName="Int_x002d_Topics" ma:displayName="Topics" ma:fieldId="{49f8275d-d1c0-4380-9a82-b7dbd201a9b2}"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Int-SortOrder" ma:index="17" nillable="true" ma:displayName="Sort order" ma:internalName="Int_x002d_SortOrder">
      <xsd:simpleType>
        <xsd:restriction base="dms:Text"/>
      </xsd:simpleType>
    </xsd:element>
    <xsd:element name="Int-ReferenceNo" ma:index="18" nillable="true" ma:displayName="Reference No" ma:internalName="Int_x002d_ReferenceNo">
      <xsd:simpleType>
        <xsd:restriction base="dms:Text"/>
      </xsd:simpleType>
    </xsd:element>
    <xsd:element name="Int-Intranet" ma:index="19" nillable="true" ma:displayName="Intranet" ma:hidden="true" ma:internalName="Int_x002d_Intranet"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40E2362-356C-4CDA-9392-C485AD76B771}">
  <ds:schemaRefs>
    <ds:schemaRef ds:uri="15225296-5bc7-404a-82af-55dc9cd4c2a2"/>
    <ds:schemaRef ds:uri="http://purl.org/dc/terms/"/>
    <ds:schemaRef ds:uri="http://purl.org/dc/dcmitype/"/>
    <ds:schemaRef ds:uri="http://schemas.microsoft.com/office/infopath/2007/PartnerControls"/>
    <ds:schemaRef ds:uri="d29d5f7a-be03-4e9c-abe5-c85ece0a2186"/>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42E342B-5280-4DF5-8F59-6BB9832F0837}">
  <ds:schemaRefs>
    <ds:schemaRef ds:uri="Microsoft.SharePoint.Taxonomy.ContentTypeSync"/>
  </ds:schemaRefs>
</ds:datastoreItem>
</file>

<file path=customXml/itemProps3.xml><?xml version="1.0" encoding="utf-8"?>
<ds:datastoreItem xmlns:ds="http://schemas.openxmlformats.org/officeDocument/2006/customXml" ds:itemID="{F939A75A-4416-4FB3-BB04-411692A73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225296-5bc7-404a-82af-55dc9cd4c2a2"/>
    <ds:schemaRef ds:uri="d29d5f7a-be03-4e9c-abe5-c85ece0a21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482C8F-E0B2-481F-A178-9FE4AA0C5F6D}">
  <ds:schemaRefs>
    <ds:schemaRef ds:uri="http://schemas.microsoft.com/sharepoint/v3/contenttype/forms"/>
  </ds:schemaRefs>
</ds:datastoreItem>
</file>

<file path=customXml/itemProps5.xml><?xml version="1.0" encoding="utf-8"?>
<ds:datastoreItem xmlns:ds="http://schemas.openxmlformats.org/officeDocument/2006/customXml" ds:itemID="{5BBF3291-9B48-0A45-B0DA-D92CB654D195}">
  <ds:schemaRefs>
    <ds:schemaRef ds:uri="http://schemas.openxmlformats.org/officeDocument/2006/bibliography"/>
  </ds:schemaRefs>
</ds:datastoreItem>
</file>

<file path=customXml/itemProps6.xml><?xml version="1.0" encoding="utf-8"?>
<ds:datastoreItem xmlns:ds="http://schemas.openxmlformats.org/officeDocument/2006/customXml" ds:itemID="{F06F9C77-42B3-4BC0-911B-99C55524278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20250307 - Consumer Health Literacy and Health Professional Education Grant Recipients.dotx</Template>
  <TotalTime>7</TotalTime>
  <Pages>2</Pages>
  <Words>780</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Consumer Health Literacy: Round Two Grant Recipients</vt:lpstr>
    </vt:vector>
  </TitlesOfParts>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Health Literacy: Round Two Grant Recipients</dc:title>
  <dc:subject>Medicines</dc:subject>
  <dc:creator>Australian Government Department of Health and Aged Care</dc:creator>
  <cp:keywords>Aged Care, Senior Australians, Medicines</cp:keywords>
  <dc:description/>
  <cp:revision>3</cp:revision>
  <dcterms:created xsi:type="dcterms:W3CDTF">2025-03-20T21:58:00Z</dcterms:created>
  <dcterms:modified xsi:type="dcterms:W3CDTF">2025-03-21T04:21:00Z</dcterms:modified>
</cp:coreProperties>
</file>