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4F3AA0" w:rsidRPr="00774912" w14:paraId="778A60C9" w14:textId="77777777" w:rsidTr="71A4ADB8">
        <w:trPr>
          <w:trHeight w:val="1831"/>
          <w:tblHeader/>
        </w:trPr>
        <w:tc>
          <w:tcPr>
            <w:tcW w:w="3212" w:type="dxa"/>
            <w:shd w:val="clear" w:color="auto" w:fill="55259E"/>
            <w:vAlign w:val="center"/>
          </w:tcPr>
          <w:p w14:paraId="7A110395" w14:textId="00C4ECEC" w:rsidR="004F3AA0" w:rsidRPr="00774912" w:rsidRDefault="00AD3512" w:rsidP="004F3A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CDD4364" wp14:editId="4A793347">
                  <wp:extent cx="1447800" cy="1130414"/>
                  <wp:effectExtent l="0" t="0" r="0" b="0"/>
                  <wp:docPr id="514569954" name="Picture 3" descr="Australian Government Department of Health and Aged Care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569954" name="Picture 3" descr="Australian Government Department of Health and Aged Care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693" cy="114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  <w:shd w:val="clear" w:color="auto" w:fill="55259E"/>
            <w:vAlign w:val="center"/>
          </w:tcPr>
          <w:p w14:paraId="79C37538" w14:textId="77777777" w:rsidR="00DF7741" w:rsidRPr="00774912" w:rsidRDefault="003021C5" w:rsidP="00FE23AE">
            <w:pPr>
              <w:pStyle w:val="Title"/>
              <w:jc w:val="right"/>
              <w:rPr>
                <w:rFonts w:ascii="Arial" w:hAnsi="Arial" w:cs="Arial"/>
                <w:color w:val="FFFFFF" w:themeColor="background1"/>
              </w:rPr>
            </w:pPr>
            <w:r w:rsidRPr="00774912">
              <w:rPr>
                <w:rFonts w:ascii="Arial" w:hAnsi="Arial" w:cs="Arial"/>
                <w:color w:val="FFFFFF" w:themeColor="background1"/>
              </w:rPr>
              <w:t xml:space="preserve">AUSTRALIAN TECHNICAL ADVISORY </w:t>
            </w:r>
          </w:p>
          <w:p w14:paraId="5A74DC8E" w14:textId="77777777" w:rsidR="00DF7741" w:rsidRPr="00774912" w:rsidRDefault="003021C5" w:rsidP="00FE23AE">
            <w:pPr>
              <w:pStyle w:val="Title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774912">
              <w:rPr>
                <w:rFonts w:ascii="Arial" w:hAnsi="Arial" w:cs="Arial"/>
                <w:color w:val="FFFFFF" w:themeColor="background1"/>
              </w:rPr>
              <w:t>GROUP ON</w:t>
            </w:r>
            <w:r w:rsidR="00DF7741" w:rsidRPr="00774912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774912">
              <w:rPr>
                <w:rFonts w:ascii="Arial" w:hAnsi="Arial" w:cs="Arial"/>
                <w:color w:val="FFFFFF" w:themeColor="background1"/>
              </w:rPr>
              <w:t>IMMUNISATION (ATAGI)</w:t>
            </w:r>
          </w:p>
          <w:p w14:paraId="503E0D20" w14:textId="77777777" w:rsidR="003021C5" w:rsidRPr="00774912" w:rsidRDefault="003021C5" w:rsidP="00FE23AE">
            <w:pPr>
              <w:pStyle w:val="Title"/>
              <w:jc w:val="right"/>
              <w:rPr>
                <w:rFonts w:ascii="Arial" w:hAnsi="Arial" w:cs="Arial"/>
              </w:rPr>
            </w:pPr>
            <w:r w:rsidRPr="00774912">
              <w:rPr>
                <w:rFonts w:ascii="Arial" w:hAnsi="Arial" w:cs="Arial"/>
                <w:b/>
                <w:color w:val="FFFFFF" w:themeColor="background1"/>
              </w:rPr>
              <w:t>CLINICAL ADVICE</w:t>
            </w:r>
          </w:p>
        </w:tc>
      </w:tr>
      <w:tr w:rsidR="004F3AA0" w:rsidRPr="00774912" w14:paraId="1C03A215" w14:textId="77777777" w:rsidTr="71A4ADB8">
        <w:tc>
          <w:tcPr>
            <w:tcW w:w="3212" w:type="dxa"/>
            <w:shd w:val="clear" w:color="auto" w:fill="55259E"/>
          </w:tcPr>
          <w:p w14:paraId="12AFE8E5" w14:textId="77777777" w:rsidR="004F3AA0" w:rsidRPr="00774912" w:rsidRDefault="004F3AA0" w:rsidP="004F3AA0">
            <w:pPr>
              <w:rPr>
                <w:rFonts w:ascii="Arial" w:hAnsi="Arial" w:cs="Arial"/>
              </w:rPr>
            </w:pPr>
          </w:p>
        </w:tc>
        <w:tc>
          <w:tcPr>
            <w:tcW w:w="6884" w:type="dxa"/>
            <w:shd w:val="clear" w:color="auto" w:fill="55259E"/>
            <w:vAlign w:val="center"/>
          </w:tcPr>
          <w:p w14:paraId="018665FF" w14:textId="3C0C2D95" w:rsidR="004F3AA0" w:rsidRPr="00774912" w:rsidRDefault="003021C5" w:rsidP="00ED3505">
            <w:pPr>
              <w:pStyle w:val="BodyText"/>
              <w:ind w:right="175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774912">
              <w:rPr>
                <w:rFonts w:ascii="Arial" w:hAnsi="Arial" w:cs="Arial"/>
                <w:b/>
                <w:color w:val="FFFFFF" w:themeColor="background1"/>
              </w:rPr>
              <w:t xml:space="preserve">Issue date: </w:t>
            </w:r>
            <w:r w:rsidR="00AA139F" w:rsidRPr="00AA139F">
              <w:rPr>
                <w:rFonts w:ascii="Arial" w:hAnsi="Arial" w:cs="Arial"/>
                <w:b/>
                <w:color w:val="FFFFFF" w:themeColor="background1"/>
              </w:rPr>
              <w:t>3 March</w:t>
            </w:r>
            <w:r w:rsidR="00AA139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E4B3F" w:rsidRPr="00774912">
              <w:rPr>
                <w:rFonts w:ascii="Arial" w:hAnsi="Arial" w:cs="Arial"/>
                <w:b/>
                <w:color w:val="FFFFFF" w:themeColor="background1"/>
              </w:rPr>
              <w:t>20</w:t>
            </w:r>
            <w:r w:rsidR="00AB357A" w:rsidRPr="00774912"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A53B22" w:rsidRPr="00774912">
              <w:rPr>
                <w:rFonts w:ascii="Arial" w:hAnsi="Arial" w:cs="Arial"/>
                <w:b/>
                <w:color w:val="FFFFFF" w:themeColor="background1"/>
              </w:rPr>
              <w:t>5</w:t>
            </w:r>
          </w:p>
        </w:tc>
      </w:tr>
    </w:tbl>
    <w:p w14:paraId="526DCD2E" w14:textId="18240DCF" w:rsidR="005E0FAB" w:rsidRPr="00774912" w:rsidRDefault="00826860" w:rsidP="003F3A2E">
      <w:pPr>
        <w:pStyle w:val="Heading1Black"/>
      </w:pPr>
      <w:r w:rsidRPr="00774912">
        <w:t xml:space="preserve">STATEMENT ON THE </w:t>
      </w:r>
      <w:r w:rsidR="00DD0878" w:rsidRPr="00774912">
        <w:t>ADMINISTRATION OF SEASONAL INFL</w:t>
      </w:r>
      <w:r w:rsidRPr="00774912">
        <w:t>U</w:t>
      </w:r>
      <w:r w:rsidR="00DD0878" w:rsidRPr="00774912">
        <w:t>E</w:t>
      </w:r>
      <w:r w:rsidRPr="00774912">
        <w:t xml:space="preserve">NZA VACCINES </w:t>
      </w:r>
      <w:r w:rsidRPr="003F3A2E">
        <w:t>IN</w:t>
      </w:r>
      <w:r w:rsidRPr="00774912">
        <w:t xml:space="preserve"> </w:t>
      </w:r>
      <w:r w:rsidR="00D07522" w:rsidRPr="00774912">
        <w:t>202</w:t>
      </w:r>
      <w:r w:rsidR="00A53B22" w:rsidRPr="00774912">
        <w:t>5</w:t>
      </w:r>
    </w:p>
    <w:p w14:paraId="596542FA" w14:textId="29755220" w:rsidR="006B5200" w:rsidRPr="003F3A2E" w:rsidRDefault="006B5200" w:rsidP="003F3A2E">
      <w:pPr>
        <w:rPr>
          <w:rStyle w:val="Emphasis"/>
        </w:rPr>
      </w:pPr>
      <w:r w:rsidRPr="003F3A2E">
        <w:rPr>
          <w:rStyle w:val="Emphasis"/>
        </w:rPr>
        <w:t xml:space="preserve">It is important to read this statement in conjunction with </w:t>
      </w:r>
      <w:r w:rsidR="00F23C53" w:rsidRPr="003F3A2E">
        <w:rPr>
          <w:rStyle w:val="Emphasis"/>
        </w:rPr>
        <w:t>t</w:t>
      </w:r>
      <w:r w:rsidRPr="003F3A2E">
        <w:rPr>
          <w:rStyle w:val="Emphasis"/>
        </w:rPr>
        <w:t xml:space="preserve">he </w:t>
      </w:r>
      <w:hyperlink r:id="rId12" w:history="1">
        <w:r w:rsidRPr="003F3A2E">
          <w:rPr>
            <w:rStyle w:val="Hyperlink"/>
            <w:rFonts w:asciiTheme="minorHAnsi" w:hAnsiTheme="minorHAnsi"/>
            <w:spacing w:val="10"/>
            <w:sz w:val="20"/>
          </w:rPr>
          <w:t>Australian Immunisation Handbook</w:t>
        </w:r>
      </w:hyperlink>
      <w:r w:rsidR="00AB485B" w:rsidRPr="003F3A2E">
        <w:rPr>
          <w:rStyle w:val="Emphasis"/>
        </w:rPr>
        <w:t xml:space="preserve">, </w:t>
      </w:r>
      <w:r w:rsidRPr="003F3A2E">
        <w:rPr>
          <w:rStyle w:val="Emphasis"/>
        </w:rPr>
        <w:t xml:space="preserve">available </w:t>
      </w:r>
      <w:r w:rsidR="004A1690" w:rsidRPr="003F3A2E">
        <w:rPr>
          <w:rStyle w:val="Emphasis"/>
        </w:rPr>
        <w:t xml:space="preserve">at </w:t>
      </w:r>
      <w:r w:rsidR="00CF1008" w:rsidRPr="003F3A2E">
        <w:rPr>
          <w:rStyle w:val="Emphasis"/>
        </w:rPr>
        <w:t>immunisationhandbook.</w:t>
      </w:r>
      <w:r w:rsidR="009A6FF4" w:rsidRPr="003F3A2E">
        <w:rPr>
          <w:rStyle w:val="Emphasis"/>
        </w:rPr>
        <w:t>health</w:t>
      </w:r>
      <w:r w:rsidR="00CF1008" w:rsidRPr="003F3A2E">
        <w:rPr>
          <w:rStyle w:val="Emphasis"/>
        </w:rPr>
        <w:t>.gov.au</w:t>
      </w:r>
    </w:p>
    <w:p w14:paraId="1CC74A23" w14:textId="3A328ADA" w:rsidR="005E0FAB" w:rsidRPr="00774912" w:rsidRDefault="00B64B14" w:rsidP="00AB485B">
      <w:pPr>
        <w:pStyle w:val="Heading2"/>
        <w:rPr>
          <w:rFonts w:asciiTheme="majorHAnsi" w:hAnsiTheme="majorHAnsi" w:cstheme="majorHAnsi"/>
        </w:rPr>
      </w:pPr>
      <w:r w:rsidRPr="00774912">
        <w:rPr>
          <w:rFonts w:asciiTheme="majorHAnsi" w:hAnsiTheme="majorHAnsi" w:cstheme="majorHAnsi"/>
          <w:lang w:eastAsia="en-US"/>
        </w:rPr>
        <w:t>Overview of</w:t>
      </w:r>
      <w:r w:rsidR="005E0FAB" w:rsidRPr="00774912">
        <w:rPr>
          <w:rFonts w:asciiTheme="majorHAnsi" w:hAnsiTheme="majorHAnsi" w:cstheme="majorHAnsi"/>
          <w:lang w:eastAsia="en-US"/>
        </w:rPr>
        <w:t xml:space="preserve"> key </w:t>
      </w:r>
      <w:r w:rsidR="00826860" w:rsidRPr="00774912">
        <w:rPr>
          <w:rFonts w:asciiTheme="majorHAnsi" w:hAnsiTheme="majorHAnsi" w:cstheme="majorHAnsi"/>
          <w:lang w:eastAsia="en-US"/>
        </w:rPr>
        <w:t xml:space="preserve">points and updates for </w:t>
      </w:r>
      <w:r w:rsidR="00D07522" w:rsidRPr="00774912">
        <w:rPr>
          <w:rFonts w:asciiTheme="majorHAnsi" w:hAnsiTheme="majorHAnsi" w:cstheme="majorHAnsi"/>
          <w:lang w:eastAsia="en-US"/>
        </w:rPr>
        <w:t>202</w:t>
      </w:r>
      <w:r w:rsidR="00A53B22" w:rsidRPr="00774912">
        <w:rPr>
          <w:rFonts w:asciiTheme="majorHAnsi" w:hAnsiTheme="majorHAnsi" w:cstheme="majorHAnsi"/>
          <w:lang w:eastAsia="en-US"/>
        </w:rPr>
        <w:t>5</w:t>
      </w:r>
      <w:r w:rsidR="00D07522" w:rsidRPr="00774912">
        <w:rPr>
          <w:rFonts w:asciiTheme="majorHAnsi" w:hAnsiTheme="majorHAnsi" w:cstheme="majorHAnsi"/>
          <w:lang w:eastAsia="en-US"/>
        </w:rPr>
        <w:t xml:space="preserve"> </w:t>
      </w:r>
    </w:p>
    <w:p w14:paraId="2473E7F9" w14:textId="4914F63A" w:rsidR="00826860" w:rsidRPr="00774912" w:rsidRDefault="2DF9D69E" w:rsidP="00016FB9">
      <w:pPr>
        <w:pStyle w:val="BulletedList"/>
        <w:rPr>
          <w:lang w:val="en-AU"/>
        </w:rPr>
      </w:pPr>
      <w:r w:rsidRPr="00774912">
        <w:rPr>
          <w:lang w:val="en-AU"/>
        </w:rPr>
        <w:t>Annual vaccination is the most important measure to prevent influenza and its complications</w:t>
      </w:r>
      <w:r w:rsidR="00044167" w:rsidRPr="00774912">
        <w:rPr>
          <w:lang w:val="en-AU"/>
        </w:rPr>
        <w:t>.</w:t>
      </w:r>
      <w:r w:rsidR="0AB29E7D" w:rsidRPr="00774912">
        <w:rPr>
          <w:lang w:val="en-AU"/>
        </w:rPr>
        <w:t xml:space="preserve"> </w:t>
      </w:r>
      <w:r w:rsidR="00044167" w:rsidRPr="00774912">
        <w:rPr>
          <w:lang w:val="en-AU"/>
        </w:rPr>
        <w:t>It</w:t>
      </w:r>
      <w:r w:rsidR="0AB29E7D" w:rsidRPr="00774912">
        <w:rPr>
          <w:lang w:val="en-AU"/>
        </w:rPr>
        <w:t xml:space="preserve"> is recommended for all people ≥6 months of age</w:t>
      </w:r>
      <w:r w:rsidRPr="00774912">
        <w:rPr>
          <w:lang w:val="en-AU"/>
        </w:rPr>
        <w:t>.</w:t>
      </w:r>
    </w:p>
    <w:p w14:paraId="392F5F4A" w14:textId="7791D376" w:rsidR="00044167" w:rsidRPr="00774912" w:rsidRDefault="00971E5B" w:rsidP="004D50CF">
      <w:pPr>
        <w:pStyle w:val="BulletedList"/>
        <w:rPr>
          <w:lang w:val="en-AU"/>
        </w:rPr>
      </w:pPr>
      <w:r>
        <w:rPr>
          <w:lang w:val="en-AU"/>
        </w:rPr>
        <w:t>T</w:t>
      </w:r>
      <w:r w:rsidR="00DD3539" w:rsidRPr="00774912">
        <w:rPr>
          <w:lang w:val="en-AU"/>
        </w:rPr>
        <w:t>he importance of inf</w:t>
      </w:r>
      <w:r w:rsidR="00855DB1" w:rsidRPr="00774912">
        <w:rPr>
          <w:lang w:val="en-AU"/>
        </w:rPr>
        <w:t>l</w:t>
      </w:r>
      <w:r w:rsidR="00DD3539" w:rsidRPr="00774912">
        <w:rPr>
          <w:lang w:val="en-AU"/>
        </w:rPr>
        <w:t>uenza</w:t>
      </w:r>
      <w:r w:rsidR="00855DB1" w:rsidRPr="00774912">
        <w:rPr>
          <w:lang w:val="en-AU"/>
        </w:rPr>
        <w:t xml:space="preserve"> vaccination should be emphasised</w:t>
      </w:r>
      <w:r w:rsidR="0000695B" w:rsidRPr="00774912">
        <w:rPr>
          <w:lang w:val="en-AU"/>
        </w:rPr>
        <w:t>.</w:t>
      </w:r>
      <w:r w:rsidR="00774912" w:rsidRPr="00774912">
        <w:rPr>
          <w:lang w:val="en-AU"/>
        </w:rPr>
        <w:t xml:space="preserve"> </w:t>
      </w:r>
      <w:r>
        <w:rPr>
          <w:lang w:val="en-AU"/>
        </w:rPr>
        <w:t>H</w:t>
      </w:r>
      <w:r w:rsidRPr="00971E5B">
        <w:rPr>
          <w:lang w:val="en-AU"/>
        </w:rPr>
        <w:t>ealthcare provider recommendation is the strongest predictor of a person's decision to vaccinate</w:t>
      </w:r>
      <w:r>
        <w:rPr>
          <w:lang w:val="en-AU"/>
        </w:rPr>
        <w:t>.</w:t>
      </w:r>
    </w:p>
    <w:p w14:paraId="51DFDA03" w14:textId="106AB62D" w:rsidR="00CA297B" w:rsidRPr="00774912" w:rsidRDefault="00E71C46" w:rsidP="004D50CF">
      <w:pPr>
        <w:pStyle w:val="BulletedList"/>
        <w:rPr>
          <w:lang w:val="en-AU"/>
        </w:rPr>
      </w:pPr>
      <w:r w:rsidRPr="00774912">
        <w:rPr>
          <w:lang w:val="en-AU"/>
        </w:rPr>
        <w:t>Standard influenza</w:t>
      </w:r>
      <w:r w:rsidR="009A2B04" w:rsidRPr="00774912">
        <w:rPr>
          <w:lang w:val="en-AU"/>
        </w:rPr>
        <w:t xml:space="preserve"> vaccination is recommended for all people aged 6 months to 64 years</w:t>
      </w:r>
      <w:r w:rsidR="00120BB2" w:rsidRPr="00774912">
        <w:rPr>
          <w:lang w:val="en-AU"/>
        </w:rPr>
        <w:t xml:space="preserve">, </w:t>
      </w:r>
      <w:r w:rsidR="0006242C" w:rsidRPr="00774912">
        <w:rPr>
          <w:lang w:val="en-AU"/>
        </w:rPr>
        <w:t>using</w:t>
      </w:r>
      <w:r w:rsidR="00D819EB" w:rsidRPr="00774912">
        <w:rPr>
          <w:lang w:val="en-AU"/>
        </w:rPr>
        <w:t xml:space="preserve"> age</w:t>
      </w:r>
      <w:r w:rsidR="005F73D9" w:rsidRPr="00774912">
        <w:rPr>
          <w:lang w:val="en-AU"/>
        </w:rPr>
        <w:t xml:space="preserve"> group</w:t>
      </w:r>
      <w:r w:rsidR="00D819EB" w:rsidRPr="00774912">
        <w:rPr>
          <w:lang w:val="en-AU"/>
        </w:rPr>
        <w:t xml:space="preserve">-appropriate </w:t>
      </w:r>
      <w:r w:rsidR="00120BB2" w:rsidRPr="00774912">
        <w:rPr>
          <w:lang w:val="en-AU"/>
        </w:rPr>
        <w:t>vaccines listed in Table 1</w:t>
      </w:r>
      <w:r w:rsidR="0006242C" w:rsidRPr="00774912">
        <w:rPr>
          <w:lang w:val="en-AU"/>
        </w:rPr>
        <w:t>.</w:t>
      </w:r>
      <w:r w:rsidR="33E29B69" w:rsidRPr="00774912">
        <w:rPr>
          <w:lang w:val="en-AU"/>
        </w:rPr>
        <w:t xml:space="preserve"> </w:t>
      </w:r>
      <w:r w:rsidR="006654BA" w:rsidRPr="00774912">
        <w:rPr>
          <w:lang w:val="en-AU"/>
        </w:rPr>
        <w:t xml:space="preserve"> Influenza vaccines </w:t>
      </w:r>
      <w:proofErr w:type="gramStart"/>
      <w:r w:rsidR="006654BA" w:rsidRPr="00774912">
        <w:rPr>
          <w:lang w:val="en-AU"/>
        </w:rPr>
        <w:t xml:space="preserve">are </w:t>
      </w:r>
      <w:r w:rsidR="00F344D1" w:rsidRPr="00774912">
        <w:rPr>
          <w:lang w:val="en-AU"/>
        </w:rPr>
        <w:t xml:space="preserve"> </w:t>
      </w:r>
      <w:r w:rsidR="006B1B74" w:rsidRPr="00774912">
        <w:rPr>
          <w:lang w:val="en-AU"/>
        </w:rPr>
        <w:t>available</w:t>
      </w:r>
      <w:proofErr w:type="gramEnd"/>
      <w:r w:rsidR="006B1B74" w:rsidRPr="00774912">
        <w:rPr>
          <w:lang w:val="en-AU"/>
        </w:rPr>
        <w:t xml:space="preserve"> on the NIP for certain age groups</w:t>
      </w:r>
      <w:r w:rsidR="009A043D" w:rsidRPr="00774912">
        <w:rPr>
          <w:lang w:val="en-AU"/>
        </w:rPr>
        <w:t xml:space="preserve">, Aboriginal and Torres Strait Islander people, pregnant women, and </w:t>
      </w:r>
      <w:r w:rsidR="00020068" w:rsidRPr="00774912">
        <w:rPr>
          <w:lang w:val="en-AU"/>
        </w:rPr>
        <w:t>people with certain medical conditions (Table 3).</w:t>
      </w:r>
    </w:p>
    <w:p w14:paraId="002E61AC" w14:textId="0E4D82CB" w:rsidR="00826860" w:rsidRPr="00774912" w:rsidRDefault="2DF9D69E" w:rsidP="009839C0">
      <w:pPr>
        <w:pStyle w:val="BulletedList"/>
        <w:rPr>
          <w:lang w:val="en-AU"/>
        </w:rPr>
      </w:pPr>
      <w:r w:rsidRPr="00774912">
        <w:rPr>
          <w:lang w:val="en-AU"/>
        </w:rPr>
        <w:t>For adults aged ≥65 years</w:t>
      </w:r>
      <w:r w:rsidR="0066183C" w:rsidRPr="00774912">
        <w:rPr>
          <w:lang w:val="en-AU"/>
        </w:rPr>
        <w:t>,</w:t>
      </w:r>
      <w:r w:rsidR="2C983ACA" w:rsidRPr="00774912">
        <w:rPr>
          <w:lang w:val="en-AU"/>
        </w:rPr>
        <w:t xml:space="preserve"> </w:t>
      </w:r>
      <w:r w:rsidR="006633E8" w:rsidRPr="00774912">
        <w:rPr>
          <w:lang w:val="en-AU"/>
        </w:rPr>
        <w:t xml:space="preserve">both </w:t>
      </w:r>
      <w:r w:rsidR="13D50386" w:rsidRPr="00774912">
        <w:rPr>
          <w:lang w:val="en-AU"/>
        </w:rPr>
        <w:t>the</w:t>
      </w:r>
      <w:r w:rsidRPr="00774912">
        <w:rPr>
          <w:lang w:val="en-AU"/>
        </w:rPr>
        <w:t xml:space="preserve"> </w:t>
      </w:r>
      <w:r w:rsidR="13D50386" w:rsidRPr="00774912">
        <w:rPr>
          <w:lang w:val="en-AU"/>
        </w:rPr>
        <w:t xml:space="preserve">adjuvanted </w:t>
      </w:r>
      <w:r w:rsidR="006633E8" w:rsidRPr="00774912">
        <w:rPr>
          <w:lang w:val="en-AU"/>
        </w:rPr>
        <w:t>(</w:t>
      </w:r>
      <w:r w:rsidR="00605268" w:rsidRPr="00774912">
        <w:rPr>
          <w:lang w:val="en-AU"/>
        </w:rPr>
        <w:t>Fluad® Quad</w:t>
      </w:r>
      <w:r w:rsidR="006633E8" w:rsidRPr="00774912">
        <w:rPr>
          <w:lang w:val="en-AU"/>
        </w:rPr>
        <w:t>)</w:t>
      </w:r>
      <w:r w:rsidR="00605268" w:rsidRPr="00774912">
        <w:rPr>
          <w:lang w:val="en-AU"/>
        </w:rPr>
        <w:t xml:space="preserve"> and </w:t>
      </w:r>
      <w:r w:rsidR="006633E8" w:rsidRPr="00774912">
        <w:rPr>
          <w:lang w:val="en-AU"/>
        </w:rPr>
        <w:t>high dose influenza vaccine (</w:t>
      </w:r>
      <w:r w:rsidR="00605268" w:rsidRPr="00774912">
        <w:rPr>
          <w:lang w:val="en-AU"/>
        </w:rPr>
        <w:t>Fluzone High Dose Quadrivalent</w:t>
      </w:r>
      <w:r w:rsidR="006633E8" w:rsidRPr="00774912">
        <w:rPr>
          <w:lang w:val="en-AU"/>
        </w:rPr>
        <w:t>)</w:t>
      </w:r>
      <w:r w:rsidR="00605268" w:rsidRPr="00774912">
        <w:rPr>
          <w:lang w:val="en-AU"/>
        </w:rPr>
        <w:t xml:space="preserve"> are </w:t>
      </w:r>
      <w:r w:rsidR="1FC57BED" w:rsidRPr="00774912">
        <w:rPr>
          <w:lang w:val="en-AU"/>
        </w:rPr>
        <w:t xml:space="preserve">equally </w:t>
      </w:r>
      <w:r w:rsidR="00605268" w:rsidRPr="00774912">
        <w:rPr>
          <w:lang w:val="en-AU"/>
        </w:rPr>
        <w:t>preferentially recommended over standard influenza vaccine</w:t>
      </w:r>
      <w:r w:rsidR="13D50386" w:rsidRPr="00774912">
        <w:rPr>
          <w:lang w:val="en-AU"/>
        </w:rPr>
        <w:t>.</w:t>
      </w:r>
      <w:r w:rsidR="001E37B2" w:rsidRPr="00774912">
        <w:rPr>
          <w:lang w:val="en-AU"/>
        </w:rPr>
        <w:t xml:space="preserve"> </w:t>
      </w:r>
    </w:p>
    <w:p w14:paraId="30B1F894" w14:textId="13A17BE3" w:rsidR="005F5A9F" w:rsidRPr="00774912" w:rsidRDefault="005F5A9F" w:rsidP="004D50CF">
      <w:pPr>
        <w:pStyle w:val="BulletedList"/>
        <w:rPr>
          <w:sz w:val="18"/>
          <w:szCs w:val="18"/>
          <w:lang w:val="en-AU"/>
        </w:rPr>
      </w:pPr>
      <w:r w:rsidRPr="00774912">
        <w:rPr>
          <w:lang w:val="en-AU"/>
        </w:rPr>
        <w:t>If a person ha</w:t>
      </w:r>
      <w:r w:rsidR="009364C3" w:rsidRPr="00774912">
        <w:rPr>
          <w:lang w:val="en-AU"/>
        </w:rPr>
        <w:t>d</w:t>
      </w:r>
      <w:r w:rsidRPr="00774912">
        <w:rPr>
          <w:lang w:val="en-AU"/>
        </w:rPr>
        <w:t xml:space="preserve"> a 202</w:t>
      </w:r>
      <w:r w:rsidR="0096605D" w:rsidRPr="00774912">
        <w:rPr>
          <w:lang w:val="en-AU"/>
        </w:rPr>
        <w:t>4</w:t>
      </w:r>
      <w:r w:rsidR="0043563E" w:rsidRPr="00774912">
        <w:rPr>
          <w:lang w:val="en-AU"/>
        </w:rPr>
        <w:t xml:space="preserve"> formulation of </w:t>
      </w:r>
      <w:r w:rsidRPr="00774912">
        <w:rPr>
          <w:lang w:val="en-AU"/>
        </w:rPr>
        <w:t>influenza vaccine in late 202</w:t>
      </w:r>
      <w:r w:rsidR="0096605D" w:rsidRPr="00774912">
        <w:rPr>
          <w:lang w:val="en-AU"/>
        </w:rPr>
        <w:t>4</w:t>
      </w:r>
      <w:r w:rsidRPr="00774912">
        <w:rPr>
          <w:lang w:val="en-AU"/>
        </w:rPr>
        <w:t xml:space="preserve"> or early 202</w:t>
      </w:r>
      <w:r w:rsidR="005A2F1D" w:rsidRPr="00774912">
        <w:rPr>
          <w:lang w:val="en-AU"/>
        </w:rPr>
        <w:t>5</w:t>
      </w:r>
      <w:r w:rsidRPr="00774912">
        <w:rPr>
          <w:lang w:val="en-AU"/>
        </w:rPr>
        <w:t>, they are still recommended to receive a 202</w:t>
      </w:r>
      <w:r w:rsidR="005A2F1D" w:rsidRPr="00774912">
        <w:rPr>
          <w:lang w:val="en-AU"/>
        </w:rPr>
        <w:t>5</w:t>
      </w:r>
      <w:r w:rsidRPr="00774912">
        <w:rPr>
          <w:lang w:val="en-AU"/>
        </w:rPr>
        <w:t xml:space="preserve"> formulation of influenza vaccine </w:t>
      </w:r>
      <w:r w:rsidR="00276C70" w:rsidRPr="00774912">
        <w:rPr>
          <w:lang w:val="en-AU"/>
        </w:rPr>
        <w:t xml:space="preserve">when </w:t>
      </w:r>
      <w:r w:rsidRPr="00774912">
        <w:rPr>
          <w:lang w:val="en-AU"/>
        </w:rPr>
        <w:t>it becomes available (likely from March 202</w:t>
      </w:r>
      <w:r w:rsidR="005A2F1D" w:rsidRPr="00774912">
        <w:rPr>
          <w:lang w:val="en-AU"/>
        </w:rPr>
        <w:t>5</w:t>
      </w:r>
      <w:r w:rsidRPr="00774912">
        <w:rPr>
          <w:lang w:val="en-AU"/>
        </w:rPr>
        <w:t>).</w:t>
      </w:r>
    </w:p>
    <w:p w14:paraId="7F6023B2" w14:textId="63BA8C67" w:rsidR="00705844" w:rsidRPr="00774912" w:rsidRDefault="00F37233">
      <w:pPr>
        <w:pStyle w:val="BulletedList"/>
        <w:rPr>
          <w:sz w:val="18"/>
          <w:szCs w:val="18"/>
          <w:lang w:val="en-AU"/>
        </w:rPr>
      </w:pPr>
      <w:r w:rsidRPr="00774912">
        <w:rPr>
          <w:lang w:val="en-AU"/>
        </w:rPr>
        <w:t xml:space="preserve">Acknowledging </w:t>
      </w:r>
      <w:r w:rsidR="003E2094" w:rsidRPr="00774912">
        <w:rPr>
          <w:lang w:val="en-AU"/>
        </w:rPr>
        <w:t>recent internation</w:t>
      </w:r>
      <w:r w:rsidR="00DE3389" w:rsidRPr="00774912">
        <w:rPr>
          <w:lang w:val="en-AU"/>
        </w:rPr>
        <w:t xml:space="preserve">al </w:t>
      </w:r>
      <w:r w:rsidR="002A5EFB" w:rsidRPr="00774912">
        <w:rPr>
          <w:lang w:val="en-AU"/>
        </w:rPr>
        <w:t>activity of avian influenza</w:t>
      </w:r>
      <w:r w:rsidR="0022190F" w:rsidRPr="00774912">
        <w:rPr>
          <w:lang w:val="en-AU"/>
        </w:rPr>
        <w:t xml:space="preserve">, </w:t>
      </w:r>
      <w:r w:rsidR="0081415E" w:rsidRPr="00774912">
        <w:rPr>
          <w:lang w:val="en-AU"/>
        </w:rPr>
        <w:t>ATAGI notes</w:t>
      </w:r>
      <w:r w:rsidR="00683468" w:rsidRPr="00774912">
        <w:rPr>
          <w:lang w:val="en-AU"/>
        </w:rPr>
        <w:t xml:space="preserve"> that seasonal influenza vaccine </w:t>
      </w:r>
      <w:r w:rsidR="00602640" w:rsidRPr="00774912">
        <w:rPr>
          <w:lang w:val="en-AU"/>
        </w:rPr>
        <w:t>is not protective</w:t>
      </w:r>
      <w:r w:rsidR="00F70F05" w:rsidRPr="00774912">
        <w:rPr>
          <w:lang w:val="en-AU"/>
        </w:rPr>
        <w:t xml:space="preserve"> against</w:t>
      </w:r>
      <w:r w:rsidR="00223161" w:rsidRPr="00774912">
        <w:rPr>
          <w:lang w:val="en-AU"/>
        </w:rPr>
        <w:t xml:space="preserve"> </w:t>
      </w:r>
      <w:r w:rsidR="3C683793" w:rsidRPr="00774912">
        <w:rPr>
          <w:lang w:val="en-AU"/>
        </w:rPr>
        <w:t>avian influenza virus</w:t>
      </w:r>
      <w:r w:rsidR="00223161" w:rsidRPr="00774912">
        <w:rPr>
          <w:lang w:val="en-AU"/>
        </w:rPr>
        <w:t>. However</w:t>
      </w:r>
      <w:r w:rsidR="0081415E" w:rsidRPr="00774912">
        <w:rPr>
          <w:lang w:val="en-AU"/>
        </w:rPr>
        <w:t>,</w:t>
      </w:r>
      <w:r w:rsidR="00223161" w:rsidRPr="00774912">
        <w:rPr>
          <w:lang w:val="en-AU"/>
        </w:rPr>
        <w:t xml:space="preserve"> </w:t>
      </w:r>
      <w:r w:rsidR="42FC4C41" w:rsidRPr="00774912">
        <w:rPr>
          <w:lang w:val="en-AU"/>
        </w:rPr>
        <w:t xml:space="preserve">people in </w:t>
      </w:r>
      <w:r w:rsidR="00904481" w:rsidRPr="00774912">
        <w:rPr>
          <w:lang w:val="en-AU"/>
        </w:rPr>
        <w:t>occupational risk groups</w:t>
      </w:r>
      <w:r w:rsidR="7DF822D2" w:rsidRPr="00774912">
        <w:rPr>
          <w:lang w:val="en-AU"/>
        </w:rPr>
        <w:t>,</w:t>
      </w:r>
      <w:r w:rsidR="00904481" w:rsidRPr="00774912">
        <w:rPr>
          <w:lang w:val="en-AU"/>
        </w:rPr>
        <w:t xml:space="preserve"> e.g. poultry workers, are recommended </w:t>
      </w:r>
      <w:r w:rsidR="0DD49C12" w:rsidRPr="00774912">
        <w:rPr>
          <w:lang w:val="en-AU"/>
        </w:rPr>
        <w:t>to receive</w:t>
      </w:r>
      <w:r w:rsidR="00904481" w:rsidRPr="00774912">
        <w:rPr>
          <w:lang w:val="en-AU"/>
        </w:rPr>
        <w:t xml:space="preserve"> seasonal influenza vaccination to minimise </w:t>
      </w:r>
      <w:r w:rsidR="7B12C6DA" w:rsidRPr="00774912">
        <w:rPr>
          <w:lang w:val="en-AU"/>
        </w:rPr>
        <w:t xml:space="preserve">the </w:t>
      </w:r>
      <w:r w:rsidR="00904481" w:rsidRPr="00774912">
        <w:rPr>
          <w:lang w:val="en-AU"/>
        </w:rPr>
        <w:t xml:space="preserve">potential </w:t>
      </w:r>
      <w:r w:rsidR="675E6DDE" w:rsidRPr="00774912">
        <w:rPr>
          <w:lang w:val="en-AU"/>
        </w:rPr>
        <w:t>of</w:t>
      </w:r>
      <w:r w:rsidR="00904481" w:rsidRPr="00774912">
        <w:rPr>
          <w:lang w:val="en-AU"/>
        </w:rPr>
        <w:t xml:space="preserve"> </w:t>
      </w:r>
      <w:r w:rsidR="00E77B6C" w:rsidRPr="00774912">
        <w:rPr>
          <w:lang w:val="en-AU"/>
        </w:rPr>
        <w:t xml:space="preserve">virus reassortment in the case of </w:t>
      </w:r>
      <w:r w:rsidR="00904481" w:rsidRPr="00774912">
        <w:rPr>
          <w:lang w:val="en-AU"/>
        </w:rPr>
        <w:t>dual infection</w:t>
      </w:r>
      <w:r w:rsidR="001E0AE3" w:rsidRPr="00774912">
        <w:rPr>
          <w:lang w:val="en-AU"/>
        </w:rPr>
        <w:t xml:space="preserve"> with seasonal and avi</w:t>
      </w:r>
      <w:r w:rsidR="00FC11B9" w:rsidRPr="00774912">
        <w:rPr>
          <w:lang w:val="en-AU"/>
        </w:rPr>
        <w:t>a</w:t>
      </w:r>
      <w:r w:rsidR="001E0AE3" w:rsidRPr="00774912">
        <w:rPr>
          <w:lang w:val="en-AU"/>
        </w:rPr>
        <w:t>n influenza viruses</w:t>
      </w:r>
      <w:r w:rsidR="00904481" w:rsidRPr="00774912">
        <w:rPr>
          <w:lang w:val="en-AU"/>
        </w:rPr>
        <w:t>.</w:t>
      </w:r>
      <w:r w:rsidR="00282CCB" w:rsidRPr="00774912">
        <w:rPr>
          <w:lang w:val="en-AU"/>
        </w:rPr>
        <w:t xml:space="preserve"> </w:t>
      </w:r>
    </w:p>
    <w:p w14:paraId="68169E35" w14:textId="4E9F5ACB" w:rsidR="00BC381B" w:rsidRPr="00774912" w:rsidRDefault="00B73F0E">
      <w:pPr>
        <w:pStyle w:val="BulletedList"/>
        <w:rPr>
          <w:sz w:val="18"/>
          <w:szCs w:val="18"/>
          <w:lang w:val="en-AU"/>
        </w:rPr>
      </w:pPr>
      <w:r w:rsidRPr="00774912">
        <w:rPr>
          <w:lang w:val="en-AU"/>
        </w:rPr>
        <w:t xml:space="preserve">The </w:t>
      </w:r>
      <w:r w:rsidR="00C15B43" w:rsidRPr="00774912">
        <w:rPr>
          <w:lang w:val="en-AU"/>
        </w:rPr>
        <w:t xml:space="preserve">WHO and </w:t>
      </w:r>
      <w:r w:rsidRPr="00774912">
        <w:rPr>
          <w:lang w:val="en-AU"/>
        </w:rPr>
        <w:t>the Australian Influenza Vaccine Committee (</w:t>
      </w:r>
      <w:r w:rsidR="00C15B43" w:rsidRPr="00774912">
        <w:rPr>
          <w:lang w:val="en-AU"/>
        </w:rPr>
        <w:t>AIVC</w:t>
      </w:r>
      <w:r w:rsidRPr="00774912">
        <w:rPr>
          <w:lang w:val="en-AU"/>
        </w:rPr>
        <w:t>)</w:t>
      </w:r>
      <w:r w:rsidR="00C15B43" w:rsidRPr="00774912">
        <w:rPr>
          <w:lang w:val="en-AU"/>
        </w:rPr>
        <w:t xml:space="preserve"> have recommended that </w:t>
      </w:r>
      <w:r w:rsidR="162FAAB7" w:rsidRPr="00774912">
        <w:rPr>
          <w:lang w:val="en-AU"/>
        </w:rPr>
        <w:t>the</w:t>
      </w:r>
      <w:r w:rsidR="00C15B43" w:rsidRPr="00774912">
        <w:rPr>
          <w:lang w:val="en-AU"/>
        </w:rPr>
        <w:t xml:space="preserve"> inclusion of the B Yamagata lineage virus </w:t>
      </w:r>
      <w:r w:rsidR="003F226B" w:rsidRPr="00774912">
        <w:rPr>
          <w:lang w:val="en-AU"/>
        </w:rPr>
        <w:t xml:space="preserve">in vaccines </w:t>
      </w:r>
      <w:r w:rsidR="00C15B43" w:rsidRPr="00774912">
        <w:rPr>
          <w:lang w:val="en-AU"/>
        </w:rPr>
        <w:t xml:space="preserve">is no longer warranted. ATAGI notes that </w:t>
      </w:r>
      <w:r w:rsidR="00EC151E" w:rsidRPr="00774912">
        <w:rPr>
          <w:lang w:val="en-AU"/>
        </w:rPr>
        <w:t xml:space="preserve">time to </w:t>
      </w:r>
      <w:r w:rsidR="00146669" w:rsidRPr="00774912">
        <w:rPr>
          <w:lang w:val="en-AU"/>
        </w:rPr>
        <w:t>transition from</w:t>
      </w:r>
      <w:r w:rsidR="005F73D9" w:rsidRPr="00774912">
        <w:rPr>
          <w:lang w:val="en-AU"/>
        </w:rPr>
        <w:t xml:space="preserve"> quadrivalent influenza</w:t>
      </w:r>
      <w:r w:rsidR="00146669" w:rsidRPr="00774912">
        <w:rPr>
          <w:lang w:val="en-AU"/>
        </w:rPr>
        <w:t xml:space="preserve"> </w:t>
      </w:r>
      <w:r w:rsidR="00700682" w:rsidRPr="00774912">
        <w:rPr>
          <w:lang w:val="en-AU"/>
        </w:rPr>
        <w:t>vaccine (</w:t>
      </w:r>
      <w:r w:rsidR="00146669" w:rsidRPr="00774912">
        <w:rPr>
          <w:lang w:val="en-AU"/>
        </w:rPr>
        <w:t>QIV</w:t>
      </w:r>
      <w:r w:rsidR="00700682" w:rsidRPr="00774912">
        <w:rPr>
          <w:lang w:val="en-AU"/>
        </w:rPr>
        <w:t>)</w:t>
      </w:r>
      <w:r w:rsidR="00146669" w:rsidRPr="00774912">
        <w:rPr>
          <w:lang w:val="en-AU"/>
        </w:rPr>
        <w:t xml:space="preserve"> to </w:t>
      </w:r>
      <w:r w:rsidR="00700682" w:rsidRPr="00774912">
        <w:rPr>
          <w:lang w:val="en-AU"/>
        </w:rPr>
        <w:t>trivalent influenza vaccine (</w:t>
      </w:r>
      <w:r w:rsidR="00146669" w:rsidRPr="00774912">
        <w:rPr>
          <w:lang w:val="en-AU"/>
        </w:rPr>
        <w:t>TIV</w:t>
      </w:r>
      <w:r w:rsidR="00700682" w:rsidRPr="00774912">
        <w:rPr>
          <w:lang w:val="en-AU"/>
        </w:rPr>
        <w:t>)</w:t>
      </w:r>
      <w:r w:rsidR="00EC151E" w:rsidRPr="00774912">
        <w:rPr>
          <w:lang w:val="en-AU"/>
        </w:rPr>
        <w:t xml:space="preserve"> </w:t>
      </w:r>
      <w:r w:rsidR="008B4718" w:rsidRPr="00774912">
        <w:rPr>
          <w:lang w:val="en-AU"/>
        </w:rPr>
        <w:t xml:space="preserve">formulations </w:t>
      </w:r>
      <w:r w:rsidR="00EC151E" w:rsidRPr="00774912">
        <w:rPr>
          <w:lang w:val="en-AU"/>
        </w:rPr>
        <w:t>will vary for some vaccine brands</w:t>
      </w:r>
      <w:r w:rsidR="007F70C4" w:rsidRPr="00774912">
        <w:rPr>
          <w:lang w:val="en-AU"/>
        </w:rPr>
        <w:t>.</w:t>
      </w:r>
      <w:r w:rsidR="00C95BE2" w:rsidRPr="00774912">
        <w:rPr>
          <w:lang w:val="en-AU"/>
        </w:rPr>
        <w:t xml:space="preserve"> Some QIV</w:t>
      </w:r>
      <w:r w:rsidR="00325782" w:rsidRPr="00774912">
        <w:rPr>
          <w:lang w:val="en-AU"/>
        </w:rPr>
        <w:t xml:space="preserve"> brands</w:t>
      </w:r>
      <w:r w:rsidR="00C95BE2" w:rsidRPr="00774912">
        <w:rPr>
          <w:lang w:val="en-AU"/>
        </w:rPr>
        <w:t xml:space="preserve"> have been discontinued as a part of this transition process in 2025.</w:t>
      </w:r>
      <w:r w:rsidR="00E7708D" w:rsidRPr="00774912">
        <w:rPr>
          <w:lang w:val="en-AU"/>
        </w:rPr>
        <w:t xml:space="preserve"> </w:t>
      </w:r>
      <w:r w:rsidR="007F70C4" w:rsidRPr="00774912">
        <w:rPr>
          <w:lang w:val="en-AU"/>
        </w:rPr>
        <w:t>All i</w:t>
      </w:r>
      <w:r w:rsidR="00E7708D" w:rsidRPr="00774912">
        <w:rPr>
          <w:lang w:val="en-AU"/>
        </w:rPr>
        <w:t xml:space="preserve">nfluenza vaccines available in </w:t>
      </w:r>
      <w:r w:rsidR="6892550B" w:rsidRPr="00774912">
        <w:rPr>
          <w:lang w:val="en-AU"/>
        </w:rPr>
        <w:t xml:space="preserve">Australia in </w:t>
      </w:r>
      <w:r w:rsidR="00E7708D" w:rsidRPr="00774912">
        <w:rPr>
          <w:lang w:val="en-AU"/>
        </w:rPr>
        <w:t>2025</w:t>
      </w:r>
      <w:r w:rsidR="001B40CD" w:rsidRPr="00774912">
        <w:rPr>
          <w:lang w:val="en-AU"/>
        </w:rPr>
        <w:t xml:space="preserve"> will </w:t>
      </w:r>
      <w:r w:rsidR="002E3D2C" w:rsidRPr="00774912">
        <w:rPr>
          <w:lang w:val="en-AU"/>
        </w:rPr>
        <w:t xml:space="preserve">still </w:t>
      </w:r>
      <w:r w:rsidR="009439F2" w:rsidRPr="00774912">
        <w:rPr>
          <w:lang w:val="en-AU"/>
        </w:rPr>
        <w:t>be</w:t>
      </w:r>
      <w:r w:rsidR="001B40CD" w:rsidRPr="00774912">
        <w:rPr>
          <w:lang w:val="en-AU"/>
        </w:rPr>
        <w:t xml:space="preserve"> </w:t>
      </w:r>
      <w:r w:rsidR="00E11A58" w:rsidRPr="00774912">
        <w:rPr>
          <w:lang w:val="en-AU"/>
        </w:rPr>
        <w:t>QIVs (</w:t>
      </w:r>
      <w:r w:rsidR="001070E1" w:rsidRPr="00774912">
        <w:rPr>
          <w:lang w:val="en-AU"/>
        </w:rPr>
        <w:t xml:space="preserve">which </w:t>
      </w:r>
      <w:r w:rsidR="00C71DE2" w:rsidRPr="00774912">
        <w:rPr>
          <w:lang w:val="en-AU"/>
        </w:rPr>
        <w:t>continue</w:t>
      </w:r>
      <w:r w:rsidR="001070E1" w:rsidRPr="00774912">
        <w:rPr>
          <w:lang w:val="en-AU"/>
        </w:rPr>
        <w:t xml:space="preserve"> to include</w:t>
      </w:r>
      <w:r w:rsidR="00E11A58" w:rsidRPr="00774912">
        <w:rPr>
          <w:lang w:val="en-AU"/>
        </w:rPr>
        <w:t xml:space="preserve"> a B Yamagata strain)</w:t>
      </w:r>
      <w:r w:rsidR="00C15B43" w:rsidRPr="00774912">
        <w:rPr>
          <w:lang w:val="en-AU"/>
        </w:rPr>
        <w:t>.</w:t>
      </w:r>
      <w:r w:rsidR="00EB0B42" w:rsidRPr="00774912">
        <w:rPr>
          <w:lang w:val="en-AU"/>
        </w:rPr>
        <w:t xml:space="preserve"> </w:t>
      </w:r>
      <w:r w:rsidR="00CD5588" w:rsidRPr="00774912">
        <w:rPr>
          <w:lang w:val="en-AU"/>
        </w:rPr>
        <w:t xml:space="preserve">Despite </w:t>
      </w:r>
      <w:r w:rsidR="0093610E" w:rsidRPr="00774912">
        <w:rPr>
          <w:lang w:val="en-AU"/>
        </w:rPr>
        <w:t>th</w:t>
      </w:r>
      <w:r w:rsidR="00E11D3A" w:rsidRPr="00774912">
        <w:rPr>
          <w:lang w:val="en-AU"/>
        </w:rPr>
        <w:t>is</w:t>
      </w:r>
      <w:r w:rsidR="00CD190F" w:rsidRPr="00774912">
        <w:rPr>
          <w:lang w:val="en-AU"/>
        </w:rPr>
        <w:t>, ATAGI</w:t>
      </w:r>
      <w:r w:rsidR="005611A5" w:rsidRPr="00774912">
        <w:rPr>
          <w:lang w:val="en-AU"/>
        </w:rPr>
        <w:t xml:space="preserve"> </w:t>
      </w:r>
      <w:r w:rsidR="00F01F5C" w:rsidRPr="00774912">
        <w:rPr>
          <w:lang w:val="en-AU"/>
        </w:rPr>
        <w:t>makes</w:t>
      </w:r>
      <w:r w:rsidR="00C9573F" w:rsidRPr="00774912">
        <w:rPr>
          <w:lang w:val="en-AU"/>
        </w:rPr>
        <w:t xml:space="preserve"> no preferen</w:t>
      </w:r>
      <w:r w:rsidR="00117DB9" w:rsidRPr="00774912">
        <w:rPr>
          <w:lang w:val="en-AU"/>
        </w:rPr>
        <w:t>tial recommendation</w:t>
      </w:r>
      <w:r w:rsidR="00A04C05" w:rsidRPr="00774912">
        <w:rPr>
          <w:lang w:val="en-AU"/>
        </w:rPr>
        <w:t xml:space="preserve"> between QIV</w:t>
      </w:r>
      <w:r w:rsidR="005A6482" w:rsidRPr="00774912">
        <w:rPr>
          <w:lang w:val="en-AU"/>
        </w:rPr>
        <w:t>s</w:t>
      </w:r>
      <w:r w:rsidR="00A04C05" w:rsidRPr="00774912">
        <w:rPr>
          <w:lang w:val="en-AU"/>
        </w:rPr>
        <w:t xml:space="preserve"> and TIV</w:t>
      </w:r>
      <w:r w:rsidR="005A6482" w:rsidRPr="00774912">
        <w:rPr>
          <w:lang w:val="en-AU"/>
        </w:rPr>
        <w:t>s</w:t>
      </w:r>
      <w:r w:rsidR="006A0F07" w:rsidRPr="00774912">
        <w:rPr>
          <w:lang w:val="en-AU"/>
        </w:rPr>
        <w:t xml:space="preserve"> as </w:t>
      </w:r>
      <w:r w:rsidR="00287AF8" w:rsidRPr="00774912">
        <w:rPr>
          <w:lang w:val="en-AU"/>
        </w:rPr>
        <w:t>both</w:t>
      </w:r>
      <w:r w:rsidR="00CA32CC" w:rsidRPr="00774912">
        <w:rPr>
          <w:lang w:val="en-AU"/>
        </w:rPr>
        <w:t xml:space="preserve"> formulations</w:t>
      </w:r>
      <w:r w:rsidR="00427CD8" w:rsidRPr="00774912">
        <w:rPr>
          <w:lang w:val="en-AU"/>
        </w:rPr>
        <w:t xml:space="preserve"> </w:t>
      </w:r>
      <w:r w:rsidR="00687354" w:rsidRPr="00774912">
        <w:rPr>
          <w:lang w:val="en-AU"/>
        </w:rPr>
        <w:t>con</w:t>
      </w:r>
      <w:r w:rsidR="00287AF8" w:rsidRPr="00774912">
        <w:rPr>
          <w:lang w:val="en-AU"/>
        </w:rPr>
        <w:t>tain the re</w:t>
      </w:r>
      <w:r w:rsidR="00F01F5C" w:rsidRPr="00774912">
        <w:rPr>
          <w:lang w:val="en-AU"/>
        </w:rPr>
        <w:t>commended</w:t>
      </w:r>
      <w:r w:rsidR="00287AF8" w:rsidRPr="00774912">
        <w:rPr>
          <w:lang w:val="en-AU"/>
        </w:rPr>
        <w:t xml:space="preserve"> </w:t>
      </w:r>
      <w:r w:rsidR="00937EE8" w:rsidRPr="00774912">
        <w:rPr>
          <w:lang w:val="en-AU"/>
        </w:rPr>
        <w:t>strains</w:t>
      </w:r>
      <w:r w:rsidR="00933B19" w:rsidRPr="00774912">
        <w:rPr>
          <w:lang w:val="en-AU"/>
        </w:rPr>
        <w:t xml:space="preserve"> </w:t>
      </w:r>
      <w:r w:rsidR="00937D1F" w:rsidRPr="00774912">
        <w:rPr>
          <w:lang w:val="en-AU"/>
        </w:rPr>
        <w:t>for 2025</w:t>
      </w:r>
      <w:r w:rsidR="404E4E89" w:rsidRPr="00774912">
        <w:rPr>
          <w:lang w:val="en-AU"/>
        </w:rPr>
        <w:t xml:space="preserve"> </w:t>
      </w:r>
      <w:r w:rsidR="00111484" w:rsidRPr="00774912">
        <w:rPr>
          <w:lang w:val="en-AU"/>
        </w:rPr>
        <w:t xml:space="preserve">and </w:t>
      </w:r>
      <w:r w:rsidR="00391001" w:rsidRPr="00774912">
        <w:rPr>
          <w:lang w:val="en-AU"/>
        </w:rPr>
        <w:t xml:space="preserve">exhibit </w:t>
      </w:r>
      <w:r w:rsidR="404E4E89" w:rsidRPr="00774912">
        <w:rPr>
          <w:lang w:val="en-AU"/>
        </w:rPr>
        <w:t>no</w:t>
      </w:r>
      <w:r w:rsidR="00133BD9" w:rsidRPr="00774912">
        <w:rPr>
          <w:lang w:val="en-AU"/>
        </w:rPr>
        <w:t xml:space="preserve"> </w:t>
      </w:r>
      <w:r w:rsidR="404E4E89" w:rsidRPr="00774912">
        <w:rPr>
          <w:lang w:val="en-AU"/>
        </w:rPr>
        <w:t xml:space="preserve">differences in safety </w:t>
      </w:r>
      <w:r w:rsidR="00391001" w:rsidRPr="00774912">
        <w:rPr>
          <w:lang w:val="en-AU"/>
        </w:rPr>
        <w:t xml:space="preserve">or </w:t>
      </w:r>
      <w:r w:rsidR="404E4E89" w:rsidRPr="00774912">
        <w:rPr>
          <w:lang w:val="en-AU"/>
        </w:rPr>
        <w:t>efficacy</w:t>
      </w:r>
      <w:r w:rsidR="00937EE8" w:rsidRPr="00774912">
        <w:rPr>
          <w:lang w:val="en-AU"/>
        </w:rPr>
        <w:t>.</w:t>
      </w:r>
    </w:p>
    <w:p w14:paraId="169AA5F1" w14:textId="3FD82F00" w:rsidR="00E4512B" w:rsidRPr="00774912" w:rsidRDefault="33C54524" w:rsidP="00E4512B">
      <w:pPr>
        <w:pStyle w:val="Heading2"/>
        <w:spacing w:after="60"/>
        <w:rPr>
          <w:rFonts w:ascii="Arial" w:hAnsi="Arial" w:cs="Arial"/>
          <w:sz w:val="20"/>
          <w:szCs w:val="18"/>
          <w:lang w:eastAsia="en-US"/>
        </w:rPr>
      </w:pPr>
      <w:r w:rsidRPr="00774912">
        <w:rPr>
          <w:rFonts w:ascii="Arial" w:hAnsi="Arial" w:cs="Arial"/>
          <w:sz w:val="20"/>
          <w:szCs w:val="18"/>
          <w:lang w:eastAsia="en-US"/>
        </w:rPr>
        <w:t xml:space="preserve">Table </w:t>
      </w:r>
      <w:r w:rsidR="00E4512B" w:rsidRPr="00774912">
        <w:rPr>
          <w:rFonts w:ascii="Arial" w:hAnsi="Arial" w:cs="Arial"/>
          <w:sz w:val="20"/>
          <w:szCs w:val="18"/>
          <w:lang w:eastAsia="en-US"/>
        </w:rPr>
        <w:fldChar w:fldCharType="begin"/>
      </w:r>
      <w:r w:rsidR="00E4512B" w:rsidRPr="00774912">
        <w:rPr>
          <w:rFonts w:ascii="Arial" w:hAnsi="Arial" w:cs="Arial"/>
          <w:sz w:val="20"/>
          <w:szCs w:val="18"/>
          <w:lang w:eastAsia="en-US"/>
        </w:rPr>
        <w:instrText xml:space="preserve"> SEQ Table \* ARABIC </w:instrText>
      </w:r>
      <w:r w:rsidR="00E4512B" w:rsidRPr="00774912">
        <w:rPr>
          <w:rFonts w:ascii="Arial" w:hAnsi="Arial" w:cs="Arial"/>
          <w:sz w:val="20"/>
          <w:szCs w:val="18"/>
          <w:lang w:eastAsia="en-US"/>
        </w:rPr>
        <w:fldChar w:fldCharType="separate"/>
      </w:r>
      <w:r w:rsidR="00605DAE">
        <w:rPr>
          <w:rFonts w:ascii="Arial" w:hAnsi="Arial" w:cs="Arial"/>
          <w:noProof/>
          <w:sz w:val="20"/>
          <w:szCs w:val="18"/>
          <w:lang w:eastAsia="en-US"/>
        </w:rPr>
        <w:t>1</w:t>
      </w:r>
      <w:r w:rsidR="00E4512B" w:rsidRPr="00774912">
        <w:rPr>
          <w:rFonts w:ascii="Arial" w:hAnsi="Arial" w:cs="Arial"/>
          <w:sz w:val="20"/>
          <w:szCs w:val="18"/>
          <w:lang w:eastAsia="en-US"/>
        </w:rPr>
        <w:fldChar w:fldCharType="end"/>
      </w:r>
      <w:r w:rsidRPr="00774912">
        <w:rPr>
          <w:rFonts w:ascii="Arial" w:hAnsi="Arial" w:cs="Arial"/>
          <w:sz w:val="20"/>
          <w:szCs w:val="18"/>
          <w:lang w:eastAsia="en-US"/>
        </w:rPr>
        <w:t>. Seasonal influenza vaccines registered and available for use in Australia in 202</w:t>
      </w:r>
      <w:r w:rsidR="009D2602" w:rsidRPr="00774912">
        <w:rPr>
          <w:rFonts w:ascii="Arial" w:hAnsi="Arial" w:cs="Arial"/>
          <w:sz w:val="20"/>
          <w:szCs w:val="18"/>
          <w:lang w:eastAsia="en-US"/>
        </w:rPr>
        <w:t>5</w:t>
      </w:r>
      <w:r w:rsidRPr="00774912">
        <w:rPr>
          <w:rFonts w:ascii="Arial" w:hAnsi="Arial" w:cs="Arial"/>
          <w:sz w:val="20"/>
          <w:szCs w:val="18"/>
          <w:lang w:eastAsia="en-US"/>
        </w:rPr>
        <w:t xml:space="preserve">, by age </w:t>
      </w:r>
    </w:p>
    <w:tbl>
      <w:tblPr>
        <w:tblStyle w:val="TableGrid"/>
        <w:tblW w:w="5000" w:type="pct"/>
        <w:jc w:val="center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Seasonal influenza vaccines available for use in Australia in 2018, by age"/>
        <w:tblDescription w:val="Six influenza vaccines are available in Australia in 2018. FluQuadri Junior can be used from 6 months to less than 3 years. FluQuadri can be used from 3 years of age. Fluarix Tetra can be used from 3 years of age. Afluria Quad can be used from 18 years of age. Fluzone High-Dose can be used only for those 65 years of age and older. Fluad can be used only for those 65 years of age and older."/>
      </w:tblPr>
      <w:tblGrid>
        <w:gridCol w:w="2171"/>
        <w:gridCol w:w="1090"/>
        <w:gridCol w:w="1293"/>
        <w:gridCol w:w="1257"/>
        <w:gridCol w:w="1099"/>
        <w:gridCol w:w="1099"/>
        <w:gridCol w:w="1095"/>
        <w:gridCol w:w="1095"/>
      </w:tblGrid>
      <w:tr w:rsidR="00235861" w:rsidRPr="00774912" w14:paraId="681FBFBF" w14:textId="39BEC835" w:rsidTr="003F3A2E">
        <w:trPr>
          <w:trHeight w:val="1115"/>
          <w:tblHeader/>
          <w:jc w:val="center"/>
        </w:trPr>
        <w:tc>
          <w:tcPr>
            <w:tcW w:w="1064" w:type="pct"/>
            <w:tcBorders>
              <w:left w:val="single" w:sz="4" w:space="0" w:color="A6A6A6" w:themeColor="background1" w:themeShade="A6"/>
              <w:tl2br w:val="single" w:sz="4" w:space="0" w:color="auto"/>
            </w:tcBorders>
            <w:shd w:val="clear" w:color="auto" w:fill="CCC0D9"/>
            <w:vAlign w:val="center"/>
          </w:tcPr>
          <w:p w14:paraId="40B05C5B" w14:textId="3B86763D" w:rsidR="00235861" w:rsidRPr="00774912" w:rsidRDefault="00235861" w:rsidP="003F3A2E">
            <w:pPr>
              <w:keepNext/>
              <w:ind w:firstLine="1140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sz w:val="18"/>
                <w:szCs w:val="18"/>
              </w:rPr>
              <w:t>Vaccin</w:t>
            </w:r>
            <w:r w:rsidR="003F3A2E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14:paraId="13E49B9C" w14:textId="41E1B880" w:rsidR="00235861" w:rsidRPr="00774912" w:rsidRDefault="00235861" w:rsidP="003F3A2E">
            <w:pPr>
              <w:keepNext/>
              <w:spacing w:before="240"/>
              <w:ind w:right="794"/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sz w:val="18"/>
                <w:szCs w:val="18"/>
              </w:rPr>
              <w:t>Registered</w:t>
            </w:r>
            <w:r w:rsidR="003F3A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74912">
              <w:rPr>
                <w:rFonts w:ascii="Arial" w:hAnsi="Arial" w:cs="Arial"/>
                <w:b/>
                <w:sz w:val="18"/>
                <w:szCs w:val="18"/>
              </w:rPr>
              <w:t>age group</w:t>
            </w:r>
          </w:p>
        </w:tc>
        <w:tc>
          <w:tcPr>
            <w:tcW w:w="534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790026" w14:textId="77777777" w:rsidR="003F3A2E" w:rsidRDefault="00235861" w:rsidP="003F3A2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74912">
              <w:rPr>
                <w:rFonts w:ascii="Arial" w:hAnsi="Arial" w:cs="Arial"/>
                <w:b/>
                <w:sz w:val="18"/>
                <w:szCs w:val="18"/>
              </w:rPr>
              <w:t>Vaxigrip</w:t>
            </w:r>
            <w:proofErr w:type="spellEnd"/>
            <w:r w:rsidRPr="00774912">
              <w:rPr>
                <w:rFonts w:ascii="Arial" w:hAnsi="Arial" w:cs="Arial"/>
                <w:b/>
                <w:sz w:val="18"/>
                <w:szCs w:val="18"/>
              </w:rPr>
              <w:t xml:space="preserve"> Tetra</w:t>
            </w:r>
          </w:p>
          <w:p w14:paraId="772FDFA0" w14:textId="12EFB17F" w:rsidR="00235861" w:rsidRPr="00774912" w:rsidRDefault="00235861" w:rsidP="003F3A2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0.5 mL</w:t>
            </w:r>
            <w:r w:rsidR="003F3A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912">
              <w:rPr>
                <w:rFonts w:ascii="Arial" w:hAnsi="Arial" w:cs="Arial"/>
                <w:sz w:val="18"/>
                <w:szCs w:val="18"/>
              </w:rPr>
              <w:t>(Sanofi)</w:t>
            </w:r>
          </w:p>
        </w:tc>
        <w:tc>
          <w:tcPr>
            <w:tcW w:w="634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145D808" w14:textId="77777777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sz w:val="18"/>
                <w:szCs w:val="18"/>
              </w:rPr>
              <w:t>Flucelvax Quad</w:t>
            </w:r>
          </w:p>
          <w:p w14:paraId="76E5F07E" w14:textId="4930491F" w:rsidR="00235861" w:rsidRPr="00774912" w:rsidRDefault="00235861" w:rsidP="003F3A2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0.5 mL</w:t>
            </w:r>
            <w:r w:rsidR="003F3A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912">
              <w:rPr>
                <w:rFonts w:ascii="Arial" w:hAnsi="Arial" w:cs="Arial"/>
                <w:sz w:val="18"/>
                <w:szCs w:val="18"/>
              </w:rPr>
              <w:t>(CSL Seqirus)</w:t>
            </w:r>
          </w:p>
        </w:tc>
        <w:tc>
          <w:tcPr>
            <w:tcW w:w="616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1754981" w14:textId="77777777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sz w:val="18"/>
                <w:szCs w:val="18"/>
              </w:rPr>
              <w:t>FluQuadri</w:t>
            </w:r>
          </w:p>
          <w:p w14:paraId="2E3AC27D" w14:textId="1DE321CF" w:rsidR="00235861" w:rsidRPr="00774912" w:rsidRDefault="00235861" w:rsidP="003F3A2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0.5 mL</w:t>
            </w:r>
            <w:r w:rsidR="003F3A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912">
              <w:rPr>
                <w:rFonts w:ascii="Arial" w:hAnsi="Arial" w:cs="Arial"/>
                <w:sz w:val="18"/>
                <w:szCs w:val="18"/>
              </w:rPr>
              <w:t>(Sanofi)</w:t>
            </w:r>
          </w:p>
        </w:tc>
        <w:tc>
          <w:tcPr>
            <w:tcW w:w="539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E85A1E3" w14:textId="54D54672" w:rsidR="00235861" w:rsidRDefault="00235861" w:rsidP="00F519E8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Afluria</w:t>
            </w:r>
            <w:r w:rsidR="00C57694">
              <w:rPr>
                <w:rFonts w:ascii="Arial" w:hAnsi="Arial" w:cs="Arial"/>
                <w:b/>
                <w:sz w:val="18"/>
                <w:szCs w:val="18"/>
              </w:rPr>
              <w:t xml:space="preserve"> Quad</w:t>
            </w:r>
          </w:p>
          <w:p w14:paraId="4A75651F" w14:textId="6AB88DF5" w:rsidR="00C57694" w:rsidRPr="00C57694" w:rsidRDefault="00C57694" w:rsidP="00F519E8">
            <w:pPr>
              <w:keepNext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57694">
              <w:rPr>
                <w:rFonts w:ascii="Arial" w:hAnsi="Arial" w:cs="Arial"/>
                <w:bCs/>
                <w:sz w:val="18"/>
                <w:szCs w:val="18"/>
              </w:rPr>
              <w:t>0.5m</w:t>
            </w:r>
            <w:r w:rsidR="00A04D8E">
              <w:rPr>
                <w:rFonts w:ascii="Arial" w:hAnsi="Arial" w:cs="Arial"/>
                <w:bCs/>
                <w:sz w:val="18"/>
                <w:szCs w:val="18"/>
              </w:rPr>
              <w:t>L</w:t>
            </w:r>
          </w:p>
          <w:p w14:paraId="245F5721" w14:textId="1A39FF58" w:rsidR="00235861" w:rsidRPr="00774912" w:rsidRDefault="00235861" w:rsidP="00F519E8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7694">
              <w:rPr>
                <w:rFonts w:ascii="Arial" w:hAnsi="Arial" w:cs="Arial"/>
                <w:bCs/>
                <w:sz w:val="18"/>
                <w:szCs w:val="18"/>
              </w:rPr>
              <w:t>(CS</w:t>
            </w:r>
            <w:r w:rsidR="00A04D8E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C57694">
              <w:rPr>
                <w:rFonts w:ascii="Arial" w:hAnsi="Arial" w:cs="Arial"/>
                <w:bCs/>
                <w:sz w:val="18"/>
                <w:szCs w:val="18"/>
              </w:rPr>
              <w:t xml:space="preserve"> Seqirus)</w:t>
            </w:r>
          </w:p>
        </w:tc>
        <w:tc>
          <w:tcPr>
            <w:tcW w:w="539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F440117" w14:textId="4F0C427B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sz w:val="18"/>
                <w:szCs w:val="18"/>
              </w:rPr>
              <w:t>Influvac Tetra</w:t>
            </w:r>
          </w:p>
          <w:p w14:paraId="584A98CA" w14:textId="3E802EB5" w:rsidR="00235861" w:rsidRPr="00774912" w:rsidRDefault="00235861" w:rsidP="003F3A2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0.5 mL</w:t>
            </w:r>
            <w:r w:rsidR="003F3A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91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774912">
              <w:rPr>
                <w:rFonts w:ascii="Arial" w:hAnsi="Arial" w:cs="Arial"/>
                <w:sz w:val="18"/>
                <w:szCs w:val="18"/>
              </w:rPr>
              <w:t>Viatris</w:t>
            </w:r>
            <w:proofErr w:type="spellEnd"/>
            <w:r w:rsidRPr="007749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3CAA84E" w14:textId="77777777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sz w:val="18"/>
                <w:szCs w:val="18"/>
              </w:rPr>
              <w:t>Fluad Quad</w:t>
            </w:r>
          </w:p>
          <w:p w14:paraId="1560B3E3" w14:textId="6E5BAA56" w:rsidR="00235861" w:rsidRPr="00774912" w:rsidRDefault="00235861" w:rsidP="003F3A2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0.5 mL</w:t>
            </w:r>
            <w:r w:rsidR="003F3A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912">
              <w:rPr>
                <w:rFonts w:ascii="Arial" w:hAnsi="Arial" w:cs="Arial"/>
                <w:sz w:val="18"/>
                <w:szCs w:val="18"/>
              </w:rPr>
              <w:t>(CSL Seqirus)</w:t>
            </w:r>
          </w:p>
        </w:tc>
        <w:tc>
          <w:tcPr>
            <w:tcW w:w="537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3B94A00" w14:textId="219B9DED" w:rsidR="00235861" w:rsidRPr="00774912" w:rsidRDefault="00235861" w:rsidP="00F519E8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74912">
              <w:rPr>
                <w:rFonts w:ascii="Arial" w:hAnsi="Arial" w:cs="Arial"/>
                <w:b/>
                <w:sz w:val="18"/>
                <w:szCs w:val="18"/>
              </w:rPr>
              <w:t>Fluzone</w:t>
            </w:r>
            <w:proofErr w:type="spellEnd"/>
            <w:r w:rsidRPr="00774912">
              <w:rPr>
                <w:rFonts w:ascii="Arial" w:hAnsi="Arial" w:cs="Arial"/>
                <w:b/>
                <w:sz w:val="18"/>
                <w:szCs w:val="18"/>
              </w:rPr>
              <w:t xml:space="preserve"> High-Dose</w:t>
            </w:r>
          </w:p>
          <w:p w14:paraId="7CD4EC41" w14:textId="71F72C13" w:rsidR="00235861" w:rsidRPr="00774912" w:rsidRDefault="00235861" w:rsidP="003F3A2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bCs/>
                <w:sz w:val="18"/>
                <w:szCs w:val="18"/>
              </w:rPr>
              <w:t>0.7 mL</w:t>
            </w:r>
            <w:r w:rsidR="003F3A2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74912">
              <w:rPr>
                <w:rFonts w:ascii="Arial" w:hAnsi="Arial" w:cs="Arial"/>
                <w:bCs/>
                <w:sz w:val="18"/>
                <w:szCs w:val="18"/>
              </w:rPr>
              <w:t>(Sanofi)</w:t>
            </w:r>
          </w:p>
        </w:tc>
      </w:tr>
      <w:tr w:rsidR="00B10D9C" w:rsidRPr="00774912" w14:paraId="4EB81DB6" w14:textId="0248D2BA" w:rsidTr="00B10D9C">
        <w:trPr>
          <w:trHeight w:val="360"/>
          <w:jc w:val="center"/>
        </w:trPr>
        <w:tc>
          <w:tcPr>
            <w:tcW w:w="106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14:paraId="422CE48F" w14:textId="18A10A2E" w:rsidR="00235861" w:rsidRPr="00774912" w:rsidRDefault="00235861" w:rsidP="0089545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 xml:space="preserve">6 months to &lt;5 years </w:t>
            </w:r>
          </w:p>
        </w:tc>
        <w:tc>
          <w:tcPr>
            <w:tcW w:w="5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49236E" w14:textId="1E6B1D28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63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7C4074F" w14:textId="39E51D36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61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368B3B" w14:textId="3F9BA139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9" w:type="pct"/>
            <w:shd w:val="clear" w:color="auto" w:fill="D9D9D9" w:themeFill="background1" w:themeFillShade="D9"/>
            <w:vAlign w:val="center"/>
          </w:tcPr>
          <w:p w14:paraId="0A920047" w14:textId="753BFAC4" w:rsidR="00235861" w:rsidRPr="00E9031B" w:rsidRDefault="0066686C" w:rsidP="00F519E8">
            <w:pPr>
              <w:keepNext/>
              <w:jc w:val="center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 w:rsidRPr="00E9031B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39" w:type="pct"/>
            <w:shd w:val="clear" w:color="auto" w:fill="D9D9D9" w:themeFill="background1" w:themeFillShade="D9"/>
            <w:vAlign w:val="center"/>
          </w:tcPr>
          <w:p w14:paraId="37881440" w14:textId="56801427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7" w:type="pct"/>
            <w:tcBorders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2C16EBA" w14:textId="77777777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14:paraId="324E9C4A" w14:textId="4122027D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235861" w:rsidRPr="00774912" w14:paraId="574F15C7" w14:textId="1D052B91" w:rsidTr="00F519E8">
        <w:trPr>
          <w:trHeight w:val="360"/>
          <w:jc w:val="center"/>
        </w:trPr>
        <w:tc>
          <w:tcPr>
            <w:tcW w:w="106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0858B8B2" w14:textId="77F32E99" w:rsidR="00235861" w:rsidRPr="00774912" w:rsidRDefault="00235861" w:rsidP="0089545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≥5 to &lt;60 years</w:t>
            </w:r>
          </w:p>
        </w:tc>
        <w:tc>
          <w:tcPr>
            <w:tcW w:w="5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4EB23584" w14:textId="52C63661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77491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6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7EF88F" w14:textId="259E83AD" w:rsidR="00235861" w:rsidRPr="00774912" w:rsidRDefault="00235861" w:rsidP="0089545C">
            <w:pPr>
              <w:keepNext/>
              <w:jc w:val="center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774912">
              <w:rPr>
                <w:rFonts w:asciiTheme="minorHAnsi" w:eastAsia="Wingdings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6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DC17D35" w14:textId="6A47A7BD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9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8CC35F4" w14:textId="5B0B705E" w:rsidR="00235861" w:rsidRPr="00E9031B" w:rsidRDefault="0066686C" w:rsidP="00F519E8">
            <w:pPr>
              <w:keepNext/>
              <w:jc w:val="center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 w:rsidRPr="00E9031B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9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2ED2E2D" w14:textId="32B5856B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FB57E5B" w14:textId="77777777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1CEE5C6" w14:textId="50C64270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235861" w:rsidRPr="00774912" w14:paraId="00F46B79" w14:textId="25B5C66F" w:rsidTr="00F519E8">
        <w:trPr>
          <w:trHeight w:val="360"/>
          <w:jc w:val="center"/>
        </w:trPr>
        <w:tc>
          <w:tcPr>
            <w:tcW w:w="106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10035215" w14:textId="3E0FC98F" w:rsidR="00235861" w:rsidRPr="00774912" w:rsidRDefault="00235861" w:rsidP="0089545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≥60 to &lt;65 years</w:t>
            </w:r>
          </w:p>
        </w:tc>
        <w:tc>
          <w:tcPr>
            <w:tcW w:w="5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6A709A7C" w14:textId="2ED7FBD1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77491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6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72D16B" w14:textId="26CC3B71" w:rsidR="00235861" w:rsidRPr="00774912" w:rsidRDefault="00235861" w:rsidP="0089545C">
            <w:pPr>
              <w:keepNext/>
              <w:jc w:val="center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  <w:r w:rsidRPr="00774912">
              <w:rPr>
                <w:rFonts w:asciiTheme="minorHAnsi" w:eastAsia="Wingdings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6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1C67BF6" w14:textId="1FDFA270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9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71FD82" w14:textId="60E29C9D" w:rsidR="00235861" w:rsidRPr="00E9031B" w:rsidRDefault="0066686C" w:rsidP="00F519E8">
            <w:pPr>
              <w:keepNext/>
              <w:jc w:val="center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 w:rsidRPr="00E9031B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9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68E550C" w14:textId="4483D43D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7" w:type="pct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2A63487" w14:textId="42B15E25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37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0C52DFA" w14:textId="60EF9209" w:rsidR="00235861" w:rsidRPr="00774912" w:rsidRDefault="00235861" w:rsidP="0089545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</w:tr>
      <w:tr w:rsidR="00235861" w:rsidRPr="00774912" w14:paraId="70DA97FA" w14:textId="0A9AC200" w:rsidTr="00F519E8">
        <w:trPr>
          <w:trHeight w:val="360"/>
          <w:jc w:val="center"/>
        </w:trPr>
        <w:tc>
          <w:tcPr>
            <w:tcW w:w="106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CC0D9"/>
            <w:vAlign w:val="center"/>
          </w:tcPr>
          <w:p w14:paraId="3BCBA67F" w14:textId="77777777" w:rsidR="00235861" w:rsidRPr="00774912" w:rsidRDefault="00235861" w:rsidP="0089545C">
            <w:pPr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≥65 years</w:t>
            </w:r>
          </w:p>
        </w:tc>
        <w:tc>
          <w:tcPr>
            <w:tcW w:w="5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BF300E" w14:textId="66D08159" w:rsidR="00235861" w:rsidRPr="00774912" w:rsidRDefault="00235861" w:rsidP="008954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63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FD2B388" w14:textId="01CAF44B" w:rsidR="00235861" w:rsidRPr="00774912" w:rsidRDefault="00235861" w:rsidP="0089545C">
            <w:pPr>
              <w:jc w:val="center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61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BD414F5" w14:textId="69538407" w:rsidR="00235861" w:rsidRPr="00774912" w:rsidRDefault="00235861" w:rsidP="008954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E838437" w14:textId="709F2466" w:rsidR="00235861" w:rsidRPr="00E9031B" w:rsidRDefault="0066686C" w:rsidP="00F519E8">
            <w:pPr>
              <w:jc w:val="center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 w:rsidRPr="00E9031B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9" w:type="pc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234D632" w14:textId="1A147970" w:rsidR="00235861" w:rsidRPr="00774912" w:rsidRDefault="00235861" w:rsidP="008954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7" w:type="pct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8E9480" w14:textId="35387453" w:rsidR="00235861" w:rsidRPr="00774912" w:rsidRDefault="00235861" w:rsidP="008954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  <w:tc>
          <w:tcPr>
            <w:tcW w:w="537" w:type="pct"/>
            <w:shd w:val="clear" w:color="auto" w:fill="D9D9D9" w:themeFill="background1" w:themeFillShade="D9"/>
            <w:vAlign w:val="center"/>
          </w:tcPr>
          <w:p w14:paraId="4FB51309" w14:textId="61C24AD2" w:rsidR="00235861" w:rsidRPr="00774912" w:rsidRDefault="00235861" w:rsidP="0089545C">
            <w:pPr>
              <w:jc w:val="center"/>
              <w:rPr>
                <w:rFonts w:ascii="Wingdings" w:eastAsia="Wingdings" w:hAnsi="Wingdings" w:cs="Wingdings"/>
                <w:b/>
                <w:sz w:val="18"/>
                <w:szCs w:val="18"/>
              </w:rPr>
            </w:pPr>
            <w:r w:rsidRPr="00774912">
              <w:rPr>
                <w:rFonts w:ascii="Wingdings" w:eastAsia="Wingdings" w:hAnsi="Wingdings" w:cs="Wingdings"/>
                <w:b/>
                <w:sz w:val="18"/>
                <w:szCs w:val="18"/>
              </w:rPr>
              <w:t></w:t>
            </w:r>
          </w:p>
        </w:tc>
      </w:tr>
    </w:tbl>
    <w:p w14:paraId="0D0551BA" w14:textId="77777777" w:rsidR="00E4512B" w:rsidRPr="00774912" w:rsidRDefault="00E4512B" w:rsidP="00E4512B">
      <w:pPr>
        <w:spacing w:before="120"/>
        <w:rPr>
          <w:rFonts w:ascii="Arial" w:hAnsi="Arial" w:cs="Arial"/>
          <w:sz w:val="16"/>
          <w:szCs w:val="16"/>
          <w:lang w:eastAsia="en-US"/>
        </w:rPr>
      </w:pPr>
      <w:r w:rsidRPr="00774912">
        <w:rPr>
          <w:rFonts w:ascii="Arial" w:hAnsi="Arial" w:cs="Arial"/>
          <w:sz w:val="16"/>
          <w:szCs w:val="16"/>
          <w:lang w:eastAsia="en-US"/>
        </w:rPr>
        <w:t>Ticks indicate age at which a vaccine is registered and available. White boxes indicate availability for free under the NIP.</w:t>
      </w:r>
    </w:p>
    <w:p w14:paraId="201D0272" w14:textId="785F0BDC" w:rsidR="00E4512B" w:rsidRPr="00774912" w:rsidRDefault="00E4512B" w:rsidP="00E4512B">
      <w:pPr>
        <w:rPr>
          <w:rFonts w:ascii="Arial" w:hAnsi="Arial" w:cs="Arial"/>
          <w:sz w:val="16"/>
          <w:szCs w:val="16"/>
          <w:lang w:eastAsia="en-US"/>
        </w:rPr>
      </w:pPr>
      <w:r w:rsidRPr="00774912">
        <w:rPr>
          <w:rFonts w:ascii="Arial" w:hAnsi="Arial" w:cs="Arial"/>
          <w:sz w:val="16"/>
          <w:szCs w:val="16"/>
          <w:lang w:eastAsia="en-US"/>
        </w:rPr>
        <w:t xml:space="preserve">* </w:t>
      </w:r>
      <w:r w:rsidR="00674C7D" w:rsidRPr="00774912">
        <w:rPr>
          <w:rFonts w:ascii="Arial" w:hAnsi="Arial" w:cs="Arial"/>
          <w:sz w:val="16"/>
          <w:szCs w:val="16"/>
          <w:lang w:eastAsia="en-US"/>
        </w:rPr>
        <w:t>NIP f</w:t>
      </w:r>
      <w:r w:rsidRPr="00774912">
        <w:rPr>
          <w:rFonts w:ascii="Arial" w:hAnsi="Arial" w:cs="Arial"/>
          <w:sz w:val="16"/>
          <w:szCs w:val="16"/>
          <w:lang w:eastAsia="en-US"/>
        </w:rPr>
        <w:t>unding only for Aboriginal and Torres Strait Islander people, pregnant women and people who have certain medical conditions.</w:t>
      </w:r>
    </w:p>
    <w:p w14:paraId="30B2AFFB" w14:textId="5C982CCC" w:rsidR="0002748F" w:rsidRPr="00774912" w:rsidRDefault="00CA06B1" w:rsidP="00A909AA">
      <w:pPr>
        <w:pStyle w:val="Heading2"/>
        <w:spacing w:after="60"/>
        <w:rPr>
          <w:rFonts w:ascii="Arial" w:hAnsi="Arial" w:cs="Arial"/>
          <w:sz w:val="20"/>
          <w:szCs w:val="18"/>
          <w:lang w:eastAsia="en-US"/>
        </w:rPr>
      </w:pPr>
      <w:r w:rsidRPr="00774912">
        <w:rPr>
          <w:rFonts w:ascii="Arial" w:hAnsi="Arial" w:cs="Arial"/>
          <w:sz w:val="20"/>
          <w:szCs w:val="18"/>
          <w:lang w:eastAsia="en-US"/>
        </w:rPr>
        <w:br w:type="page"/>
      </w:r>
      <w:r w:rsidR="00DD72CA" w:rsidRPr="00774912">
        <w:rPr>
          <w:rFonts w:ascii="Arial" w:hAnsi="Arial" w:cs="Arial"/>
          <w:sz w:val="20"/>
          <w:szCs w:val="18"/>
          <w:lang w:eastAsia="en-US"/>
        </w:rPr>
        <w:lastRenderedPageBreak/>
        <w:t xml:space="preserve">Table 2. </w:t>
      </w:r>
      <w:r w:rsidR="00F8060C" w:rsidRPr="00774912">
        <w:rPr>
          <w:rFonts w:ascii="Arial" w:hAnsi="Arial" w:cs="Arial"/>
          <w:sz w:val="20"/>
          <w:szCs w:val="18"/>
          <w:lang w:eastAsia="en-US"/>
        </w:rPr>
        <w:t xml:space="preserve">Influenza virus strains included in the </w:t>
      </w:r>
      <w:r w:rsidR="00EA221D" w:rsidRPr="00774912">
        <w:rPr>
          <w:rFonts w:ascii="Arial" w:hAnsi="Arial" w:cs="Arial"/>
          <w:sz w:val="20"/>
          <w:szCs w:val="18"/>
          <w:lang w:eastAsia="en-US"/>
        </w:rPr>
        <w:t>20</w:t>
      </w:r>
      <w:r w:rsidR="00463035" w:rsidRPr="00774912">
        <w:rPr>
          <w:rFonts w:ascii="Arial" w:hAnsi="Arial" w:cs="Arial"/>
          <w:sz w:val="20"/>
          <w:szCs w:val="18"/>
          <w:lang w:eastAsia="en-US"/>
        </w:rPr>
        <w:t>2</w:t>
      </w:r>
      <w:r w:rsidR="0001412A" w:rsidRPr="00774912">
        <w:rPr>
          <w:rFonts w:ascii="Arial" w:hAnsi="Arial" w:cs="Arial"/>
          <w:sz w:val="20"/>
          <w:szCs w:val="18"/>
          <w:lang w:eastAsia="en-US"/>
        </w:rPr>
        <w:t>5</w:t>
      </w:r>
      <w:r w:rsidR="00EA221D" w:rsidRPr="00774912">
        <w:rPr>
          <w:rFonts w:ascii="Arial" w:hAnsi="Arial" w:cs="Arial"/>
          <w:sz w:val="20"/>
          <w:szCs w:val="18"/>
          <w:lang w:eastAsia="en-US"/>
        </w:rPr>
        <w:t xml:space="preserve"> </w:t>
      </w:r>
      <w:r w:rsidR="00AB485B" w:rsidRPr="00774912">
        <w:rPr>
          <w:rFonts w:ascii="Arial" w:hAnsi="Arial" w:cs="Arial"/>
          <w:sz w:val="20"/>
          <w:szCs w:val="18"/>
          <w:lang w:eastAsia="en-US"/>
        </w:rPr>
        <w:t>S</w:t>
      </w:r>
      <w:r w:rsidR="00F8060C" w:rsidRPr="00774912">
        <w:rPr>
          <w:rFonts w:ascii="Arial" w:hAnsi="Arial" w:cs="Arial"/>
          <w:sz w:val="20"/>
          <w:szCs w:val="18"/>
          <w:lang w:eastAsia="en-US"/>
        </w:rPr>
        <w:t xml:space="preserve">outhern </w:t>
      </w:r>
      <w:r w:rsidR="00AB485B" w:rsidRPr="00774912">
        <w:rPr>
          <w:rFonts w:ascii="Arial" w:hAnsi="Arial" w:cs="Arial"/>
          <w:sz w:val="20"/>
          <w:szCs w:val="18"/>
          <w:lang w:eastAsia="en-US"/>
        </w:rPr>
        <w:t>H</w:t>
      </w:r>
      <w:r w:rsidR="00F8060C" w:rsidRPr="00774912">
        <w:rPr>
          <w:rFonts w:ascii="Arial" w:hAnsi="Arial" w:cs="Arial"/>
          <w:sz w:val="20"/>
          <w:szCs w:val="18"/>
          <w:lang w:eastAsia="en-US"/>
        </w:rPr>
        <w:t>emisphere seasonal influenza vaccines</w:t>
      </w:r>
      <w:r w:rsidR="005E5E9A" w:rsidRPr="00774912">
        <w:rPr>
          <w:rFonts w:ascii="Arial" w:hAnsi="Arial" w:cs="Arial"/>
          <w:sz w:val="20"/>
          <w:szCs w:val="18"/>
          <w:lang w:eastAsia="en-US"/>
        </w:rPr>
        <w:t>*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98"/>
        <w:gridCol w:w="4942"/>
      </w:tblGrid>
      <w:tr w:rsidR="009A4C8B" w:rsidRPr="00774912" w14:paraId="3EAF561A" w14:textId="77777777" w:rsidTr="002B6873">
        <w:trPr>
          <w:trHeight w:val="283"/>
          <w:tblHeader/>
          <w:jc w:val="center"/>
        </w:trPr>
        <w:tc>
          <w:tcPr>
            <w:tcW w:w="5098" w:type="dxa"/>
            <w:tcBorders>
              <w:bottom w:val="single" w:sz="4" w:space="0" w:color="A6A6A6" w:themeColor="background1" w:themeShade="A6"/>
            </w:tcBorders>
            <w:shd w:val="clear" w:color="auto" w:fill="57259F"/>
            <w:vAlign w:val="center"/>
          </w:tcPr>
          <w:p w14:paraId="5216084C" w14:textId="77777777" w:rsidR="009A4C8B" w:rsidRPr="00774912" w:rsidRDefault="009A4C8B" w:rsidP="00FF6B57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Egg-based influenza vaccines</w:t>
            </w:r>
          </w:p>
        </w:tc>
        <w:tc>
          <w:tcPr>
            <w:tcW w:w="4942" w:type="dxa"/>
            <w:tcBorders>
              <w:bottom w:val="single" w:sz="4" w:space="0" w:color="A6A6A6" w:themeColor="background1" w:themeShade="A6"/>
            </w:tcBorders>
            <w:shd w:val="clear" w:color="auto" w:fill="57259F"/>
            <w:vAlign w:val="center"/>
          </w:tcPr>
          <w:p w14:paraId="32493CD4" w14:textId="77777777" w:rsidR="009A4C8B" w:rsidRPr="00774912" w:rsidRDefault="009A4C8B" w:rsidP="00FF6B57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7491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Cell-based influenza vaccines</w:t>
            </w:r>
          </w:p>
        </w:tc>
      </w:tr>
      <w:tr w:rsidR="009A4C8B" w:rsidRPr="00774912" w14:paraId="6003A1B6" w14:textId="77777777" w:rsidTr="002B6873">
        <w:trPr>
          <w:trHeight w:val="283"/>
          <w:jc w:val="center"/>
        </w:trPr>
        <w:tc>
          <w:tcPr>
            <w:tcW w:w="5098" w:type="dxa"/>
            <w:shd w:val="clear" w:color="auto" w:fill="CCC0D9"/>
            <w:vAlign w:val="center"/>
          </w:tcPr>
          <w:p w14:paraId="6786E90D" w14:textId="468D88DB" w:rsidR="009A4C8B" w:rsidRPr="00774912" w:rsidRDefault="00C15B43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A/Victoria/4897/2022 (H1N</w:t>
            </w:r>
            <w:proofErr w:type="gramStart"/>
            <w:r w:rsidRPr="00774912">
              <w:rPr>
                <w:rFonts w:ascii="Arial" w:hAnsi="Arial" w:cs="Arial"/>
                <w:sz w:val="18"/>
                <w:szCs w:val="18"/>
              </w:rPr>
              <w:t>1)pdm</w:t>
            </w:r>
            <w:proofErr w:type="gramEnd"/>
            <w:r w:rsidRPr="00774912">
              <w:rPr>
                <w:rFonts w:ascii="Arial" w:hAnsi="Arial" w:cs="Arial"/>
                <w:sz w:val="18"/>
                <w:szCs w:val="18"/>
              </w:rPr>
              <w:t>09-like virus</w:t>
            </w:r>
          </w:p>
        </w:tc>
        <w:tc>
          <w:tcPr>
            <w:tcW w:w="4942" w:type="dxa"/>
            <w:shd w:val="clear" w:color="auto" w:fill="CCC0D9"/>
            <w:vAlign w:val="center"/>
          </w:tcPr>
          <w:p w14:paraId="3DA78E1C" w14:textId="39705941" w:rsidR="009A4C8B" w:rsidRPr="00774912" w:rsidRDefault="00F9723E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A/Wisconsin/67/2022 (H1N</w:t>
            </w:r>
            <w:proofErr w:type="gramStart"/>
            <w:r w:rsidRPr="00774912">
              <w:rPr>
                <w:rFonts w:ascii="Arial" w:hAnsi="Arial" w:cs="Arial"/>
                <w:sz w:val="18"/>
                <w:szCs w:val="18"/>
              </w:rPr>
              <w:t>1)pdm</w:t>
            </w:r>
            <w:proofErr w:type="gramEnd"/>
            <w:r w:rsidRPr="00774912">
              <w:rPr>
                <w:rFonts w:ascii="Arial" w:hAnsi="Arial" w:cs="Arial"/>
                <w:sz w:val="18"/>
                <w:szCs w:val="18"/>
              </w:rPr>
              <w:t>09-like virus</w:t>
            </w:r>
          </w:p>
        </w:tc>
      </w:tr>
      <w:tr w:rsidR="00A7161D" w:rsidRPr="00774912" w14:paraId="2C197CD9" w14:textId="77777777" w:rsidTr="002B6873">
        <w:trPr>
          <w:trHeight w:val="283"/>
          <w:jc w:val="center"/>
        </w:trPr>
        <w:tc>
          <w:tcPr>
            <w:tcW w:w="50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65F9F48" w14:textId="54FB6CBE" w:rsidR="00A7161D" w:rsidRPr="00774912" w:rsidRDefault="00C15B43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A/</w:t>
            </w:r>
            <w:r w:rsidR="00010945" w:rsidRPr="00774912">
              <w:rPr>
                <w:rFonts w:ascii="Arial" w:hAnsi="Arial" w:cs="Arial"/>
                <w:sz w:val="18"/>
                <w:szCs w:val="18"/>
              </w:rPr>
              <w:t>Croatia/10136RV/2023</w:t>
            </w:r>
            <w:r w:rsidRPr="00774912">
              <w:rPr>
                <w:rFonts w:ascii="Arial" w:hAnsi="Arial" w:cs="Arial"/>
                <w:sz w:val="18"/>
                <w:szCs w:val="18"/>
              </w:rPr>
              <w:t xml:space="preserve"> (H3N2)-like virus</w:t>
            </w:r>
          </w:p>
        </w:tc>
        <w:tc>
          <w:tcPr>
            <w:tcW w:w="494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D6E50AB" w14:textId="09DF0AAC" w:rsidR="00A7161D" w:rsidRPr="00774912" w:rsidRDefault="00F9723E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A/</w:t>
            </w:r>
            <w:r w:rsidR="00BF50F7" w:rsidRPr="00774912">
              <w:rPr>
                <w:rFonts w:ascii="Arial" w:hAnsi="Arial" w:cs="Arial"/>
                <w:sz w:val="18"/>
                <w:szCs w:val="18"/>
              </w:rPr>
              <w:t>District of Columbia</w:t>
            </w:r>
            <w:r w:rsidRPr="00774912">
              <w:rPr>
                <w:rFonts w:ascii="Arial" w:hAnsi="Arial" w:cs="Arial"/>
                <w:sz w:val="18"/>
                <w:szCs w:val="18"/>
              </w:rPr>
              <w:t>/</w:t>
            </w:r>
            <w:r w:rsidR="00A92440" w:rsidRPr="00774912">
              <w:rPr>
                <w:rFonts w:ascii="Arial" w:hAnsi="Arial" w:cs="Arial"/>
                <w:sz w:val="18"/>
                <w:szCs w:val="18"/>
              </w:rPr>
              <w:t>27/2023</w:t>
            </w:r>
            <w:r w:rsidRPr="00774912">
              <w:rPr>
                <w:rFonts w:ascii="Arial" w:hAnsi="Arial" w:cs="Arial"/>
                <w:sz w:val="18"/>
                <w:szCs w:val="18"/>
              </w:rPr>
              <w:t xml:space="preserve"> (H3N2)-like virus</w:t>
            </w:r>
          </w:p>
        </w:tc>
      </w:tr>
      <w:tr w:rsidR="00A7161D" w:rsidRPr="00774912" w14:paraId="230C49EC" w14:textId="77777777" w:rsidTr="002B6873">
        <w:trPr>
          <w:trHeight w:val="283"/>
          <w:jc w:val="center"/>
        </w:trPr>
        <w:tc>
          <w:tcPr>
            <w:tcW w:w="5098" w:type="dxa"/>
            <w:shd w:val="clear" w:color="auto" w:fill="CCC0D9"/>
            <w:vAlign w:val="center"/>
          </w:tcPr>
          <w:p w14:paraId="68D76AAB" w14:textId="186227AE" w:rsidR="00A7161D" w:rsidRPr="00774912" w:rsidRDefault="00A7161D" w:rsidP="00E6520E">
            <w:pPr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B/</w:t>
            </w:r>
            <w:r w:rsidR="00E6520E" w:rsidRPr="00774912">
              <w:rPr>
                <w:rFonts w:ascii="Arial" w:hAnsi="Arial" w:cs="Arial"/>
                <w:sz w:val="18"/>
                <w:szCs w:val="18"/>
              </w:rPr>
              <w:t>Austria</w:t>
            </w:r>
            <w:r w:rsidRPr="00774912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774912">
              <w:rPr>
                <w:rFonts w:ascii="Arial" w:hAnsi="Arial" w:cs="Arial"/>
                <w:sz w:val="18"/>
                <w:szCs w:val="18"/>
              </w:rPr>
              <w:t>1359417</w:t>
            </w:r>
            <w:r w:rsidRPr="00774912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774912">
              <w:rPr>
                <w:rFonts w:ascii="Arial" w:hAnsi="Arial" w:cs="Arial"/>
                <w:sz w:val="18"/>
                <w:szCs w:val="18"/>
              </w:rPr>
              <w:t>2021</w:t>
            </w:r>
            <w:r w:rsidRPr="00774912">
              <w:rPr>
                <w:rFonts w:ascii="Arial" w:hAnsi="Arial" w:cs="Arial"/>
                <w:sz w:val="18"/>
                <w:szCs w:val="18"/>
              </w:rPr>
              <w:t xml:space="preserve"> (B/Victoria lineage)</w:t>
            </w:r>
            <w:r w:rsidR="008F0B99" w:rsidRPr="00774912">
              <w:rPr>
                <w:rFonts w:ascii="Arial" w:hAnsi="Arial" w:cs="Arial"/>
                <w:sz w:val="18"/>
                <w:szCs w:val="18"/>
              </w:rPr>
              <w:t xml:space="preserve">-like </w:t>
            </w:r>
            <w:r w:rsidRPr="00774912">
              <w:rPr>
                <w:rFonts w:ascii="Arial" w:hAnsi="Arial" w:cs="Arial"/>
                <w:sz w:val="18"/>
                <w:szCs w:val="18"/>
              </w:rPr>
              <w:t>virus</w:t>
            </w:r>
          </w:p>
        </w:tc>
        <w:tc>
          <w:tcPr>
            <w:tcW w:w="4942" w:type="dxa"/>
            <w:shd w:val="clear" w:color="auto" w:fill="CCC0D9"/>
            <w:vAlign w:val="center"/>
          </w:tcPr>
          <w:p w14:paraId="2B241A28" w14:textId="0950CB3C" w:rsidR="00A7161D" w:rsidRPr="00774912" w:rsidRDefault="00A7161D" w:rsidP="00E6520E">
            <w:pPr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B/</w:t>
            </w:r>
            <w:r w:rsidR="00E6520E" w:rsidRPr="00774912">
              <w:rPr>
                <w:rFonts w:ascii="Arial" w:hAnsi="Arial" w:cs="Arial"/>
                <w:sz w:val="18"/>
                <w:szCs w:val="18"/>
              </w:rPr>
              <w:t>Austria</w:t>
            </w:r>
            <w:r w:rsidRPr="00774912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774912">
              <w:rPr>
                <w:rFonts w:ascii="Arial" w:hAnsi="Arial" w:cs="Arial"/>
                <w:sz w:val="18"/>
                <w:szCs w:val="18"/>
              </w:rPr>
              <w:t>1359417</w:t>
            </w:r>
            <w:r w:rsidRPr="00774912">
              <w:rPr>
                <w:rFonts w:ascii="Arial" w:hAnsi="Arial" w:cs="Arial"/>
                <w:sz w:val="18"/>
                <w:szCs w:val="18"/>
              </w:rPr>
              <w:t>/</w:t>
            </w:r>
            <w:r w:rsidR="00E6520E" w:rsidRPr="00774912">
              <w:rPr>
                <w:rFonts w:ascii="Arial" w:hAnsi="Arial" w:cs="Arial"/>
                <w:sz w:val="18"/>
                <w:szCs w:val="18"/>
              </w:rPr>
              <w:t>2021</w:t>
            </w:r>
            <w:r w:rsidR="00D10013" w:rsidRPr="007749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912">
              <w:rPr>
                <w:rFonts w:ascii="Arial" w:hAnsi="Arial" w:cs="Arial"/>
                <w:sz w:val="18"/>
                <w:szCs w:val="18"/>
              </w:rPr>
              <w:t>(B/Victoria lineage)</w:t>
            </w:r>
            <w:r w:rsidR="00E77573" w:rsidRPr="00774912">
              <w:rPr>
                <w:rFonts w:ascii="Arial" w:hAnsi="Arial" w:cs="Arial"/>
                <w:sz w:val="18"/>
                <w:szCs w:val="18"/>
              </w:rPr>
              <w:t xml:space="preserve">-like </w:t>
            </w:r>
            <w:r w:rsidRPr="00774912">
              <w:rPr>
                <w:rFonts w:ascii="Arial" w:hAnsi="Arial" w:cs="Arial"/>
                <w:sz w:val="18"/>
                <w:szCs w:val="18"/>
              </w:rPr>
              <w:t>virus</w:t>
            </w:r>
          </w:p>
        </w:tc>
      </w:tr>
      <w:tr w:rsidR="00A7161D" w:rsidRPr="00774912" w14:paraId="4C08063D" w14:textId="77777777" w:rsidTr="002B6873">
        <w:trPr>
          <w:trHeight w:val="283"/>
          <w:jc w:val="center"/>
        </w:trPr>
        <w:tc>
          <w:tcPr>
            <w:tcW w:w="5098" w:type="dxa"/>
            <w:vAlign w:val="center"/>
          </w:tcPr>
          <w:p w14:paraId="297CB0F6" w14:textId="77944FE9" w:rsidR="00A7161D" w:rsidRPr="00774912" w:rsidRDefault="00A7161D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B/Phuket/3073/2013 (B/Yamagata lineage)</w:t>
            </w:r>
            <w:r w:rsidR="008F0B99" w:rsidRPr="00774912">
              <w:rPr>
                <w:rFonts w:ascii="Arial" w:hAnsi="Arial" w:cs="Arial"/>
                <w:sz w:val="18"/>
                <w:szCs w:val="18"/>
              </w:rPr>
              <w:t xml:space="preserve">-like </w:t>
            </w:r>
            <w:r w:rsidRPr="00774912">
              <w:rPr>
                <w:rFonts w:ascii="Arial" w:hAnsi="Arial" w:cs="Arial"/>
                <w:sz w:val="18"/>
                <w:szCs w:val="18"/>
              </w:rPr>
              <w:t>virus</w:t>
            </w:r>
          </w:p>
        </w:tc>
        <w:tc>
          <w:tcPr>
            <w:tcW w:w="4942" w:type="dxa"/>
            <w:vAlign w:val="center"/>
          </w:tcPr>
          <w:p w14:paraId="2F9D991F" w14:textId="531A56C2" w:rsidR="00A7161D" w:rsidRPr="00774912" w:rsidRDefault="00A7161D" w:rsidP="00FF6B57">
            <w:pPr>
              <w:rPr>
                <w:rFonts w:ascii="Arial" w:hAnsi="Arial" w:cs="Arial"/>
                <w:sz w:val="18"/>
                <w:szCs w:val="18"/>
              </w:rPr>
            </w:pPr>
            <w:r w:rsidRPr="00774912">
              <w:rPr>
                <w:rFonts w:ascii="Arial" w:hAnsi="Arial" w:cs="Arial"/>
                <w:sz w:val="18"/>
                <w:szCs w:val="18"/>
              </w:rPr>
              <w:t>B/Phuket/3073/2013 (B/Yamagata lineage)</w:t>
            </w:r>
            <w:r w:rsidR="00D10013" w:rsidRPr="00774912">
              <w:rPr>
                <w:rFonts w:ascii="Arial" w:hAnsi="Arial" w:cs="Arial"/>
                <w:sz w:val="18"/>
                <w:szCs w:val="18"/>
              </w:rPr>
              <w:t xml:space="preserve">-like </w:t>
            </w:r>
            <w:r w:rsidRPr="00774912">
              <w:rPr>
                <w:rFonts w:ascii="Arial" w:hAnsi="Arial" w:cs="Arial"/>
                <w:sz w:val="18"/>
                <w:szCs w:val="18"/>
              </w:rPr>
              <w:t>virus</w:t>
            </w:r>
          </w:p>
        </w:tc>
      </w:tr>
    </w:tbl>
    <w:p w14:paraId="1674CB57" w14:textId="107CC8B4" w:rsidR="00F9723E" w:rsidRPr="00774912" w:rsidRDefault="003E1F9C" w:rsidP="008F2F24">
      <w:pPr>
        <w:spacing w:before="120" w:after="120"/>
        <w:rPr>
          <w:rFonts w:asciiTheme="majorHAnsi" w:hAnsiTheme="majorHAnsi" w:cstheme="majorBidi"/>
          <w:sz w:val="20"/>
          <w:szCs w:val="20"/>
        </w:rPr>
      </w:pPr>
      <w:r w:rsidRPr="00774912">
        <w:rPr>
          <w:rFonts w:ascii="Arial" w:hAnsi="Arial" w:cs="Arial"/>
          <w:sz w:val="16"/>
          <w:szCs w:val="16"/>
        </w:rPr>
        <w:t xml:space="preserve">Note: </w:t>
      </w:r>
      <w:r w:rsidR="001567A8" w:rsidRPr="00774912">
        <w:rPr>
          <w:rFonts w:ascii="Arial" w:hAnsi="Arial" w:cs="Arial"/>
          <w:sz w:val="16"/>
          <w:szCs w:val="16"/>
        </w:rPr>
        <w:t xml:space="preserve">The chosen egg-based and cell-based viruses will sometimes differ if one virus cannot be used </w:t>
      </w:r>
      <w:r w:rsidR="00DA7304" w:rsidRPr="00774912">
        <w:rPr>
          <w:rFonts w:ascii="Arial" w:hAnsi="Arial" w:cs="Arial"/>
          <w:sz w:val="16"/>
          <w:szCs w:val="16"/>
        </w:rPr>
        <w:t xml:space="preserve">for both production systems. In </w:t>
      </w:r>
      <w:r w:rsidR="001567A8" w:rsidRPr="00774912">
        <w:rPr>
          <w:rFonts w:ascii="Arial" w:hAnsi="Arial" w:cs="Arial"/>
          <w:sz w:val="16"/>
          <w:szCs w:val="16"/>
        </w:rPr>
        <w:t>this</w:t>
      </w:r>
      <w:r w:rsidR="00DA7304" w:rsidRPr="00774912">
        <w:rPr>
          <w:rFonts w:ascii="Arial" w:hAnsi="Arial" w:cs="Arial"/>
          <w:sz w:val="16"/>
          <w:szCs w:val="16"/>
        </w:rPr>
        <w:t xml:space="preserve"> case</w:t>
      </w:r>
      <w:r w:rsidR="00276C70" w:rsidRPr="00774912">
        <w:rPr>
          <w:rFonts w:ascii="Arial" w:hAnsi="Arial" w:cs="Arial"/>
          <w:sz w:val="16"/>
          <w:szCs w:val="16"/>
        </w:rPr>
        <w:t>,</w:t>
      </w:r>
      <w:r w:rsidR="001567A8" w:rsidRPr="00774912">
        <w:rPr>
          <w:rFonts w:ascii="Arial" w:hAnsi="Arial" w:cs="Arial"/>
          <w:sz w:val="16"/>
          <w:szCs w:val="16"/>
        </w:rPr>
        <w:t xml:space="preserve"> </w:t>
      </w:r>
      <w:r w:rsidR="00DA7304" w:rsidRPr="00774912">
        <w:rPr>
          <w:rFonts w:ascii="Arial" w:hAnsi="Arial" w:cs="Arial"/>
          <w:sz w:val="16"/>
          <w:szCs w:val="16"/>
        </w:rPr>
        <w:t xml:space="preserve">different viruses with similar properties are selected </w:t>
      </w:r>
      <w:r w:rsidR="001567A8" w:rsidRPr="00774912">
        <w:rPr>
          <w:rFonts w:ascii="Arial" w:hAnsi="Arial" w:cs="Arial"/>
          <w:sz w:val="16"/>
          <w:szCs w:val="16"/>
        </w:rPr>
        <w:t xml:space="preserve">for </w:t>
      </w:r>
      <w:r w:rsidR="00DA7304" w:rsidRPr="00774912">
        <w:rPr>
          <w:rFonts w:ascii="Arial" w:hAnsi="Arial" w:cs="Arial"/>
          <w:sz w:val="16"/>
          <w:szCs w:val="16"/>
        </w:rPr>
        <w:t>vaccine production.</w:t>
      </w:r>
      <w:r w:rsidR="00E11A58" w:rsidRPr="00774912">
        <w:rPr>
          <w:rFonts w:ascii="Arial" w:hAnsi="Arial" w:cs="Arial"/>
          <w:sz w:val="16"/>
          <w:szCs w:val="16"/>
        </w:rPr>
        <w:t xml:space="preserve"> </w:t>
      </w:r>
      <w:r w:rsidR="00F9723E" w:rsidRPr="00774912">
        <w:rPr>
          <w:rFonts w:ascii="Arial" w:hAnsi="Arial" w:cs="Arial"/>
          <w:sz w:val="16"/>
          <w:szCs w:val="16"/>
        </w:rPr>
        <w:t>*</w:t>
      </w:r>
      <w:r w:rsidR="005E5E9A" w:rsidRPr="00774912">
        <w:rPr>
          <w:rFonts w:ascii="Arial" w:hAnsi="Arial" w:cs="Arial"/>
          <w:sz w:val="16"/>
          <w:szCs w:val="16"/>
        </w:rPr>
        <w:t>V</w:t>
      </w:r>
      <w:r w:rsidR="00E11A58" w:rsidRPr="00774912">
        <w:rPr>
          <w:rFonts w:ascii="Arial" w:hAnsi="Arial" w:cs="Arial"/>
          <w:sz w:val="16"/>
          <w:szCs w:val="16"/>
        </w:rPr>
        <w:t>accine</w:t>
      </w:r>
      <w:r w:rsidR="005E5E9A" w:rsidRPr="00774912">
        <w:rPr>
          <w:rFonts w:ascii="Arial" w:hAnsi="Arial" w:cs="Arial"/>
          <w:sz w:val="16"/>
          <w:szCs w:val="16"/>
        </w:rPr>
        <w:t xml:space="preserve"> strain composition post</w:t>
      </w:r>
      <w:r w:rsidR="006F5C6C" w:rsidRPr="00774912">
        <w:rPr>
          <w:rFonts w:ascii="Arial" w:hAnsi="Arial" w:cs="Arial"/>
          <w:sz w:val="16"/>
          <w:szCs w:val="16"/>
        </w:rPr>
        <w:t>-</w:t>
      </w:r>
      <w:r w:rsidR="005E5E9A" w:rsidRPr="00774912">
        <w:rPr>
          <w:rFonts w:ascii="Arial" w:hAnsi="Arial" w:cs="Arial"/>
          <w:sz w:val="16"/>
          <w:szCs w:val="16"/>
        </w:rPr>
        <w:t>202</w:t>
      </w:r>
      <w:r w:rsidR="00A92440" w:rsidRPr="00774912">
        <w:rPr>
          <w:rFonts w:ascii="Arial" w:hAnsi="Arial" w:cs="Arial"/>
          <w:sz w:val="16"/>
          <w:szCs w:val="16"/>
        </w:rPr>
        <w:t>5</w:t>
      </w:r>
      <w:r w:rsidR="005E5E9A" w:rsidRPr="00774912">
        <w:rPr>
          <w:rFonts w:ascii="Arial" w:hAnsi="Arial" w:cs="Arial"/>
          <w:sz w:val="16"/>
          <w:szCs w:val="16"/>
        </w:rPr>
        <w:t xml:space="preserve"> </w:t>
      </w:r>
      <w:r w:rsidR="1867720F" w:rsidRPr="00774912">
        <w:rPr>
          <w:rFonts w:ascii="Arial" w:hAnsi="Arial" w:cs="Arial"/>
          <w:sz w:val="16"/>
          <w:szCs w:val="16"/>
        </w:rPr>
        <w:t>is</w:t>
      </w:r>
      <w:r w:rsidR="005E5E9A" w:rsidRPr="00774912">
        <w:rPr>
          <w:rFonts w:ascii="Arial" w:hAnsi="Arial" w:cs="Arial"/>
          <w:sz w:val="16"/>
          <w:szCs w:val="16"/>
        </w:rPr>
        <w:t xml:space="preserve"> yet to be determined</w:t>
      </w:r>
      <w:r w:rsidR="00F9723E" w:rsidRPr="00774912">
        <w:rPr>
          <w:rFonts w:ascii="Arial" w:hAnsi="Arial" w:cs="Arial"/>
          <w:sz w:val="16"/>
          <w:szCs w:val="16"/>
        </w:rPr>
        <w:t>.</w:t>
      </w:r>
    </w:p>
    <w:p w14:paraId="0951FA9A" w14:textId="1E2C5EFC" w:rsidR="00FB4F32" w:rsidRPr="00774912" w:rsidRDefault="007F162D" w:rsidP="008F2F24">
      <w:pPr>
        <w:spacing w:before="120" w:after="120"/>
        <w:rPr>
          <w:rFonts w:asciiTheme="majorHAnsi" w:hAnsiTheme="majorHAnsi" w:cstheme="majorHAnsi"/>
          <w:b/>
          <w:bCs/>
          <w:color w:val="7030A0"/>
          <w:sz w:val="25"/>
          <w:szCs w:val="25"/>
        </w:rPr>
      </w:pPr>
      <w:r w:rsidRPr="00774912">
        <w:rPr>
          <w:rFonts w:asciiTheme="majorHAnsi" w:hAnsiTheme="majorHAnsi" w:cstheme="majorHAnsi"/>
          <w:b/>
          <w:bCs/>
          <w:color w:val="7030A0"/>
          <w:sz w:val="25"/>
          <w:szCs w:val="25"/>
        </w:rPr>
        <w:t xml:space="preserve">Highlights for </w:t>
      </w:r>
      <w:r w:rsidR="00AB5B5D" w:rsidRPr="00774912">
        <w:rPr>
          <w:rFonts w:asciiTheme="majorHAnsi" w:hAnsiTheme="majorHAnsi" w:cstheme="majorHAnsi"/>
          <w:b/>
          <w:bCs/>
          <w:color w:val="7030A0"/>
          <w:sz w:val="25"/>
          <w:szCs w:val="25"/>
        </w:rPr>
        <w:t>202</w:t>
      </w:r>
      <w:r w:rsidR="00D478C3" w:rsidRPr="00774912">
        <w:rPr>
          <w:rFonts w:asciiTheme="majorHAnsi" w:hAnsiTheme="majorHAnsi" w:cstheme="majorHAnsi"/>
          <w:b/>
          <w:bCs/>
          <w:color w:val="7030A0"/>
          <w:sz w:val="25"/>
          <w:szCs w:val="25"/>
        </w:rPr>
        <w:t>5</w:t>
      </w:r>
      <w:r w:rsidR="00AA4F32" w:rsidRPr="00774912">
        <w:rPr>
          <w:rFonts w:asciiTheme="majorHAnsi" w:hAnsiTheme="majorHAnsi" w:cstheme="majorHAnsi"/>
          <w:b/>
          <w:bCs/>
          <w:color w:val="7030A0"/>
          <w:sz w:val="25"/>
          <w:szCs w:val="25"/>
        </w:rPr>
        <w:t xml:space="preserve"> </w:t>
      </w:r>
      <w:r w:rsidRPr="00774912">
        <w:rPr>
          <w:rFonts w:asciiTheme="majorHAnsi" w:hAnsiTheme="majorHAnsi" w:cstheme="majorHAnsi"/>
          <w:b/>
          <w:bCs/>
          <w:color w:val="7030A0"/>
          <w:sz w:val="25"/>
          <w:szCs w:val="25"/>
        </w:rPr>
        <w:t>i</w:t>
      </w:r>
      <w:r w:rsidR="00F8060C" w:rsidRPr="00774912">
        <w:rPr>
          <w:rFonts w:asciiTheme="majorHAnsi" w:hAnsiTheme="majorHAnsi" w:cstheme="majorHAnsi"/>
          <w:b/>
          <w:bCs/>
          <w:color w:val="7030A0"/>
          <w:sz w:val="25"/>
          <w:szCs w:val="25"/>
        </w:rPr>
        <w:t>nfluenza vaccine formulations</w:t>
      </w:r>
    </w:p>
    <w:p w14:paraId="70F08399" w14:textId="583C15F8" w:rsidR="00AB5C3D" w:rsidRPr="00774912" w:rsidRDefault="00AB5C3D" w:rsidP="00AB5C3D">
      <w:pPr>
        <w:pStyle w:val="BulletedList"/>
        <w:rPr>
          <w:lang w:val="en-AU"/>
        </w:rPr>
      </w:pPr>
      <w:r w:rsidRPr="00774912">
        <w:rPr>
          <w:lang w:val="en-AU"/>
        </w:rPr>
        <w:t xml:space="preserve">Flucelvax Quad® is a cell-based influenza vaccine registered for use in </w:t>
      </w:r>
      <w:r w:rsidR="00C5159A" w:rsidRPr="00774912">
        <w:rPr>
          <w:lang w:val="en-AU"/>
        </w:rPr>
        <w:t xml:space="preserve">children aged ≥6 months and </w:t>
      </w:r>
      <w:r w:rsidRPr="00774912">
        <w:rPr>
          <w:lang w:val="en-AU"/>
        </w:rPr>
        <w:t>adults. It is now funded on the NIP for those at risk of influenza complications (</w:t>
      </w:r>
      <w:r w:rsidRPr="00774912">
        <w:rPr>
          <w:lang w:val="en-AU" w:eastAsia="en-US"/>
        </w:rPr>
        <w:t>Aboriginal and Torres Strait Islander people, pregnant women and people who have certain medical conditions</w:t>
      </w:r>
      <w:r w:rsidRPr="00774912">
        <w:rPr>
          <w:lang w:val="en-AU"/>
        </w:rPr>
        <w:t xml:space="preserve">) who are aged 5–64 years. There is no preferential recommendation between the use of Flucelvax Quad and standard dose egg-based influenza vaccines. </w:t>
      </w:r>
      <w:r w:rsidR="002E4CB6" w:rsidRPr="00774912">
        <w:rPr>
          <w:lang w:val="en-AU"/>
        </w:rPr>
        <w:t>Both egg</w:t>
      </w:r>
      <w:r w:rsidR="00AB26B6" w:rsidRPr="00774912">
        <w:rPr>
          <w:lang w:val="en-AU"/>
        </w:rPr>
        <w:t xml:space="preserve">-based and cell-based </w:t>
      </w:r>
      <w:r w:rsidR="00F53954" w:rsidRPr="00774912">
        <w:rPr>
          <w:lang w:val="en-AU"/>
        </w:rPr>
        <w:t xml:space="preserve">vaccine formations </w:t>
      </w:r>
      <w:r w:rsidR="00AB26B6" w:rsidRPr="00774912">
        <w:rPr>
          <w:lang w:val="en-AU"/>
        </w:rPr>
        <w:t xml:space="preserve">can be </w:t>
      </w:r>
      <w:r w:rsidR="005E0A01" w:rsidRPr="00774912">
        <w:rPr>
          <w:lang w:val="en-AU"/>
        </w:rPr>
        <w:t>given to people with egg allergy.</w:t>
      </w:r>
    </w:p>
    <w:p w14:paraId="64831094" w14:textId="5D32185B" w:rsidR="009F23CB" w:rsidRPr="00774912" w:rsidRDefault="007340B1" w:rsidP="00D96336">
      <w:pPr>
        <w:pStyle w:val="BulletedList"/>
        <w:rPr>
          <w:lang w:val="en-AU"/>
        </w:rPr>
      </w:pPr>
      <w:r w:rsidRPr="00774912">
        <w:rPr>
          <w:lang w:val="en-AU"/>
        </w:rPr>
        <w:t>I</w:t>
      </w:r>
      <w:r w:rsidR="004E5B37"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nfluenza vaccines</w:t>
      </w:r>
      <w:r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 can be given</w:t>
      </w:r>
      <w:r w:rsidR="004E5B37"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 at the same time as, </w:t>
      </w:r>
      <w:r w:rsidR="00D96336" w:rsidRPr="00774912">
        <w:rPr>
          <w:rFonts w:asciiTheme="minorHAnsi" w:hAnsiTheme="minorHAnsi" w:cstheme="minorBidi"/>
          <w:shd w:val="clear" w:color="auto" w:fill="FFFFFF"/>
          <w:lang w:val="en-AU"/>
        </w:rPr>
        <w:t>or at any interval before or after</w:t>
      </w:r>
      <w:r w:rsidR="004E5B37"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, other vaccines,</w:t>
      </w:r>
      <w:r w:rsidR="003C183D"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 </w:t>
      </w:r>
      <w:r w:rsidR="004E5B37"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including </w:t>
      </w:r>
      <w:r w:rsidR="0055118F"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pertussis</w:t>
      </w:r>
      <w:r w:rsidR="004E5B37"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, RSV,</w:t>
      </w:r>
      <w:r w:rsid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 </w:t>
      </w:r>
      <w:r w:rsidR="00D960A4"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>and</w:t>
      </w:r>
      <w:r w:rsidR="004E5B37"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 </w:t>
      </w:r>
      <w:r w:rsidR="001F7CCC"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Shingrix </w:t>
      </w:r>
      <w:r w:rsidR="004E5B37" w:rsidRPr="00774912">
        <w:rPr>
          <w:rStyle w:val="normaltextrun"/>
          <w:rFonts w:asciiTheme="minorHAnsi" w:hAnsiTheme="minorHAnsi" w:cstheme="minorBidi"/>
          <w:shd w:val="clear" w:color="auto" w:fill="FFFFFF"/>
          <w:lang w:val="en-AU"/>
        </w:rPr>
        <w:t xml:space="preserve">vaccines. </w:t>
      </w:r>
      <w:r w:rsidR="00326F35" w:rsidRPr="00774912">
        <w:rPr>
          <w:lang w:val="en-AU"/>
        </w:rPr>
        <w:t>R</w:t>
      </w:r>
      <w:r w:rsidR="00661982" w:rsidRPr="00774912">
        <w:rPr>
          <w:lang w:val="en-AU"/>
        </w:rPr>
        <w:t>efer to</w:t>
      </w:r>
      <w:r w:rsidR="00006DAD" w:rsidRPr="00774912">
        <w:rPr>
          <w:lang w:val="en-AU"/>
        </w:rPr>
        <w:t xml:space="preserve"> the</w:t>
      </w:r>
      <w:r w:rsidR="00661982" w:rsidRPr="00774912">
        <w:rPr>
          <w:lang w:val="en-AU"/>
        </w:rPr>
        <w:t xml:space="preserve"> </w:t>
      </w:r>
      <w:hyperlink r:id="rId13" w:anchor="coadministration-with-other-vaccines" w:history="1">
        <w:r w:rsidR="00006DAD" w:rsidRPr="00774912">
          <w:rPr>
            <w:rStyle w:val="Hyperlink"/>
            <w:rFonts w:asciiTheme="minorHAnsi" w:hAnsiTheme="minorHAnsi" w:cstheme="minorBidi"/>
            <w:lang w:val="en-AU"/>
          </w:rPr>
          <w:t>Australian Immunisation Handbook</w:t>
        </w:r>
      </w:hyperlink>
      <w:r w:rsidR="00661982" w:rsidRPr="00774912">
        <w:rPr>
          <w:lang w:val="en-AU"/>
        </w:rPr>
        <w:t>.</w:t>
      </w:r>
    </w:p>
    <w:p w14:paraId="42F77075" w14:textId="2355C0CA" w:rsidR="00F8060C" w:rsidRPr="00774912" w:rsidRDefault="00F8060C" w:rsidP="005F4D30">
      <w:pPr>
        <w:pStyle w:val="Heading2"/>
        <w:rPr>
          <w:rFonts w:asciiTheme="majorHAnsi" w:hAnsiTheme="majorHAnsi" w:cstheme="majorHAnsi"/>
        </w:rPr>
      </w:pPr>
      <w:r w:rsidRPr="00774912">
        <w:rPr>
          <w:rFonts w:asciiTheme="majorHAnsi" w:hAnsiTheme="majorHAnsi" w:cstheme="majorHAnsi"/>
        </w:rPr>
        <w:t>Timing of vaccination</w:t>
      </w:r>
    </w:p>
    <w:p w14:paraId="29A21DA9" w14:textId="636CFC2C" w:rsidR="00F8060C" w:rsidRPr="00774912" w:rsidRDefault="012F662F" w:rsidP="00CB4D88">
      <w:pPr>
        <w:pStyle w:val="BulletedList"/>
        <w:rPr>
          <w:lang w:val="en-AU"/>
        </w:rPr>
      </w:pPr>
      <w:r w:rsidRPr="00774912">
        <w:rPr>
          <w:lang w:val="en-AU"/>
        </w:rPr>
        <w:t>A</w:t>
      </w:r>
      <w:r w:rsidR="015B74E2" w:rsidRPr="00774912">
        <w:rPr>
          <w:lang w:val="en-AU"/>
        </w:rPr>
        <w:t xml:space="preserve">nnual vaccination </w:t>
      </w:r>
      <w:r w:rsidRPr="00774912">
        <w:rPr>
          <w:lang w:val="en-AU"/>
        </w:rPr>
        <w:t xml:space="preserve">should </w:t>
      </w:r>
      <w:r w:rsidR="02F57D49" w:rsidRPr="00774912">
        <w:rPr>
          <w:lang w:val="en-AU"/>
        </w:rPr>
        <w:t xml:space="preserve">ideally </w:t>
      </w:r>
      <w:r w:rsidRPr="00774912">
        <w:rPr>
          <w:lang w:val="en-AU"/>
        </w:rPr>
        <w:t>occur</w:t>
      </w:r>
      <w:r w:rsidR="015B74E2" w:rsidRPr="00774912">
        <w:rPr>
          <w:lang w:val="en-AU"/>
        </w:rPr>
        <w:t xml:space="preserve"> </w:t>
      </w:r>
      <w:r w:rsidR="5A9A6919" w:rsidRPr="00774912">
        <w:rPr>
          <w:lang w:val="en-AU"/>
        </w:rPr>
        <w:t xml:space="preserve">before </w:t>
      </w:r>
      <w:r w:rsidR="015B74E2" w:rsidRPr="00774912">
        <w:rPr>
          <w:lang w:val="en-AU"/>
        </w:rPr>
        <w:t>the</w:t>
      </w:r>
      <w:r w:rsidR="020FA81C" w:rsidRPr="00774912">
        <w:rPr>
          <w:lang w:val="en-AU"/>
        </w:rPr>
        <w:t xml:space="preserve"> onset of each influenza season</w:t>
      </w:r>
      <w:r w:rsidR="00B30389" w:rsidRPr="00774912">
        <w:rPr>
          <w:lang w:val="en-AU"/>
        </w:rPr>
        <w:t xml:space="preserve"> when it becomes available (likely March/April 2025)</w:t>
      </w:r>
      <w:r w:rsidR="6E10603D" w:rsidRPr="00774912">
        <w:rPr>
          <w:lang w:val="en-AU"/>
        </w:rPr>
        <w:t xml:space="preserve">. </w:t>
      </w:r>
    </w:p>
    <w:p w14:paraId="4054C638" w14:textId="70BE2F97" w:rsidR="00993DBE" w:rsidRPr="00774912" w:rsidRDefault="008F1082" w:rsidP="00044167">
      <w:pPr>
        <w:pStyle w:val="BulletedList"/>
        <w:rPr>
          <w:lang w:val="en-AU"/>
        </w:rPr>
      </w:pPr>
      <w:r w:rsidRPr="00774912">
        <w:rPr>
          <w:lang w:val="en-AU"/>
        </w:rPr>
        <w:t xml:space="preserve">For </w:t>
      </w:r>
      <w:hyperlink r:id="rId14" w:anchor="travellers" w:history="1">
        <w:r w:rsidRPr="00774912">
          <w:rPr>
            <w:rStyle w:val="Hyperlink"/>
            <w:lang w:val="en-AU"/>
          </w:rPr>
          <w:t>p</w:t>
        </w:r>
        <w:r w:rsidR="00993DBE" w:rsidRPr="00774912">
          <w:rPr>
            <w:rStyle w:val="Hyperlink"/>
            <w:lang w:val="en-AU"/>
          </w:rPr>
          <w:t>eople who are planning international travel</w:t>
        </w:r>
      </w:hyperlink>
      <w:r w:rsidRPr="00774912">
        <w:rPr>
          <w:rStyle w:val="Hyperlink"/>
          <w:lang w:val="en-AU"/>
        </w:rPr>
        <w:t>,</w:t>
      </w:r>
      <w:r w:rsidR="00993DBE" w:rsidRPr="00774912">
        <w:rPr>
          <w:lang w:val="en-AU"/>
        </w:rPr>
        <w:t xml:space="preserve"> </w:t>
      </w:r>
      <w:r w:rsidRPr="00774912">
        <w:rPr>
          <w:lang w:val="en-AU"/>
        </w:rPr>
        <w:t>d</w:t>
      </w:r>
      <w:r w:rsidR="009D1ADA" w:rsidRPr="00774912">
        <w:rPr>
          <w:lang w:val="en-AU"/>
        </w:rPr>
        <w:t xml:space="preserve">epending on individual circumstances, </w:t>
      </w:r>
      <w:r w:rsidRPr="00774912">
        <w:rPr>
          <w:lang w:val="en-AU"/>
        </w:rPr>
        <w:t xml:space="preserve">a southern hemisphere vaccine administered prior to travel or </w:t>
      </w:r>
      <w:r w:rsidR="009D1ADA" w:rsidRPr="00774912">
        <w:rPr>
          <w:lang w:val="en-AU"/>
        </w:rPr>
        <w:t xml:space="preserve">northern hemisphere influenza vaccine administered overseas should be considered for optimal protection while travelling.  </w:t>
      </w:r>
    </w:p>
    <w:p w14:paraId="20D06176" w14:textId="36CD8247" w:rsidR="00F8060C" w:rsidRPr="00774912" w:rsidRDefault="00F8060C" w:rsidP="00044167">
      <w:pPr>
        <w:pStyle w:val="BulletedList"/>
        <w:rPr>
          <w:lang w:val="en-AU"/>
        </w:rPr>
      </w:pPr>
      <w:r w:rsidRPr="00774912">
        <w:rPr>
          <w:lang w:val="en-AU"/>
        </w:rPr>
        <w:t xml:space="preserve">While protection is generally expected to last </w:t>
      </w:r>
      <w:r w:rsidR="00FB5F56" w:rsidRPr="00774912">
        <w:rPr>
          <w:lang w:val="en-AU"/>
        </w:rPr>
        <w:t xml:space="preserve">throughout </w:t>
      </w:r>
      <w:r w:rsidR="00CE3617" w:rsidRPr="00774912">
        <w:rPr>
          <w:lang w:val="en-AU"/>
        </w:rPr>
        <w:t>the year</w:t>
      </w:r>
      <w:r w:rsidRPr="00774912">
        <w:rPr>
          <w:lang w:val="en-AU"/>
        </w:rPr>
        <w:t xml:space="preserve">, </w:t>
      </w:r>
      <w:r w:rsidR="001C357C" w:rsidRPr="00774912">
        <w:rPr>
          <w:lang w:val="en-AU"/>
        </w:rPr>
        <w:t>the highest level of</w:t>
      </w:r>
      <w:r w:rsidRPr="00774912">
        <w:rPr>
          <w:lang w:val="en-AU"/>
        </w:rPr>
        <w:t xml:space="preserve"> protection occurs in the first 3</w:t>
      </w:r>
      <w:r w:rsidR="00FB5F56" w:rsidRPr="00774912">
        <w:rPr>
          <w:lang w:val="en-AU"/>
        </w:rPr>
        <w:t> </w:t>
      </w:r>
      <w:r w:rsidRPr="00774912">
        <w:rPr>
          <w:lang w:val="en-AU"/>
        </w:rPr>
        <w:t xml:space="preserve">to 4 months </w:t>
      </w:r>
      <w:r w:rsidR="00FB5F56" w:rsidRPr="00774912">
        <w:rPr>
          <w:lang w:val="en-AU"/>
        </w:rPr>
        <w:t xml:space="preserve">after </w:t>
      </w:r>
      <w:r w:rsidRPr="00774912">
        <w:rPr>
          <w:lang w:val="en-AU"/>
        </w:rPr>
        <w:t>vaccination.</w:t>
      </w:r>
    </w:p>
    <w:p w14:paraId="7537A5EF" w14:textId="1524A9D4" w:rsidR="00F8060C" w:rsidRPr="00774912" w:rsidRDefault="00F8060C" w:rsidP="00044167">
      <w:pPr>
        <w:pStyle w:val="BulletedList"/>
        <w:rPr>
          <w:lang w:val="en-AU"/>
        </w:rPr>
      </w:pPr>
      <w:r w:rsidRPr="00774912">
        <w:rPr>
          <w:lang w:val="en-AU"/>
        </w:rPr>
        <w:t xml:space="preserve">Vaccination should continue to be offered as long as influenza viruses are </w:t>
      </w:r>
      <w:proofErr w:type="gramStart"/>
      <w:r w:rsidRPr="00774912">
        <w:rPr>
          <w:lang w:val="en-AU"/>
        </w:rPr>
        <w:t>circulating</w:t>
      </w:r>
      <w:proofErr w:type="gramEnd"/>
      <w:r w:rsidRPr="00774912">
        <w:rPr>
          <w:lang w:val="en-AU"/>
        </w:rPr>
        <w:t xml:space="preserve"> and a valid vaccine (before expiration date) is available.</w:t>
      </w:r>
      <w:r w:rsidR="00C93BFE" w:rsidRPr="00774912">
        <w:rPr>
          <w:lang w:val="en-AU"/>
        </w:rPr>
        <w:t xml:space="preserve"> Some </w:t>
      </w:r>
      <w:r w:rsidR="72ED0667" w:rsidRPr="00774912">
        <w:rPr>
          <w:lang w:val="en-AU"/>
        </w:rPr>
        <w:t xml:space="preserve">2025 </w:t>
      </w:r>
      <w:r w:rsidR="00C93BFE" w:rsidRPr="00774912">
        <w:rPr>
          <w:lang w:val="en-AU"/>
        </w:rPr>
        <w:t>vaccine brands have an expiry date of February</w:t>
      </w:r>
      <w:r w:rsidR="008368DB" w:rsidRPr="00774912">
        <w:rPr>
          <w:lang w:val="en-AU"/>
        </w:rPr>
        <w:t xml:space="preserve"> 202</w:t>
      </w:r>
      <w:r w:rsidR="00031C3B" w:rsidRPr="00774912">
        <w:rPr>
          <w:lang w:val="en-AU"/>
        </w:rPr>
        <w:t>6</w:t>
      </w:r>
      <w:r w:rsidR="00C93BFE" w:rsidRPr="00774912">
        <w:rPr>
          <w:lang w:val="en-AU"/>
        </w:rPr>
        <w:t>.</w:t>
      </w:r>
      <w:r w:rsidR="00CC0BFF" w:rsidRPr="00774912">
        <w:rPr>
          <w:lang w:val="en-AU"/>
        </w:rPr>
        <w:t xml:space="preserve"> </w:t>
      </w:r>
    </w:p>
    <w:p w14:paraId="434EDFDE" w14:textId="6B4CB37C" w:rsidR="00436D06" w:rsidRPr="00774912" w:rsidRDefault="007A2469" w:rsidP="00150105">
      <w:pPr>
        <w:pStyle w:val="BulletedList"/>
        <w:rPr>
          <w:lang w:val="en-AU"/>
        </w:rPr>
      </w:pPr>
      <w:r w:rsidRPr="00774912">
        <w:rPr>
          <w:lang w:val="en-AU"/>
        </w:rPr>
        <w:t xml:space="preserve">If </w:t>
      </w:r>
      <w:r w:rsidR="55A41C7D" w:rsidRPr="00774912">
        <w:rPr>
          <w:lang w:val="en-AU"/>
        </w:rPr>
        <w:t>a person ha</w:t>
      </w:r>
      <w:r w:rsidR="009364C3" w:rsidRPr="00774912">
        <w:rPr>
          <w:lang w:val="en-AU"/>
        </w:rPr>
        <w:t>d</w:t>
      </w:r>
      <w:r w:rsidR="55A41C7D" w:rsidRPr="00774912">
        <w:rPr>
          <w:lang w:val="en-AU"/>
        </w:rPr>
        <w:t xml:space="preserve"> a</w:t>
      </w:r>
      <w:r w:rsidRPr="00774912">
        <w:rPr>
          <w:lang w:val="en-AU"/>
        </w:rPr>
        <w:t xml:space="preserve"> 202</w:t>
      </w:r>
      <w:r w:rsidR="003E601A" w:rsidRPr="00774912">
        <w:rPr>
          <w:lang w:val="en-AU"/>
        </w:rPr>
        <w:t>4</w:t>
      </w:r>
      <w:r w:rsidRPr="00774912">
        <w:rPr>
          <w:lang w:val="en-AU"/>
        </w:rPr>
        <w:t xml:space="preserve"> influenza vaccine in late 202</w:t>
      </w:r>
      <w:r w:rsidR="003E601A" w:rsidRPr="00774912">
        <w:rPr>
          <w:lang w:val="en-AU"/>
        </w:rPr>
        <w:t>4</w:t>
      </w:r>
      <w:r w:rsidRPr="00774912">
        <w:rPr>
          <w:lang w:val="en-AU"/>
        </w:rPr>
        <w:t xml:space="preserve"> or early 202</w:t>
      </w:r>
      <w:r w:rsidR="003E601A" w:rsidRPr="00774912">
        <w:rPr>
          <w:lang w:val="en-AU"/>
        </w:rPr>
        <w:t>5</w:t>
      </w:r>
      <w:r w:rsidRPr="00774912">
        <w:rPr>
          <w:lang w:val="en-AU"/>
        </w:rPr>
        <w:t xml:space="preserve">, </w:t>
      </w:r>
      <w:r w:rsidR="00FB5F56" w:rsidRPr="00774912">
        <w:rPr>
          <w:lang w:val="en-AU"/>
        </w:rPr>
        <w:t>they are</w:t>
      </w:r>
      <w:r w:rsidR="00D81B6B" w:rsidRPr="00774912">
        <w:rPr>
          <w:lang w:val="en-AU"/>
        </w:rPr>
        <w:t xml:space="preserve"> </w:t>
      </w:r>
      <w:r w:rsidR="55A41C7D" w:rsidRPr="00774912">
        <w:rPr>
          <w:lang w:val="en-AU"/>
        </w:rPr>
        <w:t xml:space="preserve">still recommended </w:t>
      </w:r>
      <w:r w:rsidR="00FB5F56" w:rsidRPr="00774912">
        <w:rPr>
          <w:lang w:val="en-AU"/>
        </w:rPr>
        <w:t xml:space="preserve">to </w:t>
      </w:r>
      <w:r w:rsidR="55A41C7D" w:rsidRPr="00774912">
        <w:rPr>
          <w:lang w:val="en-AU"/>
        </w:rPr>
        <w:t>receive a</w:t>
      </w:r>
      <w:r w:rsidRPr="00774912">
        <w:rPr>
          <w:lang w:val="en-AU"/>
        </w:rPr>
        <w:t xml:space="preserve"> 202</w:t>
      </w:r>
      <w:r w:rsidR="003E601A" w:rsidRPr="00774912">
        <w:rPr>
          <w:lang w:val="en-AU"/>
        </w:rPr>
        <w:t>5</w:t>
      </w:r>
      <w:r w:rsidR="55A41C7D" w:rsidRPr="00774912">
        <w:rPr>
          <w:lang w:val="en-AU"/>
        </w:rPr>
        <w:t xml:space="preserve"> formulation of </w:t>
      </w:r>
      <w:r w:rsidRPr="00774912">
        <w:rPr>
          <w:lang w:val="en-AU"/>
        </w:rPr>
        <w:t>influenza vaccin</w:t>
      </w:r>
      <w:r w:rsidR="55A41C7D" w:rsidRPr="00774912">
        <w:rPr>
          <w:lang w:val="en-AU"/>
        </w:rPr>
        <w:t>e</w:t>
      </w:r>
      <w:r w:rsidRPr="00774912">
        <w:rPr>
          <w:lang w:val="en-AU"/>
        </w:rPr>
        <w:t xml:space="preserve"> </w:t>
      </w:r>
      <w:r w:rsidR="00FB5F56" w:rsidRPr="00774912">
        <w:rPr>
          <w:lang w:val="en-AU"/>
        </w:rPr>
        <w:t xml:space="preserve">when </w:t>
      </w:r>
      <w:r w:rsidR="55A41C7D" w:rsidRPr="00774912">
        <w:rPr>
          <w:lang w:val="en-AU"/>
        </w:rPr>
        <w:t>it</w:t>
      </w:r>
      <w:r w:rsidRPr="00774912">
        <w:rPr>
          <w:lang w:val="en-AU"/>
        </w:rPr>
        <w:t xml:space="preserve"> becomes available</w:t>
      </w:r>
      <w:r w:rsidR="007C300E" w:rsidRPr="00774912">
        <w:rPr>
          <w:lang w:val="en-AU"/>
        </w:rPr>
        <w:t>.</w:t>
      </w:r>
      <w:r w:rsidR="55A41C7D" w:rsidRPr="00774912">
        <w:rPr>
          <w:lang w:val="en-AU"/>
        </w:rPr>
        <w:t xml:space="preserve"> </w:t>
      </w:r>
    </w:p>
    <w:p w14:paraId="7201077E" w14:textId="77777777" w:rsidR="00F8060C" w:rsidRPr="00774912" w:rsidRDefault="00F8060C" w:rsidP="005F4D30">
      <w:pPr>
        <w:pStyle w:val="Heading2"/>
        <w:rPr>
          <w:rFonts w:asciiTheme="majorHAnsi" w:hAnsiTheme="majorHAnsi" w:cstheme="majorHAnsi"/>
        </w:rPr>
      </w:pPr>
      <w:r w:rsidRPr="00774912">
        <w:rPr>
          <w:rFonts w:asciiTheme="majorHAnsi" w:hAnsiTheme="majorHAnsi" w:cstheme="majorHAnsi"/>
        </w:rPr>
        <w:t>Influenza vaccination for pregnant women</w:t>
      </w:r>
    </w:p>
    <w:p w14:paraId="5127E3D4" w14:textId="256203F9" w:rsidR="00362C9B" w:rsidRPr="00774912" w:rsidRDefault="32335D86" w:rsidP="1CEE8A7F">
      <w:pPr>
        <w:pStyle w:val="BulletedList"/>
        <w:rPr>
          <w:rFonts w:asciiTheme="minorHAnsi" w:hAnsiTheme="minorHAnsi" w:cstheme="minorBidi"/>
          <w:lang w:val="en-AU"/>
        </w:rPr>
      </w:pPr>
      <w:r w:rsidRPr="00774912">
        <w:rPr>
          <w:lang w:val="en-AU"/>
        </w:rPr>
        <w:t>Influenza vaccine is recommended in every pregnancy</w:t>
      </w:r>
      <w:r w:rsidR="54297F05" w:rsidRPr="00774912">
        <w:rPr>
          <w:lang w:val="en-AU"/>
        </w:rPr>
        <w:t xml:space="preserve">, </w:t>
      </w:r>
      <w:r w:rsidR="519BE138" w:rsidRPr="00774912">
        <w:rPr>
          <w:lang w:val="en-AU"/>
        </w:rPr>
        <w:t>at any stage of pregnancy</w:t>
      </w:r>
      <w:r w:rsidR="54297F05" w:rsidRPr="00774912">
        <w:rPr>
          <w:lang w:val="en-AU"/>
        </w:rPr>
        <w:t xml:space="preserve"> and</w:t>
      </w:r>
      <w:r w:rsidR="3382F3B7" w:rsidRPr="00774912">
        <w:rPr>
          <w:lang w:val="en-AU"/>
        </w:rPr>
        <w:t xml:space="preserve"> </w:t>
      </w:r>
      <w:r w:rsidRPr="00774912">
        <w:rPr>
          <w:lang w:val="en-AU"/>
        </w:rPr>
        <w:t>can</w:t>
      </w:r>
      <w:r w:rsidR="7B15D3BE" w:rsidRPr="00774912">
        <w:rPr>
          <w:lang w:val="en-AU"/>
        </w:rPr>
        <w:t xml:space="preserve"> </w:t>
      </w:r>
      <w:r w:rsidR="110388DC" w:rsidRPr="00774912">
        <w:rPr>
          <w:lang w:val="en-AU"/>
        </w:rPr>
        <w:t xml:space="preserve">safely </w:t>
      </w:r>
      <w:r w:rsidR="536F7C6F" w:rsidRPr="00774912">
        <w:rPr>
          <w:lang w:val="en-AU"/>
        </w:rPr>
        <w:t>be given at</w:t>
      </w:r>
      <w:r w:rsidRPr="00774912">
        <w:rPr>
          <w:lang w:val="en-AU"/>
        </w:rPr>
        <w:t xml:space="preserve"> the </w:t>
      </w:r>
      <w:r w:rsidR="536F7C6F" w:rsidRPr="00774912">
        <w:rPr>
          <w:lang w:val="en-AU"/>
        </w:rPr>
        <w:t xml:space="preserve">same time as </w:t>
      </w:r>
      <w:r w:rsidR="3B2C64AE" w:rsidRPr="00774912">
        <w:rPr>
          <w:lang w:val="en-AU"/>
        </w:rPr>
        <w:t xml:space="preserve">a </w:t>
      </w:r>
      <w:r w:rsidRPr="00774912">
        <w:rPr>
          <w:lang w:val="en-AU"/>
        </w:rPr>
        <w:t>pertussis</w:t>
      </w:r>
      <w:r w:rsidR="47490102" w:rsidRPr="00774912">
        <w:rPr>
          <w:lang w:val="en-AU"/>
        </w:rPr>
        <w:t>,</w:t>
      </w:r>
      <w:r w:rsidR="03477315" w:rsidRPr="00774912">
        <w:rPr>
          <w:lang w:val="en-AU"/>
        </w:rPr>
        <w:t xml:space="preserve"> </w:t>
      </w:r>
      <w:r w:rsidR="003B5A75" w:rsidRPr="00774912">
        <w:rPr>
          <w:lang w:val="en-AU"/>
        </w:rPr>
        <w:t xml:space="preserve">RSV, or </w:t>
      </w:r>
      <w:r w:rsidR="03477315" w:rsidRPr="00774912">
        <w:rPr>
          <w:lang w:val="en-AU"/>
        </w:rPr>
        <w:t>COVID-19</w:t>
      </w:r>
      <w:r w:rsidR="47490102" w:rsidRPr="00774912">
        <w:rPr>
          <w:lang w:val="en-AU"/>
        </w:rPr>
        <w:t xml:space="preserve"> </w:t>
      </w:r>
      <w:r w:rsidR="003B5A75" w:rsidRPr="00774912">
        <w:rPr>
          <w:lang w:val="en-AU"/>
        </w:rPr>
        <w:t xml:space="preserve">(if required) </w:t>
      </w:r>
      <w:r w:rsidR="47490102" w:rsidRPr="00774912">
        <w:rPr>
          <w:lang w:val="en-AU"/>
        </w:rPr>
        <w:t>or other vaccine</w:t>
      </w:r>
      <w:r w:rsidR="3382DD64" w:rsidRPr="00774912">
        <w:rPr>
          <w:lang w:val="en-AU"/>
        </w:rPr>
        <w:t>s</w:t>
      </w:r>
      <w:r w:rsidR="47490102" w:rsidRPr="00774912">
        <w:rPr>
          <w:lang w:val="en-AU"/>
        </w:rPr>
        <w:t xml:space="preserve"> indicated in </w:t>
      </w:r>
      <w:r w:rsidR="00774912" w:rsidRPr="00774912">
        <w:rPr>
          <w:lang w:val="en-AU"/>
        </w:rPr>
        <w:t>pregnancy,</w:t>
      </w:r>
      <w:r w:rsidR="22CF526D" w:rsidRPr="00774912">
        <w:rPr>
          <w:lang w:val="en-AU"/>
        </w:rPr>
        <w:t xml:space="preserve"> </w:t>
      </w:r>
    </w:p>
    <w:p w14:paraId="38B80368" w14:textId="235AA4A4" w:rsidR="00185613" w:rsidRPr="00774912" w:rsidRDefault="00185613" w:rsidP="00044167">
      <w:pPr>
        <w:pStyle w:val="BulletedList"/>
        <w:rPr>
          <w:lang w:val="en-AU"/>
        </w:rPr>
      </w:pPr>
      <w:r w:rsidRPr="00774912">
        <w:rPr>
          <w:lang w:val="en-AU"/>
        </w:rPr>
        <w:t xml:space="preserve">For </w:t>
      </w:r>
      <w:r w:rsidR="00D30EC8" w:rsidRPr="00774912">
        <w:rPr>
          <w:lang w:val="en-AU"/>
        </w:rPr>
        <w:t xml:space="preserve">pregnant </w:t>
      </w:r>
      <w:r w:rsidRPr="00774912">
        <w:rPr>
          <w:lang w:val="en-AU"/>
        </w:rPr>
        <w:t>women who receive</w:t>
      </w:r>
      <w:r w:rsidR="00615976" w:rsidRPr="00774912">
        <w:rPr>
          <w:lang w:val="en-AU"/>
        </w:rPr>
        <w:t>d</w:t>
      </w:r>
      <w:r w:rsidRPr="00774912">
        <w:rPr>
          <w:lang w:val="en-AU"/>
        </w:rPr>
        <w:t xml:space="preserve"> an influenza vaccine in </w:t>
      </w:r>
      <w:r w:rsidR="00872841" w:rsidRPr="00774912">
        <w:rPr>
          <w:lang w:val="en-AU"/>
        </w:rPr>
        <w:t>202</w:t>
      </w:r>
      <w:r w:rsidR="00C921C7" w:rsidRPr="00774912">
        <w:rPr>
          <w:lang w:val="en-AU"/>
        </w:rPr>
        <w:t>4</w:t>
      </w:r>
      <w:r w:rsidRPr="00774912">
        <w:rPr>
          <w:lang w:val="en-AU"/>
        </w:rPr>
        <w:t>,</w:t>
      </w:r>
      <w:r w:rsidR="001D7875" w:rsidRPr="00774912">
        <w:rPr>
          <w:lang w:val="en-AU"/>
        </w:rPr>
        <w:t xml:space="preserve"> it is recommended to </w:t>
      </w:r>
      <w:r w:rsidR="00E80E04" w:rsidRPr="00774912">
        <w:rPr>
          <w:lang w:val="en-AU"/>
        </w:rPr>
        <w:t xml:space="preserve">also </w:t>
      </w:r>
      <w:r w:rsidR="00C86BE6" w:rsidRPr="00774912">
        <w:rPr>
          <w:lang w:val="en-AU"/>
        </w:rPr>
        <w:t>give the</w:t>
      </w:r>
      <w:r w:rsidRPr="00774912">
        <w:rPr>
          <w:lang w:val="en-AU"/>
        </w:rPr>
        <w:t xml:space="preserve"> </w:t>
      </w:r>
      <w:r w:rsidR="00872841" w:rsidRPr="00774912">
        <w:rPr>
          <w:lang w:val="en-AU"/>
        </w:rPr>
        <w:t>202</w:t>
      </w:r>
      <w:r w:rsidR="00D30EC8" w:rsidRPr="00774912">
        <w:rPr>
          <w:lang w:val="en-AU"/>
        </w:rPr>
        <w:t>5</w:t>
      </w:r>
      <w:r w:rsidR="00872841" w:rsidRPr="00774912">
        <w:rPr>
          <w:lang w:val="en-AU"/>
        </w:rPr>
        <w:t xml:space="preserve"> </w:t>
      </w:r>
      <w:r w:rsidRPr="00774912">
        <w:rPr>
          <w:lang w:val="en-AU"/>
        </w:rPr>
        <w:t>influenza vaccine</w:t>
      </w:r>
      <w:r w:rsidR="001D7875" w:rsidRPr="00774912">
        <w:rPr>
          <w:lang w:val="en-AU"/>
        </w:rPr>
        <w:t xml:space="preserve"> if it</w:t>
      </w:r>
      <w:r w:rsidRPr="00774912">
        <w:rPr>
          <w:lang w:val="en-AU"/>
        </w:rPr>
        <w:t xml:space="preserve"> becomes available before the end of pregnancy.</w:t>
      </w:r>
    </w:p>
    <w:p w14:paraId="4B203D82" w14:textId="0A494AA8" w:rsidR="00983F5F" w:rsidRPr="00774912" w:rsidRDefault="00AC34F0" w:rsidP="00044167">
      <w:pPr>
        <w:pStyle w:val="BulletedList"/>
        <w:rPr>
          <w:lang w:val="en-AU"/>
        </w:rPr>
      </w:pPr>
      <w:r w:rsidRPr="00774912">
        <w:rPr>
          <w:lang w:val="en-AU"/>
        </w:rPr>
        <w:t xml:space="preserve">For </w:t>
      </w:r>
      <w:r w:rsidR="0076243C" w:rsidRPr="00774912">
        <w:rPr>
          <w:lang w:val="en-AU"/>
        </w:rPr>
        <w:t xml:space="preserve">pregnant </w:t>
      </w:r>
      <w:r w:rsidRPr="00774912">
        <w:rPr>
          <w:lang w:val="en-AU"/>
        </w:rPr>
        <w:t>women who receive</w:t>
      </w:r>
      <w:r w:rsidR="001B34FB" w:rsidRPr="00774912">
        <w:rPr>
          <w:lang w:val="en-AU"/>
        </w:rPr>
        <w:t xml:space="preserve"> influenza </w:t>
      </w:r>
      <w:r w:rsidR="00D51816" w:rsidRPr="00774912">
        <w:rPr>
          <w:lang w:val="en-AU"/>
        </w:rPr>
        <w:t xml:space="preserve">vaccine before </w:t>
      </w:r>
      <w:r w:rsidR="00CB3A14" w:rsidRPr="00774912">
        <w:rPr>
          <w:lang w:val="en-AU"/>
        </w:rPr>
        <w:t>becoming</w:t>
      </w:r>
      <w:r w:rsidR="00D51816" w:rsidRPr="00774912">
        <w:rPr>
          <w:lang w:val="en-AU"/>
        </w:rPr>
        <w:t xml:space="preserve"> pregnant, revaccinat</w:t>
      </w:r>
      <w:r w:rsidR="001D7875" w:rsidRPr="00774912">
        <w:rPr>
          <w:lang w:val="en-AU"/>
        </w:rPr>
        <w:t>ion is recommended</w:t>
      </w:r>
      <w:r w:rsidR="00D51816" w:rsidRPr="00774912">
        <w:rPr>
          <w:lang w:val="en-AU"/>
        </w:rPr>
        <w:t xml:space="preserve"> </w:t>
      </w:r>
      <w:r w:rsidR="00977829" w:rsidRPr="00774912">
        <w:rPr>
          <w:lang w:val="en-AU"/>
        </w:rPr>
        <w:t xml:space="preserve">during pregnancy </w:t>
      </w:r>
      <w:r w:rsidR="00D51816" w:rsidRPr="00774912">
        <w:rPr>
          <w:lang w:val="en-AU"/>
        </w:rPr>
        <w:t>to</w:t>
      </w:r>
      <w:r w:rsidR="001D7875" w:rsidRPr="00774912">
        <w:rPr>
          <w:lang w:val="en-AU"/>
        </w:rPr>
        <w:t xml:space="preserve"> maximise </w:t>
      </w:r>
      <w:r w:rsidR="00C86BE6" w:rsidRPr="00774912">
        <w:rPr>
          <w:lang w:val="en-AU"/>
        </w:rPr>
        <w:t>the protection</w:t>
      </w:r>
      <w:r w:rsidR="001D7875" w:rsidRPr="00774912">
        <w:rPr>
          <w:lang w:val="en-AU"/>
        </w:rPr>
        <w:t xml:space="preserve"> of the mother and</w:t>
      </w:r>
      <w:r w:rsidR="00D51816" w:rsidRPr="00774912">
        <w:rPr>
          <w:lang w:val="en-AU"/>
        </w:rPr>
        <w:t xml:space="preserve"> </w:t>
      </w:r>
      <w:r w:rsidR="00485E61" w:rsidRPr="00774912">
        <w:rPr>
          <w:lang w:val="en-AU"/>
        </w:rPr>
        <w:t>the infant in the first six months of life.</w:t>
      </w:r>
    </w:p>
    <w:p w14:paraId="4DC9863E" w14:textId="77777777" w:rsidR="0012773D" w:rsidRPr="00774912" w:rsidRDefault="00F8060C" w:rsidP="005F4D30">
      <w:pPr>
        <w:pStyle w:val="Heading2"/>
        <w:rPr>
          <w:rFonts w:asciiTheme="majorHAnsi" w:hAnsiTheme="majorHAnsi" w:cstheme="majorHAnsi"/>
        </w:rPr>
      </w:pPr>
      <w:r w:rsidRPr="00774912">
        <w:rPr>
          <w:rFonts w:asciiTheme="majorHAnsi" w:hAnsiTheme="majorHAnsi" w:cstheme="majorHAnsi"/>
        </w:rPr>
        <w:t>Eligibility for influenza vaccines funded by the National Immunisation Program (NIP)</w:t>
      </w:r>
    </w:p>
    <w:p w14:paraId="48333C1F" w14:textId="60FA3311" w:rsidR="00993DBE" w:rsidRPr="00774912" w:rsidRDefault="0012773D" w:rsidP="00044167">
      <w:pPr>
        <w:pStyle w:val="BulletedList"/>
        <w:rPr>
          <w:lang w:val="en-AU"/>
        </w:rPr>
      </w:pPr>
      <w:r w:rsidRPr="00774912">
        <w:rPr>
          <w:lang w:val="en-AU"/>
        </w:rPr>
        <w:t>Annual influenza vaccination is funded for</w:t>
      </w:r>
      <w:r w:rsidR="00993DBE" w:rsidRPr="00774912">
        <w:rPr>
          <w:lang w:val="en-AU"/>
        </w:rPr>
        <w:t>:</w:t>
      </w:r>
    </w:p>
    <w:p w14:paraId="20E0B471" w14:textId="7985F09C" w:rsidR="00E049E0" w:rsidRPr="00774912" w:rsidRDefault="0012773D" w:rsidP="00E049E0">
      <w:pPr>
        <w:pStyle w:val="BulletedList"/>
        <w:numPr>
          <w:ilvl w:val="1"/>
          <w:numId w:val="4"/>
        </w:numPr>
        <w:rPr>
          <w:iCs/>
          <w:sz w:val="18"/>
          <w:szCs w:val="18"/>
          <w:lang w:val="en-AU"/>
        </w:rPr>
      </w:pPr>
      <w:r w:rsidRPr="00774912">
        <w:rPr>
          <w:lang w:val="en-AU"/>
        </w:rPr>
        <w:t xml:space="preserve">all children </w:t>
      </w:r>
      <w:r w:rsidR="00A177A5" w:rsidRPr="00774912">
        <w:rPr>
          <w:lang w:val="en-AU"/>
        </w:rPr>
        <w:t xml:space="preserve">aged </w:t>
      </w:r>
      <w:r w:rsidRPr="00774912">
        <w:rPr>
          <w:lang w:val="en-AU"/>
        </w:rPr>
        <w:t xml:space="preserve">6 months to &lt;5 </w:t>
      </w:r>
      <w:proofErr w:type="gramStart"/>
      <w:r w:rsidRPr="00774912">
        <w:rPr>
          <w:lang w:val="en-AU"/>
        </w:rPr>
        <w:t>years</w:t>
      </w:r>
      <w:r w:rsidR="00E049E0" w:rsidRPr="00774912">
        <w:rPr>
          <w:lang w:val="en-AU"/>
        </w:rPr>
        <w:t>;</w:t>
      </w:r>
      <w:proofErr w:type="gramEnd"/>
    </w:p>
    <w:p w14:paraId="773FE83B" w14:textId="3819BB67" w:rsidR="00016FB9" w:rsidRPr="00774912" w:rsidRDefault="00993DBE" w:rsidP="00FA1932">
      <w:pPr>
        <w:pStyle w:val="BulletedList"/>
        <w:numPr>
          <w:ilvl w:val="1"/>
          <w:numId w:val="4"/>
        </w:numPr>
        <w:rPr>
          <w:lang w:val="en-AU"/>
        </w:rPr>
      </w:pPr>
      <w:r w:rsidRPr="00774912">
        <w:rPr>
          <w:lang w:val="en-AU"/>
        </w:rPr>
        <w:t>a</w:t>
      </w:r>
      <w:r w:rsidR="0012773D" w:rsidRPr="00774912">
        <w:rPr>
          <w:lang w:val="en-AU"/>
        </w:rPr>
        <w:t>ll adults</w:t>
      </w:r>
      <w:r w:rsidR="00A177A5" w:rsidRPr="00774912">
        <w:rPr>
          <w:lang w:val="en-AU"/>
        </w:rPr>
        <w:t xml:space="preserve"> aged</w:t>
      </w:r>
      <w:r w:rsidR="0012773D" w:rsidRPr="00774912">
        <w:rPr>
          <w:lang w:val="en-AU"/>
        </w:rPr>
        <w:t xml:space="preserve"> ≥65 years</w:t>
      </w:r>
      <w:r w:rsidR="008C197F" w:rsidRPr="00774912">
        <w:rPr>
          <w:lang w:val="en-AU"/>
        </w:rPr>
        <w:t>; and</w:t>
      </w:r>
      <w:r w:rsidR="008C197F" w:rsidRPr="00774912" w:rsidDel="008C197F">
        <w:rPr>
          <w:lang w:val="en-AU"/>
        </w:rPr>
        <w:t xml:space="preserve"> </w:t>
      </w:r>
    </w:p>
    <w:p w14:paraId="6505BF65" w14:textId="6BCD5DE9" w:rsidR="008C197F" w:rsidRPr="00774912" w:rsidRDefault="00425DA0" w:rsidP="1CEE8A7F">
      <w:pPr>
        <w:pStyle w:val="BulletedList"/>
        <w:rPr>
          <w:lang w:val="en-AU"/>
        </w:rPr>
      </w:pPr>
      <w:r>
        <w:rPr>
          <w:lang w:val="en-AU"/>
        </w:rPr>
        <w:t>S</w:t>
      </w:r>
      <w:r w:rsidR="0732F9C5" w:rsidRPr="00774912">
        <w:rPr>
          <w:lang w:val="en-AU"/>
        </w:rPr>
        <w:t xml:space="preserve">pecific populations aged 5 to &lt;65 years of age at increased risk of </w:t>
      </w:r>
      <w:r w:rsidR="00065304" w:rsidRPr="00774912">
        <w:rPr>
          <w:lang w:val="en-AU"/>
        </w:rPr>
        <w:t xml:space="preserve">severe </w:t>
      </w:r>
      <w:r w:rsidR="0732F9C5" w:rsidRPr="00774912">
        <w:rPr>
          <w:lang w:val="en-AU"/>
        </w:rPr>
        <w:t>influenza (all Aboriginal and Torres Strait Islander people, people who have certain medical conditions (see Table 3) and pregnant women)</w:t>
      </w:r>
    </w:p>
    <w:p w14:paraId="799D2BE8" w14:textId="77777777" w:rsidR="00971E5B" w:rsidRPr="003F3A2E" w:rsidRDefault="00971E5B" w:rsidP="003F3A2E">
      <w:r>
        <w:rPr>
          <w:rFonts w:ascii="Arial" w:hAnsi="Arial" w:cs="Arial"/>
          <w:b/>
          <w:bCs/>
          <w:color w:val="7030A0"/>
          <w:sz w:val="20"/>
          <w:szCs w:val="18"/>
          <w:lang w:eastAsia="en-US"/>
        </w:rPr>
        <w:br w:type="page"/>
      </w:r>
    </w:p>
    <w:p w14:paraId="215F1A60" w14:textId="306A5073" w:rsidR="004C0A03" w:rsidRPr="00774912" w:rsidRDefault="004C0A03" w:rsidP="004C0A03">
      <w:pPr>
        <w:spacing w:after="200" w:line="276" w:lineRule="auto"/>
        <w:rPr>
          <w:rFonts w:ascii="Arial" w:hAnsi="Arial" w:cs="Arial"/>
          <w:b/>
          <w:bCs/>
          <w:color w:val="7030A0"/>
          <w:sz w:val="20"/>
          <w:szCs w:val="18"/>
          <w:lang w:eastAsia="en-US"/>
        </w:rPr>
      </w:pPr>
      <w:r w:rsidRPr="00774912">
        <w:rPr>
          <w:rFonts w:ascii="Arial" w:hAnsi="Arial" w:cs="Arial"/>
          <w:b/>
          <w:bCs/>
          <w:color w:val="7030A0"/>
          <w:sz w:val="20"/>
          <w:szCs w:val="18"/>
          <w:lang w:eastAsia="en-US"/>
        </w:rPr>
        <w:lastRenderedPageBreak/>
        <w:t>Table 3. Medical conditions associated with an increased risk of influenza disease complications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  <w:tblCaption w:val="Medical conditions associated with an increased risk of influenza disease complications and for which individuals are eligible for free vaccination under the NIP"/>
        <w:tblDescription w:val="This table lists the disease categories in the left column and examples in the right column."/>
      </w:tblPr>
      <w:tblGrid>
        <w:gridCol w:w="2977"/>
        <w:gridCol w:w="5842"/>
        <w:gridCol w:w="1267"/>
      </w:tblGrid>
      <w:tr w:rsidR="00A3334D" w:rsidRPr="00774912" w14:paraId="6D4F7C00" w14:textId="1C0980E6" w:rsidTr="1CEE8A7F">
        <w:trPr>
          <w:trHeight w:val="283"/>
          <w:tblHeader/>
        </w:trPr>
        <w:tc>
          <w:tcPr>
            <w:tcW w:w="1476" w:type="pct"/>
            <w:shd w:val="clear" w:color="auto" w:fill="57259F"/>
            <w:tcMar>
              <w:top w:w="11" w:type="dxa"/>
              <w:bottom w:w="11" w:type="dxa"/>
            </w:tcMar>
            <w:vAlign w:val="center"/>
          </w:tcPr>
          <w:p w14:paraId="5883A0B4" w14:textId="77777777" w:rsidR="00A3334D" w:rsidRPr="00774912" w:rsidRDefault="00A3334D" w:rsidP="005D76E5">
            <w:pPr>
              <w:pStyle w:val="Tablecolumnheading"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18"/>
                <w:szCs w:val="24"/>
              </w:rPr>
            </w:pPr>
            <w:r w:rsidRPr="00774912">
              <w:rPr>
                <w:rFonts w:ascii="Arial" w:hAnsi="Arial" w:cs="Arial"/>
                <w:color w:val="FFFFFF" w:themeColor="background1"/>
                <w:sz w:val="18"/>
                <w:szCs w:val="24"/>
              </w:rPr>
              <w:t>Category</w:t>
            </w:r>
          </w:p>
        </w:tc>
        <w:tc>
          <w:tcPr>
            <w:tcW w:w="2896" w:type="pct"/>
            <w:shd w:val="clear" w:color="auto" w:fill="57259F"/>
            <w:tcMar>
              <w:top w:w="11" w:type="dxa"/>
              <w:bottom w:w="11" w:type="dxa"/>
            </w:tcMar>
            <w:vAlign w:val="center"/>
          </w:tcPr>
          <w:p w14:paraId="4CB8EC56" w14:textId="0BC7DA42" w:rsidR="00A3334D" w:rsidRPr="00774912" w:rsidRDefault="00A3334D" w:rsidP="005D76E5">
            <w:pPr>
              <w:pStyle w:val="Tablecolumnheading"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18"/>
                <w:szCs w:val="24"/>
              </w:rPr>
            </w:pPr>
            <w:r w:rsidRPr="00774912">
              <w:rPr>
                <w:rFonts w:ascii="Arial" w:hAnsi="Arial" w:cs="Arial"/>
                <w:color w:val="FFFFFF" w:themeColor="background1"/>
                <w:sz w:val="18"/>
                <w:szCs w:val="24"/>
              </w:rPr>
              <w:t>Example medical conditions</w:t>
            </w:r>
          </w:p>
        </w:tc>
        <w:tc>
          <w:tcPr>
            <w:tcW w:w="628" w:type="pct"/>
            <w:shd w:val="clear" w:color="auto" w:fill="57259F"/>
          </w:tcPr>
          <w:p w14:paraId="33A2C1BD" w14:textId="08B6CC13" w:rsidR="00A3334D" w:rsidRPr="00774912" w:rsidRDefault="00A3334D" w:rsidP="005D76E5">
            <w:pPr>
              <w:pStyle w:val="Tablecolumnheading"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18"/>
                <w:szCs w:val="24"/>
              </w:rPr>
            </w:pPr>
            <w:r w:rsidRPr="00774912">
              <w:rPr>
                <w:rFonts w:ascii="Arial" w:hAnsi="Arial" w:cs="Arial"/>
                <w:color w:val="FFFFFF" w:themeColor="background1"/>
                <w:sz w:val="18"/>
                <w:szCs w:val="24"/>
              </w:rPr>
              <w:t>NIP funded</w:t>
            </w:r>
          </w:p>
        </w:tc>
      </w:tr>
      <w:tr w:rsidR="00A3334D" w:rsidRPr="00774912" w14:paraId="584518CA" w14:textId="05EF3366" w:rsidTr="1CEE8A7F">
        <w:trPr>
          <w:trHeight w:val="340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1D550742" w14:textId="77777777" w:rsidR="00A3334D" w:rsidRPr="00774912" w:rsidRDefault="2D5D03E7" w:rsidP="1CEE8A7F">
            <w:pPr>
              <w:pStyle w:val="Tabletext0"/>
              <w:spacing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774912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Cardiac disease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6204412C" w14:textId="5E127A95" w:rsidR="00A3334D" w:rsidRPr="00774912" w:rsidRDefault="00DF3961" w:rsidP="005D76E5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C</w:t>
            </w:r>
            <w:r w:rsidR="00A3334D" w:rsidRPr="00774912">
              <w:rPr>
                <w:rFonts w:ascii="Arial" w:hAnsi="Arial" w:cs="Arial"/>
                <w:sz w:val="18"/>
                <w:szCs w:val="22"/>
                <w:lang w:val="en-AU"/>
              </w:rPr>
              <w:t>ongenital heart disease, congestive heart failure, coronary artery disease</w:t>
            </w:r>
          </w:p>
        </w:tc>
        <w:tc>
          <w:tcPr>
            <w:tcW w:w="628" w:type="pct"/>
            <w:shd w:val="clear" w:color="auto" w:fill="FFFFFF" w:themeFill="background1"/>
          </w:tcPr>
          <w:p w14:paraId="44938B53" w14:textId="73DE8160" w:rsidR="00A3334D" w:rsidRPr="00774912" w:rsidRDefault="00A3334D" w:rsidP="005D76E5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 xml:space="preserve">Yes </w:t>
            </w:r>
          </w:p>
        </w:tc>
      </w:tr>
      <w:tr w:rsidR="00A3334D" w:rsidRPr="00774912" w14:paraId="55AA08D7" w14:textId="6B54BCA0" w:rsidTr="1CEE8A7F">
        <w:trPr>
          <w:trHeight w:val="397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6DD4D51F" w14:textId="5FD524F9" w:rsidR="00A3334D" w:rsidRPr="00774912" w:rsidRDefault="00A3334D" w:rsidP="005D76E5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b/>
                <w:sz w:val="18"/>
                <w:szCs w:val="22"/>
                <w:lang w:val="en-AU"/>
              </w:rPr>
              <w:t>Chronic respiratory condition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1900FB01" w14:textId="5A6CB3C7" w:rsidR="00A3334D" w:rsidRPr="00774912" w:rsidRDefault="00DF3961" w:rsidP="005D76E5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 xml:space="preserve">Suppurative lung disease, bronchiectasis, cystic fibrosis, chronic obstructive pulmonary disease, chronic emphysema, severe asthma (requiring frequent medical consultations or the use of multiple </w:t>
            </w:r>
            <w:r w:rsidR="00350ACE" w:rsidRPr="00774912">
              <w:rPr>
                <w:rFonts w:ascii="Arial" w:hAnsi="Arial" w:cs="Arial"/>
                <w:sz w:val="18"/>
                <w:szCs w:val="22"/>
                <w:lang w:val="en-AU"/>
              </w:rPr>
              <w:t>medications</w:t>
            </w: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)</w:t>
            </w:r>
          </w:p>
        </w:tc>
        <w:tc>
          <w:tcPr>
            <w:tcW w:w="628" w:type="pct"/>
            <w:shd w:val="clear" w:color="auto" w:fill="FFFFFF" w:themeFill="background1"/>
          </w:tcPr>
          <w:p w14:paraId="2CD53F49" w14:textId="44BB4716" w:rsidR="00A3334D" w:rsidRPr="00774912" w:rsidRDefault="00A3334D" w:rsidP="005D76E5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774912" w14:paraId="1E007556" w14:textId="0BE9A26C" w:rsidTr="1CEE8A7F">
        <w:trPr>
          <w:trHeight w:val="397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54A61A4F" w14:textId="5C46F3A8" w:rsidR="00A3334D" w:rsidRPr="00774912" w:rsidRDefault="00A3334D" w:rsidP="00A3334D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b/>
                <w:sz w:val="18"/>
                <w:szCs w:val="22"/>
                <w:lang w:val="en-AU"/>
              </w:rPr>
              <w:t>Immunocompromising condition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034C37AC" w14:textId="0E89A6A8" w:rsidR="00A3334D" w:rsidRPr="00774912" w:rsidRDefault="00DF3961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18"/>
                <w:lang w:val="en-AU"/>
              </w:rPr>
              <w:t>HIV infection, malignancy, immunocompromise due to disease or treatment, asplenia or splenic dysfunction, solid organ transplant, haematopoietic stem cell transplant</w:t>
            </w:r>
            <w:r w:rsidR="007B0ED8" w:rsidRPr="00774912">
              <w:rPr>
                <w:rFonts w:ascii="Arial" w:hAnsi="Arial" w:cs="Arial"/>
                <w:sz w:val="18"/>
                <w:szCs w:val="18"/>
                <w:lang w:val="en-AU"/>
              </w:rPr>
              <w:t>, CAR T-cell therapy</w:t>
            </w:r>
          </w:p>
        </w:tc>
        <w:tc>
          <w:tcPr>
            <w:tcW w:w="628" w:type="pct"/>
            <w:shd w:val="clear" w:color="auto" w:fill="FFFFFF" w:themeFill="background1"/>
          </w:tcPr>
          <w:p w14:paraId="1D08C6FA" w14:textId="587235E0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774912" w14:paraId="0DE24F57" w14:textId="663C9AA7" w:rsidTr="1CEE8A7F">
        <w:trPr>
          <w:trHeight w:val="397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2816E72C" w14:textId="6B602C66" w:rsidR="00A3334D" w:rsidRPr="00774912" w:rsidRDefault="00A3334D" w:rsidP="00A3334D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b/>
                <w:sz w:val="18"/>
                <w:szCs w:val="22"/>
                <w:lang w:val="en-AU"/>
              </w:rPr>
              <w:t>Haematological disorder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11AF51D0" w14:textId="20A4B098" w:rsidR="00A3334D" w:rsidRPr="00774912" w:rsidRDefault="00EE69A2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Sickle cell disease or other haemoglobinopathies</w:t>
            </w:r>
          </w:p>
        </w:tc>
        <w:tc>
          <w:tcPr>
            <w:tcW w:w="628" w:type="pct"/>
            <w:shd w:val="clear" w:color="auto" w:fill="FFFFFF" w:themeFill="background1"/>
          </w:tcPr>
          <w:p w14:paraId="3E05D355" w14:textId="5B668D5B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774912" w14:paraId="1C5C50B8" w14:textId="0089357B" w:rsidTr="1CEE8A7F">
        <w:trPr>
          <w:trHeight w:val="255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3E0A679D" w14:textId="24833D73" w:rsidR="00A3334D" w:rsidRPr="00774912" w:rsidRDefault="00A3334D" w:rsidP="00A3334D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b/>
                <w:sz w:val="18"/>
                <w:szCs w:val="22"/>
                <w:lang w:val="en-AU"/>
              </w:rPr>
              <w:t>Chronic metabolic disorder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3866CF2E" w14:textId="2741109B" w:rsidR="00DF3961" w:rsidRPr="00774912" w:rsidRDefault="00A3334D" w:rsidP="00AC272F">
            <w:pPr>
              <w:pStyle w:val="Tabletext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Type 1 or 2 diabetes</w:t>
            </w:r>
            <w:r w:rsidR="00DF3961" w:rsidRPr="00774912">
              <w:rPr>
                <w:rFonts w:ascii="Arial" w:hAnsi="Arial" w:cs="Arial"/>
                <w:sz w:val="18"/>
                <w:szCs w:val="22"/>
                <w:lang w:val="en-AU"/>
              </w:rPr>
              <w:t>, amino acid disorders, carbohydrate disorders,​</w:t>
            </w:r>
          </w:p>
          <w:p w14:paraId="3035D5EA" w14:textId="5B26F1B3" w:rsidR="00A3334D" w:rsidRPr="00774912" w:rsidRDefault="00DF3961" w:rsidP="00DF3961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 xml:space="preserve">cholesterol biosynthesis disorders, fatty acid oxidation defects, lactic acidosis, mitochondrial disorders, organic acid disorders, urea cycle disorders, vitamin/cofactor disorders, </w:t>
            </w:r>
            <w:proofErr w:type="spellStart"/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porphyrias</w:t>
            </w:r>
            <w:proofErr w:type="spellEnd"/>
          </w:p>
        </w:tc>
        <w:tc>
          <w:tcPr>
            <w:tcW w:w="628" w:type="pct"/>
            <w:shd w:val="clear" w:color="auto" w:fill="FFFFFF" w:themeFill="background1"/>
          </w:tcPr>
          <w:p w14:paraId="2AD55BBE" w14:textId="5F11CDAD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774912" w14:paraId="05779C06" w14:textId="562D5A5F" w:rsidTr="1CEE8A7F">
        <w:trPr>
          <w:trHeight w:val="255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1C916D1A" w14:textId="48FCDDA9" w:rsidR="00A3334D" w:rsidRPr="00774912" w:rsidRDefault="00A3334D" w:rsidP="00A3334D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b/>
                <w:sz w:val="18"/>
                <w:szCs w:val="22"/>
                <w:lang w:val="en-AU"/>
              </w:rPr>
              <w:t>Chronic kidney disease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12133226" w14:textId="4281BF0B" w:rsidR="00A3334D" w:rsidRPr="00774912" w:rsidRDefault="00EE69A2" w:rsidP="00A909AA">
            <w:pPr>
              <w:rPr>
                <w:rFonts w:ascii="Arial" w:hAnsi="Arial" w:cs="Arial"/>
                <w:sz w:val="18"/>
                <w:szCs w:val="22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eastAsia="ja-JP"/>
              </w:rPr>
              <w:t>Chronic renal impairment – eGFR &lt;30 mL/min (stage 4 or 5 disease)</w:t>
            </w:r>
          </w:p>
        </w:tc>
        <w:tc>
          <w:tcPr>
            <w:tcW w:w="628" w:type="pct"/>
            <w:shd w:val="clear" w:color="auto" w:fill="FFFFFF" w:themeFill="background1"/>
          </w:tcPr>
          <w:p w14:paraId="24F0C565" w14:textId="6F8AF97A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774912" w14:paraId="02788A7B" w14:textId="43D16B70" w:rsidTr="1CEE8A7F">
        <w:trPr>
          <w:trHeight w:val="255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58A938D7" w14:textId="0A6A2B48" w:rsidR="00A3334D" w:rsidRPr="00774912" w:rsidRDefault="00A3334D" w:rsidP="00A3334D">
            <w:pPr>
              <w:pStyle w:val="Tabletext0"/>
              <w:spacing w:before="60" w:after="0"/>
              <w:jc w:val="left"/>
              <w:rPr>
                <w:rFonts w:ascii="Arial" w:hAnsi="Arial" w:cs="Arial"/>
                <w:b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b/>
                <w:sz w:val="18"/>
                <w:szCs w:val="22"/>
                <w:lang w:val="en-AU"/>
              </w:rPr>
              <w:t>Chronic neurological condition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6EF685D1" w14:textId="6FADA19B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18"/>
                <w:lang w:val="en-AU"/>
              </w:rPr>
              <w:t>Hereditary and degenerative CNS diseases, seizure disorders, spinal cord injuries, neuromuscular disorders</w:t>
            </w:r>
            <w:r w:rsidR="00DF3961" w:rsidRPr="00774912">
              <w:rPr>
                <w:rFonts w:ascii="Arial" w:hAnsi="Arial" w:cs="Arial"/>
                <w:sz w:val="18"/>
                <w:szCs w:val="18"/>
                <w:lang w:val="en-AU"/>
              </w:rPr>
              <w:t xml:space="preserve">, </w:t>
            </w:r>
            <w:r w:rsidR="2EC18898" w:rsidRPr="00774912">
              <w:rPr>
                <w:rFonts w:ascii="Arial" w:hAnsi="Arial" w:cs="Arial"/>
                <w:sz w:val="18"/>
                <w:szCs w:val="18"/>
                <w:lang w:val="en-AU"/>
              </w:rPr>
              <w:t xml:space="preserve">other </w:t>
            </w:r>
            <w:r w:rsidR="000369AE" w:rsidRPr="00774912">
              <w:rPr>
                <w:rFonts w:ascii="Arial" w:hAnsi="Arial" w:cs="Arial"/>
                <w:sz w:val="18"/>
                <w:szCs w:val="18"/>
                <w:lang w:val="en-AU"/>
              </w:rPr>
              <w:t>conditions which impair respiratory</w:t>
            </w:r>
            <w:r w:rsidR="005945CB" w:rsidRPr="00774912">
              <w:rPr>
                <w:lang w:val="en-AU"/>
              </w:rPr>
              <w:t xml:space="preserve"> </w:t>
            </w:r>
            <w:r w:rsidR="005945CB" w:rsidRPr="00774912">
              <w:rPr>
                <w:rFonts w:ascii="Arial" w:hAnsi="Arial" w:cs="Arial"/>
                <w:sz w:val="18"/>
                <w:szCs w:val="18"/>
                <w:lang w:val="en-AU"/>
              </w:rPr>
              <w:t>or airway</w:t>
            </w:r>
            <w:r w:rsidR="000369AE" w:rsidRPr="00774912">
              <w:rPr>
                <w:rFonts w:ascii="Arial" w:hAnsi="Arial" w:cs="Arial"/>
                <w:sz w:val="18"/>
                <w:szCs w:val="18"/>
                <w:lang w:val="en-AU"/>
              </w:rPr>
              <w:t xml:space="preserve"> function</w:t>
            </w:r>
          </w:p>
        </w:tc>
        <w:tc>
          <w:tcPr>
            <w:tcW w:w="628" w:type="pct"/>
            <w:shd w:val="clear" w:color="auto" w:fill="FFFFFF" w:themeFill="background1"/>
          </w:tcPr>
          <w:p w14:paraId="541386EC" w14:textId="67422E0C" w:rsidR="00A3334D" w:rsidRPr="00774912" w:rsidRDefault="00C30236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Yes</w:t>
            </w:r>
          </w:p>
        </w:tc>
      </w:tr>
      <w:tr w:rsidR="00A3334D" w:rsidRPr="00774912" w14:paraId="41A70B52" w14:textId="0C2BE068" w:rsidTr="1CEE8A7F">
        <w:trPr>
          <w:trHeight w:val="397"/>
        </w:trPr>
        <w:tc>
          <w:tcPr>
            <w:tcW w:w="147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6565455B" w14:textId="5890D13C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</w:pPr>
            <w:r w:rsidRPr="0077491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  <w:t>Long-term aspirin therapy in children aged 5 to 10 years</w:t>
            </w:r>
          </w:p>
        </w:tc>
        <w:tc>
          <w:tcPr>
            <w:tcW w:w="2896" w:type="pct"/>
            <w:shd w:val="clear" w:color="auto" w:fill="FFFFFF" w:themeFill="background1"/>
            <w:tcMar>
              <w:top w:w="11" w:type="dxa"/>
              <w:bottom w:w="11" w:type="dxa"/>
            </w:tcMar>
            <w:vAlign w:val="center"/>
          </w:tcPr>
          <w:p w14:paraId="7922A87F" w14:textId="2FF8BD9A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18"/>
                <w:lang w:val="en-AU"/>
              </w:rPr>
              <w:t>These children are at increased risk of Reye’s syndrome following influenza infection</w:t>
            </w:r>
          </w:p>
        </w:tc>
        <w:tc>
          <w:tcPr>
            <w:tcW w:w="628" w:type="pct"/>
            <w:shd w:val="clear" w:color="auto" w:fill="FFFFFF" w:themeFill="background1"/>
          </w:tcPr>
          <w:p w14:paraId="0A4CB300" w14:textId="56A8EC01" w:rsidR="00A3334D" w:rsidRPr="00774912" w:rsidRDefault="00A3334D" w:rsidP="00AD3924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18"/>
                <w:lang w:val="en-AU"/>
              </w:rPr>
              <w:t>Yes</w:t>
            </w:r>
          </w:p>
        </w:tc>
      </w:tr>
      <w:tr w:rsidR="00A3334D" w:rsidRPr="00774912" w14:paraId="341D4738" w14:textId="77777777" w:rsidTr="1CEE8A7F">
        <w:trPr>
          <w:trHeight w:val="397"/>
        </w:trPr>
        <w:tc>
          <w:tcPr>
            <w:tcW w:w="147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0CA51E5C" w14:textId="677D73A7" w:rsidR="00A3334D" w:rsidRPr="00774912" w:rsidRDefault="00A3334D" w:rsidP="003B5A1E">
            <w:pPr>
              <w:pStyle w:val="Tabletext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</w:pPr>
            <w:r w:rsidRPr="0077491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  <w:t>Chronic liver disease</w:t>
            </w:r>
          </w:p>
        </w:tc>
        <w:tc>
          <w:tcPr>
            <w:tcW w:w="289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358A74E2" w14:textId="4A61525E" w:rsidR="00A3334D" w:rsidRPr="00774912" w:rsidRDefault="009604A0" w:rsidP="000369AE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Conditions with progressive deterioration of liver function for more than 6 months including cirrhosis and other advanced liver diseases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1BB2C431" w14:textId="55E9FF3D" w:rsidR="00A3334D" w:rsidRPr="00774912" w:rsidRDefault="00C30236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No</w:t>
            </w:r>
          </w:p>
        </w:tc>
      </w:tr>
      <w:tr w:rsidR="00A3334D" w:rsidRPr="00774912" w14:paraId="01DB0D07" w14:textId="77777777" w:rsidTr="1CEE8A7F">
        <w:trPr>
          <w:trHeight w:val="397"/>
        </w:trPr>
        <w:tc>
          <w:tcPr>
            <w:tcW w:w="147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14A4ACBA" w14:textId="7766C1DB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</w:pPr>
            <w:r w:rsidRPr="0077491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  <w:t>Obesity</w:t>
            </w:r>
          </w:p>
        </w:tc>
        <w:tc>
          <w:tcPr>
            <w:tcW w:w="289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0C831FAF" w14:textId="7F722B47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Body mass index ≥30 kg/m</w:t>
            </w:r>
            <w:r w:rsidRPr="00774912">
              <w:rPr>
                <w:rFonts w:ascii="Arial" w:hAnsi="Arial" w:cs="Arial"/>
                <w:sz w:val="18"/>
                <w:szCs w:val="22"/>
                <w:vertAlign w:val="superscript"/>
                <w:lang w:val="en-AU"/>
              </w:rPr>
              <w:t>2</w:t>
            </w: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 xml:space="preserve"> 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1D633453" w14:textId="5E2533C8" w:rsidR="00A3334D" w:rsidRPr="00774912" w:rsidRDefault="00C30236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No</w:t>
            </w:r>
          </w:p>
        </w:tc>
      </w:tr>
      <w:tr w:rsidR="00A3334D" w:rsidRPr="00774912" w14:paraId="601041B8" w14:textId="77777777" w:rsidTr="1CEE8A7F">
        <w:trPr>
          <w:trHeight w:val="397"/>
        </w:trPr>
        <w:tc>
          <w:tcPr>
            <w:tcW w:w="147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340E4DED" w14:textId="4BB86675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</w:pPr>
            <w:r w:rsidRPr="0077491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  <w:t>Chromosomal abnormality</w:t>
            </w:r>
          </w:p>
        </w:tc>
        <w:tc>
          <w:tcPr>
            <w:tcW w:w="289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23D03DFD" w14:textId="79E871B4" w:rsidR="00A3334D" w:rsidRPr="00774912" w:rsidRDefault="00EE69A2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Trisomy 21 or another chromosomal abnormality that increases the risk of severe disease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06E6D1EE" w14:textId="280F8273" w:rsidR="00A3334D" w:rsidRPr="00774912" w:rsidRDefault="00C30236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No</w:t>
            </w:r>
          </w:p>
        </w:tc>
      </w:tr>
      <w:tr w:rsidR="00A3334D" w:rsidRPr="00774912" w14:paraId="0B22813E" w14:textId="77777777" w:rsidTr="1CEE8A7F">
        <w:trPr>
          <w:trHeight w:val="397"/>
        </w:trPr>
        <w:tc>
          <w:tcPr>
            <w:tcW w:w="147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591DEF5E" w14:textId="7A4CBC41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</w:pPr>
            <w:r w:rsidRPr="00774912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AU"/>
              </w:rPr>
              <w:t>Harmful use of alcohol</w:t>
            </w:r>
          </w:p>
        </w:tc>
        <w:tc>
          <w:tcPr>
            <w:tcW w:w="2896" w:type="pct"/>
            <w:shd w:val="clear" w:color="auto" w:fill="D9D9D9" w:themeFill="background1" w:themeFillShade="D9"/>
            <w:tcMar>
              <w:top w:w="11" w:type="dxa"/>
              <w:bottom w:w="11" w:type="dxa"/>
            </w:tcMar>
            <w:vAlign w:val="center"/>
          </w:tcPr>
          <w:p w14:paraId="6C74D1AC" w14:textId="77777777" w:rsidR="00A3334D" w:rsidRPr="00774912" w:rsidRDefault="00A3334D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</w:p>
        </w:tc>
        <w:tc>
          <w:tcPr>
            <w:tcW w:w="628" w:type="pct"/>
            <w:shd w:val="clear" w:color="auto" w:fill="D9D9D9" w:themeFill="background1" w:themeFillShade="D9"/>
          </w:tcPr>
          <w:p w14:paraId="589C9C3C" w14:textId="57D4465E" w:rsidR="00A3334D" w:rsidRPr="00774912" w:rsidRDefault="00C30236" w:rsidP="00A3334D">
            <w:pPr>
              <w:pStyle w:val="Tabletext0"/>
              <w:spacing w:before="0" w:after="0"/>
              <w:jc w:val="left"/>
              <w:rPr>
                <w:rFonts w:ascii="Arial" w:hAnsi="Arial" w:cs="Arial"/>
                <w:sz w:val="18"/>
                <w:szCs w:val="22"/>
                <w:lang w:val="en-AU"/>
              </w:rPr>
            </w:pPr>
            <w:r w:rsidRPr="00774912">
              <w:rPr>
                <w:rFonts w:ascii="Arial" w:hAnsi="Arial" w:cs="Arial"/>
                <w:sz w:val="18"/>
                <w:szCs w:val="22"/>
                <w:lang w:val="en-AU"/>
              </w:rPr>
              <w:t>No</w:t>
            </w:r>
          </w:p>
        </w:tc>
      </w:tr>
    </w:tbl>
    <w:p w14:paraId="7D907668" w14:textId="3DDFD60F" w:rsidR="00AD5F04" w:rsidRPr="003F3A2E" w:rsidRDefault="004C0A03" w:rsidP="003F3A2E">
      <w:pPr>
        <w:pStyle w:val="BulletedList"/>
        <w:numPr>
          <w:ilvl w:val="0"/>
          <w:numId w:val="11"/>
        </w:numPr>
        <w:rPr>
          <w:sz w:val="16"/>
          <w:szCs w:val="16"/>
          <w:lang w:val="en-AU"/>
        </w:rPr>
      </w:pPr>
      <w:r w:rsidRPr="00774912">
        <w:rPr>
          <w:sz w:val="16"/>
          <w:szCs w:val="16"/>
          <w:lang w:val="en-AU"/>
        </w:rPr>
        <w:t xml:space="preserve">Note: </w:t>
      </w:r>
      <w:r w:rsidR="00C67F7E" w:rsidRPr="00774912">
        <w:rPr>
          <w:sz w:val="16"/>
          <w:szCs w:val="16"/>
          <w:lang w:val="en-AU"/>
        </w:rPr>
        <w:t xml:space="preserve">These examples are not exhaustive, and providers may include individuals with conditions </w:t>
      </w:r>
      <w:proofErr w:type="gramStart"/>
      <w:r w:rsidR="00C67F7E" w:rsidRPr="00774912">
        <w:rPr>
          <w:sz w:val="16"/>
          <w:szCs w:val="16"/>
          <w:lang w:val="en-AU"/>
        </w:rPr>
        <w:t>similar to</w:t>
      </w:r>
      <w:proofErr w:type="gramEnd"/>
      <w:r w:rsidR="00C67F7E" w:rsidRPr="00774912">
        <w:rPr>
          <w:sz w:val="16"/>
          <w:szCs w:val="16"/>
          <w:lang w:val="en-AU"/>
        </w:rPr>
        <w:t xml:space="preserve"> those listed above based on clinical judgement. S</w:t>
      </w:r>
      <w:r w:rsidRPr="00774912">
        <w:rPr>
          <w:sz w:val="16"/>
          <w:szCs w:val="16"/>
          <w:lang w:val="en-AU"/>
        </w:rPr>
        <w:t xml:space="preserve">ee the </w:t>
      </w:r>
      <w:hyperlink r:id="rId15" w:history="1">
        <w:r w:rsidRPr="00774912">
          <w:rPr>
            <w:rStyle w:val="Hyperlink"/>
            <w:sz w:val="16"/>
            <w:szCs w:val="16"/>
            <w:lang w:val="en-AU"/>
          </w:rPr>
          <w:t>Australian Immunisation Handbook</w:t>
        </w:r>
      </w:hyperlink>
      <w:r w:rsidRPr="00774912">
        <w:rPr>
          <w:sz w:val="16"/>
          <w:szCs w:val="16"/>
          <w:lang w:val="en-AU"/>
        </w:rPr>
        <w:t xml:space="preserve"> (available at immunisationhandbook.health.gov.au) for </w:t>
      </w:r>
      <w:r w:rsidR="00C67F7E" w:rsidRPr="00774912">
        <w:rPr>
          <w:sz w:val="16"/>
          <w:szCs w:val="16"/>
          <w:lang w:val="en-AU"/>
        </w:rPr>
        <w:t xml:space="preserve">further details. </w:t>
      </w:r>
    </w:p>
    <w:sectPr w:rsidR="00AD5F04" w:rsidRPr="003F3A2E" w:rsidSect="00822761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09" w:right="851" w:bottom="709" w:left="85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8636" w14:textId="77777777" w:rsidR="00ED18BD" w:rsidRDefault="00ED18BD" w:rsidP="005F4768">
      <w:r>
        <w:separator/>
      </w:r>
    </w:p>
  </w:endnote>
  <w:endnote w:type="continuationSeparator" w:id="0">
    <w:p w14:paraId="73948C4F" w14:textId="77777777" w:rsidR="00ED18BD" w:rsidRDefault="00ED18BD" w:rsidP="005F4768">
      <w:r>
        <w:continuationSeparator/>
      </w:r>
    </w:p>
  </w:endnote>
  <w:endnote w:type="continuationNotice" w:id="1">
    <w:p w14:paraId="7FE351A9" w14:textId="77777777" w:rsidR="00ED18BD" w:rsidRDefault="00ED1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53DDB" w14:textId="7E78F7B0" w:rsidR="00F23C53" w:rsidRPr="00016FB9" w:rsidRDefault="00F23C53" w:rsidP="00F23C53">
    <w:pPr>
      <w:pStyle w:val="Footer"/>
      <w:rPr>
        <w:rFonts w:asciiTheme="minorHAnsi" w:hAnsiTheme="minorHAnsi" w:cstheme="minorHAnsi"/>
        <w:sz w:val="18"/>
        <w:szCs w:val="18"/>
      </w:rPr>
    </w:pPr>
    <w:r w:rsidRPr="00016FB9">
      <w:rPr>
        <w:rFonts w:asciiTheme="minorHAnsi" w:hAnsiTheme="minorHAnsi" w:cstheme="minorHAnsi"/>
        <w:sz w:val="18"/>
        <w:szCs w:val="18"/>
      </w:rPr>
      <w:t xml:space="preserve">Page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33E8">
      <w:rPr>
        <w:rFonts w:asciiTheme="minorHAnsi" w:hAnsiTheme="minorHAnsi" w:cstheme="minorHAnsi"/>
        <w:noProof/>
        <w:sz w:val="18"/>
        <w:szCs w:val="18"/>
      </w:rPr>
      <w:t>2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  <w:r w:rsidRPr="00016FB9">
      <w:rPr>
        <w:rFonts w:asciiTheme="minorHAnsi" w:hAnsiTheme="minorHAnsi" w:cstheme="minorHAnsi"/>
        <w:sz w:val="18"/>
        <w:szCs w:val="18"/>
      </w:rPr>
      <w:t xml:space="preserve"> of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33E8">
      <w:rPr>
        <w:rFonts w:asciiTheme="minorHAnsi" w:hAnsiTheme="minorHAnsi" w:cstheme="minorHAnsi"/>
        <w:noProof/>
        <w:sz w:val="18"/>
        <w:szCs w:val="18"/>
      </w:rPr>
      <w:t>4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99FD" w14:textId="77777777" w:rsidR="00060890" w:rsidRPr="00016FB9" w:rsidRDefault="00060890">
    <w:pPr>
      <w:pStyle w:val="Footer"/>
      <w:rPr>
        <w:rFonts w:asciiTheme="minorHAnsi" w:hAnsiTheme="minorHAnsi" w:cstheme="minorHAnsi"/>
        <w:sz w:val="18"/>
        <w:szCs w:val="18"/>
      </w:rPr>
    </w:pPr>
    <w:r w:rsidRPr="00016FB9">
      <w:rPr>
        <w:rFonts w:asciiTheme="minorHAnsi" w:hAnsiTheme="minorHAnsi" w:cstheme="minorHAnsi"/>
        <w:sz w:val="18"/>
        <w:szCs w:val="18"/>
      </w:rPr>
      <w:t xml:space="preserve">Page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1B3642">
      <w:rPr>
        <w:rFonts w:asciiTheme="minorHAnsi" w:hAnsiTheme="minorHAnsi" w:cstheme="minorHAnsi"/>
        <w:noProof/>
        <w:sz w:val="18"/>
        <w:szCs w:val="18"/>
      </w:rPr>
      <w:t>1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  <w:r w:rsidRPr="00016FB9">
      <w:rPr>
        <w:rFonts w:asciiTheme="minorHAnsi" w:hAnsiTheme="minorHAnsi" w:cstheme="minorHAnsi"/>
        <w:sz w:val="18"/>
        <w:szCs w:val="18"/>
      </w:rPr>
      <w:t xml:space="preserve"> of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1B3642">
      <w:rPr>
        <w:rFonts w:asciiTheme="minorHAnsi" w:hAnsiTheme="minorHAnsi" w:cstheme="minorHAnsi"/>
        <w:noProof/>
        <w:sz w:val="18"/>
        <w:szCs w:val="18"/>
      </w:rPr>
      <w:t>4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0F396" w14:textId="77777777" w:rsidR="00ED18BD" w:rsidRDefault="00ED18BD" w:rsidP="005F4768">
      <w:r>
        <w:separator/>
      </w:r>
    </w:p>
  </w:footnote>
  <w:footnote w:type="continuationSeparator" w:id="0">
    <w:p w14:paraId="73B80C29" w14:textId="77777777" w:rsidR="00ED18BD" w:rsidRDefault="00ED18BD" w:rsidP="005F4768">
      <w:r>
        <w:continuationSeparator/>
      </w:r>
    </w:p>
  </w:footnote>
  <w:footnote w:type="continuationNotice" w:id="1">
    <w:p w14:paraId="799B4558" w14:textId="77777777" w:rsidR="00ED18BD" w:rsidRDefault="00ED1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3AAE" w14:textId="48AED97D" w:rsidR="001B3642" w:rsidRPr="00402CE2" w:rsidRDefault="001B3642" w:rsidP="00402CE2">
    <w:pPr>
      <w:ind w:left="792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B93F" w14:textId="77777777" w:rsidR="003D02B6" w:rsidRPr="00675D47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jc w:val="right"/>
      <w:rPr>
        <w:b/>
        <w:bCs/>
        <w:color w:val="FF0000"/>
      </w:rPr>
    </w:pPr>
    <w:r w:rsidRPr="00675D47">
      <w:rPr>
        <w:b/>
        <w:bCs/>
        <w:color w:val="FF0000"/>
      </w:rPr>
      <w:t>Official Sensitive</w:t>
    </w:r>
  </w:p>
  <w:p w14:paraId="65D5626D" w14:textId="16D98AB7" w:rsidR="003D02B6" w:rsidRPr="00BC2186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Cs/>
      </w:rPr>
    </w:pPr>
    <w:r w:rsidRPr="00BC2186">
      <w:rPr>
        <w:bCs/>
      </w:rPr>
      <w:t xml:space="preserve">ATAGI </w:t>
    </w:r>
    <w:r>
      <w:rPr>
        <w:bCs/>
      </w:rPr>
      <w:t>9</w:t>
    </w:r>
    <w:r w:rsidR="001B3642">
      <w:rPr>
        <w:bCs/>
      </w:rPr>
      <w:t>1</w:t>
    </w:r>
    <w:r w:rsidR="001B3642" w:rsidRPr="001B3642">
      <w:rPr>
        <w:bCs/>
        <w:vertAlign w:val="superscript"/>
      </w:rPr>
      <w:t>st</w:t>
    </w:r>
    <w:r>
      <w:rPr>
        <w:bCs/>
      </w:rPr>
      <w:t xml:space="preserve"> </w:t>
    </w:r>
    <w:r w:rsidRPr="00BC2186">
      <w:rPr>
        <w:bCs/>
      </w:rPr>
      <w:t xml:space="preserve">Meeting </w:t>
    </w:r>
  </w:p>
  <w:p w14:paraId="462DE6CF" w14:textId="048CF671" w:rsidR="003D02B6" w:rsidRDefault="001B3642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Cs/>
      </w:rPr>
    </w:pPr>
    <w:r>
      <w:rPr>
        <w:bCs/>
      </w:rPr>
      <w:t>16</w:t>
    </w:r>
    <w:r w:rsidRPr="001B3642">
      <w:rPr>
        <w:bCs/>
        <w:vertAlign w:val="superscript"/>
      </w:rPr>
      <w:t>th</w:t>
    </w:r>
    <w:r>
      <w:rPr>
        <w:bCs/>
      </w:rPr>
      <w:t xml:space="preserve"> and 17</w:t>
    </w:r>
    <w:r w:rsidRPr="001B3642">
      <w:rPr>
        <w:bCs/>
        <w:vertAlign w:val="superscript"/>
      </w:rPr>
      <w:t>th</w:t>
    </w:r>
    <w:r w:rsidR="003D02B6">
      <w:rPr>
        <w:bCs/>
      </w:rPr>
      <w:t xml:space="preserve"> of </w:t>
    </w:r>
    <w:r>
      <w:rPr>
        <w:bCs/>
      </w:rPr>
      <w:t>February</w:t>
    </w:r>
    <w:r w:rsidR="003D02B6">
      <w:rPr>
        <w:bCs/>
      </w:rPr>
      <w:t xml:space="preserve"> 202</w:t>
    </w:r>
    <w:r>
      <w:rPr>
        <w:bCs/>
      </w:rPr>
      <w:t>3</w:t>
    </w:r>
  </w:p>
  <w:p w14:paraId="69FC6CA9" w14:textId="2ED7089F" w:rsidR="003D02B6" w:rsidRPr="001B1352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/>
        <w:bCs/>
      </w:rPr>
    </w:pPr>
    <w:r w:rsidRPr="001B1352">
      <w:rPr>
        <w:b/>
        <w:bCs/>
      </w:rPr>
      <w:t xml:space="preserve">Agenda Item </w:t>
    </w:r>
    <w:r w:rsidR="001B3642">
      <w:rPr>
        <w:b/>
        <w:bCs/>
      </w:rPr>
      <w:t>8</w:t>
    </w:r>
    <w:r>
      <w:rPr>
        <w:b/>
        <w:bCs/>
      </w:rPr>
      <w:t>.1</w:t>
    </w:r>
  </w:p>
  <w:p w14:paraId="13E18AF4" w14:textId="77777777" w:rsidR="003D02B6" w:rsidRPr="001B1352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/>
        <w:bCs/>
      </w:rPr>
    </w:pPr>
    <w:r w:rsidRPr="001B1352">
      <w:rPr>
        <w:b/>
        <w:bCs/>
      </w:rPr>
      <w:t xml:space="preserve">Attachment </w:t>
    </w:r>
    <w:r>
      <w:rPr>
        <w:b/>
        <w:bCs/>
      </w:rPr>
      <w:t>A</w:t>
    </w:r>
  </w:p>
  <w:p w14:paraId="79B632E4" w14:textId="77777777" w:rsidR="003D02B6" w:rsidRPr="003D02B6" w:rsidRDefault="003D02B6" w:rsidP="003D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0AE"/>
    <w:multiLevelType w:val="hybridMultilevel"/>
    <w:tmpl w:val="12C2FDFA"/>
    <w:lvl w:ilvl="0" w:tplc="0E82DA36">
      <w:start w:val="1"/>
      <w:numFmt w:val="decimal"/>
      <w:lvlText w:val="%1."/>
      <w:lvlJc w:val="left"/>
      <w:pPr>
        <w:ind w:left="720" w:hanging="360"/>
      </w:pPr>
    </w:lvl>
    <w:lvl w:ilvl="1" w:tplc="E5629112">
      <w:start w:val="1"/>
      <w:numFmt w:val="decimal"/>
      <w:lvlText w:val="%2."/>
      <w:lvlJc w:val="left"/>
      <w:pPr>
        <w:ind w:left="720" w:hanging="360"/>
      </w:pPr>
    </w:lvl>
    <w:lvl w:ilvl="2" w:tplc="EAB0DFC8">
      <w:start w:val="1"/>
      <w:numFmt w:val="decimal"/>
      <w:lvlText w:val="%3."/>
      <w:lvlJc w:val="left"/>
      <w:pPr>
        <w:ind w:left="720" w:hanging="360"/>
      </w:pPr>
    </w:lvl>
    <w:lvl w:ilvl="3" w:tplc="BCE8A996">
      <w:start w:val="1"/>
      <w:numFmt w:val="decimal"/>
      <w:lvlText w:val="%4."/>
      <w:lvlJc w:val="left"/>
      <w:pPr>
        <w:ind w:left="720" w:hanging="360"/>
      </w:pPr>
    </w:lvl>
    <w:lvl w:ilvl="4" w:tplc="70085D46">
      <w:start w:val="1"/>
      <w:numFmt w:val="decimal"/>
      <w:lvlText w:val="%5."/>
      <w:lvlJc w:val="left"/>
      <w:pPr>
        <w:ind w:left="720" w:hanging="360"/>
      </w:pPr>
    </w:lvl>
    <w:lvl w:ilvl="5" w:tplc="A90CE34C">
      <w:start w:val="1"/>
      <w:numFmt w:val="decimal"/>
      <w:lvlText w:val="%6."/>
      <w:lvlJc w:val="left"/>
      <w:pPr>
        <w:ind w:left="720" w:hanging="360"/>
      </w:pPr>
    </w:lvl>
    <w:lvl w:ilvl="6" w:tplc="824E5E40">
      <w:start w:val="1"/>
      <w:numFmt w:val="decimal"/>
      <w:lvlText w:val="%7."/>
      <w:lvlJc w:val="left"/>
      <w:pPr>
        <w:ind w:left="720" w:hanging="360"/>
      </w:pPr>
    </w:lvl>
    <w:lvl w:ilvl="7" w:tplc="1032C876">
      <w:start w:val="1"/>
      <w:numFmt w:val="decimal"/>
      <w:lvlText w:val="%8."/>
      <w:lvlJc w:val="left"/>
      <w:pPr>
        <w:ind w:left="720" w:hanging="360"/>
      </w:pPr>
    </w:lvl>
    <w:lvl w:ilvl="8" w:tplc="F2EABF84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F195CA8"/>
    <w:multiLevelType w:val="hybridMultilevel"/>
    <w:tmpl w:val="D9BCC398"/>
    <w:lvl w:ilvl="0" w:tplc="54103C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F5CD0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41C33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FCA6C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6D013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C4867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DD016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734D2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DB86A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0F3E5FCD"/>
    <w:multiLevelType w:val="hybridMultilevel"/>
    <w:tmpl w:val="0CB01804"/>
    <w:lvl w:ilvl="0" w:tplc="A43C03B2">
      <w:start w:val="1"/>
      <w:numFmt w:val="decimal"/>
      <w:lvlText w:val="%1."/>
      <w:lvlJc w:val="left"/>
      <w:pPr>
        <w:ind w:left="1800" w:hanging="360"/>
      </w:pPr>
    </w:lvl>
    <w:lvl w:ilvl="1" w:tplc="046CEAF8">
      <w:start w:val="1"/>
      <w:numFmt w:val="decimal"/>
      <w:lvlText w:val="%2."/>
      <w:lvlJc w:val="left"/>
      <w:pPr>
        <w:ind w:left="1800" w:hanging="360"/>
      </w:pPr>
    </w:lvl>
    <w:lvl w:ilvl="2" w:tplc="E542C296">
      <w:start w:val="1"/>
      <w:numFmt w:val="decimal"/>
      <w:lvlText w:val="%3."/>
      <w:lvlJc w:val="left"/>
      <w:pPr>
        <w:ind w:left="1800" w:hanging="360"/>
      </w:pPr>
    </w:lvl>
    <w:lvl w:ilvl="3" w:tplc="A34058A0">
      <w:start w:val="1"/>
      <w:numFmt w:val="decimal"/>
      <w:lvlText w:val="%4."/>
      <w:lvlJc w:val="left"/>
      <w:pPr>
        <w:ind w:left="1800" w:hanging="360"/>
      </w:pPr>
    </w:lvl>
    <w:lvl w:ilvl="4" w:tplc="5D922B0A">
      <w:start w:val="1"/>
      <w:numFmt w:val="decimal"/>
      <w:lvlText w:val="%5."/>
      <w:lvlJc w:val="left"/>
      <w:pPr>
        <w:ind w:left="1800" w:hanging="360"/>
      </w:pPr>
    </w:lvl>
    <w:lvl w:ilvl="5" w:tplc="948E763E">
      <w:start w:val="1"/>
      <w:numFmt w:val="decimal"/>
      <w:lvlText w:val="%6."/>
      <w:lvlJc w:val="left"/>
      <w:pPr>
        <w:ind w:left="1800" w:hanging="360"/>
      </w:pPr>
    </w:lvl>
    <w:lvl w:ilvl="6" w:tplc="86E226D4">
      <w:start w:val="1"/>
      <w:numFmt w:val="decimal"/>
      <w:lvlText w:val="%7."/>
      <w:lvlJc w:val="left"/>
      <w:pPr>
        <w:ind w:left="1800" w:hanging="360"/>
      </w:pPr>
    </w:lvl>
    <w:lvl w:ilvl="7" w:tplc="0622A64E">
      <w:start w:val="1"/>
      <w:numFmt w:val="decimal"/>
      <w:lvlText w:val="%8."/>
      <w:lvlJc w:val="left"/>
      <w:pPr>
        <w:ind w:left="1800" w:hanging="360"/>
      </w:pPr>
    </w:lvl>
    <w:lvl w:ilvl="8" w:tplc="7952B0D4">
      <w:start w:val="1"/>
      <w:numFmt w:val="decimal"/>
      <w:lvlText w:val="%9."/>
      <w:lvlJc w:val="left"/>
      <w:pPr>
        <w:ind w:left="1800" w:hanging="360"/>
      </w:pPr>
    </w:lvl>
  </w:abstractNum>
  <w:abstractNum w:abstractNumId="5" w15:restartNumberingAfterBreak="0">
    <w:nsid w:val="110345E2"/>
    <w:multiLevelType w:val="hybridMultilevel"/>
    <w:tmpl w:val="7C22970E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56C676E"/>
    <w:multiLevelType w:val="hybridMultilevel"/>
    <w:tmpl w:val="86969480"/>
    <w:lvl w:ilvl="0" w:tplc="5DA4F6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B9AD3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C186B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5C058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C9CCE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41C69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00E40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814E7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B84C8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2B935F06"/>
    <w:multiLevelType w:val="hybridMultilevel"/>
    <w:tmpl w:val="BFF0D858"/>
    <w:lvl w:ilvl="0" w:tplc="8E40D3EC">
      <w:start w:val="1"/>
      <w:numFmt w:val="bullet"/>
      <w:pStyle w:val="Bodytext-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215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875" w:hanging="180"/>
      </w:pPr>
    </w:lvl>
    <w:lvl w:ilvl="3" w:tplc="0C09000F" w:tentative="1">
      <w:start w:val="1"/>
      <w:numFmt w:val="decimal"/>
      <w:lvlText w:val="%4."/>
      <w:lvlJc w:val="left"/>
      <w:pPr>
        <w:ind w:left="3595" w:hanging="360"/>
      </w:pPr>
    </w:lvl>
    <w:lvl w:ilvl="4" w:tplc="0C090019" w:tentative="1">
      <w:start w:val="1"/>
      <w:numFmt w:val="lowerLetter"/>
      <w:lvlText w:val="%5."/>
      <w:lvlJc w:val="left"/>
      <w:pPr>
        <w:ind w:left="4315" w:hanging="360"/>
      </w:pPr>
    </w:lvl>
    <w:lvl w:ilvl="5" w:tplc="0C09001B" w:tentative="1">
      <w:start w:val="1"/>
      <w:numFmt w:val="lowerRoman"/>
      <w:lvlText w:val="%6."/>
      <w:lvlJc w:val="right"/>
      <w:pPr>
        <w:ind w:left="5035" w:hanging="180"/>
      </w:pPr>
    </w:lvl>
    <w:lvl w:ilvl="6" w:tplc="0C09000F" w:tentative="1">
      <w:start w:val="1"/>
      <w:numFmt w:val="decimal"/>
      <w:lvlText w:val="%7."/>
      <w:lvlJc w:val="left"/>
      <w:pPr>
        <w:ind w:left="5755" w:hanging="360"/>
      </w:pPr>
    </w:lvl>
    <w:lvl w:ilvl="7" w:tplc="0C090019" w:tentative="1">
      <w:start w:val="1"/>
      <w:numFmt w:val="lowerLetter"/>
      <w:lvlText w:val="%8."/>
      <w:lvlJc w:val="left"/>
      <w:pPr>
        <w:ind w:left="6475" w:hanging="360"/>
      </w:pPr>
    </w:lvl>
    <w:lvl w:ilvl="8" w:tplc="0C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0" w15:restartNumberingAfterBreak="0">
    <w:nsid w:val="31E273B1"/>
    <w:multiLevelType w:val="hybridMultilevel"/>
    <w:tmpl w:val="B4C466A4"/>
    <w:lvl w:ilvl="0" w:tplc="4BA087B6">
      <w:start w:val="1"/>
      <w:numFmt w:val="decimal"/>
      <w:lvlText w:val="%1."/>
      <w:lvlJc w:val="left"/>
      <w:pPr>
        <w:ind w:left="720" w:hanging="360"/>
      </w:pPr>
    </w:lvl>
    <w:lvl w:ilvl="1" w:tplc="2CDAFB64">
      <w:start w:val="1"/>
      <w:numFmt w:val="decimal"/>
      <w:lvlText w:val="%2."/>
      <w:lvlJc w:val="left"/>
      <w:pPr>
        <w:ind w:left="1080" w:hanging="360"/>
      </w:pPr>
    </w:lvl>
    <w:lvl w:ilvl="2" w:tplc="BD865386">
      <w:start w:val="1"/>
      <w:numFmt w:val="decimal"/>
      <w:lvlText w:val="%3."/>
      <w:lvlJc w:val="left"/>
      <w:pPr>
        <w:ind w:left="720" w:hanging="360"/>
      </w:pPr>
    </w:lvl>
    <w:lvl w:ilvl="3" w:tplc="D6D09412">
      <w:start w:val="1"/>
      <w:numFmt w:val="decimal"/>
      <w:lvlText w:val="%4."/>
      <w:lvlJc w:val="left"/>
      <w:pPr>
        <w:ind w:left="720" w:hanging="360"/>
      </w:pPr>
    </w:lvl>
    <w:lvl w:ilvl="4" w:tplc="1032D44E">
      <w:start w:val="1"/>
      <w:numFmt w:val="decimal"/>
      <w:lvlText w:val="%5."/>
      <w:lvlJc w:val="left"/>
      <w:pPr>
        <w:ind w:left="720" w:hanging="360"/>
      </w:pPr>
    </w:lvl>
    <w:lvl w:ilvl="5" w:tplc="33A0CBE4">
      <w:start w:val="1"/>
      <w:numFmt w:val="decimal"/>
      <w:lvlText w:val="%6."/>
      <w:lvlJc w:val="left"/>
      <w:pPr>
        <w:ind w:left="720" w:hanging="360"/>
      </w:pPr>
    </w:lvl>
    <w:lvl w:ilvl="6" w:tplc="81A64292">
      <w:start w:val="1"/>
      <w:numFmt w:val="decimal"/>
      <w:lvlText w:val="%7."/>
      <w:lvlJc w:val="left"/>
      <w:pPr>
        <w:ind w:left="720" w:hanging="360"/>
      </w:pPr>
    </w:lvl>
    <w:lvl w:ilvl="7" w:tplc="6430FD70">
      <w:start w:val="1"/>
      <w:numFmt w:val="decimal"/>
      <w:lvlText w:val="%8."/>
      <w:lvlJc w:val="left"/>
      <w:pPr>
        <w:ind w:left="720" w:hanging="360"/>
      </w:pPr>
    </w:lvl>
    <w:lvl w:ilvl="8" w:tplc="5EB6CBCE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39D155AE"/>
    <w:multiLevelType w:val="multilevel"/>
    <w:tmpl w:val="691A62BE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63C6B"/>
    <w:multiLevelType w:val="hybridMultilevel"/>
    <w:tmpl w:val="4B82485C"/>
    <w:lvl w:ilvl="0" w:tplc="662057CA">
      <w:start w:val="1"/>
      <w:numFmt w:val="decimal"/>
      <w:lvlText w:val="%1."/>
      <w:lvlJc w:val="left"/>
      <w:pPr>
        <w:ind w:left="720" w:hanging="360"/>
      </w:pPr>
    </w:lvl>
    <w:lvl w:ilvl="1" w:tplc="3A403D84">
      <w:start w:val="1"/>
      <w:numFmt w:val="decimal"/>
      <w:lvlText w:val="%2."/>
      <w:lvlJc w:val="left"/>
      <w:pPr>
        <w:ind w:left="720" w:hanging="360"/>
      </w:pPr>
    </w:lvl>
    <w:lvl w:ilvl="2" w:tplc="4E6872E4">
      <w:start w:val="1"/>
      <w:numFmt w:val="decimal"/>
      <w:lvlText w:val="%3."/>
      <w:lvlJc w:val="left"/>
      <w:pPr>
        <w:ind w:left="720" w:hanging="360"/>
      </w:pPr>
    </w:lvl>
    <w:lvl w:ilvl="3" w:tplc="30BC1D5E">
      <w:start w:val="1"/>
      <w:numFmt w:val="decimal"/>
      <w:lvlText w:val="%4."/>
      <w:lvlJc w:val="left"/>
      <w:pPr>
        <w:ind w:left="720" w:hanging="360"/>
      </w:pPr>
    </w:lvl>
    <w:lvl w:ilvl="4" w:tplc="03C605B4">
      <w:start w:val="1"/>
      <w:numFmt w:val="decimal"/>
      <w:lvlText w:val="%5."/>
      <w:lvlJc w:val="left"/>
      <w:pPr>
        <w:ind w:left="720" w:hanging="360"/>
      </w:pPr>
    </w:lvl>
    <w:lvl w:ilvl="5" w:tplc="4596E77E">
      <w:start w:val="1"/>
      <w:numFmt w:val="decimal"/>
      <w:lvlText w:val="%6."/>
      <w:lvlJc w:val="left"/>
      <w:pPr>
        <w:ind w:left="720" w:hanging="360"/>
      </w:pPr>
    </w:lvl>
    <w:lvl w:ilvl="6" w:tplc="8ADA4BDC">
      <w:start w:val="1"/>
      <w:numFmt w:val="decimal"/>
      <w:lvlText w:val="%7."/>
      <w:lvlJc w:val="left"/>
      <w:pPr>
        <w:ind w:left="720" w:hanging="360"/>
      </w:pPr>
    </w:lvl>
    <w:lvl w:ilvl="7" w:tplc="CF64BA3C">
      <w:start w:val="1"/>
      <w:numFmt w:val="decimal"/>
      <w:lvlText w:val="%8."/>
      <w:lvlJc w:val="left"/>
      <w:pPr>
        <w:ind w:left="720" w:hanging="360"/>
      </w:pPr>
    </w:lvl>
    <w:lvl w:ilvl="8" w:tplc="18387F14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421E2AAF"/>
    <w:multiLevelType w:val="hybridMultilevel"/>
    <w:tmpl w:val="563A7F76"/>
    <w:lvl w:ilvl="0" w:tplc="08D88028">
      <w:start w:val="1"/>
      <w:numFmt w:val="decimal"/>
      <w:lvlText w:val="%1."/>
      <w:lvlJc w:val="left"/>
      <w:pPr>
        <w:ind w:left="720" w:hanging="360"/>
      </w:pPr>
    </w:lvl>
    <w:lvl w:ilvl="1" w:tplc="781AE472">
      <w:start w:val="1"/>
      <w:numFmt w:val="decimal"/>
      <w:lvlText w:val="%2."/>
      <w:lvlJc w:val="left"/>
      <w:pPr>
        <w:ind w:left="1800" w:hanging="360"/>
      </w:pPr>
    </w:lvl>
    <w:lvl w:ilvl="2" w:tplc="88F8FC5E">
      <w:start w:val="1"/>
      <w:numFmt w:val="decimal"/>
      <w:lvlText w:val="%3."/>
      <w:lvlJc w:val="left"/>
      <w:pPr>
        <w:ind w:left="720" w:hanging="360"/>
      </w:pPr>
    </w:lvl>
    <w:lvl w:ilvl="3" w:tplc="6EE6D5B0">
      <w:start w:val="1"/>
      <w:numFmt w:val="decimal"/>
      <w:lvlText w:val="%4."/>
      <w:lvlJc w:val="left"/>
      <w:pPr>
        <w:ind w:left="720" w:hanging="360"/>
      </w:pPr>
    </w:lvl>
    <w:lvl w:ilvl="4" w:tplc="39C6EA76">
      <w:start w:val="1"/>
      <w:numFmt w:val="decimal"/>
      <w:lvlText w:val="%5."/>
      <w:lvlJc w:val="left"/>
      <w:pPr>
        <w:ind w:left="720" w:hanging="360"/>
      </w:pPr>
    </w:lvl>
    <w:lvl w:ilvl="5" w:tplc="3FE22D92">
      <w:start w:val="1"/>
      <w:numFmt w:val="decimal"/>
      <w:lvlText w:val="%6."/>
      <w:lvlJc w:val="left"/>
      <w:pPr>
        <w:ind w:left="720" w:hanging="360"/>
      </w:pPr>
    </w:lvl>
    <w:lvl w:ilvl="6" w:tplc="93A23956">
      <w:start w:val="1"/>
      <w:numFmt w:val="decimal"/>
      <w:lvlText w:val="%7."/>
      <w:lvlJc w:val="left"/>
      <w:pPr>
        <w:ind w:left="720" w:hanging="360"/>
      </w:pPr>
    </w:lvl>
    <w:lvl w:ilvl="7" w:tplc="FDEE3428">
      <w:start w:val="1"/>
      <w:numFmt w:val="decimal"/>
      <w:lvlText w:val="%8."/>
      <w:lvlJc w:val="left"/>
      <w:pPr>
        <w:ind w:left="720" w:hanging="360"/>
      </w:pPr>
    </w:lvl>
    <w:lvl w:ilvl="8" w:tplc="695ED644">
      <w:start w:val="1"/>
      <w:numFmt w:val="decimal"/>
      <w:lvlText w:val="%9."/>
      <w:lvlJc w:val="left"/>
      <w:pPr>
        <w:ind w:left="720" w:hanging="360"/>
      </w:pPr>
    </w:lvl>
  </w:abstractNum>
  <w:abstractNum w:abstractNumId="14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ED381A"/>
    <w:multiLevelType w:val="hybridMultilevel"/>
    <w:tmpl w:val="09600306"/>
    <w:lvl w:ilvl="0" w:tplc="6A78FC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E9459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C04AE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46A8E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9F0BF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B2436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2CADF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C208B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83256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6" w15:restartNumberingAfterBreak="0">
    <w:nsid w:val="5A5E02E5"/>
    <w:multiLevelType w:val="hybridMultilevel"/>
    <w:tmpl w:val="8E665A82"/>
    <w:lvl w:ilvl="0" w:tplc="AC9A44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21219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FB4A9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6D490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9B8E6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DB28C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672D7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300FC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A3C85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96498C"/>
    <w:multiLevelType w:val="hybridMultilevel"/>
    <w:tmpl w:val="6DC8281A"/>
    <w:lvl w:ilvl="0" w:tplc="D4B84C18">
      <w:start w:val="1"/>
      <w:numFmt w:val="decimal"/>
      <w:lvlText w:val="%1."/>
      <w:lvlJc w:val="left"/>
      <w:pPr>
        <w:ind w:left="720" w:hanging="360"/>
      </w:pPr>
    </w:lvl>
    <w:lvl w:ilvl="1" w:tplc="97EE008E">
      <w:start w:val="1"/>
      <w:numFmt w:val="decimal"/>
      <w:lvlText w:val="%2."/>
      <w:lvlJc w:val="left"/>
      <w:pPr>
        <w:ind w:left="720" w:hanging="360"/>
      </w:pPr>
    </w:lvl>
    <w:lvl w:ilvl="2" w:tplc="8A42710A">
      <w:start w:val="1"/>
      <w:numFmt w:val="decimal"/>
      <w:lvlText w:val="%3."/>
      <w:lvlJc w:val="left"/>
      <w:pPr>
        <w:ind w:left="720" w:hanging="360"/>
      </w:pPr>
    </w:lvl>
    <w:lvl w:ilvl="3" w:tplc="12E66EC6">
      <w:start w:val="1"/>
      <w:numFmt w:val="decimal"/>
      <w:lvlText w:val="%4."/>
      <w:lvlJc w:val="left"/>
      <w:pPr>
        <w:ind w:left="720" w:hanging="360"/>
      </w:pPr>
    </w:lvl>
    <w:lvl w:ilvl="4" w:tplc="F96647CA">
      <w:start w:val="1"/>
      <w:numFmt w:val="decimal"/>
      <w:lvlText w:val="%5."/>
      <w:lvlJc w:val="left"/>
      <w:pPr>
        <w:ind w:left="720" w:hanging="360"/>
      </w:pPr>
    </w:lvl>
    <w:lvl w:ilvl="5" w:tplc="A6CA3FBE">
      <w:start w:val="1"/>
      <w:numFmt w:val="decimal"/>
      <w:lvlText w:val="%6."/>
      <w:lvlJc w:val="left"/>
      <w:pPr>
        <w:ind w:left="720" w:hanging="360"/>
      </w:pPr>
    </w:lvl>
    <w:lvl w:ilvl="6" w:tplc="C0CA78A0">
      <w:start w:val="1"/>
      <w:numFmt w:val="decimal"/>
      <w:lvlText w:val="%7."/>
      <w:lvlJc w:val="left"/>
      <w:pPr>
        <w:ind w:left="720" w:hanging="360"/>
      </w:pPr>
    </w:lvl>
    <w:lvl w:ilvl="7" w:tplc="F796CE06">
      <w:start w:val="1"/>
      <w:numFmt w:val="decimal"/>
      <w:lvlText w:val="%8."/>
      <w:lvlJc w:val="left"/>
      <w:pPr>
        <w:ind w:left="720" w:hanging="360"/>
      </w:pPr>
    </w:lvl>
    <w:lvl w:ilvl="8" w:tplc="387AF0D6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1AF5"/>
    <w:multiLevelType w:val="hybridMultilevel"/>
    <w:tmpl w:val="D36C8C3A"/>
    <w:lvl w:ilvl="0" w:tplc="1AB4D9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174F9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5AEE0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E2E42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B7E0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3C6BE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83C85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AC52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78666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3" w15:restartNumberingAfterBreak="0">
    <w:nsid w:val="7E361E85"/>
    <w:multiLevelType w:val="hybridMultilevel"/>
    <w:tmpl w:val="FBB8834A"/>
    <w:lvl w:ilvl="0" w:tplc="469C24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A607D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B30DC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12822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62C18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6D062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A64E2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4C88E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114F5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574507335">
    <w:abstractNumId w:val="2"/>
  </w:num>
  <w:num w:numId="2" w16cid:durableId="2099785714">
    <w:abstractNumId w:val="7"/>
  </w:num>
  <w:num w:numId="3" w16cid:durableId="2061632327">
    <w:abstractNumId w:val="6"/>
  </w:num>
  <w:num w:numId="4" w16cid:durableId="547452663">
    <w:abstractNumId w:val="11"/>
  </w:num>
  <w:num w:numId="5" w16cid:durableId="1763065910">
    <w:abstractNumId w:val="19"/>
  </w:num>
  <w:num w:numId="6" w16cid:durableId="1258558909">
    <w:abstractNumId w:val="17"/>
  </w:num>
  <w:num w:numId="7" w16cid:durableId="205921750">
    <w:abstractNumId w:val="14"/>
  </w:num>
  <w:num w:numId="8" w16cid:durableId="1919169608">
    <w:abstractNumId w:val="20"/>
  </w:num>
  <w:num w:numId="9" w16cid:durableId="1994720223">
    <w:abstractNumId w:val="1"/>
  </w:num>
  <w:num w:numId="10" w16cid:durableId="717776636">
    <w:abstractNumId w:val="9"/>
  </w:num>
  <w:num w:numId="11" w16cid:durableId="176817104">
    <w:abstractNumId w:val="5"/>
  </w:num>
  <w:num w:numId="12" w16cid:durableId="2146924556">
    <w:abstractNumId w:val="21"/>
  </w:num>
  <w:num w:numId="13" w16cid:durableId="177621122">
    <w:abstractNumId w:val="15"/>
  </w:num>
  <w:num w:numId="14" w16cid:durableId="851260693">
    <w:abstractNumId w:val="22"/>
  </w:num>
  <w:num w:numId="15" w16cid:durableId="1752317245">
    <w:abstractNumId w:val="3"/>
  </w:num>
  <w:num w:numId="16" w16cid:durableId="957377390">
    <w:abstractNumId w:val="16"/>
  </w:num>
  <w:num w:numId="17" w16cid:durableId="1088383117">
    <w:abstractNumId w:val="8"/>
  </w:num>
  <w:num w:numId="18" w16cid:durableId="1212768607">
    <w:abstractNumId w:val="13"/>
  </w:num>
  <w:num w:numId="19" w16cid:durableId="631596827">
    <w:abstractNumId w:val="4"/>
  </w:num>
  <w:num w:numId="20" w16cid:durableId="1632325102">
    <w:abstractNumId w:val="0"/>
  </w:num>
  <w:num w:numId="21" w16cid:durableId="1263149347">
    <w:abstractNumId w:val="23"/>
  </w:num>
  <w:num w:numId="22" w16cid:durableId="1617131428">
    <w:abstractNumId w:val="18"/>
  </w:num>
  <w:num w:numId="23" w16cid:durableId="1334062949">
    <w:abstractNumId w:val="12"/>
  </w:num>
  <w:num w:numId="24" w16cid:durableId="32343260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TW2NDM0sAAiAyUdpeDU4uLM/DyQAsNaAKCgXmUsAAAA"/>
  </w:docVars>
  <w:rsids>
    <w:rsidRoot w:val="00D33167"/>
    <w:rsid w:val="00002612"/>
    <w:rsid w:val="00003743"/>
    <w:rsid w:val="00003A5E"/>
    <w:rsid w:val="00003BA7"/>
    <w:rsid w:val="0000695B"/>
    <w:rsid w:val="00006DAD"/>
    <w:rsid w:val="00010945"/>
    <w:rsid w:val="00010C61"/>
    <w:rsid w:val="000113C9"/>
    <w:rsid w:val="000121C1"/>
    <w:rsid w:val="0001412A"/>
    <w:rsid w:val="00014A34"/>
    <w:rsid w:val="00015B54"/>
    <w:rsid w:val="00016DAB"/>
    <w:rsid w:val="00016FB9"/>
    <w:rsid w:val="00020068"/>
    <w:rsid w:val="00020A99"/>
    <w:rsid w:val="000219E0"/>
    <w:rsid w:val="00025D89"/>
    <w:rsid w:val="0002748F"/>
    <w:rsid w:val="00031C3B"/>
    <w:rsid w:val="000329C3"/>
    <w:rsid w:val="00033B64"/>
    <w:rsid w:val="0003471D"/>
    <w:rsid w:val="00034BE4"/>
    <w:rsid w:val="000369AE"/>
    <w:rsid w:val="00041003"/>
    <w:rsid w:val="00044167"/>
    <w:rsid w:val="0004452A"/>
    <w:rsid w:val="00045924"/>
    <w:rsid w:val="00047FAC"/>
    <w:rsid w:val="00054C70"/>
    <w:rsid w:val="000602F3"/>
    <w:rsid w:val="00060478"/>
    <w:rsid w:val="00060890"/>
    <w:rsid w:val="000619CE"/>
    <w:rsid w:val="0006242C"/>
    <w:rsid w:val="000648C7"/>
    <w:rsid w:val="00065304"/>
    <w:rsid w:val="00065F02"/>
    <w:rsid w:val="00066E5A"/>
    <w:rsid w:val="00067456"/>
    <w:rsid w:val="00071141"/>
    <w:rsid w:val="0007360B"/>
    <w:rsid w:val="000770DC"/>
    <w:rsid w:val="00080045"/>
    <w:rsid w:val="000800DB"/>
    <w:rsid w:val="00080453"/>
    <w:rsid w:val="000832D8"/>
    <w:rsid w:val="00083432"/>
    <w:rsid w:val="00083A43"/>
    <w:rsid w:val="000851BA"/>
    <w:rsid w:val="00085AE8"/>
    <w:rsid w:val="00085B2B"/>
    <w:rsid w:val="00087EAC"/>
    <w:rsid w:val="000924FE"/>
    <w:rsid w:val="00093684"/>
    <w:rsid w:val="00094E37"/>
    <w:rsid w:val="000A46C3"/>
    <w:rsid w:val="000A574E"/>
    <w:rsid w:val="000A576F"/>
    <w:rsid w:val="000B4B93"/>
    <w:rsid w:val="000B5825"/>
    <w:rsid w:val="000B5F21"/>
    <w:rsid w:val="000B636D"/>
    <w:rsid w:val="000C00C6"/>
    <w:rsid w:val="000C016B"/>
    <w:rsid w:val="000C221F"/>
    <w:rsid w:val="000C27C2"/>
    <w:rsid w:val="000C3E65"/>
    <w:rsid w:val="000C425E"/>
    <w:rsid w:val="000C4635"/>
    <w:rsid w:val="000C530C"/>
    <w:rsid w:val="000C7E8D"/>
    <w:rsid w:val="000D20D4"/>
    <w:rsid w:val="000D7028"/>
    <w:rsid w:val="000E23F2"/>
    <w:rsid w:val="000E2673"/>
    <w:rsid w:val="000E2C7D"/>
    <w:rsid w:val="000E40A7"/>
    <w:rsid w:val="000E4B3F"/>
    <w:rsid w:val="000E5D06"/>
    <w:rsid w:val="000F0B48"/>
    <w:rsid w:val="000F2055"/>
    <w:rsid w:val="000F29E7"/>
    <w:rsid w:val="000F39AD"/>
    <w:rsid w:val="0010056A"/>
    <w:rsid w:val="00101429"/>
    <w:rsid w:val="00101A0D"/>
    <w:rsid w:val="00103B56"/>
    <w:rsid w:val="0010404A"/>
    <w:rsid w:val="001070E1"/>
    <w:rsid w:val="00110BA0"/>
    <w:rsid w:val="00111484"/>
    <w:rsid w:val="00113DB9"/>
    <w:rsid w:val="00114331"/>
    <w:rsid w:val="00116AAB"/>
    <w:rsid w:val="00116D69"/>
    <w:rsid w:val="00117B22"/>
    <w:rsid w:val="00117CCD"/>
    <w:rsid w:val="00117DB9"/>
    <w:rsid w:val="00120BB2"/>
    <w:rsid w:val="001217F6"/>
    <w:rsid w:val="001238C0"/>
    <w:rsid w:val="00123E2F"/>
    <w:rsid w:val="001245B8"/>
    <w:rsid w:val="00126103"/>
    <w:rsid w:val="0012695D"/>
    <w:rsid w:val="00126E26"/>
    <w:rsid w:val="0012773D"/>
    <w:rsid w:val="00127DA0"/>
    <w:rsid w:val="00133BB1"/>
    <w:rsid w:val="00133BD9"/>
    <w:rsid w:val="00134075"/>
    <w:rsid w:val="00134A72"/>
    <w:rsid w:val="00134CD9"/>
    <w:rsid w:val="001374B7"/>
    <w:rsid w:val="00140DE7"/>
    <w:rsid w:val="0014154A"/>
    <w:rsid w:val="00141ED7"/>
    <w:rsid w:val="00144B09"/>
    <w:rsid w:val="0014557B"/>
    <w:rsid w:val="00146669"/>
    <w:rsid w:val="0014753E"/>
    <w:rsid w:val="00150105"/>
    <w:rsid w:val="00150B8E"/>
    <w:rsid w:val="001567A8"/>
    <w:rsid w:val="00156CBA"/>
    <w:rsid w:val="00157F5E"/>
    <w:rsid w:val="001610E6"/>
    <w:rsid w:val="00161A20"/>
    <w:rsid w:val="00162CD9"/>
    <w:rsid w:val="00163BC4"/>
    <w:rsid w:val="00164684"/>
    <w:rsid w:val="00165DF0"/>
    <w:rsid w:val="00171A27"/>
    <w:rsid w:val="00171A7C"/>
    <w:rsid w:val="001726A5"/>
    <w:rsid w:val="00177B64"/>
    <w:rsid w:val="001821CF"/>
    <w:rsid w:val="00183E2C"/>
    <w:rsid w:val="0018425E"/>
    <w:rsid w:val="00184640"/>
    <w:rsid w:val="00185042"/>
    <w:rsid w:val="00185613"/>
    <w:rsid w:val="00190179"/>
    <w:rsid w:val="00190797"/>
    <w:rsid w:val="00191A3C"/>
    <w:rsid w:val="001941B9"/>
    <w:rsid w:val="00194C75"/>
    <w:rsid w:val="001975BD"/>
    <w:rsid w:val="001A3F60"/>
    <w:rsid w:val="001A51C8"/>
    <w:rsid w:val="001B037C"/>
    <w:rsid w:val="001B3443"/>
    <w:rsid w:val="001B34FB"/>
    <w:rsid w:val="001B3642"/>
    <w:rsid w:val="001B40CD"/>
    <w:rsid w:val="001B4379"/>
    <w:rsid w:val="001B45F4"/>
    <w:rsid w:val="001B5EB4"/>
    <w:rsid w:val="001B6C7E"/>
    <w:rsid w:val="001B7157"/>
    <w:rsid w:val="001C07EB"/>
    <w:rsid w:val="001C357C"/>
    <w:rsid w:val="001C3FC6"/>
    <w:rsid w:val="001C5F03"/>
    <w:rsid w:val="001C788E"/>
    <w:rsid w:val="001D0255"/>
    <w:rsid w:val="001D0382"/>
    <w:rsid w:val="001D09F1"/>
    <w:rsid w:val="001D7875"/>
    <w:rsid w:val="001E0AE3"/>
    <w:rsid w:val="001E232C"/>
    <w:rsid w:val="001E37B2"/>
    <w:rsid w:val="001E4232"/>
    <w:rsid w:val="001E4A3D"/>
    <w:rsid w:val="001E6EC7"/>
    <w:rsid w:val="001E7E94"/>
    <w:rsid w:val="001F1297"/>
    <w:rsid w:val="001F1A15"/>
    <w:rsid w:val="001F3DB0"/>
    <w:rsid w:val="001F4469"/>
    <w:rsid w:val="001F6022"/>
    <w:rsid w:val="001F7CCC"/>
    <w:rsid w:val="0020034B"/>
    <w:rsid w:val="002040EF"/>
    <w:rsid w:val="002058AD"/>
    <w:rsid w:val="00205C5A"/>
    <w:rsid w:val="00206357"/>
    <w:rsid w:val="002066F0"/>
    <w:rsid w:val="00214ABA"/>
    <w:rsid w:val="00221721"/>
    <w:rsid w:val="0022190F"/>
    <w:rsid w:val="002220F8"/>
    <w:rsid w:val="00223161"/>
    <w:rsid w:val="00224D93"/>
    <w:rsid w:val="002252DB"/>
    <w:rsid w:val="00225544"/>
    <w:rsid w:val="00226814"/>
    <w:rsid w:val="002279E4"/>
    <w:rsid w:val="00227E4C"/>
    <w:rsid w:val="002306F0"/>
    <w:rsid w:val="0023299C"/>
    <w:rsid w:val="00234193"/>
    <w:rsid w:val="00234619"/>
    <w:rsid w:val="00235861"/>
    <w:rsid w:val="00235ADB"/>
    <w:rsid w:val="002377F5"/>
    <w:rsid w:val="002418D0"/>
    <w:rsid w:val="00243CB0"/>
    <w:rsid w:val="00247BCD"/>
    <w:rsid w:val="00252CAB"/>
    <w:rsid w:val="002530E9"/>
    <w:rsid w:val="00253538"/>
    <w:rsid w:val="00261E44"/>
    <w:rsid w:val="00263136"/>
    <w:rsid w:val="002650A3"/>
    <w:rsid w:val="00265EDC"/>
    <w:rsid w:val="00270062"/>
    <w:rsid w:val="00270453"/>
    <w:rsid w:val="002704B0"/>
    <w:rsid w:val="002704FE"/>
    <w:rsid w:val="00270E88"/>
    <w:rsid w:val="00275310"/>
    <w:rsid w:val="002755A9"/>
    <w:rsid w:val="002757CF"/>
    <w:rsid w:val="002757EC"/>
    <w:rsid w:val="002767D8"/>
    <w:rsid w:val="00276C70"/>
    <w:rsid w:val="00277437"/>
    <w:rsid w:val="0028130E"/>
    <w:rsid w:val="0028298C"/>
    <w:rsid w:val="00282CCB"/>
    <w:rsid w:val="002868F0"/>
    <w:rsid w:val="00287AF8"/>
    <w:rsid w:val="0029000B"/>
    <w:rsid w:val="00290777"/>
    <w:rsid w:val="00291A4E"/>
    <w:rsid w:val="00293701"/>
    <w:rsid w:val="00293865"/>
    <w:rsid w:val="0029563A"/>
    <w:rsid w:val="002972FF"/>
    <w:rsid w:val="002A0C72"/>
    <w:rsid w:val="002A305D"/>
    <w:rsid w:val="002A4CDB"/>
    <w:rsid w:val="002A5EFB"/>
    <w:rsid w:val="002A602A"/>
    <w:rsid w:val="002A7C0B"/>
    <w:rsid w:val="002B0287"/>
    <w:rsid w:val="002B1AE9"/>
    <w:rsid w:val="002B1AF0"/>
    <w:rsid w:val="002B31BB"/>
    <w:rsid w:val="002B5324"/>
    <w:rsid w:val="002B6873"/>
    <w:rsid w:val="002B6E46"/>
    <w:rsid w:val="002C0CBE"/>
    <w:rsid w:val="002C109B"/>
    <w:rsid w:val="002C177A"/>
    <w:rsid w:val="002C3A8B"/>
    <w:rsid w:val="002C56C6"/>
    <w:rsid w:val="002D1CD4"/>
    <w:rsid w:val="002D3AA2"/>
    <w:rsid w:val="002D3F00"/>
    <w:rsid w:val="002D4EE4"/>
    <w:rsid w:val="002D5CC8"/>
    <w:rsid w:val="002D647E"/>
    <w:rsid w:val="002E0353"/>
    <w:rsid w:val="002E2D0F"/>
    <w:rsid w:val="002E39E4"/>
    <w:rsid w:val="002E3D2C"/>
    <w:rsid w:val="002E4CB6"/>
    <w:rsid w:val="002E5BDC"/>
    <w:rsid w:val="002E5F60"/>
    <w:rsid w:val="002E6E74"/>
    <w:rsid w:val="002F1F30"/>
    <w:rsid w:val="002F2CA8"/>
    <w:rsid w:val="002F33C3"/>
    <w:rsid w:val="002F36CF"/>
    <w:rsid w:val="002F3A3D"/>
    <w:rsid w:val="002F3AE3"/>
    <w:rsid w:val="002F4175"/>
    <w:rsid w:val="003009A1"/>
    <w:rsid w:val="00302057"/>
    <w:rsid w:val="003021C5"/>
    <w:rsid w:val="00302FF2"/>
    <w:rsid w:val="00303984"/>
    <w:rsid w:val="00304733"/>
    <w:rsid w:val="00304DAF"/>
    <w:rsid w:val="00306517"/>
    <w:rsid w:val="00306FBB"/>
    <w:rsid w:val="0030786C"/>
    <w:rsid w:val="00310FA3"/>
    <w:rsid w:val="00311130"/>
    <w:rsid w:val="0031329E"/>
    <w:rsid w:val="0031380A"/>
    <w:rsid w:val="003151C1"/>
    <w:rsid w:val="00317BB3"/>
    <w:rsid w:val="003208A2"/>
    <w:rsid w:val="00321999"/>
    <w:rsid w:val="00323B20"/>
    <w:rsid w:val="00325782"/>
    <w:rsid w:val="003259A7"/>
    <w:rsid w:val="00326F35"/>
    <w:rsid w:val="003331D1"/>
    <w:rsid w:val="00334E12"/>
    <w:rsid w:val="00341827"/>
    <w:rsid w:val="0034257B"/>
    <w:rsid w:val="003432DD"/>
    <w:rsid w:val="003463F7"/>
    <w:rsid w:val="003471C4"/>
    <w:rsid w:val="003503DB"/>
    <w:rsid w:val="00350ACE"/>
    <w:rsid w:val="00353274"/>
    <w:rsid w:val="0035377F"/>
    <w:rsid w:val="003537DD"/>
    <w:rsid w:val="00354247"/>
    <w:rsid w:val="00356096"/>
    <w:rsid w:val="003605B4"/>
    <w:rsid w:val="00362C9B"/>
    <w:rsid w:val="00364AE6"/>
    <w:rsid w:val="00365888"/>
    <w:rsid w:val="0036665E"/>
    <w:rsid w:val="00367CDE"/>
    <w:rsid w:val="00370E5B"/>
    <w:rsid w:val="003721C4"/>
    <w:rsid w:val="00372FCE"/>
    <w:rsid w:val="00384902"/>
    <w:rsid w:val="00387970"/>
    <w:rsid w:val="00390E9D"/>
    <w:rsid w:val="00391001"/>
    <w:rsid w:val="00391D5F"/>
    <w:rsid w:val="00393851"/>
    <w:rsid w:val="00394C68"/>
    <w:rsid w:val="00394EFD"/>
    <w:rsid w:val="003A15C1"/>
    <w:rsid w:val="003A2B14"/>
    <w:rsid w:val="003A2FC6"/>
    <w:rsid w:val="003A32F5"/>
    <w:rsid w:val="003A3C70"/>
    <w:rsid w:val="003B3AF5"/>
    <w:rsid w:val="003B3C90"/>
    <w:rsid w:val="003B5A1E"/>
    <w:rsid w:val="003B5A75"/>
    <w:rsid w:val="003B5C45"/>
    <w:rsid w:val="003B7900"/>
    <w:rsid w:val="003C0F83"/>
    <w:rsid w:val="003C11CE"/>
    <w:rsid w:val="003C1387"/>
    <w:rsid w:val="003C183D"/>
    <w:rsid w:val="003C231C"/>
    <w:rsid w:val="003C51D9"/>
    <w:rsid w:val="003C6932"/>
    <w:rsid w:val="003C787E"/>
    <w:rsid w:val="003C79AD"/>
    <w:rsid w:val="003D02B6"/>
    <w:rsid w:val="003D17F9"/>
    <w:rsid w:val="003D517D"/>
    <w:rsid w:val="003E1F9C"/>
    <w:rsid w:val="003E2094"/>
    <w:rsid w:val="003E233C"/>
    <w:rsid w:val="003E2680"/>
    <w:rsid w:val="003E3D8C"/>
    <w:rsid w:val="003E427C"/>
    <w:rsid w:val="003E4535"/>
    <w:rsid w:val="003E601A"/>
    <w:rsid w:val="003E7A6C"/>
    <w:rsid w:val="003E7C14"/>
    <w:rsid w:val="003F226B"/>
    <w:rsid w:val="003F3467"/>
    <w:rsid w:val="003F3A2E"/>
    <w:rsid w:val="003F3A3D"/>
    <w:rsid w:val="003F3D70"/>
    <w:rsid w:val="003F4524"/>
    <w:rsid w:val="003F551F"/>
    <w:rsid w:val="003F56C1"/>
    <w:rsid w:val="003F7DBC"/>
    <w:rsid w:val="004010CE"/>
    <w:rsid w:val="0040191B"/>
    <w:rsid w:val="004029B5"/>
    <w:rsid w:val="00402CE2"/>
    <w:rsid w:val="0040693A"/>
    <w:rsid w:val="004106ED"/>
    <w:rsid w:val="00412FE1"/>
    <w:rsid w:val="0041495D"/>
    <w:rsid w:val="00415C8F"/>
    <w:rsid w:val="00416187"/>
    <w:rsid w:val="00422B76"/>
    <w:rsid w:val="00423AF0"/>
    <w:rsid w:val="004257E7"/>
    <w:rsid w:val="00425B7C"/>
    <w:rsid w:val="00425DA0"/>
    <w:rsid w:val="00425F06"/>
    <w:rsid w:val="004261D7"/>
    <w:rsid w:val="00426588"/>
    <w:rsid w:val="00427CD8"/>
    <w:rsid w:val="00430125"/>
    <w:rsid w:val="0043423A"/>
    <w:rsid w:val="00434917"/>
    <w:rsid w:val="0043563E"/>
    <w:rsid w:val="00436C19"/>
    <w:rsid w:val="00436D06"/>
    <w:rsid w:val="00437DBA"/>
    <w:rsid w:val="00440998"/>
    <w:rsid w:val="0044143C"/>
    <w:rsid w:val="00442903"/>
    <w:rsid w:val="00442D15"/>
    <w:rsid w:val="00447A6B"/>
    <w:rsid w:val="00451454"/>
    <w:rsid w:val="00452DCB"/>
    <w:rsid w:val="00452ED0"/>
    <w:rsid w:val="00453A51"/>
    <w:rsid w:val="004561E3"/>
    <w:rsid w:val="00456926"/>
    <w:rsid w:val="00462A39"/>
    <w:rsid w:val="00463035"/>
    <w:rsid w:val="00463E8C"/>
    <w:rsid w:val="004658FB"/>
    <w:rsid w:val="0047029A"/>
    <w:rsid w:val="004704FA"/>
    <w:rsid w:val="00472772"/>
    <w:rsid w:val="00473446"/>
    <w:rsid w:val="0047625E"/>
    <w:rsid w:val="0047782D"/>
    <w:rsid w:val="004830B4"/>
    <w:rsid w:val="00484234"/>
    <w:rsid w:val="00485E61"/>
    <w:rsid w:val="004867E2"/>
    <w:rsid w:val="00487D3E"/>
    <w:rsid w:val="00490FF0"/>
    <w:rsid w:val="00494876"/>
    <w:rsid w:val="00496202"/>
    <w:rsid w:val="004971D1"/>
    <w:rsid w:val="004A05FF"/>
    <w:rsid w:val="004A0FA7"/>
    <w:rsid w:val="004A1690"/>
    <w:rsid w:val="004A1906"/>
    <w:rsid w:val="004A2CD4"/>
    <w:rsid w:val="004A2DBD"/>
    <w:rsid w:val="004A32C3"/>
    <w:rsid w:val="004A3CF9"/>
    <w:rsid w:val="004A411B"/>
    <w:rsid w:val="004A47A0"/>
    <w:rsid w:val="004A5383"/>
    <w:rsid w:val="004A61F9"/>
    <w:rsid w:val="004A696E"/>
    <w:rsid w:val="004B0D7C"/>
    <w:rsid w:val="004B34E4"/>
    <w:rsid w:val="004B5030"/>
    <w:rsid w:val="004C068C"/>
    <w:rsid w:val="004C0A03"/>
    <w:rsid w:val="004C71CF"/>
    <w:rsid w:val="004C742A"/>
    <w:rsid w:val="004D292F"/>
    <w:rsid w:val="004D4A28"/>
    <w:rsid w:val="004D4FA8"/>
    <w:rsid w:val="004D50CF"/>
    <w:rsid w:val="004E146E"/>
    <w:rsid w:val="004E3909"/>
    <w:rsid w:val="004E5B37"/>
    <w:rsid w:val="004E65AA"/>
    <w:rsid w:val="004E7CF9"/>
    <w:rsid w:val="004F020A"/>
    <w:rsid w:val="004F2684"/>
    <w:rsid w:val="004F28F5"/>
    <w:rsid w:val="004F2E2A"/>
    <w:rsid w:val="004F3AA0"/>
    <w:rsid w:val="004F4AD6"/>
    <w:rsid w:val="004F5DED"/>
    <w:rsid w:val="004F73CB"/>
    <w:rsid w:val="004F7AFF"/>
    <w:rsid w:val="004F7C7F"/>
    <w:rsid w:val="00501091"/>
    <w:rsid w:val="00504934"/>
    <w:rsid w:val="005053C9"/>
    <w:rsid w:val="00506310"/>
    <w:rsid w:val="00506A45"/>
    <w:rsid w:val="0050791B"/>
    <w:rsid w:val="00510667"/>
    <w:rsid w:val="00513A56"/>
    <w:rsid w:val="00513F70"/>
    <w:rsid w:val="0051521D"/>
    <w:rsid w:val="0051564D"/>
    <w:rsid w:val="00517DBF"/>
    <w:rsid w:val="00523DBD"/>
    <w:rsid w:val="005256D8"/>
    <w:rsid w:val="00525809"/>
    <w:rsid w:val="00525DA8"/>
    <w:rsid w:val="0053034E"/>
    <w:rsid w:val="00530B59"/>
    <w:rsid w:val="00532D49"/>
    <w:rsid w:val="00534148"/>
    <w:rsid w:val="00543C9E"/>
    <w:rsid w:val="00546C80"/>
    <w:rsid w:val="0055118F"/>
    <w:rsid w:val="00551A9A"/>
    <w:rsid w:val="00553B61"/>
    <w:rsid w:val="00554A23"/>
    <w:rsid w:val="00554B82"/>
    <w:rsid w:val="00555995"/>
    <w:rsid w:val="005603E0"/>
    <w:rsid w:val="005611A5"/>
    <w:rsid w:val="00561352"/>
    <w:rsid w:val="005641C8"/>
    <w:rsid w:val="00570DC6"/>
    <w:rsid w:val="00573D48"/>
    <w:rsid w:val="00574083"/>
    <w:rsid w:val="005760DA"/>
    <w:rsid w:val="00577609"/>
    <w:rsid w:val="00581FFB"/>
    <w:rsid w:val="00584750"/>
    <w:rsid w:val="00586D57"/>
    <w:rsid w:val="005873E5"/>
    <w:rsid w:val="00590A88"/>
    <w:rsid w:val="005945CB"/>
    <w:rsid w:val="0059518A"/>
    <w:rsid w:val="00596E15"/>
    <w:rsid w:val="005A0D19"/>
    <w:rsid w:val="005A22A2"/>
    <w:rsid w:val="005A2F1D"/>
    <w:rsid w:val="005A6482"/>
    <w:rsid w:val="005B274D"/>
    <w:rsid w:val="005B4E5E"/>
    <w:rsid w:val="005B6931"/>
    <w:rsid w:val="005C1325"/>
    <w:rsid w:val="005C30AE"/>
    <w:rsid w:val="005C4C82"/>
    <w:rsid w:val="005D1645"/>
    <w:rsid w:val="005D2E42"/>
    <w:rsid w:val="005D76E5"/>
    <w:rsid w:val="005E0A01"/>
    <w:rsid w:val="005E0FAB"/>
    <w:rsid w:val="005E17B0"/>
    <w:rsid w:val="005E4CFF"/>
    <w:rsid w:val="005E5E9A"/>
    <w:rsid w:val="005E624C"/>
    <w:rsid w:val="005F16BD"/>
    <w:rsid w:val="005F4768"/>
    <w:rsid w:val="005F4D30"/>
    <w:rsid w:val="005F5A9F"/>
    <w:rsid w:val="005F73D9"/>
    <w:rsid w:val="005F77E3"/>
    <w:rsid w:val="006004EC"/>
    <w:rsid w:val="00602640"/>
    <w:rsid w:val="006036BF"/>
    <w:rsid w:val="0060508D"/>
    <w:rsid w:val="0060514F"/>
    <w:rsid w:val="00605268"/>
    <w:rsid w:val="00605DAE"/>
    <w:rsid w:val="0060708B"/>
    <w:rsid w:val="00607E03"/>
    <w:rsid w:val="00610618"/>
    <w:rsid w:val="00610C8B"/>
    <w:rsid w:val="006118D1"/>
    <w:rsid w:val="00611D63"/>
    <w:rsid w:val="00611FC1"/>
    <w:rsid w:val="006152C6"/>
    <w:rsid w:val="00615976"/>
    <w:rsid w:val="00615FCB"/>
    <w:rsid w:val="006164C2"/>
    <w:rsid w:val="00620E69"/>
    <w:rsid w:val="00621C9B"/>
    <w:rsid w:val="006247AB"/>
    <w:rsid w:val="00624EB1"/>
    <w:rsid w:val="00627DF9"/>
    <w:rsid w:val="00630E40"/>
    <w:rsid w:val="0063427B"/>
    <w:rsid w:val="00635DF1"/>
    <w:rsid w:val="00637D21"/>
    <w:rsid w:val="00640D4D"/>
    <w:rsid w:val="00641D03"/>
    <w:rsid w:val="00642CB4"/>
    <w:rsid w:val="006437FC"/>
    <w:rsid w:val="006465B6"/>
    <w:rsid w:val="00650B70"/>
    <w:rsid w:val="006518A9"/>
    <w:rsid w:val="006523B6"/>
    <w:rsid w:val="00652B98"/>
    <w:rsid w:val="00652F4E"/>
    <w:rsid w:val="006603E3"/>
    <w:rsid w:val="0066183C"/>
    <w:rsid w:val="00661982"/>
    <w:rsid w:val="00661B30"/>
    <w:rsid w:val="006633E8"/>
    <w:rsid w:val="006654BA"/>
    <w:rsid w:val="006655A7"/>
    <w:rsid w:val="006656D8"/>
    <w:rsid w:val="00665A3B"/>
    <w:rsid w:val="0066647D"/>
    <w:rsid w:val="0066686C"/>
    <w:rsid w:val="00670ACA"/>
    <w:rsid w:val="0067230D"/>
    <w:rsid w:val="006727F5"/>
    <w:rsid w:val="00672899"/>
    <w:rsid w:val="00674656"/>
    <w:rsid w:val="00674C7D"/>
    <w:rsid w:val="00676735"/>
    <w:rsid w:val="00676DE9"/>
    <w:rsid w:val="0068155A"/>
    <w:rsid w:val="00683468"/>
    <w:rsid w:val="00684C33"/>
    <w:rsid w:val="0068578A"/>
    <w:rsid w:val="00686670"/>
    <w:rsid w:val="00687354"/>
    <w:rsid w:val="00691179"/>
    <w:rsid w:val="00691977"/>
    <w:rsid w:val="00691EAA"/>
    <w:rsid w:val="006924F6"/>
    <w:rsid w:val="00693884"/>
    <w:rsid w:val="00693B79"/>
    <w:rsid w:val="00695ABC"/>
    <w:rsid w:val="00696526"/>
    <w:rsid w:val="00696A5D"/>
    <w:rsid w:val="006977CA"/>
    <w:rsid w:val="006A0F07"/>
    <w:rsid w:val="006A4949"/>
    <w:rsid w:val="006B1B74"/>
    <w:rsid w:val="006B3E93"/>
    <w:rsid w:val="006B5200"/>
    <w:rsid w:val="006B5887"/>
    <w:rsid w:val="006B6561"/>
    <w:rsid w:val="006B6F0D"/>
    <w:rsid w:val="006B723F"/>
    <w:rsid w:val="006C436C"/>
    <w:rsid w:val="006C7B63"/>
    <w:rsid w:val="006D063C"/>
    <w:rsid w:val="006D0FAB"/>
    <w:rsid w:val="006D3D60"/>
    <w:rsid w:val="006D4141"/>
    <w:rsid w:val="006D524D"/>
    <w:rsid w:val="006D5E03"/>
    <w:rsid w:val="006D680E"/>
    <w:rsid w:val="006D75C4"/>
    <w:rsid w:val="006F0D9A"/>
    <w:rsid w:val="006F134D"/>
    <w:rsid w:val="006F1F2A"/>
    <w:rsid w:val="006F24A3"/>
    <w:rsid w:val="006F37F3"/>
    <w:rsid w:val="006F3FA8"/>
    <w:rsid w:val="006F4F21"/>
    <w:rsid w:val="006F5435"/>
    <w:rsid w:val="006F55BC"/>
    <w:rsid w:val="006F5C6C"/>
    <w:rsid w:val="00700682"/>
    <w:rsid w:val="00705844"/>
    <w:rsid w:val="0070773C"/>
    <w:rsid w:val="007107D9"/>
    <w:rsid w:val="00712213"/>
    <w:rsid w:val="00716114"/>
    <w:rsid w:val="007215EF"/>
    <w:rsid w:val="00732EBC"/>
    <w:rsid w:val="0073325C"/>
    <w:rsid w:val="007340B1"/>
    <w:rsid w:val="00734721"/>
    <w:rsid w:val="00734BA7"/>
    <w:rsid w:val="007350E9"/>
    <w:rsid w:val="00735612"/>
    <w:rsid w:val="007356E6"/>
    <w:rsid w:val="00737F81"/>
    <w:rsid w:val="00742642"/>
    <w:rsid w:val="00743639"/>
    <w:rsid w:val="007449F5"/>
    <w:rsid w:val="00747504"/>
    <w:rsid w:val="00750238"/>
    <w:rsid w:val="00750786"/>
    <w:rsid w:val="007517D3"/>
    <w:rsid w:val="007519FC"/>
    <w:rsid w:val="00752752"/>
    <w:rsid w:val="00755A3C"/>
    <w:rsid w:val="00756A0F"/>
    <w:rsid w:val="0075793C"/>
    <w:rsid w:val="007602D3"/>
    <w:rsid w:val="0076237B"/>
    <w:rsid w:val="0076243C"/>
    <w:rsid w:val="00762550"/>
    <w:rsid w:val="00764959"/>
    <w:rsid w:val="00764BC6"/>
    <w:rsid w:val="0076656C"/>
    <w:rsid w:val="0076670E"/>
    <w:rsid w:val="00766A88"/>
    <w:rsid w:val="00766CC5"/>
    <w:rsid w:val="007675DA"/>
    <w:rsid w:val="00771947"/>
    <w:rsid w:val="007748E6"/>
    <w:rsid w:val="00774912"/>
    <w:rsid w:val="00774DD7"/>
    <w:rsid w:val="00775FC7"/>
    <w:rsid w:val="007761EE"/>
    <w:rsid w:val="00776F89"/>
    <w:rsid w:val="00777520"/>
    <w:rsid w:val="00780FC9"/>
    <w:rsid w:val="00781D90"/>
    <w:rsid w:val="00783CE0"/>
    <w:rsid w:val="007844F7"/>
    <w:rsid w:val="007850C4"/>
    <w:rsid w:val="0078604A"/>
    <w:rsid w:val="00786175"/>
    <w:rsid w:val="007865C7"/>
    <w:rsid w:val="007871AA"/>
    <w:rsid w:val="00787E14"/>
    <w:rsid w:val="00792D7C"/>
    <w:rsid w:val="0079693D"/>
    <w:rsid w:val="00797943"/>
    <w:rsid w:val="00797C51"/>
    <w:rsid w:val="007A2469"/>
    <w:rsid w:val="007A621B"/>
    <w:rsid w:val="007B0D33"/>
    <w:rsid w:val="007B0ED8"/>
    <w:rsid w:val="007B1F1E"/>
    <w:rsid w:val="007B43DC"/>
    <w:rsid w:val="007B4E45"/>
    <w:rsid w:val="007C053E"/>
    <w:rsid w:val="007C0E6F"/>
    <w:rsid w:val="007C300E"/>
    <w:rsid w:val="007C33F5"/>
    <w:rsid w:val="007D2BCB"/>
    <w:rsid w:val="007D311C"/>
    <w:rsid w:val="007D5704"/>
    <w:rsid w:val="007D5F1F"/>
    <w:rsid w:val="007D6877"/>
    <w:rsid w:val="007D6C0D"/>
    <w:rsid w:val="007D71AA"/>
    <w:rsid w:val="007D77D7"/>
    <w:rsid w:val="007E3655"/>
    <w:rsid w:val="007F162D"/>
    <w:rsid w:val="007F5522"/>
    <w:rsid w:val="007F70C4"/>
    <w:rsid w:val="00802195"/>
    <w:rsid w:val="008072D0"/>
    <w:rsid w:val="008103BD"/>
    <w:rsid w:val="0081094C"/>
    <w:rsid w:val="0081318A"/>
    <w:rsid w:val="0081415E"/>
    <w:rsid w:val="00814198"/>
    <w:rsid w:val="00815951"/>
    <w:rsid w:val="00820F33"/>
    <w:rsid w:val="00822761"/>
    <w:rsid w:val="00823812"/>
    <w:rsid w:val="008264EB"/>
    <w:rsid w:val="00826860"/>
    <w:rsid w:val="008319EC"/>
    <w:rsid w:val="0083363A"/>
    <w:rsid w:val="00834004"/>
    <w:rsid w:val="008368DB"/>
    <w:rsid w:val="00841D3B"/>
    <w:rsid w:val="00842FB7"/>
    <w:rsid w:val="0084351D"/>
    <w:rsid w:val="00843AC1"/>
    <w:rsid w:val="00844847"/>
    <w:rsid w:val="00846085"/>
    <w:rsid w:val="00846A2D"/>
    <w:rsid w:val="00846E7A"/>
    <w:rsid w:val="008509E4"/>
    <w:rsid w:val="0085569B"/>
    <w:rsid w:val="00855DB1"/>
    <w:rsid w:val="00855FC1"/>
    <w:rsid w:val="00865A00"/>
    <w:rsid w:val="00866357"/>
    <w:rsid w:val="00867A6D"/>
    <w:rsid w:val="00867FC5"/>
    <w:rsid w:val="008705F0"/>
    <w:rsid w:val="00872841"/>
    <w:rsid w:val="008744D5"/>
    <w:rsid w:val="00874B95"/>
    <w:rsid w:val="00874D13"/>
    <w:rsid w:val="008768CC"/>
    <w:rsid w:val="008804F1"/>
    <w:rsid w:val="00881E13"/>
    <w:rsid w:val="008827F8"/>
    <w:rsid w:val="00883530"/>
    <w:rsid w:val="00885034"/>
    <w:rsid w:val="00885093"/>
    <w:rsid w:val="00886E94"/>
    <w:rsid w:val="00891D00"/>
    <w:rsid w:val="00891FAD"/>
    <w:rsid w:val="00892FC7"/>
    <w:rsid w:val="00893710"/>
    <w:rsid w:val="0089545C"/>
    <w:rsid w:val="0089621F"/>
    <w:rsid w:val="008A3439"/>
    <w:rsid w:val="008A68E6"/>
    <w:rsid w:val="008A7234"/>
    <w:rsid w:val="008A7CB9"/>
    <w:rsid w:val="008B0BC9"/>
    <w:rsid w:val="008B1427"/>
    <w:rsid w:val="008B28E8"/>
    <w:rsid w:val="008B4718"/>
    <w:rsid w:val="008B5499"/>
    <w:rsid w:val="008B629D"/>
    <w:rsid w:val="008B769E"/>
    <w:rsid w:val="008C0DC2"/>
    <w:rsid w:val="008C197F"/>
    <w:rsid w:val="008C1E4C"/>
    <w:rsid w:val="008C268E"/>
    <w:rsid w:val="008C3CA5"/>
    <w:rsid w:val="008C652B"/>
    <w:rsid w:val="008D4150"/>
    <w:rsid w:val="008D6A1B"/>
    <w:rsid w:val="008D753F"/>
    <w:rsid w:val="008E04F9"/>
    <w:rsid w:val="008E1D46"/>
    <w:rsid w:val="008E2380"/>
    <w:rsid w:val="008E32C8"/>
    <w:rsid w:val="008E3318"/>
    <w:rsid w:val="008E551D"/>
    <w:rsid w:val="008E60F6"/>
    <w:rsid w:val="008F0749"/>
    <w:rsid w:val="008F0B99"/>
    <w:rsid w:val="008F1082"/>
    <w:rsid w:val="008F2873"/>
    <w:rsid w:val="008F2F24"/>
    <w:rsid w:val="008F6A18"/>
    <w:rsid w:val="009002BD"/>
    <w:rsid w:val="00902A34"/>
    <w:rsid w:val="00904481"/>
    <w:rsid w:val="009109E2"/>
    <w:rsid w:val="00913418"/>
    <w:rsid w:val="0091614A"/>
    <w:rsid w:val="00916C0F"/>
    <w:rsid w:val="009172B2"/>
    <w:rsid w:val="009178C5"/>
    <w:rsid w:val="00917E71"/>
    <w:rsid w:val="00922447"/>
    <w:rsid w:val="00923219"/>
    <w:rsid w:val="00925DD5"/>
    <w:rsid w:val="009269CB"/>
    <w:rsid w:val="00927698"/>
    <w:rsid w:val="00930FBB"/>
    <w:rsid w:val="00931399"/>
    <w:rsid w:val="00933B19"/>
    <w:rsid w:val="00934DE1"/>
    <w:rsid w:val="0093610E"/>
    <w:rsid w:val="009364C3"/>
    <w:rsid w:val="00937D1F"/>
    <w:rsid w:val="00937EE8"/>
    <w:rsid w:val="0094114D"/>
    <w:rsid w:val="009439F2"/>
    <w:rsid w:val="009451A6"/>
    <w:rsid w:val="009604A0"/>
    <w:rsid w:val="009607F9"/>
    <w:rsid w:val="00961CDD"/>
    <w:rsid w:val="00963935"/>
    <w:rsid w:val="00965B8C"/>
    <w:rsid w:val="0096605D"/>
    <w:rsid w:val="00966868"/>
    <w:rsid w:val="00971E5B"/>
    <w:rsid w:val="00974EA1"/>
    <w:rsid w:val="00977829"/>
    <w:rsid w:val="009825A0"/>
    <w:rsid w:val="00982861"/>
    <w:rsid w:val="0098296B"/>
    <w:rsid w:val="00983721"/>
    <w:rsid w:val="009839C0"/>
    <w:rsid w:val="00983F5F"/>
    <w:rsid w:val="00984D1D"/>
    <w:rsid w:val="00984D3B"/>
    <w:rsid w:val="00985027"/>
    <w:rsid w:val="0098634F"/>
    <w:rsid w:val="00987197"/>
    <w:rsid w:val="009905F3"/>
    <w:rsid w:val="009916B5"/>
    <w:rsid w:val="00991AFF"/>
    <w:rsid w:val="00991BF0"/>
    <w:rsid w:val="0099237D"/>
    <w:rsid w:val="00993DBE"/>
    <w:rsid w:val="00997B37"/>
    <w:rsid w:val="00997D96"/>
    <w:rsid w:val="009A043D"/>
    <w:rsid w:val="009A1C48"/>
    <w:rsid w:val="009A2B04"/>
    <w:rsid w:val="009A4C8B"/>
    <w:rsid w:val="009A6FF4"/>
    <w:rsid w:val="009A7821"/>
    <w:rsid w:val="009A796E"/>
    <w:rsid w:val="009B0049"/>
    <w:rsid w:val="009B1250"/>
    <w:rsid w:val="009B337D"/>
    <w:rsid w:val="009B3E1A"/>
    <w:rsid w:val="009B519C"/>
    <w:rsid w:val="009B66E7"/>
    <w:rsid w:val="009B675C"/>
    <w:rsid w:val="009B6E47"/>
    <w:rsid w:val="009D1ADA"/>
    <w:rsid w:val="009D2602"/>
    <w:rsid w:val="009D2E7F"/>
    <w:rsid w:val="009D7609"/>
    <w:rsid w:val="009D7661"/>
    <w:rsid w:val="009E0BAA"/>
    <w:rsid w:val="009E5B4B"/>
    <w:rsid w:val="009F1017"/>
    <w:rsid w:val="009F1206"/>
    <w:rsid w:val="009F23CB"/>
    <w:rsid w:val="009F4281"/>
    <w:rsid w:val="009F4C87"/>
    <w:rsid w:val="009F5B52"/>
    <w:rsid w:val="009F69F3"/>
    <w:rsid w:val="009F7DAB"/>
    <w:rsid w:val="00A006B1"/>
    <w:rsid w:val="00A04C05"/>
    <w:rsid w:val="00A04D8E"/>
    <w:rsid w:val="00A0734F"/>
    <w:rsid w:val="00A13607"/>
    <w:rsid w:val="00A13791"/>
    <w:rsid w:val="00A13826"/>
    <w:rsid w:val="00A16665"/>
    <w:rsid w:val="00A166E6"/>
    <w:rsid w:val="00A168C1"/>
    <w:rsid w:val="00A177A5"/>
    <w:rsid w:val="00A17DDA"/>
    <w:rsid w:val="00A21286"/>
    <w:rsid w:val="00A21743"/>
    <w:rsid w:val="00A23261"/>
    <w:rsid w:val="00A24EBA"/>
    <w:rsid w:val="00A25693"/>
    <w:rsid w:val="00A26422"/>
    <w:rsid w:val="00A30A78"/>
    <w:rsid w:val="00A31604"/>
    <w:rsid w:val="00A3223C"/>
    <w:rsid w:val="00A3334D"/>
    <w:rsid w:val="00A33D7F"/>
    <w:rsid w:val="00A36A30"/>
    <w:rsid w:val="00A36B38"/>
    <w:rsid w:val="00A40C29"/>
    <w:rsid w:val="00A41455"/>
    <w:rsid w:val="00A44C37"/>
    <w:rsid w:val="00A4512D"/>
    <w:rsid w:val="00A50AD3"/>
    <w:rsid w:val="00A51867"/>
    <w:rsid w:val="00A51EE6"/>
    <w:rsid w:val="00A53B22"/>
    <w:rsid w:val="00A5481C"/>
    <w:rsid w:val="00A60221"/>
    <w:rsid w:val="00A62D6A"/>
    <w:rsid w:val="00A66A2B"/>
    <w:rsid w:val="00A66C82"/>
    <w:rsid w:val="00A705AF"/>
    <w:rsid w:val="00A70C35"/>
    <w:rsid w:val="00A7161D"/>
    <w:rsid w:val="00A71B7A"/>
    <w:rsid w:val="00A73FB2"/>
    <w:rsid w:val="00A771B5"/>
    <w:rsid w:val="00A77582"/>
    <w:rsid w:val="00A776E0"/>
    <w:rsid w:val="00A81BE0"/>
    <w:rsid w:val="00A83BEE"/>
    <w:rsid w:val="00A8663E"/>
    <w:rsid w:val="00A909AA"/>
    <w:rsid w:val="00A90B41"/>
    <w:rsid w:val="00A912D4"/>
    <w:rsid w:val="00A92440"/>
    <w:rsid w:val="00A952FB"/>
    <w:rsid w:val="00A96EAD"/>
    <w:rsid w:val="00AA139F"/>
    <w:rsid w:val="00AA3975"/>
    <w:rsid w:val="00AA4F32"/>
    <w:rsid w:val="00AA61C5"/>
    <w:rsid w:val="00AA6EA4"/>
    <w:rsid w:val="00AB0DC4"/>
    <w:rsid w:val="00AB0E33"/>
    <w:rsid w:val="00AB26B6"/>
    <w:rsid w:val="00AB2D1C"/>
    <w:rsid w:val="00AB2EA9"/>
    <w:rsid w:val="00AB357A"/>
    <w:rsid w:val="00AB368F"/>
    <w:rsid w:val="00AB485B"/>
    <w:rsid w:val="00AB5696"/>
    <w:rsid w:val="00AB5B5D"/>
    <w:rsid w:val="00AB5C3D"/>
    <w:rsid w:val="00AC1AA3"/>
    <w:rsid w:val="00AC23C0"/>
    <w:rsid w:val="00AC24DA"/>
    <w:rsid w:val="00AC272F"/>
    <w:rsid w:val="00AC34F0"/>
    <w:rsid w:val="00AC5E25"/>
    <w:rsid w:val="00AC63B8"/>
    <w:rsid w:val="00AC6C66"/>
    <w:rsid w:val="00AC6F9C"/>
    <w:rsid w:val="00AD31AE"/>
    <w:rsid w:val="00AD3512"/>
    <w:rsid w:val="00AD3924"/>
    <w:rsid w:val="00AD3F67"/>
    <w:rsid w:val="00AD5F04"/>
    <w:rsid w:val="00AE18A4"/>
    <w:rsid w:val="00AE24FE"/>
    <w:rsid w:val="00AE4E65"/>
    <w:rsid w:val="00AE5F36"/>
    <w:rsid w:val="00AF59C2"/>
    <w:rsid w:val="00AF7EEF"/>
    <w:rsid w:val="00B0053C"/>
    <w:rsid w:val="00B039C1"/>
    <w:rsid w:val="00B040E5"/>
    <w:rsid w:val="00B041D6"/>
    <w:rsid w:val="00B06A59"/>
    <w:rsid w:val="00B06C4B"/>
    <w:rsid w:val="00B06D69"/>
    <w:rsid w:val="00B107D0"/>
    <w:rsid w:val="00B10D9C"/>
    <w:rsid w:val="00B10F58"/>
    <w:rsid w:val="00B120D1"/>
    <w:rsid w:val="00B14E0D"/>
    <w:rsid w:val="00B16094"/>
    <w:rsid w:val="00B1665D"/>
    <w:rsid w:val="00B2045B"/>
    <w:rsid w:val="00B24480"/>
    <w:rsid w:val="00B277ED"/>
    <w:rsid w:val="00B27F20"/>
    <w:rsid w:val="00B30389"/>
    <w:rsid w:val="00B352B9"/>
    <w:rsid w:val="00B377E7"/>
    <w:rsid w:val="00B37CB8"/>
    <w:rsid w:val="00B3EC34"/>
    <w:rsid w:val="00B41913"/>
    <w:rsid w:val="00B421B2"/>
    <w:rsid w:val="00B4270C"/>
    <w:rsid w:val="00B42851"/>
    <w:rsid w:val="00B43DFA"/>
    <w:rsid w:val="00B44123"/>
    <w:rsid w:val="00B4676A"/>
    <w:rsid w:val="00B471ED"/>
    <w:rsid w:val="00B57300"/>
    <w:rsid w:val="00B64698"/>
    <w:rsid w:val="00B64B14"/>
    <w:rsid w:val="00B6597A"/>
    <w:rsid w:val="00B65E62"/>
    <w:rsid w:val="00B67189"/>
    <w:rsid w:val="00B67A16"/>
    <w:rsid w:val="00B71D0E"/>
    <w:rsid w:val="00B73746"/>
    <w:rsid w:val="00B73F0E"/>
    <w:rsid w:val="00B81F61"/>
    <w:rsid w:val="00B82980"/>
    <w:rsid w:val="00B841FA"/>
    <w:rsid w:val="00B8490F"/>
    <w:rsid w:val="00B90044"/>
    <w:rsid w:val="00B90F91"/>
    <w:rsid w:val="00B91993"/>
    <w:rsid w:val="00B91D3C"/>
    <w:rsid w:val="00B92BD4"/>
    <w:rsid w:val="00B93126"/>
    <w:rsid w:val="00B94280"/>
    <w:rsid w:val="00B97CFC"/>
    <w:rsid w:val="00BA0573"/>
    <w:rsid w:val="00BA29B3"/>
    <w:rsid w:val="00BA32A1"/>
    <w:rsid w:val="00BA32FB"/>
    <w:rsid w:val="00BA3FA6"/>
    <w:rsid w:val="00BA64CF"/>
    <w:rsid w:val="00BA71E7"/>
    <w:rsid w:val="00BB1984"/>
    <w:rsid w:val="00BB301F"/>
    <w:rsid w:val="00BB78CE"/>
    <w:rsid w:val="00BB7BD9"/>
    <w:rsid w:val="00BC32BF"/>
    <w:rsid w:val="00BC381B"/>
    <w:rsid w:val="00BC4073"/>
    <w:rsid w:val="00BC48AF"/>
    <w:rsid w:val="00BC5F87"/>
    <w:rsid w:val="00BC768B"/>
    <w:rsid w:val="00BC7B0E"/>
    <w:rsid w:val="00BD0CE1"/>
    <w:rsid w:val="00BD2235"/>
    <w:rsid w:val="00BD665C"/>
    <w:rsid w:val="00BD7524"/>
    <w:rsid w:val="00BE2468"/>
    <w:rsid w:val="00BE3CC6"/>
    <w:rsid w:val="00BE4EFA"/>
    <w:rsid w:val="00BF1FC1"/>
    <w:rsid w:val="00BF2B48"/>
    <w:rsid w:val="00BF3005"/>
    <w:rsid w:val="00BF34CD"/>
    <w:rsid w:val="00BF50F7"/>
    <w:rsid w:val="00BF739B"/>
    <w:rsid w:val="00C01D56"/>
    <w:rsid w:val="00C025A0"/>
    <w:rsid w:val="00C0694C"/>
    <w:rsid w:val="00C12A64"/>
    <w:rsid w:val="00C15B43"/>
    <w:rsid w:val="00C15C28"/>
    <w:rsid w:val="00C15E91"/>
    <w:rsid w:val="00C26CF8"/>
    <w:rsid w:val="00C27024"/>
    <w:rsid w:val="00C30003"/>
    <w:rsid w:val="00C30236"/>
    <w:rsid w:val="00C3371B"/>
    <w:rsid w:val="00C353F4"/>
    <w:rsid w:val="00C35EC3"/>
    <w:rsid w:val="00C40AEC"/>
    <w:rsid w:val="00C445CC"/>
    <w:rsid w:val="00C453D8"/>
    <w:rsid w:val="00C461C3"/>
    <w:rsid w:val="00C4642B"/>
    <w:rsid w:val="00C50876"/>
    <w:rsid w:val="00C50BB5"/>
    <w:rsid w:val="00C5159A"/>
    <w:rsid w:val="00C55427"/>
    <w:rsid w:val="00C55B04"/>
    <w:rsid w:val="00C55D6F"/>
    <w:rsid w:val="00C57694"/>
    <w:rsid w:val="00C57759"/>
    <w:rsid w:val="00C617E9"/>
    <w:rsid w:val="00C65464"/>
    <w:rsid w:val="00C6647E"/>
    <w:rsid w:val="00C66545"/>
    <w:rsid w:val="00C66FAD"/>
    <w:rsid w:val="00C67F7E"/>
    <w:rsid w:val="00C71A52"/>
    <w:rsid w:val="00C71DE2"/>
    <w:rsid w:val="00C75CFD"/>
    <w:rsid w:val="00C82137"/>
    <w:rsid w:val="00C8271D"/>
    <w:rsid w:val="00C835D7"/>
    <w:rsid w:val="00C8554A"/>
    <w:rsid w:val="00C85F98"/>
    <w:rsid w:val="00C86BE6"/>
    <w:rsid w:val="00C87174"/>
    <w:rsid w:val="00C921C7"/>
    <w:rsid w:val="00C93BFE"/>
    <w:rsid w:val="00C94930"/>
    <w:rsid w:val="00C9573F"/>
    <w:rsid w:val="00C95BE2"/>
    <w:rsid w:val="00C97FD8"/>
    <w:rsid w:val="00CA06A3"/>
    <w:rsid w:val="00CA06B1"/>
    <w:rsid w:val="00CA105B"/>
    <w:rsid w:val="00CA230E"/>
    <w:rsid w:val="00CA24F6"/>
    <w:rsid w:val="00CA297B"/>
    <w:rsid w:val="00CA32CC"/>
    <w:rsid w:val="00CA3C7A"/>
    <w:rsid w:val="00CA49B6"/>
    <w:rsid w:val="00CA4A90"/>
    <w:rsid w:val="00CA5DA7"/>
    <w:rsid w:val="00CA7877"/>
    <w:rsid w:val="00CA7A1B"/>
    <w:rsid w:val="00CB0AFF"/>
    <w:rsid w:val="00CB272B"/>
    <w:rsid w:val="00CB2FAD"/>
    <w:rsid w:val="00CB3A14"/>
    <w:rsid w:val="00CB4C13"/>
    <w:rsid w:val="00CB4D88"/>
    <w:rsid w:val="00CB5B1A"/>
    <w:rsid w:val="00CB684D"/>
    <w:rsid w:val="00CB7780"/>
    <w:rsid w:val="00CC0BFF"/>
    <w:rsid w:val="00CC30EA"/>
    <w:rsid w:val="00CC3B38"/>
    <w:rsid w:val="00CD0C70"/>
    <w:rsid w:val="00CD190F"/>
    <w:rsid w:val="00CD34DC"/>
    <w:rsid w:val="00CD4AC2"/>
    <w:rsid w:val="00CD5588"/>
    <w:rsid w:val="00CD7511"/>
    <w:rsid w:val="00CE02C7"/>
    <w:rsid w:val="00CE0C42"/>
    <w:rsid w:val="00CE0D20"/>
    <w:rsid w:val="00CE1346"/>
    <w:rsid w:val="00CE1A60"/>
    <w:rsid w:val="00CE3617"/>
    <w:rsid w:val="00CE3658"/>
    <w:rsid w:val="00CF00BF"/>
    <w:rsid w:val="00CF1008"/>
    <w:rsid w:val="00CF4AC2"/>
    <w:rsid w:val="00D02886"/>
    <w:rsid w:val="00D04189"/>
    <w:rsid w:val="00D061CF"/>
    <w:rsid w:val="00D071F7"/>
    <w:rsid w:val="00D07522"/>
    <w:rsid w:val="00D07D6A"/>
    <w:rsid w:val="00D10013"/>
    <w:rsid w:val="00D10CFD"/>
    <w:rsid w:val="00D1314B"/>
    <w:rsid w:val="00D177D8"/>
    <w:rsid w:val="00D2111A"/>
    <w:rsid w:val="00D22D32"/>
    <w:rsid w:val="00D2518C"/>
    <w:rsid w:val="00D267D4"/>
    <w:rsid w:val="00D275AD"/>
    <w:rsid w:val="00D30EC8"/>
    <w:rsid w:val="00D32DDC"/>
    <w:rsid w:val="00D33167"/>
    <w:rsid w:val="00D34035"/>
    <w:rsid w:val="00D34AD0"/>
    <w:rsid w:val="00D364B3"/>
    <w:rsid w:val="00D3702A"/>
    <w:rsid w:val="00D37F8F"/>
    <w:rsid w:val="00D403F0"/>
    <w:rsid w:val="00D40E2B"/>
    <w:rsid w:val="00D42A9A"/>
    <w:rsid w:val="00D458E0"/>
    <w:rsid w:val="00D46103"/>
    <w:rsid w:val="00D462CE"/>
    <w:rsid w:val="00D478C3"/>
    <w:rsid w:val="00D512A0"/>
    <w:rsid w:val="00D51816"/>
    <w:rsid w:val="00D5469D"/>
    <w:rsid w:val="00D54FDA"/>
    <w:rsid w:val="00D607E0"/>
    <w:rsid w:val="00D63F59"/>
    <w:rsid w:val="00D6472A"/>
    <w:rsid w:val="00D67F34"/>
    <w:rsid w:val="00D73717"/>
    <w:rsid w:val="00D819EB"/>
    <w:rsid w:val="00D81B6B"/>
    <w:rsid w:val="00D81C6C"/>
    <w:rsid w:val="00D87A4D"/>
    <w:rsid w:val="00D908B7"/>
    <w:rsid w:val="00D929B9"/>
    <w:rsid w:val="00D93A8C"/>
    <w:rsid w:val="00D9514C"/>
    <w:rsid w:val="00D960A4"/>
    <w:rsid w:val="00D96336"/>
    <w:rsid w:val="00DA7304"/>
    <w:rsid w:val="00DB3F73"/>
    <w:rsid w:val="00DC0B04"/>
    <w:rsid w:val="00DC2F55"/>
    <w:rsid w:val="00DC4371"/>
    <w:rsid w:val="00DC590D"/>
    <w:rsid w:val="00DC73AA"/>
    <w:rsid w:val="00DC78A9"/>
    <w:rsid w:val="00DD0878"/>
    <w:rsid w:val="00DD1480"/>
    <w:rsid w:val="00DD3539"/>
    <w:rsid w:val="00DD48F1"/>
    <w:rsid w:val="00DD4A22"/>
    <w:rsid w:val="00DD59D3"/>
    <w:rsid w:val="00DD5B70"/>
    <w:rsid w:val="00DD72CA"/>
    <w:rsid w:val="00DE0581"/>
    <w:rsid w:val="00DE05DA"/>
    <w:rsid w:val="00DE1177"/>
    <w:rsid w:val="00DE28BE"/>
    <w:rsid w:val="00DE3389"/>
    <w:rsid w:val="00DE3913"/>
    <w:rsid w:val="00DE4D31"/>
    <w:rsid w:val="00DE54D3"/>
    <w:rsid w:val="00DE5628"/>
    <w:rsid w:val="00DE57F8"/>
    <w:rsid w:val="00DE5D2F"/>
    <w:rsid w:val="00DE6CE3"/>
    <w:rsid w:val="00DE768B"/>
    <w:rsid w:val="00DE7BCA"/>
    <w:rsid w:val="00DE7D48"/>
    <w:rsid w:val="00DF133D"/>
    <w:rsid w:val="00DF2453"/>
    <w:rsid w:val="00DF3961"/>
    <w:rsid w:val="00DF7741"/>
    <w:rsid w:val="00DF782A"/>
    <w:rsid w:val="00E000B7"/>
    <w:rsid w:val="00E02665"/>
    <w:rsid w:val="00E049E0"/>
    <w:rsid w:val="00E04D29"/>
    <w:rsid w:val="00E05011"/>
    <w:rsid w:val="00E06797"/>
    <w:rsid w:val="00E06ACB"/>
    <w:rsid w:val="00E06EB0"/>
    <w:rsid w:val="00E07931"/>
    <w:rsid w:val="00E10885"/>
    <w:rsid w:val="00E11A58"/>
    <w:rsid w:val="00E11D3A"/>
    <w:rsid w:val="00E17AD4"/>
    <w:rsid w:val="00E20220"/>
    <w:rsid w:val="00E228B6"/>
    <w:rsid w:val="00E23AC8"/>
    <w:rsid w:val="00E23CA6"/>
    <w:rsid w:val="00E268D5"/>
    <w:rsid w:val="00E2718E"/>
    <w:rsid w:val="00E27E65"/>
    <w:rsid w:val="00E33694"/>
    <w:rsid w:val="00E36A29"/>
    <w:rsid w:val="00E37A60"/>
    <w:rsid w:val="00E40153"/>
    <w:rsid w:val="00E4512B"/>
    <w:rsid w:val="00E52766"/>
    <w:rsid w:val="00E541D4"/>
    <w:rsid w:val="00E61908"/>
    <w:rsid w:val="00E63662"/>
    <w:rsid w:val="00E64399"/>
    <w:rsid w:val="00E64AAE"/>
    <w:rsid w:val="00E6520E"/>
    <w:rsid w:val="00E65DF9"/>
    <w:rsid w:val="00E7099F"/>
    <w:rsid w:val="00E71AA8"/>
    <w:rsid w:val="00E71C46"/>
    <w:rsid w:val="00E71C69"/>
    <w:rsid w:val="00E72A6A"/>
    <w:rsid w:val="00E738BE"/>
    <w:rsid w:val="00E7539D"/>
    <w:rsid w:val="00E7693F"/>
    <w:rsid w:val="00E7708D"/>
    <w:rsid w:val="00E774B2"/>
    <w:rsid w:val="00E77573"/>
    <w:rsid w:val="00E77B6C"/>
    <w:rsid w:val="00E80E04"/>
    <w:rsid w:val="00E81A99"/>
    <w:rsid w:val="00E8287C"/>
    <w:rsid w:val="00E82C4D"/>
    <w:rsid w:val="00E83772"/>
    <w:rsid w:val="00E83C5B"/>
    <w:rsid w:val="00E9031B"/>
    <w:rsid w:val="00E90C7F"/>
    <w:rsid w:val="00E9211A"/>
    <w:rsid w:val="00E94847"/>
    <w:rsid w:val="00EA15F5"/>
    <w:rsid w:val="00EA20B4"/>
    <w:rsid w:val="00EA221D"/>
    <w:rsid w:val="00EB0B42"/>
    <w:rsid w:val="00EB150C"/>
    <w:rsid w:val="00EB1585"/>
    <w:rsid w:val="00EB4107"/>
    <w:rsid w:val="00EB4BD3"/>
    <w:rsid w:val="00EB5AF8"/>
    <w:rsid w:val="00EC151E"/>
    <w:rsid w:val="00EC2496"/>
    <w:rsid w:val="00EC323E"/>
    <w:rsid w:val="00EC49B0"/>
    <w:rsid w:val="00EC73D8"/>
    <w:rsid w:val="00ED18BD"/>
    <w:rsid w:val="00ED3505"/>
    <w:rsid w:val="00ED4666"/>
    <w:rsid w:val="00ED474A"/>
    <w:rsid w:val="00ED68FC"/>
    <w:rsid w:val="00EE0431"/>
    <w:rsid w:val="00EE2BA5"/>
    <w:rsid w:val="00EE583C"/>
    <w:rsid w:val="00EE6889"/>
    <w:rsid w:val="00EE690D"/>
    <w:rsid w:val="00EE69A2"/>
    <w:rsid w:val="00EF034D"/>
    <w:rsid w:val="00EF0ED0"/>
    <w:rsid w:val="00EF2594"/>
    <w:rsid w:val="00EF5305"/>
    <w:rsid w:val="00EF5320"/>
    <w:rsid w:val="00F00AD5"/>
    <w:rsid w:val="00F01F5C"/>
    <w:rsid w:val="00F03441"/>
    <w:rsid w:val="00F0554D"/>
    <w:rsid w:val="00F10DD5"/>
    <w:rsid w:val="00F11DC1"/>
    <w:rsid w:val="00F12208"/>
    <w:rsid w:val="00F151D2"/>
    <w:rsid w:val="00F15390"/>
    <w:rsid w:val="00F2032C"/>
    <w:rsid w:val="00F22C97"/>
    <w:rsid w:val="00F23C53"/>
    <w:rsid w:val="00F255EF"/>
    <w:rsid w:val="00F26725"/>
    <w:rsid w:val="00F26AE9"/>
    <w:rsid w:val="00F26EDE"/>
    <w:rsid w:val="00F30703"/>
    <w:rsid w:val="00F3379C"/>
    <w:rsid w:val="00F344D1"/>
    <w:rsid w:val="00F3610E"/>
    <w:rsid w:val="00F368AA"/>
    <w:rsid w:val="00F37233"/>
    <w:rsid w:val="00F40BE7"/>
    <w:rsid w:val="00F410B0"/>
    <w:rsid w:val="00F4220A"/>
    <w:rsid w:val="00F44ADB"/>
    <w:rsid w:val="00F50BA0"/>
    <w:rsid w:val="00F50FEB"/>
    <w:rsid w:val="00F519E8"/>
    <w:rsid w:val="00F53954"/>
    <w:rsid w:val="00F55C52"/>
    <w:rsid w:val="00F55F34"/>
    <w:rsid w:val="00F6020A"/>
    <w:rsid w:val="00F602B4"/>
    <w:rsid w:val="00F60DF4"/>
    <w:rsid w:val="00F630BD"/>
    <w:rsid w:val="00F638BD"/>
    <w:rsid w:val="00F63D02"/>
    <w:rsid w:val="00F70F05"/>
    <w:rsid w:val="00F71EC7"/>
    <w:rsid w:val="00F72136"/>
    <w:rsid w:val="00F74EB4"/>
    <w:rsid w:val="00F779FA"/>
    <w:rsid w:val="00F8060C"/>
    <w:rsid w:val="00F80659"/>
    <w:rsid w:val="00F81FF0"/>
    <w:rsid w:val="00F82001"/>
    <w:rsid w:val="00F82262"/>
    <w:rsid w:val="00F84137"/>
    <w:rsid w:val="00F84ECB"/>
    <w:rsid w:val="00F864FE"/>
    <w:rsid w:val="00F865DE"/>
    <w:rsid w:val="00F9158F"/>
    <w:rsid w:val="00F94D5B"/>
    <w:rsid w:val="00F957BE"/>
    <w:rsid w:val="00F96AE4"/>
    <w:rsid w:val="00F9723E"/>
    <w:rsid w:val="00F97AB5"/>
    <w:rsid w:val="00FA1932"/>
    <w:rsid w:val="00FA3259"/>
    <w:rsid w:val="00FA40CB"/>
    <w:rsid w:val="00FA6B00"/>
    <w:rsid w:val="00FA7623"/>
    <w:rsid w:val="00FB08CB"/>
    <w:rsid w:val="00FB1526"/>
    <w:rsid w:val="00FB226E"/>
    <w:rsid w:val="00FB2BDF"/>
    <w:rsid w:val="00FB4D91"/>
    <w:rsid w:val="00FB4F32"/>
    <w:rsid w:val="00FB5063"/>
    <w:rsid w:val="00FB5F56"/>
    <w:rsid w:val="00FB5F68"/>
    <w:rsid w:val="00FB6BF3"/>
    <w:rsid w:val="00FC11B9"/>
    <w:rsid w:val="00FC7F98"/>
    <w:rsid w:val="00FD2366"/>
    <w:rsid w:val="00FD3DB6"/>
    <w:rsid w:val="00FD5142"/>
    <w:rsid w:val="00FD63B0"/>
    <w:rsid w:val="00FD6A54"/>
    <w:rsid w:val="00FD7447"/>
    <w:rsid w:val="00FD7AA2"/>
    <w:rsid w:val="00FE0ABC"/>
    <w:rsid w:val="00FE23AE"/>
    <w:rsid w:val="00FE3760"/>
    <w:rsid w:val="00FE3D07"/>
    <w:rsid w:val="00FF08C4"/>
    <w:rsid w:val="00FF0F5E"/>
    <w:rsid w:val="00FF163E"/>
    <w:rsid w:val="00FF1BCD"/>
    <w:rsid w:val="00FF5344"/>
    <w:rsid w:val="00FF6B57"/>
    <w:rsid w:val="012F662F"/>
    <w:rsid w:val="015B74E2"/>
    <w:rsid w:val="020FA81C"/>
    <w:rsid w:val="02F57D49"/>
    <w:rsid w:val="0310972E"/>
    <w:rsid w:val="03477315"/>
    <w:rsid w:val="0449F909"/>
    <w:rsid w:val="0732F9C5"/>
    <w:rsid w:val="077AEAF9"/>
    <w:rsid w:val="0A6FD9D0"/>
    <w:rsid w:val="0AB29E7D"/>
    <w:rsid w:val="0B96A7A8"/>
    <w:rsid w:val="0BD915E0"/>
    <w:rsid w:val="0C55185A"/>
    <w:rsid w:val="0CCA2B6B"/>
    <w:rsid w:val="0DD49C12"/>
    <w:rsid w:val="0E1914DC"/>
    <w:rsid w:val="0EE88084"/>
    <w:rsid w:val="0F4A387A"/>
    <w:rsid w:val="10F07102"/>
    <w:rsid w:val="10F2C9D2"/>
    <w:rsid w:val="110388DC"/>
    <w:rsid w:val="13D50386"/>
    <w:rsid w:val="1430FA41"/>
    <w:rsid w:val="155A7A12"/>
    <w:rsid w:val="157A2A93"/>
    <w:rsid w:val="15AC5213"/>
    <w:rsid w:val="160F5C84"/>
    <w:rsid w:val="162FAAB7"/>
    <w:rsid w:val="17318349"/>
    <w:rsid w:val="1783B14C"/>
    <w:rsid w:val="1867720F"/>
    <w:rsid w:val="1883DE82"/>
    <w:rsid w:val="1894706F"/>
    <w:rsid w:val="1B124476"/>
    <w:rsid w:val="1BBDB465"/>
    <w:rsid w:val="1CD863ED"/>
    <w:rsid w:val="1CEE8A7F"/>
    <w:rsid w:val="1CF79AC4"/>
    <w:rsid w:val="1F809939"/>
    <w:rsid w:val="1F8FD562"/>
    <w:rsid w:val="1FC57BED"/>
    <w:rsid w:val="211B6659"/>
    <w:rsid w:val="222255A2"/>
    <w:rsid w:val="226239FA"/>
    <w:rsid w:val="22CF526D"/>
    <w:rsid w:val="24D5DAEB"/>
    <w:rsid w:val="25C632A9"/>
    <w:rsid w:val="26497C95"/>
    <w:rsid w:val="2666E81F"/>
    <w:rsid w:val="268F4CCF"/>
    <w:rsid w:val="26EFD2AB"/>
    <w:rsid w:val="2705142B"/>
    <w:rsid w:val="27851EF3"/>
    <w:rsid w:val="27BF5D2B"/>
    <w:rsid w:val="2802B880"/>
    <w:rsid w:val="281460CE"/>
    <w:rsid w:val="29199437"/>
    <w:rsid w:val="29D343AF"/>
    <w:rsid w:val="2AF92C97"/>
    <w:rsid w:val="2B3E3350"/>
    <w:rsid w:val="2B919171"/>
    <w:rsid w:val="2C983ACA"/>
    <w:rsid w:val="2CC044CB"/>
    <w:rsid w:val="2D5D03E7"/>
    <w:rsid w:val="2DBD4DCE"/>
    <w:rsid w:val="2DF9D69E"/>
    <w:rsid w:val="2E15264A"/>
    <w:rsid w:val="2EC18898"/>
    <w:rsid w:val="2F5CD097"/>
    <w:rsid w:val="300FA1D5"/>
    <w:rsid w:val="32335D86"/>
    <w:rsid w:val="3318ACEE"/>
    <w:rsid w:val="3363D030"/>
    <w:rsid w:val="3382DD64"/>
    <w:rsid w:val="3382F3B7"/>
    <w:rsid w:val="33C54524"/>
    <w:rsid w:val="33E29B69"/>
    <w:rsid w:val="34AEAFD8"/>
    <w:rsid w:val="358C6034"/>
    <w:rsid w:val="36442912"/>
    <w:rsid w:val="3767AD2E"/>
    <w:rsid w:val="378E6D50"/>
    <w:rsid w:val="3865E5ED"/>
    <w:rsid w:val="38905E2D"/>
    <w:rsid w:val="38B87336"/>
    <w:rsid w:val="39F3C368"/>
    <w:rsid w:val="3A01B64E"/>
    <w:rsid w:val="3A202770"/>
    <w:rsid w:val="3A95D949"/>
    <w:rsid w:val="3AC43BCC"/>
    <w:rsid w:val="3B2C64AE"/>
    <w:rsid w:val="3C683793"/>
    <w:rsid w:val="3E55C6A9"/>
    <w:rsid w:val="3EA91EF0"/>
    <w:rsid w:val="3EDA7591"/>
    <w:rsid w:val="3F916FA6"/>
    <w:rsid w:val="3FD6D6B7"/>
    <w:rsid w:val="404E4E89"/>
    <w:rsid w:val="4079941B"/>
    <w:rsid w:val="42D88859"/>
    <w:rsid w:val="42DAF291"/>
    <w:rsid w:val="42E29B81"/>
    <w:rsid w:val="42FC4C41"/>
    <w:rsid w:val="449E379B"/>
    <w:rsid w:val="47490102"/>
    <w:rsid w:val="4807F89B"/>
    <w:rsid w:val="48753812"/>
    <w:rsid w:val="48A76688"/>
    <w:rsid w:val="48F92720"/>
    <w:rsid w:val="491C930A"/>
    <w:rsid w:val="49445D00"/>
    <w:rsid w:val="49DC232E"/>
    <w:rsid w:val="4AB0F263"/>
    <w:rsid w:val="4C516518"/>
    <w:rsid w:val="4CF266F8"/>
    <w:rsid w:val="4E659D22"/>
    <w:rsid w:val="5059CDA4"/>
    <w:rsid w:val="50E041A4"/>
    <w:rsid w:val="50E20C9D"/>
    <w:rsid w:val="51273F16"/>
    <w:rsid w:val="51802754"/>
    <w:rsid w:val="519BE138"/>
    <w:rsid w:val="525B28CF"/>
    <w:rsid w:val="53041A3B"/>
    <w:rsid w:val="5338FF3A"/>
    <w:rsid w:val="534ED9D5"/>
    <w:rsid w:val="536F7C6F"/>
    <w:rsid w:val="53F2738C"/>
    <w:rsid w:val="54297F05"/>
    <w:rsid w:val="55A41C7D"/>
    <w:rsid w:val="5606C415"/>
    <w:rsid w:val="5608186D"/>
    <w:rsid w:val="5729FCAC"/>
    <w:rsid w:val="57577B31"/>
    <w:rsid w:val="58532749"/>
    <w:rsid w:val="586A6B2E"/>
    <w:rsid w:val="58ED674F"/>
    <w:rsid w:val="5933EDF0"/>
    <w:rsid w:val="5A6E9E47"/>
    <w:rsid w:val="5A9A6919"/>
    <w:rsid w:val="5B15735F"/>
    <w:rsid w:val="5B1FFDA2"/>
    <w:rsid w:val="5E04D342"/>
    <w:rsid w:val="5E7BA7CF"/>
    <w:rsid w:val="5FA66562"/>
    <w:rsid w:val="60359A3D"/>
    <w:rsid w:val="61484CC4"/>
    <w:rsid w:val="6238F3D9"/>
    <w:rsid w:val="628F0F82"/>
    <w:rsid w:val="63DBE52F"/>
    <w:rsid w:val="63EA9FE8"/>
    <w:rsid w:val="65872D7D"/>
    <w:rsid w:val="658D54C8"/>
    <w:rsid w:val="660EFBB0"/>
    <w:rsid w:val="6629E784"/>
    <w:rsid w:val="6667C08E"/>
    <w:rsid w:val="66E32778"/>
    <w:rsid w:val="675E6DDE"/>
    <w:rsid w:val="6797B596"/>
    <w:rsid w:val="67CC1B2D"/>
    <w:rsid w:val="67DEB969"/>
    <w:rsid w:val="6892550B"/>
    <w:rsid w:val="68CDECAC"/>
    <w:rsid w:val="68D4081E"/>
    <w:rsid w:val="696D0285"/>
    <w:rsid w:val="698AD967"/>
    <w:rsid w:val="69CA9F6B"/>
    <w:rsid w:val="6A08AC1B"/>
    <w:rsid w:val="6A844579"/>
    <w:rsid w:val="6CABBBC7"/>
    <w:rsid w:val="6CCF5510"/>
    <w:rsid w:val="6D5ACE49"/>
    <w:rsid w:val="6DAD4C5A"/>
    <w:rsid w:val="6E10603D"/>
    <w:rsid w:val="6E4215C3"/>
    <w:rsid w:val="6E44EF5C"/>
    <w:rsid w:val="6E93256D"/>
    <w:rsid w:val="6EB196D2"/>
    <w:rsid w:val="6FBDBA19"/>
    <w:rsid w:val="71A4ADB8"/>
    <w:rsid w:val="72ED0667"/>
    <w:rsid w:val="7317B4F8"/>
    <w:rsid w:val="732F9D46"/>
    <w:rsid w:val="734D52E1"/>
    <w:rsid w:val="735BAF5A"/>
    <w:rsid w:val="7431A882"/>
    <w:rsid w:val="74E7102E"/>
    <w:rsid w:val="75053FF4"/>
    <w:rsid w:val="75B40BBE"/>
    <w:rsid w:val="76A8E871"/>
    <w:rsid w:val="7B12C6DA"/>
    <w:rsid w:val="7B15D3BE"/>
    <w:rsid w:val="7B806518"/>
    <w:rsid w:val="7BCECBA2"/>
    <w:rsid w:val="7BEB24A0"/>
    <w:rsid w:val="7C840F9E"/>
    <w:rsid w:val="7C8995CC"/>
    <w:rsid w:val="7CED54AC"/>
    <w:rsid w:val="7D29257D"/>
    <w:rsid w:val="7DE42664"/>
    <w:rsid w:val="7DF822D2"/>
    <w:rsid w:val="7E0B1D2E"/>
    <w:rsid w:val="7E9E450C"/>
    <w:rsid w:val="7EA2BE65"/>
    <w:rsid w:val="7F97A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81BD07"/>
  <w15:docId w15:val="{DD3730E9-33C4-4879-B988-A105F3F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4A32C3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C13"/>
    <w:pPr>
      <w:spacing w:before="300" w:after="100" w:line="271" w:lineRule="auto"/>
      <w:outlineLvl w:val="1"/>
    </w:pPr>
    <w:rPr>
      <w:b/>
      <w:color w:val="57259F"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C13"/>
    <w:pPr>
      <w:spacing w:before="200" w:after="100" w:line="271" w:lineRule="auto"/>
      <w:outlineLvl w:val="2"/>
    </w:pPr>
    <w:rPr>
      <w:iCs/>
      <w:color w:val="57259F"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C13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899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89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899"/>
    <w:pPr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899"/>
    <w:pPr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89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F3A2E"/>
    <w:rPr>
      <w:rFonts w:asciiTheme="minorHAnsi" w:hAnsiTheme="minorHAnsi"/>
      <w:b w:val="0"/>
      <w:bCs/>
      <w:i/>
      <w:iCs/>
      <w:spacing w:val="10"/>
      <w:sz w:val="20"/>
    </w:rPr>
  </w:style>
  <w:style w:type="character" w:styleId="Strong">
    <w:name w:val="Strong"/>
    <w:uiPriority w:val="22"/>
    <w:qFormat/>
    <w:rsid w:val="00672899"/>
    <w:rPr>
      <w:b/>
      <w:bCs/>
    </w:rPr>
  </w:style>
  <w:style w:type="table" w:customStyle="1" w:styleId="PlainTable41">
    <w:name w:val="Plain Table 41"/>
    <w:basedOn w:val="TableNormal"/>
    <w:rsid w:val="004A32C3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E23AE"/>
    <w:pPr>
      <w:keepNext/>
      <w:keepLines/>
      <w:spacing w:before="120"/>
    </w:pPr>
    <w:rPr>
      <w:caps/>
      <w:kern w:val="20"/>
      <w:sz w:val="2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23AE"/>
    <w:rPr>
      <w:rFonts w:ascii="Arial" w:hAnsi="Arial" w:cs="Arial"/>
      <w:caps/>
      <w:kern w:val="20"/>
      <w:sz w:val="28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672899"/>
  </w:style>
  <w:style w:type="character" w:styleId="SubtleEmphasis">
    <w:name w:val="Subtle Emphasis"/>
    <w:uiPriority w:val="19"/>
    <w:qFormat/>
    <w:rsid w:val="00672899"/>
    <w:rPr>
      <w:i/>
      <w:iCs/>
    </w:rPr>
  </w:style>
  <w:style w:type="character" w:styleId="IntenseEmphasis">
    <w:name w:val="Intense Emphasis"/>
    <w:uiPriority w:val="21"/>
    <w:qFormat/>
    <w:rsid w:val="00672899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672899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67289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899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899"/>
    <w:rPr>
      <w:i/>
      <w:iCs/>
    </w:rPr>
  </w:style>
  <w:style w:type="character" w:styleId="SubtleReference">
    <w:name w:val="Subtle Reference"/>
    <w:basedOn w:val="DefaultParagraphFont"/>
    <w:uiPriority w:val="31"/>
    <w:rsid w:val="00672899"/>
    <w:rPr>
      <w:smallCaps/>
    </w:rPr>
  </w:style>
  <w:style w:type="character" w:styleId="IntenseReference">
    <w:name w:val="Intense Reference"/>
    <w:uiPriority w:val="32"/>
    <w:qFormat/>
    <w:rsid w:val="0067289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72899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4A32C3"/>
    <w:pPr>
      <w:keepNext/>
      <w:keepLines/>
      <w:spacing w:after="120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D331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3167"/>
    <w:rPr>
      <w:rFonts w:ascii="Arial" w:eastAsiaTheme="minorEastAsia" w:hAnsi="Arial" w:cstheme="minorBidi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33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167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A66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82"/>
    <w:rPr>
      <w:rFonts w:ascii="Arial" w:eastAsiaTheme="minorEastAsia" w:hAnsi="Arial" w:cstheme="minorBidi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B4C13"/>
    <w:pPr>
      <w:tabs>
        <w:tab w:val="center" w:pos="4513"/>
        <w:tab w:val="right" w:pos="9026"/>
      </w:tabs>
      <w:spacing w:after="240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CB4C13"/>
    <w:rPr>
      <w:rFonts w:ascii="Arial" w:hAnsi="Arial" w:cs="Arial"/>
      <w:sz w:val="19"/>
      <w:szCs w:val="20"/>
    </w:rPr>
  </w:style>
  <w:style w:type="paragraph" w:customStyle="1" w:styleId="Bullet">
    <w:name w:val="Bullet"/>
    <w:basedOn w:val="Normal"/>
    <w:qFormat/>
    <w:rsid w:val="00672899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3F3A2E"/>
    <w:pPr>
      <w:pBdr>
        <w:left w:val="single" w:sz="48" w:space="8" w:color="57259F"/>
      </w:pBdr>
      <w:spacing w:before="200" w:after="200"/>
      <w:ind w:left="284"/>
    </w:pPr>
    <w:rPr>
      <w:rFonts w:asciiTheme="majorHAnsi" w:hAnsiTheme="majorHAnsi"/>
      <w:bCs/>
      <w:caps/>
      <w:color w:val="000000" w:themeColor="text1"/>
      <w:sz w:val="28"/>
      <w:szCs w:val="28"/>
    </w:rPr>
  </w:style>
  <w:style w:type="paragraph" w:customStyle="1" w:styleId="QuoteRef">
    <w:name w:val="Quote Ref"/>
    <w:basedOn w:val="Normal"/>
    <w:rsid w:val="00672899"/>
    <w:pPr>
      <w:spacing w:before="120"/>
    </w:pPr>
    <w:rPr>
      <w:color w:val="000000" w:themeColor="text1"/>
    </w:rPr>
  </w:style>
  <w:style w:type="paragraph" w:customStyle="1" w:styleId="TableText">
    <w:name w:val="Table Text"/>
    <w:rsid w:val="00672899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672899"/>
    <w:rPr>
      <w:bCs/>
      <w:color w:val="FFFFFF" w:themeColor="background1"/>
    </w:rPr>
  </w:style>
  <w:style w:type="paragraph" w:customStyle="1" w:styleId="TableTextbullet">
    <w:name w:val="Table Text bullet"/>
    <w:basedOn w:val="TableText"/>
    <w:rsid w:val="00672899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672899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672899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672899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672899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4A32C3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672899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672899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672899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5F4768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4A32C3"/>
    <w:rPr>
      <w:rFonts w:ascii="Arial" w:hAnsi="Arial" w:cs="Arial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4C13"/>
    <w:rPr>
      <w:rFonts w:ascii="Arial" w:hAnsi="Arial" w:cs="Arial"/>
      <w:b/>
      <w:color w:val="57259F"/>
      <w:sz w:val="25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4C13"/>
    <w:rPr>
      <w:rFonts w:ascii="Arial" w:hAnsi="Arial" w:cs="Arial"/>
      <w:iCs/>
      <w:color w:val="57259F"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B4C13"/>
    <w:rPr>
      <w:rFonts w:ascii="Arial" w:hAnsi="Arial" w:cs="Arial"/>
      <w:bCs/>
      <w:caps/>
      <w:color w:val="57259F"/>
      <w:spacing w:val="5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89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89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89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89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899"/>
    <w:rPr>
      <w:b/>
      <w:bCs/>
      <w:i/>
      <w:iCs/>
      <w:color w:val="7F7F7F" w:themeColor="text1" w:themeTint="8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7289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899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4A32C3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AB485B"/>
    <w:pPr>
      <w:numPr>
        <w:numId w:val="4"/>
      </w:numPr>
      <w:spacing w:after="60"/>
    </w:pPr>
    <w:rPr>
      <w:rFonts w:ascii="Arial" w:hAnsi="Arial" w:cs="Arial"/>
      <w:sz w:val="20"/>
      <w:szCs w:val="20"/>
      <w:lang w:val="en"/>
    </w:rPr>
  </w:style>
  <w:style w:type="paragraph" w:customStyle="1" w:styleId="Heading2Numbered">
    <w:name w:val="Heading 2 Numbered"/>
    <w:basedOn w:val="Heading2"/>
    <w:qFormat/>
    <w:rsid w:val="006164C2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6164C2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6164C2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F9158F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F15390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rFonts w:eastAsia="Calibri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F15390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CD0C70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56135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61352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561352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561352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56135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5E0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E0FAB"/>
    <w:rPr>
      <w:rFonts w:ascii="Arial" w:hAnsi="Arial" w:cs="Arial"/>
      <w:sz w:val="2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E0FAB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FAB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5E0FAB"/>
    <w:rPr>
      <w:vertAlign w:val="superscript"/>
    </w:rPr>
  </w:style>
  <w:style w:type="table" w:styleId="TableGrid">
    <w:name w:val="Table Grid"/>
    <w:basedOn w:val="TableNormal"/>
    <w:rsid w:val="002A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B44123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18425E"/>
    <w:pPr>
      <w:numPr>
        <w:numId w:val="8"/>
      </w:numPr>
      <w:ind w:left="1797" w:hanging="357"/>
    </w:pPr>
    <w:rPr>
      <w:lang w:eastAsia="en-US"/>
    </w:rPr>
  </w:style>
  <w:style w:type="paragraph" w:customStyle="1" w:styleId="Sub-bullettedlist">
    <w:name w:val="Sub-bulletted list"/>
    <w:basedOn w:val="BulletedList"/>
    <w:qFormat/>
    <w:rsid w:val="009F4C87"/>
    <w:pPr>
      <w:numPr>
        <w:numId w:val="9"/>
      </w:numPr>
      <w:spacing w:after="120"/>
    </w:pPr>
    <w:rPr>
      <w:i/>
    </w:rPr>
  </w:style>
  <w:style w:type="character" w:styleId="CommentReference">
    <w:name w:val="annotation reference"/>
    <w:basedOn w:val="DefaultParagraphFont"/>
    <w:rsid w:val="00E228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8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28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2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8B6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8B6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qFormat/>
    <w:rsid w:val="00826860"/>
    <w:pPr>
      <w:numPr>
        <w:numId w:val="10"/>
      </w:num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Figureheading">
    <w:name w:val="Figure heading"/>
    <w:next w:val="Normal"/>
    <w:qFormat/>
    <w:rsid w:val="00F8060C"/>
    <w:pPr>
      <w:tabs>
        <w:tab w:val="left" w:pos="1134"/>
      </w:tabs>
      <w:spacing w:before="240" w:after="240" w:line="240" w:lineRule="auto"/>
      <w:ind w:left="1134" w:hanging="1134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F8060C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F8060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6B5200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ED466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F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3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E2D0F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3C5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F59C2"/>
    <w:rPr>
      <w:rFonts w:ascii="Segoe UI" w:hAnsi="Segoe UI" w:cs="Segoe UI" w:hint="default"/>
      <w:color w:val="242424"/>
      <w:sz w:val="18"/>
      <w:szCs w:val="18"/>
      <w:shd w:val="clear" w:color="auto" w:fill="FFFFFF"/>
    </w:rPr>
  </w:style>
  <w:style w:type="paragraph" w:customStyle="1" w:styleId="Default">
    <w:name w:val="Default"/>
    <w:rsid w:val="00513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BeforeDash">
    <w:name w:val="BulletBeforeDash"/>
    <w:basedOn w:val="Normal"/>
    <w:rsid w:val="00A006B1"/>
    <w:pPr>
      <w:numPr>
        <w:numId w:val="12"/>
      </w:numPr>
    </w:pPr>
    <w:rPr>
      <w:rFonts w:ascii="Calibri" w:hAnsi="Calibri"/>
      <w:color w:val="000000"/>
      <w:sz w:val="22"/>
      <w:szCs w:val="20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052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06DA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E5B37"/>
  </w:style>
  <w:style w:type="character" w:customStyle="1" w:styleId="eop">
    <w:name w:val="eop"/>
    <w:basedOn w:val="DefaultParagraphFont"/>
    <w:rsid w:val="004E5B37"/>
  </w:style>
  <w:style w:type="character" w:styleId="Mention">
    <w:name w:val="Mention"/>
    <w:basedOn w:val="DefaultParagraphFont"/>
    <w:uiPriority w:val="99"/>
    <w:unhideWhenUsed/>
    <w:rsid w:val="00F8065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2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3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munisationhandbook.health.gov.au/contents/vaccine-preventable-diseases/influenza-fl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mmunisationhandbook.health.gov.au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contents/vaccine-preventable-diseases/influenza-f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8ACAD2397F549A09E5DC1A69C41E4" ma:contentTypeVersion="19" ma:contentTypeDescription="Create a new document." ma:contentTypeScope="" ma:versionID="be5665c444bfb74b8c0c9fccf7fc4c2d">
  <xsd:schema xmlns:xsd="http://www.w3.org/2001/XMLSchema" xmlns:xs="http://www.w3.org/2001/XMLSchema" xmlns:p="http://schemas.microsoft.com/office/2006/metadata/properties" xmlns:ns2="94d44d9d-fdcf-40ea-9ec9-5f834f6d2f8e" xmlns:ns3="5d38b4c2-fefe-455e-8c18-c742153daeba" targetNamespace="http://schemas.microsoft.com/office/2006/metadata/properties" ma:root="true" ma:fieldsID="f33e47d099686230e8aa2e434a5bfb6e" ns2:_="" ns3:_="">
    <xsd:import namespace="94d44d9d-fdcf-40ea-9ec9-5f834f6d2f8e"/>
    <xsd:import namespace="5d38b4c2-fefe-455e-8c18-c742153dae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x0031_streviewer" minOccurs="0"/>
                <xsd:element ref="ns2:_x0031_strvdon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44d9d-fdcf-40ea-9ec9-5f834f6d2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031_streviewer" ma:index="22" nillable="true" ma:displayName="1st reviewer" ma:description="Person assigned to review" ma:format="Dropdown" ma:list="UserInfo" ma:SharePointGroup="0" ma:internalName="_x0031_st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1_strvdone" ma:index="23" nillable="true" ma:displayName="1st rv done" ma:default="0" ma:format="RadioButtons" ma:internalName="_x0031_strvdone">
      <xsd:simpleType>
        <xsd:restriction base="dms:Boolean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8b4c2-fefe-455e-8c18-c742153da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41dc8ac-16f9-4f3d-bdaa-168c3a52b8a5}" ma:internalName="TaxCatchAll" ma:showField="CatchAllData" ma:web="5d38b4c2-fefe-455e-8c18-c742153dae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38b4c2-fefe-455e-8c18-c742153daeba" xsi:nil="true"/>
    <_x0031_strvdone xmlns="94d44d9d-fdcf-40ea-9ec9-5f834f6d2f8e">false</_x0031_strvdone>
    <lcf76f155ced4ddcb4097134ff3c332f xmlns="94d44d9d-fdcf-40ea-9ec9-5f834f6d2f8e">
      <Terms xmlns="http://schemas.microsoft.com/office/infopath/2007/PartnerControls"/>
    </lcf76f155ced4ddcb4097134ff3c332f>
    <_x0031_streviewer xmlns="94d44d9d-fdcf-40ea-9ec9-5f834f6d2f8e">
      <UserInfo>
        <DisplayName/>
        <AccountId xsi:nil="true"/>
        <AccountType/>
      </UserInfo>
    </_x0031_streviewer>
  </documentManagement>
</p:properties>
</file>

<file path=customXml/itemProps1.xml><?xml version="1.0" encoding="utf-8"?>
<ds:datastoreItem xmlns:ds="http://schemas.openxmlformats.org/officeDocument/2006/customXml" ds:itemID="{7CB7A684-28BE-4AC9-8062-2F8227162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9707D-CA47-4083-B03E-3CBD638C9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44d9d-fdcf-40ea-9ec9-5f834f6d2f8e"/>
    <ds:schemaRef ds:uri="5d38b4c2-fefe-455e-8c18-c742153da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A92DD6-81A4-4C7E-975D-40569B46A68D}">
  <ds:schemaRefs>
    <ds:schemaRef ds:uri="http://schemas.microsoft.com/office/2006/metadata/properties"/>
    <ds:schemaRef ds:uri="http://schemas.microsoft.com/office/infopath/2007/PartnerControls"/>
    <ds:schemaRef ds:uri="5d38b4c2-fefe-455e-8c18-c742153daeba"/>
    <ds:schemaRef ds:uri="94d44d9d-fdcf-40ea-9ec9-5f834f6d2f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1622</Words>
  <Characters>7868</Characters>
  <Application>Microsoft Office Word</Application>
  <DocSecurity>0</DocSecurity>
  <Lines>104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9489</CharactersWithSpaces>
  <SharedDoc>false</SharedDoc>
  <HLinks>
    <vt:vector size="24" baseType="variant">
      <vt:variant>
        <vt:i4>6291574</vt:i4>
      </vt:variant>
      <vt:variant>
        <vt:i4>12</vt:i4>
      </vt:variant>
      <vt:variant>
        <vt:i4>0</vt:i4>
      </vt:variant>
      <vt:variant>
        <vt:i4>5</vt:i4>
      </vt:variant>
      <vt:variant>
        <vt:lpwstr>https://immunisationhandbook.health.gov.au/</vt:lpwstr>
      </vt:variant>
      <vt:variant>
        <vt:lpwstr/>
      </vt:variant>
      <vt:variant>
        <vt:i4>4980811</vt:i4>
      </vt:variant>
      <vt:variant>
        <vt:i4>9</vt:i4>
      </vt:variant>
      <vt:variant>
        <vt:i4>0</vt:i4>
      </vt:variant>
      <vt:variant>
        <vt:i4>5</vt:i4>
      </vt:variant>
      <vt:variant>
        <vt:lpwstr>https://immunisationhandbook.health.gov.au/contents/vaccine-preventable-diseases/influenza-flu</vt:lpwstr>
      </vt:variant>
      <vt:variant>
        <vt:lpwstr>travellers</vt:lpwstr>
      </vt:variant>
      <vt:variant>
        <vt:i4>2490494</vt:i4>
      </vt:variant>
      <vt:variant>
        <vt:i4>6</vt:i4>
      </vt:variant>
      <vt:variant>
        <vt:i4>0</vt:i4>
      </vt:variant>
      <vt:variant>
        <vt:i4>5</vt:i4>
      </vt:variant>
      <vt:variant>
        <vt:lpwstr>https://immunisationhandbook.health.gov.au/contents/vaccine-preventable-diseases/influenza-flu</vt:lpwstr>
      </vt:variant>
      <vt:variant>
        <vt:lpwstr>coadministration-with-other-vaccines</vt:lpwstr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https://immunisationhandbook.health.gov.au/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ATAGI statement on the administration of seasonal influenza vaccines in 2025</dc:title>
  <dc:subject>Immunisation</dc:subject>
  <dc:creator>Australian Government Department of Health and Aged Care</dc:creator>
  <cp:keywords/>
  <cp:lastModifiedBy>MASCHKE, Elvia</cp:lastModifiedBy>
  <cp:revision>7</cp:revision>
  <cp:lastPrinted>2025-02-21T00:19:00Z</cp:lastPrinted>
  <dcterms:created xsi:type="dcterms:W3CDTF">2025-03-06T01:05:00Z</dcterms:created>
  <dcterms:modified xsi:type="dcterms:W3CDTF">2025-03-27T00:44:00Z</dcterms:modified>
</cp:coreProperties>
</file>