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AF7BA" w14:textId="66D987C3" w:rsidR="00486A6D" w:rsidRPr="00490885" w:rsidRDefault="00490885" w:rsidP="00486A6D">
      <w:pPr>
        <w:pStyle w:val="Heading1"/>
        <w:rPr>
          <w:szCs w:val="48"/>
        </w:rPr>
      </w:pPr>
      <w:r w:rsidRPr="68D5D5CC">
        <w:rPr>
          <w:szCs w:val="48"/>
        </w:rPr>
        <w:t>Analysis of Locum use in the Medical Workforce</w:t>
      </w:r>
    </w:p>
    <w:p w14:paraId="5FBA8A1E" w14:textId="4F987A0D" w:rsidR="546AB562" w:rsidRDefault="546AB562" w:rsidP="000A276F">
      <w:pPr>
        <w:pStyle w:val="Introparagraph"/>
      </w:pPr>
      <w:r w:rsidRPr="00633625">
        <w:t>Commonwealth</w:t>
      </w:r>
      <w:r w:rsidR="00DF015E" w:rsidRPr="00633625">
        <w:t xml:space="preserve"> s</w:t>
      </w:r>
      <w:r w:rsidR="00490885" w:rsidRPr="00633625">
        <w:t>ummary paper</w:t>
      </w:r>
      <w:r w:rsidR="5706AC99" w:rsidRPr="00633625">
        <w:t xml:space="preserve"> for Health Workforce Taskforce</w:t>
      </w:r>
    </w:p>
    <w:p w14:paraId="1251A90F" w14:textId="4682CED1" w:rsidR="00E30664" w:rsidRDefault="00E30664" w:rsidP="00E30664">
      <w:pPr>
        <w:spacing w:after="120" w:line="360" w:lineRule="auto"/>
        <w:ind w:right="425"/>
        <w:jc w:val="both"/>
      </w:pPr>
      <w:r>
        <w:rPr>
          <w:rFonts w:ascii="Helvetica Neue" w:hAnsi="Helvetica Neue" w:cs="Helvetica Neue"/>
          <w:noProof/>
          <w:color w:val="000000"/>
          <w:shd w:val="clear" w:color="auto" w:fill="E6E6E6"/>
          <w:lang w:val="en-US"/>
        </w:rPr>
        <w:drawing>
          <wp:anchor distT="0" distB="0" distL="114300" distR="114300" simplePos="0" relativeHeight="251659264" behindDoc="0" locked="0" layoutInCell="1" allowOverlap="1" wp14:anchorId="140EF564" wp14:editId="3DB11C5E">
            <wp:simplePos x="0" y="0"/>
            <wp:positionH relativeFrom="margin">
              <wp:align>right</wp:align>
            </wp:positionH>
            <wp:positionV relativeFrom="paragraph">
              <wp:posOffset>11430</wp:posOffset>
            </wp:positionV>
            <wp:extent cx="677333" cy="762000"/>
            <wp:effectExtent l="0" t="0" r="889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77333" cy="762000"/>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en-US"/>
        </w:rPr>
        <mc:AlternateContent>
          <mc:Choice Requires="wps">
            <w:drawing>
              <wp:inline distT="0" distB="0" distL="0" distR="0" wp14:anchorId="282C657B" wp14:editId="507999A3">
                <wp:extent cx="6791325" cy="1743075"/>
                <wp:effectExtent l="0" t="0" r="9525" b="9525"/>
                <wp:docPr id="8" name="Rectangle: Rounded Corners 8"/>
                <wp:cNvGraphicFramePr/>
                <a:graphic xmlns:a="http://schemas.openxmlformats.org/drawingml/2006/main">
                  <a:graphicData uri="http://schemas.microsoft.com/office/word/2010/wordprocessingShape">
                    <wps:wsp>
                      <wps:cNvSpPr/>
                      <wps:spPr>
                        <a:xfrm>
                          <a:off x="0" y="0"/>
                          <a:ext cx="6791325" cy="1743075"/>
                        </a:xfrm>
                        <a:prstGeom prst="roundRect">
                          <a:avLst>
                            <a:gd name="adj" fmla="val 9909"/>
                          </a:avLst>
                        </a:prstGeom>
                        <a:solidFill>
                          <a:srgbClr val="D0E9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842F9F" w14:textId="4E9A1CE3" w:rsidR="00E30664" w:rsidRPr="00E30664" w:rsidRDefault="00E30664" w:rsidP="00E30664">
                            <w:pPr>
                              <w:pStyle w:val="NoSpacing"/>
                              <w:rPr>
                                <w:b/>
                                <w:bCs/>
                                <w:color w:val="000000" w:themeColor="text1"/>
                                <w:lang w:val="en-US"/>
                              </w:rPr>
                            </w:pPr>
                            <w:r>
                              <w:rPr>
                                <w:b/>
                                <w:bCs/>
                                <w:color w:val="000000" w:themeColor="text1"/>
                                <w:lang w:val="en-US"/>
                              </w:rPr>
                              <w:t>The</w:t>
                            </w:r>
                            <w:r w:rsidRPr="002F7837">
                              <w:rPr>
                                <w:b/>
                                <w:bCs/>
                                <w:color w:val="000000" w:themeColor="text1"/>
                                <w:lang w:val="en-US"/>
                              </w:rPr>
                              <w:t xml:space="preserve"> known</w:t>
                            </w:r>
                          </w:p>
                          <w:p w14:paraId="4823D20F" w14:textId="77777777" w:rsidR="00E30664" w:rsidRDefault="00E30664" w:rsidP="00E30664">
                            <w:pPr>
                              <w:pStyle w:val="NoSpacing"/>
                              <w:numPr>
                                <w:ilvl w:val="0"/>
                                <w:numId w:val="38"/>
                              </w:numPr>
                              <w:spacing w:line="360" w:lineRule="auto"/>
                              <w:rPr>
                                <w:color w:val="000000" w:themeColor="text1"/>
                                <w:lang w:val="en-US"/>
                              </w:rPr>
                            </w:pPr>
                            <w:r w:rsidRPr="002F7837">
                              <w:rPr>
                                <w:color w:val="000000" w:themeColor="text1"/>
                                <w:lang w:val="en-US"/>
                              </w:rPr>
                              <w:t xml:space="preserve">Locums are an essential component of the medical workforce  </w:t>
                            </w:r>
                          </w:p>
                          <w:p w14:paraId="213E677D" w14:textId="77777777" w:rsidR="00E30664" w:rsidRDefault="00E30664" w:rsidP="00E30664">
                            <w:pPr>
                              <w:pStyle w:val="NoSpacing"/>
                              <w:numPr>
                                <w:ilvl w:val="0"/>
                                <w:numId w:val="38"/>
                              </w:numPr>
                              <w:spacing w:line="360" w:lineRule="auto"/>
                              <w:rPr>
                                <w:color w:val="000000" w:themeColor="text1"/>
                                <w:lang w:val="en-US"/>
                              </w:rPr>
                            </w:pPr>
                            <w:r w:rsidRPr="002F7837">
                              <w:rPr>
                                <w:color w:val="000000" w:themeColor="text1"/>
                                <w:lang w:val="en-US"/>
                              </w:rPr>
                              <w:t>Pre-Covid 19 some regions and health services had high reliance on locums</w:t>
                            </w:r>
                          </w:p>
                          <w:p w14:paraId="7214D84F" w14:textId="77777777" w:rsidR="00E30664" w:rsidRDefault="00E30664" w:rsidP="00E30664">
                            <w:pPr>
                              <w:pStyle w:val="NoSpacing"/>
                              <w:numPr>
                                <w:ilvl w:val="0"/>
                                <w:numId w:val="38"/>
                              </w:numPr>
                              <w:spacing w:line="360" w:lineRule="auto"/>
                              <w:rPr>
                                <w:color w:val="000000" w:themeColor="text1"/>
                                <w:lang w:val="en-US"/>
                              </w:rPr>
                            </w:pPr>
                            <w:r w:rsidRPr="002F7837">
                              <w:rPr>
                                <w:color w:val="000000" w:themeColor="text1"/>
                                <w:lang w:val="en-US"/>
                              </w:rPr>
                              <w:t>Post</w:t>
                            </w:r>
                            <w:r>
                              <w:rPr>
                                <w:color w:val="000000" w:themeColor="text1"/>
                                <w:lang w:val="en-US"/>
                              </w:rPr>
                              <w:t>-</w:t>
                            </w:r>
                            <w:r w:rsidRPr="002F7837">
                              <w:rPr>
                                <w:color w:val="000000" w:themeColor="text1"/>
                                <w:lang w:val="en-US"/>
                              </w:rPr>
                              <w:t xml:space="preserve">Covid </w:t>
                            </w:r>
                            <w:r>
                              <w:rPr>
                                <w:color w:val="000000" w:themeColor="text1"/>
                                <w:lang w:val="en-US"/>
                              </w:rPr>
                              <w:t xml:space="preserve">19 </w:t>
                            </w:r>
                            <w:r w:rsidRPr="002F7837">
                              <w:rPr>
                                <w:color w:val="000000" w:themeColor="text1"/>
                                <w:lang w:val="en-US"/>
                              </w:rPr>
                              <w:t>there were reports of increasing numbers of doctors choosing to work as locums a</w:t>
                            </w:r>
                            <w:r>
                              <w:rPr>
                                <w:color w:val="000000" w:themeColor="text1"/>
                                <w:lang w:val="en-US"/>
                              </w:rPr>
                              <w:t>nd</w:t>
                            </w:r>
                            <w:r w:rsidRPr="002F7837">
                              <w:rPr>
                                <w:color w:val="000000" w:themeColor="text1"/>
                                <w:lang w:val="en-US"/>
                              </w:rPr>
                              <w:t xml:space="preserve"> increasing costs to health services</w:t>
                            </w:r>
                          </w:p>
                          <w:p w14:paraId="40A6877A" w14:textId="3990007F" w:rsidR="00E30664" w:rsidRPr="00FE7342" w:rsidRDefault="00E30664" w:rsidP="00FE7342">
                            <w:pPr>
                              <w:pStyle w:val="NoSpacing"/>
                              <w:numPr>
                                <w:ilvl w:val="0"/>
                                <w:numId w:val="38"/>
                              </w:numPr>
                              <w:spacing w:line="360" w:lineRule="auto"/>
                              <w:rPr>
                                <w:color w:val="000000" w:themeColor="text1"/>
                                <w:lang w:val="en-US"/>
                              </w:rPr>
                            </w:pPr>
                            <w:r>
                              <w:rPr>
                                <w:color w:val="000000" w:themeColor="text1"/>
                                <w:lang w:val="en-US"/>
                              </w:rPr>
                              <w:t>Lack of published data about locums hinders national evidenced-based policy decisions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82C657B" id="Rectangle: Rounded Corners 8" o:spid="_x0000_s1026" style="width:534.75pt;height:137.25pt;visibility:visible;mso-wrap-style:square;mso-left-percent:-10001;mso-top-percent:-10001;mso-position-horizontal:absolute;mso-position-horizontal-relative:char;mso-position-vertical:absolute;mso-position-vertical-relative:line;mso-left-percent:-10001;mso-top-percent:-10001;v-text-anchor:middle" arcsize="64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" fillcolor="#d0e9e1" stroked="f" strokeweight="1pt">
                <v:stroke joinstyle="miter"/>
                <v:textbox>
                  <w:txbxContent>
                    <w:p w14:paraId="76842F9F" w14:textId="4E9A1CE3" w:rsidR="00E30664" w:rsidRPr="00E30664" w:rsidRDefault="00E30664" w:rsidP="00E30664">
                      <w:pPr>
                        <w:pStyle w:val="NoSpacing"/>
                        <w:rPr>
                          <w:b/>
                          <w:bCs/>
                          <w:color w:val="000000" w:themeColor="text1"/>
                          <w:lang w:val="en-US"/>
                        </w:rPr>
                      </w:pPr>
                      <w:r>
                        <w:rPr>
                          <w:b/>
                          <w:bCs/>
                          <w:color w:val="000000" w:themeColor="text1"/>
                          <w:lang w:val="en-US"/>
                        </w:rPr>
                        <w:t>The</w:t>
                      </w:r>
                      <w:r w:rsidRPr="002F7837">
                        <w:rPr>
                          <w:b/>
                          <w:bCs/>
                          <w:color w:val="000000" w:themeColor="text1"/>
                          <w:lang w:val="en-US"/>
                        </w:rPr>
                        <w:t xml:space="preserve"> known</w:t>
                      </w:r>
                    </w:p>
                    <w:p w14:paraId="4823D20F" w14:textId="77777777" w:rsidR="00E30664" w:rsidRDefault="00E30664" w:rsidP="00E30664">
                      <w:pPr>
                        <w:pStyle w:val="NoSpacing"/>
                        <w:numPr>
                          <w:ilvl w:val="0"/>
                          <w:numId w:val="38"/>
                        </w:numPr>
                        <w:spacing w:line="360" w:lineRule="auto"/>
                        <w:rPr>
                          <w:color w:val="000000" w:themeColor="text1"/>
                          <w:lang w:val="en-US"/>
                        </w:rPr>
                      </w:pPr>
                      <w:r w:rsidRPr="002F7837">
                        <w:rPr>
                          <w:color w:val="000000" w:themeColor="text1"/>
                          <w:lang w:val="en-US"/>
                        </w:rPr>
                        <w:t xml:space="preserve">Locums are an essential component of the medical workforce  </w:t>
                      </w:r>
                    </w:p>
                    <w:p w14:paraId="213E677D" w14:textId="77777777" w:rsidR="00E30664" w:rsidRDefault="00E30664" w:rsidP="00E30664">
                      <w:pPr>
                        <w:pStyle w:val="NoSpacing"/>
                        <w:numPr>
                          <w:ilvl w:val="0"/>
                          <w:numId w:val="38"/>
                        </w:numPr>
                        <w:spacing w:line="360" w:lineRule="auto"/>
                        <w:rPr>
                          <w:color w:val="000000" w:themeColor="text1"/>
                          <w:lang w:val="en-US"/>
                        </w:rPr>
                      </w:pPr>
                      <w:r w:rsidRPr="002F7837">
                        <w:rPr>
                          <w:color w:val="000000" w:themeColor="text1"/>
                          <w:lang w:val="en-US"/>
                        </w:rPr>
                        <w:t>Pre-Covid 19 some regions and health services had high reliance on locums</w:t>
                      </w:r>
                    </w:p>
                    <w:p w14:paraId="7214D84F" w14:textId="77777777" w:rsidR="00E30664" w:rsidRDefault="00E30664" w:rsidP="00E30664">
                      <w:pPr>
                        <w:pStyle w:val="NoSpacing"/>
                        <w:numPr>
                          <w:ilvl w:val="0"/>
                          <w:numId w:val="38"/>
                        </w:numPr>
                        <w:spacing w:line="360" w:lineRule="auto"/>
                        <w:rPr>
                          <w:color w:val="000000" w:themeColor="text1"/>
                          <w:lang w:val="en-US"/>
                        </w:rPr>
                      </w:pPr>
                      <w:r w:rsidRPr="002F7837">
                        <w:rPr>
                          <w:color w:val="000000" w:themeColor="text1"/>
                          <w:lang w:val="en-US"/>
                        </w:rPr>
                        <w:t>Post</w:t>
                      </w:r>
                      <w:r>
                        <w:rPr>
                          <w:color w:val="000000" w:themeColor="text1"/>
                          <w:lang w:val="en-US"/>
                        </w:rPr>
                        <w:t>-</w:t>
                      </w:r>
                      <w:r w:rsidRPr="002F7837">
                        <w:rPr>
                          <w:color w:val="000000" w:themeColor="text1"/>
                          <w:lang w:val="en-US"/>
                        </w:rPr>
                        <w:t xml:space="preserve">Covid </w:t>
                      </w:r>
                      <w:r>
                        <w:rPr>
                          <w:color w:val="000000" w:themeColor="text1"/>
                          <w:lang w:val="en-US"/>
                        </w:rPr>
                        <w:t xml:space="preserve">19 </w:t>
                      </w:r>
                      <w:r w:rsidRPr="002F7837">
                        <w:rPr>
                          <w:color w:val="000000" w:themeColor="text1"/>
                          <w:lang w:val="en-US"/>
                        </w:rPr>
                        <w:t>there were reports of increasing numbers of doctors choosing to work as locums a</w:t>
                      </w:r>
                      <w:r>
                        <w:rPr>
                          <w:color w:val="000000" w:themeColor="text1"/>
                          <w:lang w:val="en-US"/>
                        </w:rPr>
                        <w:t>nd</w:t>
                      </w:r>
                      <w:r w:rsidRPr="002F7837">
                        <w:rPr>
                          <w:color w:val="000000" w:themeColor="text1"/>
                          <w:lang w:val="en-US"/>
                        </w:rPr>
                        <w:t xml:space="preserve"> increasing costs to health services</w:t>
                      </w:r>
                    </w:p>
                    <w:p w14:paraId="40A6877A" w14:textId="3990007F" w:rsidR="00E30664" w:rsidRPr="00FE7342" w:rsidRDefault="00E30664" w:rsidP="00FE7342">
                      <w:pPr>
                        <w:pStyle w:val="NoSpacing"/>
                        <w:numPr>
                          <w:ilvl w:val="0"/>
                          <w:numId w:val="38"/>
                        </w:numPr>
                        <w:spacing w:line="360" w:lineRule="auto"/>
                        <w:rPr>
                          <w:color w:val="000000" w:themeColor="text1"/>
                          <w:lang w:val="en-US"/>
                        </w:rPr>
                      </w:pPr>
                      <w:r>
                        <w:rPr>
                          <w:color w:val="000000" w:themeColor="text1"/>
                          <w:lang w:val="en-US"/>
                        </w:rPr>
                        <w:t>Lack of published data about locums hinders national evidenced-based policy decisions</w:t>
                      </w:r>
                    </w:p>
                  </w:txbxContent>
                </v:textbox>
                <w10:anchorlock/>
              </v:roundrect>
            </w:pict>
          </mc:Fallback>
        </mc:AlternateContent>
      </w:r>
    </w:p>
    <w:p w14:paraId="61CF4E08" w14:textId="431BA55D" w:rsidR="00E30664" w:rsidRDefault="00E30664" w:rsidP="00E30664">
      <w:pPr>
        <w:spacing w:after="120" w:line="360" w:lineRule="auto"/>
        <w:ind w:right="425"/>
        <w:jc w:val="both"/>
      </w:pPr>
      <w:r>
        <w:rPr>
          <w:noProof/>
          <w:color w:val="2B579A"/>
          <w:shd w:val="clear" w:color="auto" w:fill="E6E6E6"/>
          <w:lang w:val="en-US"/>
        </w:rPr>
        <w:drawing>
          <wp:anchor distT="0" distB="0" distL="114300" distR="114300" simplePos="0" relativeHeight="251660288" behindDoc="0" locked="0" layoutInCell="1" allowOverlap="1" wp14:anchorId="181F8B2A" wp14:editId="64076FF8">
            <wp:simplePos x="0" y="0"/>
            <wp:positionH relativeFrom="column">
              <wp:posOffset>4194175</wp:posOffset>
            </wp:positionH>
            <wp:positionV relativeFrom="paragraph">
              <wp:posOffset>139700</wp:posOffset>
            </wp:positionV>
            <wp:extent cx="716844" cy="806450"/>
            <wp:effectExtent l="0" t="0" r="762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16844" cy="806450"/>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en-US"/>
        </w:rPr>
        <w:drawing>
          <wp:anchor distT="0" distB="0" distL="114300" distR="114300" simplePos="0" relativeHeight="251661312" behindDoc="0" locked="0" layoutInCell="1" allowOverlap="1" wp14:anchorId="43F11A00" wp14:editId="204211AD">
            <wp:simplePos x="0" y="0"/>
            <wp:positionH relativeFrom="column">
              <wp:posOffset>5836920</wp:posOffset>
            </wp:positionH>
            <wp:positionV relativeFrom="paragraph">
              <wp:posOffset>1290320</wp:posOffset>
            </wp:positionV>
            <wp:extent cx="762000" cy="85725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762000" cy="857250"/>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en-US"/>
        </w:rPr>
        <mc:AlternateContent>
          <mc:Choice Requires="wps">
            <w:drawing>
              <wp:inline distT="0" distB="0" distL="0" distR="0" wp14:anchorId="34626D3C" wp14:editId="3F0561BA">
                <wp:extent cx="5234152" cy="1676400"/>
                <wp:effectExtent l="0" t="0" r="5080" b="0"/>
                <wp:docPr id="10" name="Rectangle: Rounded Corners 10"/>
                <wp:cNvGraphicFramePr/>
                <a:graphic xmlns:a="http://schemas.openxmlformats.org/drawingml/2006/main">
                  <a:graphicData uri="http://schemas.microsoft.com/office/word/2010/wordprocessingShape">
                    <wps:wsp>
                      <wps:cNvSpPr/>
                      <wps:spPr>
                        <a:xfrm>
                          <a:off x="0" y="0"/>
                          <a:ext cx="5234152" cy="1676400"/>
                        </a:xfrm>
                        <a:prstGeom prst="roundRect">
                          <a:avLst>
                            <a:gd name="adj" fmla="val 20856"/>
                          </a:avLst>
                        </a:prstGeom>
                        <a:solidFill>
                          <a:srgbClr val="EAC6D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A820A5" w14:textId="77777777" w:rsidR="00E30664" w:rsidRPr="002F7837" w:rsidRDefault="00E30664" w:rsidP="00E30664">
                            <w:pPr>
                              <w:pStyle w:val="NoSpacing"/>
                              <w:spacing w:line="360" w:lineRule="auto"/>
                              <w:rPr>
                                <w:b/>
                                <w:bCs/>
                                <w:color w:val="000000" w:themeColor="text1"/>
                                <w:lang w:val="en-US"/>
                              </w:rPr>
                            </w:pPr>
                            <w:r w:rsidRPr="002F7837">
                              <w:rPr>
                                <w:b/>
                                <w:bCs/>
                                <w:color w:val="000000" w:themeColor="text1"/>
                                <w:lang w:val="en-US"/>
                              </w:rPr>
                              <w:t xml:space="preserve">The </w:t>
                            </w:r>
                            <w:r>
                              <w:rPr>
                                <w:b/>
                                <w:bCs/>
                                <w:color w:val="000000" w:themeColor="text1"/>
                                <w:lang w:val="en-US"/>
                              </w:rPr>
                              <w:t>insights from this project</w:t>
                            </w:r>
                          </w:p>
                          <w:p w14:paraId="7FF94529" w14:textId="77777777" w:rsidR="00E30664" w:rsidRPr="002F7837" w:rsidRDefault="00E30664" w:rsidP="00E30664">
                            <w:pPr>
                              <w:pStyle w:val="NoSpacing"/>
                              <w:spacing w:line="360" w:lineRule="auto"/>
                              <w:rPr>
                                <w:color w:val="000000" w:themeColor="text1"/>
                                <w:lang w:val="en-US"/>
                              </w:rPr>
                            </w:pPr>
                            <w:r w:rsidRPr="002F7837">
                              <w:rPr>
                                <w:color w:val="000000" w:themeColor="text1"/>
                                <w:lang w:val="en-US"/>
                              </w:rPr>
                              <w:t>Doctors’ reasons for working as locums are:</w:t>
                            </w:r>
                          </w:p>
                          <w:p w14:paraId="18DF3354" w14:textId="77777777" w:rsidR="00E30664" w:rsidRPr="002F7837" w:rsidRDefault="00E30664" w:rsidP="00E30664">
                            <w:pPr>
                              <w:pStyle w:val="NoSpacing"/>
                              <w:numPr>
                                <w:ilvl w:val="0"/>
                                <w:numId w:val="38"/>
                              </w:numPr>
                              <w:spacing w:line="360" w:lineRule="auto"/>
                              <w:rPr>
                                <w:color w:val="000000" w:themeColor="text1"/>
                                <w:lang w:val="en-US"/>
                              </w:rPr>
                            </w:pPr>
                            <w:r>
                              <w:rPr>
                                <w:color w:val="000000" w:themeColor="text1"/>
                                <w:lang w:val="en-US"/>
                              </w:rPr>
                              <w:t>F</w:t>
                            </w:r>
                            <w:r w:rsidRPr="002F7837">
                              <w:rPr>
                                <w:color w:val="000000" w:themeColor="text1"/>
                                <w:lang w:val="en-US"/>
                              </w:rPr>
                              <w:t>inancial</w:t>
                            </w:r>
                          </w:p>
                          <w:p w14:paraId="45C0D3B0" w14:textId="77777777" w:rsidR="00E30664" w:rsidRPr="002F7837" w:rsidRDefault="00E30664" w:rsidP="00E30664">
                            <w:pPr>
                              <w:pStyle w:val="NoSpacing"/>
                              <w:numPr>
                                <w:ilvl w:val="0"/>
                                <w:numId w:val="38"/>
                              </w:numPr>
                              <w:spacing w:line="360" w:lineRule="auto"/>
                              <w:rPr>
                                <w:color w:val="000000" w:themeColor="text1"/>
                                <w:lang w:val="en-US"/>
                              </w:rPr>
                            </w:pPr>
                            <w:r>
                              <w:rPr>
                                <w:color w:val="000000" w:themeColor="text1"/>
                                <w:lang w:val="en-US"/>
                              </w:rPr>
                              <w:t>F</w:t>
                            </w:r>
                            <w:r w:rsidRPr="002F7837">
                              <w:rPr>
                                <w:color w:val="000000" w:themeColor="text1"/>
                                <w:lang w:val="en-US"/>
                              </w:rPr>
                              <w:t>or professional autonomy and experience</w:t>
                            </w:r>
                          </w:p>
                          <w:p w14:paraId="1185ED4B" w14:textId="77777777" w:rsidR="00E30664" w:rsidRPr="002F7837" w:rsidRDefault="00E30664" w:rsidP="00E30664">
                            <w:pPr>
                              <w:pStyle w:val="NoSpacing"/>
                              <w:numPr>
                                <w:ilvl w:val="0"/>
                                <w:numId w:val="38"/>
                              </w:numPr>
                              <w:spacing w:line="360" w:lineRule="auto"/>
                              <w:rPr>
                                <w:color w:val="000000" w:themeColor="text1"/>
                                <w:lang w:val="en-US"/>
                              </w:rPr>
                            </w:pPr>
                            <w:r>
                              <w:rPr>
                                <w:color w:val="000000" w:themeColor="text1"/>
                                <w:lang w:val="en-US"/>
                              </w:rPr>
                              <w:t>F</w:t>
                            </w:r>
                            <w:r w:rsidRPr="002F7837">
                              <w:rPr>
                                <w:color w:val="000000" w:themeColor="text1"/>
                                <w:lang w:val="en-US"/>
                              </w:rPr>
                              <w:t>or flexibility leading to improved work-life balance</w:t>
                            </w:r>
                          </w:p>
                          <w:p w14:paraId="59ED0E5E" w14:textId="77777777" w:rsidR="00E30664" w:rsidRPr="002F7837" w:rsidRDefault="00E30664" w:rsidP="00E30664">
                            <w:pPr>
                              <w:pStyle w:val="NoSpacing"/>
                              <w:numPr>
                                <w:ilvl w:val="0"/>
                                <w:numId w:val="38"/>
                              </w:numPr>
                              <w:spacing w:line="360" w:lineRule="auto"/>
                              <w:rPr>
                                <w:color w:val="000000" w:themeColor="text1"/>
                                <w:lang w:val="en-US"/>
                              </w:rPr>
                            </w:pPr>
                            <w:r>
                              <w:rPr>
                                <w:color w:val="000000" w:themeColor="text1"/>
                                <w:lang w:val="en-US"/>
                              </w:rPr>
                              <w:t>To l</w:t>
                            </w:r>
                            <w:r w:rsidRPr="002F7837">
                              <w:rPr>
                                <w:color w:val="000000" w:themeColor="text1"/>
                                <w:lang w:val="en-US"/>
                              </w:rPr>
                              <w:t>iv</w:t>
                            </w:r>
                            <w:r>
                              <w:rPr>
                                <w:color w:val="000000" w:themeColor="text1"/>
                                <w:lang w:val="en-US"/>
                              </w:rPr>
                              <w:t>e</w:t>
                            </w:r>
                            <w:r w:rsidRPr="002F7837">
                              <w:rPr>
                                <w:color w:val="000000" w:themeColor="text1"/>
                                <w:lang w:val="en-US"/>
                              </w:rPr>
                              <w:t xml:space="preserve"> or work in their</w:t>
                            </w:r>
                            <w:r>
                              <w:rPr>
                                <w:color w:val="000000" w:themeColor="text1"/>
                                <w:lang w:val="en-US"/>
                              </w:rPr>
                              <w:t xml:space="preserve"> preferred</w:t>
                            </w:r>
                            <w:r w:rsidRPr="002F7837">
                              <w:rPr>
                                <w:color w:val="000000" w:themeColor="text1"/>
                                <w:lang w:val="en-US"/>
                              </w:rPr>
                              <w:t xml:space="preserve"> specialty or 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4626D3C" id="Rectangle: Rounded Corners 10" o:spid="_x0000_s1027" style="width:412.15pt;height:132pt;visibility:visible;mso-wrap-style:square;mso-left-percent:-10001;mso-top-percent:-10001;mso-position-horizontal:absolute;mso-position-horizontal-relative:char;mso-position-vertical:absolute;mso-position-vertical-relative:line;mso-left-percent:-10001;mso-top-percent:-10001;v-text-anchor:middle" arcsize="136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" fillcolor="#eac6d5" stroked="f" strokeweight="1pt">
                <v:stroke joinstyle="miter"/>
                <v:textbox>
                  <w:txbxContent>
                    <w:p w14:paraId="4FA820A5" w14:textId="77777777" w:rsidR="00E30664" w:rsidRPr="002F7837" w:rsidRDefault="00E30664" w:rsidP="00E30664">
                      <w:pPr>
                        <w:pStyle w:val="NoSpacing"/>
                        <w:spacing w:line="360" w:lineRule="auto"/>
                        <w:rPr>
                          <w:b/>
                          <w:bCs/>
                          <w:color w:val="000000" w:themeColor="text1"/>
                          <w:lang w:val="en-US"/>
                        </w:rPr>
                      </w:pPr>
                      <w:r w:rsidRPr="002F7837">
                        <w:rPr>
                          <w:b/>
                          <w:bCs/>
                          <w:color w:val="000000" w:themeColor="text1"/>
                          <w:lang w:val="en-US"/>
                        </w:rPr>
                        <w:t xml:space="preserve">The </w:t>
                      </w:r>
                      <w:r>
                        <w:rPr>
                          <w:b/>
                          <w:bCs/>
                          <w:color w:val="000000" w:themeColor="text1"/>
                          <w:lang w:val="en-US"/>
                        </w:rPr>
                        <w:t>insights from this project</w:t>
                      </w:r>
                    </w:p>
                    <w:p w14:paraId="7FF94529" w14:textId="77777777" w:rsidR="00E30664" w:rsidRPr="002F7837" w:rsidRDefault="00E30664" w:rsidP="00E30664">
                      <w:pPr>
                        <w:pStyle w:val="NoSpacing"/>
                        <w:spacing w:line="360" w:lineRule="auto"/>
                        <w:rPr>
                          <w:color w:val="000000" w:themeColor="text1"/>
                          <w:lang w:val="en-US"/>
                        </w:rPr>
                      </w:pPr>
                      <w:r w:rsidRPr="002F7837">
                        <w:rPr>
                          <w:color w:val="000000" w:themeColor="text1"/>
                          <w:lang w:val="en-US"/>
                        </w:rPr>
                        <w:t>Doctors’ reasons for working as locums are:</w:t>
                      </w:r>
                    </w:p>
                    <w:p w14:paraId="18DF3354" w14:textId="77777777" w:rsidR="00E30664" w:rsidRPr="002F7837" w:rsidRDefault="00E30664" w:rsidP="00E30664">
                      <w:pPr>
                        <w:pStyle w:val="NoSpacing"/>
                        <w:numPr>
                          <w:ilvl w:val="0"/>
                          <w:numId w:val="38"/>
                        </w:numPr>
                        <w:spacing w:line="360" w:lineRule="auto"/>
                        <w:rPr>
                          <w:color w:val="000000" w:themeColor="text1"/>
                          <w:lang w:val="en-US"/>
                        </w:rPr>
                      </w:pPr>
                      <w:r>
                        <w:rPr>
                          <w:color w:val="000000" w:themeColor="text1"/>
                          <w:lang w:val="en-US"/>
                        </w:rPr>
                        <w:t>F</w:t>
                      </w:r>
                      <w:r w:rsidRPr="002F7837">
                        <w:rPr>
                          <w:color w:val="000000" w:themeColor="text1"/>
                          <w:lang w:val="en-US"/>
                        </w:rPr>
                        <w:t>inancial</w:t>
                      </w:r>
                    </w:p>
                    <w:p w14:paraId="45C0D3B0" w14:textId="77777777" w:rsidR="00E30664" w:rsidRPr="002F7837" w:rsidRDefault="00E30664" w:rsidP="00E30664">
                      <w:pPr>
                        <w:pStyle w:val="NoSpacing"/>
                        <w:numPr>
                          <w:ilvl w:val="0"/>
                          <w:numId w:val="38"/>
                        </w:numPr>
                        <w:spacing w:line="360" w:lineRule="auto"/>
                        <w:rPr>
                          <w:color w:val="000000" w:themeColor="text1"/>
                          <w:lang w:val="en-US"/>
                        </w:rPr>
                      </w:pPr>
                      <w:r>
                        <w:rPr>
                          <w:color w:val="000000" w:themeColor="text1"/>
                          <w:lang w:val="en-US"/>
                        </w:rPr>
                        <w:t>F</w:t>
                      </w:r>
                      <w:r w:rsidRPr="002F7837">
                        <w:rPr>
                          <w:color w:val="000000" w:themeColor="text1"/>
                          <w:lang w:val="en-US"/>
                        </w:rPr>
                        <w:t>or professional autonomy and experience</w:t>
                      </w:r>
                    </w:p>
                    <w:p w14:paraId="1185ED4B" w14:textId="77777777" w:rsidR="00E30664" w:rsidRPr="002F7837" w:rsidRDefault="00E30664" w:rsidP="00E30664">
                      <w:pPr>
                        <w:pStyle w:val="NoSpacing"/>
                        <w:numPr>
                          <w:ilvl w:val="0"/>
                          <w:numId w:val="38"/>
                        </w:numPr>
                        <w:spacing w:line="360" w:lineRule="auto"/>
                        <w:rPr>
                          <w:color w:val="000000" w:themeColor="text1"/>
                          <w:lang w:val="en-US"/>
                        </w:rPr>
                      </w:pPr>
                      <w:r>
                        <w:rPr>
                          <w:color w:val="000000" w:themeColor="text1"/>
                          <w:lang w:val="en-US"/>
                        </w:rPr>
                        <w:t>F</w:t>
                      </w:r>
                      <w:r w:rsidRPr="002F7837">
                        <w:rPr>
                          <w:color w:val="000000" w:themeColor="text1"/>
                          <w:lang w:val="en-US"/>
                        </w:rPr>
                        <w:t>or flexibility leading to improved work-life balance</w:t>
                      </w:r>
                    </w:p>
                    <w:p w14:paraId="59ED0E5E" w14:textId="77777777" w:rsidR="00E30664" w:rsidRPr="002F7837" w:rsidRDefault="00E30664" w:rsidP="00E30664">
                      <w:pPr>
                        <w:pStyle w:val="NoSpacing"/>
                        <w:numPr>
                          <w:ilvl w:val="0"/>
                          <w:numId w:val="38"/>
                        </w:numPr>
                        <w:spacing w:line="360" w:lineRule="auto"/>
                        <w:rPr>
                          <w:color w:val="000000" w:themeColor="text1"/>
                          <w:lang w:val="en-US"/>
                        </w:rPr>
                      </w:pPr>
                      <w:r>
                        <w:rPr>
                          <w:color w:val="000000" w:themeColor="text1"/>
                          <w:lang w:val="en-US"/>
                        </w:rPr>
                        <w:t>To l</w:t>
                      </w:r>
                      <w:r w:rsidRPr="002F7837">
                        <w:rPr>
                          <w:color w:val="000000" w:themeColor="text1"/>
                          <w:lang w:val="en-US"/>
                        </w:rPr>
                        <w:t>iv</w:t>
                      </w:r>
                      <w:r>
                        <w:rPr>
                          <w:color w:val="000000" w:themeColor="text1"/>
                          <w:lang w:val="en-US"/>
                        </w:rPr>
                        <w:t>e</w:t>
                      </w:r>
                      <w:r w:rsidRPr="002F7837">
                        <w:rPr>
                          <w:color w:val="000000" w:themeColor="text1"/>
                          <w:lang w:val="en-US"/>
                        </w:rPr>
                        <w:t xml:space="preserve"> or work in their</w:t>
                      </w:r>
                      <w:r>
                        <w:rPr>
                          <w:color w:val="000000" w:themeColor="text1"/>
                          <w:lang w:val="en-US"/>
                        </w:rPr>
                        <w:t xml:space="preserve"> preferred</w:t>
                      </w:r>
                      <w:r w:rsidRPr="002F7837">
                        <w:rPr>
                          <w:color w:val="000000" w:themeColor="text1"/>
                          <w:lang w:val="en-US"/>
                        </w:rPr>
                        <w:t xml:space="preserve"> specialty or location</w:t>
                      </w:r>
                    </w:p>
                  </w:txbxContent>
                </v:textbox>
                <w10:anchorlock/>
              </v:roundrect>
            </w:pict>
          </mc:Fallback>
        </mc:AlternateContent>
      </w:r>
    </w:p>
    <w:p w14:paraId="68F181D7" w14:textId="77777777" w:rsidR="00E30664" w:rsidRDefault="00E30664" w:rsidP="00E30664">
      <w:pPr>
        <w:spacing w:after="120" w:line="360" w:lineRule="auto"/>
        <w:ind w:right="425"/>
        <w:jc w:val="both"/>
      </w:pPr>
      <w:r>
        <w:rPr>
          <w:noProof/>
          <w:color w:val="2B579A"/>
          <w:shd w:val="clear" w:color="auto" w:fill="E6E6E6"/>
          <w:lang w:val="en-US"/>
        </w:rPr>
        <mc:AlternateContent>
          <mc:Choice Requires="wps">
            <w:drawing>
              <wp:inline distT="0" distB="0" distL="0" distR="0" wp14:anchorId="4C82E89F" wp14:editId="5523039D">
                <wp:extent cx="6791325" cy="2127250"/>
                <wp:effectExtent l="0" t="0" r="9525" b="6350"/>
                <wp:docPr id="18" name="Rectangle: Rounded Corners 18"/>
                <wp:cNvGraphicFramePr/>
                <a:graphic xmlns:a="http://schemas.openxmlformats.org/drawingml/2006/main">
                  <a:graphicData uri="http://schemas.microsoft.com/office/word/2010/wordprocessingShape">
                    <wps:wsp>
                      <wps:cNvSpPr/>
                      <wps:spPr>
                        <a:xfrm>
                          <a:off x="0" y="0"/>
                          <a:ext cx="6791325" cy="2127250"/>
                        </a:xfrm>
                        <a:prstGeom prst="roundRect">
                          <a:avLst>
                            <a:gd name="adj" fmla="val 9213"/>
                          </a:avLst>
                        </a:prstGeom>
                        <a:solidFill>
                          <a:srgbClr val="F6C6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4D07DC" w14:textId="77777777" w:rsidR="00E30664" w:rsidRPr="00CE1606" w:rsidRDefault="00E30664" w:rsidP="00CE1606">
                            <w:pPr>
                              <w:pStyle w:val="NoSpacing"/>
                              <w:spacing w:line="360" w:lineRule="auto"/>
                              <w:rPr>
                                <w:b/>
                                <w:bCs/>
                                <w:color w:val="000000" w:themeColor="text1"/>
                                <w:lang w:val="en-US"/>
                              </w:rPr>
                            </w:pPr>
                            <w:r w:rsidRPr="00CE1606">
                              <w:rPr>
                                <w:b/>
                                <w:bCs/>
                                <w:color w:val="000000" w:themeColor="text1"/>
                                <w:lang w:val="en-US"/>
                              </w:rPr>
                              <w:t>The implications</w:t>
                            </w:r>
                          </w:p>
                          <w:p w14:paraId="0433695A" w14:textId="77777777" w:rsidR="00E30664" w:rsidRPr="001C643F" w:rsidRDefault="00E30664" w:rsidP="00E30664">
                            <w:pPr>
                              <w:pStyle w:val="NoSpacing"/>
                              <w:spacing w:line="360" w:lineRule="auto"/>
                              <w:rPr>
                                <w:color w:val="000000" w:themeColor="text1"/>
                                <w:lang w:val="en-US"/>
                              </w:rPr>
                            </w:pPr>
                            <w:r w:rsidRPr="00CE1606">
                              <w:rPr>
                                <w:color w:val="000000" w:themeColor="text1"/>
                                <w:lang w:val="en-US"/>
                              </w:rPr>
                              <w:t>Acknowledging that employers may already be considering or implementing these strategies, further efforts to recruit a permanent workforce could include:</w:t>
                            </w:r>
                            <w:r w:rsidRPr="001C643F">
                              <w:rPr>
                                <w:color w:val="000000" w:themeColor="text1"/>
                                <w:lang w:val="en-US"/>
                              </w:rPr>
                              <w:t xml:space="preserve"> </w:t>
                            </w:r>
                          </w:p>
                          <w:p w14:paraId="435D60DC" w14:textId="77777777" w:rsidR="00E30664" w:rsidRPr="001C643F" w:rsidRDefault="00E30664" w:rsidP="00E30664">
                            <w:pPr>
                              <w:pStyle w:val="NoSpacing"/>
                              <w:numPr>
                                <w:ilvl w:val="0"/>
                                <w:numId w:val="38"/>
                              </w:numPr>
                              <w:spacing w:line="360" w:lineRule="auto"/>
                              <w:rPr>
                                <w:color w:val="000000" w:themeColor="text1"/>
                                <w:lang w:val="en-US"/>
                              </w:rPr>
                            </w:pPr>
                            <w:r>
                              <w:rPr>
                                <w:color w:val="000000" w:themeColor="text1"/>
                                <w:lang w:val="en-US"/>
                              </w:rPr>
                              <w:t xml:space="preserve">A review of the </w:t>
                            </w:r>
                            <w:r w:rsidRPr="001C643F">
                              <w:rPr>
                                <w:color w:val="000000" w:themeColor="text1"/>
                                <w:lang w:val="en-US"/>
                              </w:rPr>
                              <w:t>remuneration and benefits</w:t>
                            </w:r>
                            <w:r>
                              <w:rPr>
                                <w:color w:val="000000" w:themeColor="text1"/>
                                <w:lang w:val="en-US"/>
                              </w:rPr>
                              <w:t xml:space="preserve"> of permanent staff and locums</w:t>
                            </w:r>
                          </w:p>
                          <w:p w14:paraId="7059B67B" w14:textId="77777777" w:rsidR="00E30664" w:rsidRPr="001C643F" w:rsidRDefault="00E30664" w:rsidP="00E30664">
                            <w:pPr>
                              <w:pStyle w:val="NoSpacing"/>
                              <w:numPr>
                                <w:ilvl w:val="0"/>
                                <w:numId w:val="38"/>
                              </w:numPr>
                              <w:spacing w:line="360" w:lineRule="auto"/>
                              <w:rPr>
                                <w:color w:val="000000" w:themeColor="text1"/>
                                <w:lang w:val="en-US"/>
                              </w:rPr>
                            </w:pPr>
                            <w:r>
                              <w:rPr>
                                <w:color w:val="000000" w:themeColor="text1"/>
                                <w:lang w:val="en-US"/>
                              </w:rPr>
                              <w:t>A</w:t>
                            </w:r>
                            <w:r w:rsidRPr="001C643F">
                              <w:rPr>
                                <w:color w:val="000000" w:themeColor="text1"/>
                                <w:lang w:val="en-US"/>
                              </w:rPr>
                              <w:t xml:space="preserve"> range of employment patterns </w:t>
                            </w:r>
                            <w:r>
                              <w:rPr>
                                <w:color w:val="000000" w:themeColor="text1"/>
                                <w:lang w:val="en-US"/>
                              </w:rPr>
                              <w:t xml:space="preserve">and options </w:t>
                            </w:r>
                            <w:r w:rsidRPr="001C643F">
                              <w:rPr>
                                <w:color w:val="000000" w:themeColor="text1"/>
                                <w:lang w:val="en-US"/>
                              </w:rPr>
                              <w:t xml:space="preserve">with more flexibility </w:t>
                            </w:r>
                          </w:p>
                          <w:p w14:paraId="3CBA6F5D" w14:textId="77777777" w:rsidR="00E30664" w:rsidRPr="001C643F" w:rsidRDefault="00E30664" w:rsidP="00E30664">
                            <w:pPr>
                              <w:pStyle w:val="NoSpacing"/>
                              <w:numPr>
                                <w:ilvl w:val="0"/>
                                <w:numId w:val="38"/>
                              </w:numPr>
                              <w:spacing w:line="360" w:lineRule="auto"/>
                              <w:rPr>
                                <w:color w:val="000000" w:themeColor="text1"/>
                                <w:lang w:val="en-US"/>
                              </w:rPr>
                            </w:pPr>
                            <w:r>
                              <w:rPr>
                                <w:color w:val="000000" w:themeColor="text1"/>
                                <w:lang w:val="en-US"/>
                              </w:rPr>
                              <w:t>I</w:t>
                            </w:r>
                            <w:r w:rsidRPr="001C643F">
                              <w:rPr>
                                <w:color w:val="000000" w:themeColor="text1"/>
                                <w:lang w:val="en-US"/>
                              </w:rPr>
                              <w:t xml:space="preserve">ncreased focus on doctor wellbeing </w:t>
                            </w:r>
                            <w:r>
                              <w:rPr>
                                <w:color w:val="000000" w:themeColor="text1"/>
                                <w:lang w:val="en-US"/>
                              </w:rPr>
                              <w:t>and workplace culture</w:t>
                            </w:r>
                          </w:p>
                          <w:p w14:paraId="574F252A" w14:textId="77777777" w:rsidR="00E30664" w:rsidRPr="000A276F" w:rsidRDefault="00E30664" w:rsidP="00E30664">
                            <w:pPr>
                              <w:pStyle w:val="NoSpacing"/>
                              <w:numPr>
                                <w:ilvl w:val="0"/>
                                <w:numId w:val="38"/>
                              </w:numPr>
                              <w:spacing w:line="360" w:lineRule="auto"/>
                              <w:rPr>
                                <w:rFonts w:ascii="Helvetica Neue" w:hAnsi="Helvetica Neue" w:cs="Helvetica Neue"/>
                                <w:color w:val="000000"/>
                                <w:lang w:val="en-US"/>
                              </w:rPr>
                            </w:pPr>
                            <w:r w:rsidRPr="00625DBB">
                              <w:rPr>
                                <w:color w:val="000000" w:themeColor="text1"/>
                                <w:lang w:val="en-US"/>
                              </w:rPr>
                              <w:t>Realignment of accredited</w:t>
                            </w:r>
                            <w:r>
                              <w:rPr>
                                <w:rFonts w:ascii="Helvetica Neue" w:hAnsi="Helvetica Neue" w:cs="Helvetica Neue"/>
                                <w:color w:val="000000"/>
                                <w:lang w:val="en-US"/>
                              </w:rPr>
                              <w:t xml:space="preserve"> and hospital registrars</w:t>
                            </w:r>
                            <w:r w:rsidRPr="004F6381">
                              <w:rPr>
                                <w:rFonts w:ascii="Helvetica Neue" w:hAnsi="Helvetica Neue" w:cs="Helvetica Neue"/>
                                <w:color w:val="000000"/>
                                <w:lang w:val="en-US"/>
                              </w:rPr>
                              <w:t xml:space="preserve"> to future need for specialists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C82E89F" id="Rectangle: Rounded Corners 18" o:spid="_x0000_s1028" style="width:534.75pt;height:167.5pt;visibility:visible;mso-wrap-style:square;mso-left-percent:-10001;mso-top-percent:-10001;mso-position-horizontal:absolute;mso-position-horizontal-relative:char;mso-position-vertical:absolute;mso-position-vertical-relative:line;mso-left-percent:-10001;mso-top-percent:-10001;v-text-anchor:middle" arcsize="60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" fillcolor="#f6c6a5" stroked="f" strokeweight="1pt">
                <v:stroke joinstyle="miter"/>
                <v:textbox>
                  <w:txbxContent>
                    <w:p w14:paraId="764D07DC" w14:textId="77777777" w:rsidR="00E30664" w:rsidRPr="00CE1606" w:rsidRDefault="00E30664" w:rsidP="00CE1606">
                      <w:pPr>
                        <w:pStyle w:val="NoSpacing"/>
                        <w:spacing w:line="360" w:lineRule="auto"/>
                        <w:rPr>
                          <w:b/>
                          <w:bCs/>
                          <w:color w:val="000000" w:themeColor="text1"/>
                          <w:lang w:val="en-US"/>
                        </w:rPr>
                      </w:pPr>
                      <w:r w:rsidRPr="00CE1606">
                        <w:rPr>
                          <w:b/>
                          <w:bCs/>
                          <w:color w:val="000000" w:themeColor="text1"/>
                          <w:lang w:val="en-US"/>
                        </w:rPr>
                        <w:t>The implications</w:t>
                      </w:r>
                    </w:p>
                    <w:p w14:paraId="0433695A" w14:textId="77777777" w:rsidR="00E30664" w:rsidRPr="001C643F" w:rsidRDefault="00E30664" w:rsidP="00E30664">
                      <w:pPr>
                        <w:pStyle w:val="NoSpacing"/>
                        <w:spacing w:line="360" w:lineRule="auto"/>
                        <w:rPr>
                          <w:color w:val="000000" w:themeColor="text1"/>
                          <w:lang w:val="en-US"/>
                        </w:rPr>
                      </w:pPr>
                      <w:r w:rsidRPr="00CE1606">
                        <w:rPr>
                          <w:color w:val="000000" w:themeColor="text1"/>
                          <w:lang w:val="en-US"/>
                        </w:rPr>
                        <w:t>Acknowledging that employers may already be considering or implementing these strategies, further efforts to recruit a permanent workforce could include:</w:t>
                      </w:r>
                      <w:r w:rsidRPr="001C643F">
                        <w:rPr>
                          <w:color w:val="000000" w:themeColor="text1"/>
                          <w:lang w:val="en-US"/>
                        </w:rPr>
                        <w:t xml:space="preserve"> </w:t>
                      </w:r>
                    </w:p>
                    <w:p w14:paraId="435D60DC" w14:textId="77777777" w:rsidR="00E30664" w:rsidRPr="001C643F" w:rsidRDefault="00E30664" w:rsidP="00E30664">
                      <w:pPr>
                        <w:pStyle w:val="NoSpacing"/>
                        <w:numPr>
                          <w:ilvl w:val="0"/>
                          <w:numId w:val="38"/>
                        </w:numPr>
                        <w:spacing w:line="360" w:lineRule="auto"/>
                        <w:rPr>
                          <w:color w:val="000000" w:themeColor="text1"/>
                          <w:lang w:val="en-US"/>
                        </w:rPr>
                      </w:pPr>
                      <w:r>
                        <w:rPr>
                          <w:color w:val="000000" w:themeColor="text1"/>
                          <w:lang w:val="en-US"/>
                        </w:rPr>
                        <w:t xml:space="preserve">A review of the </w:t>
                      </w:r>
                      <w:r w:rsidRPr="001C643F">
                        <w:rPr>
                          <w:color w:val="000000" w:themeColor="text1"/>
                          <w:lang w:val="en-US"/>
                        </w:rPr>
                        <w:t>remuneration and benefits</w:t>
                      </w:r>
                      <w:r>
                        <w:rPr>
                          <w:color w:val="000000" w:themeColor="text1"/>
                          <w:lang w:val="en-US"/>
                        </w:rPr>
                        <w:t xml:space="preserve"> of permanent staff and locums</w:t>
                      </w:r>
                    </w:p>
                    <w:p w14:paraId="7059B67B" w14:textId="77777777" w:rsidR="00E30664" w:rsidRPr="001C643F" w:rsidRDefault="00E30664" w:rsidP="00E30664">
                      <w:pPr>
                        <w:pStyle w:val="NoSpacing"/>
                        <w:numPr>
                          <w:ilvl w:val="0"/>
                          <w:numId w:val="38"/>
                        </w:numPr>
                        <w:spacing w:line="360" w:lineRule="auto"/>
                        <w:rPr>
                          <w:color w:val="000000" w:themeColor="text1"/>
                          <w:lang w:val="en-US"/>
                        </w:rPr>
                      </w:pPr>
                      <w:r>
                        <w:rPr>
                          <w:color w:val="000000" w:themeColor="text1"/>
                          <w:lang w:val="en-US"/>
                        </w:rPr>
                        <w:t>A</w:t>
                      </w:r>
                      <w:r w:rsidRPr="001C643F">
                        <w:rPr>
                          <w:color w:val="000000" w:themeColor="text1"/>
                          <w:lang w:val="en-US"/>
                        </w:rPr>
                        <w:t xml:space="preserve"> range of employment patterns </w:t>
                      </w:r>
                      <w:r>
                        <w:rPr>
                          <w:color w:val="000000" w:themeColor="text1"/>
                          <w:lang w:val="en-US"/>
                        </w:rPr>
                        <w:t xml:space="preserve">and options </w:t>
                      </w:r>
                      <w:r w:rsidRPr="001C643F">
                        <w:rPr>
                          <w:color w:val="000000" w:themeColor="text1"/>
                          <w:lang w:val="en-US"/>
                        </w:rPr>
                        <w:t xml:space="preserve">with more flexibility </w:t>
                      </w:r>
                    </w:p>
                    <w:p w14:paraId="3CBA6F5D" w14:textId="77777777" w:rsidR="00E30664" w:rsidRPr="001C643F" w:rsidRDefault="00E30664" w:rsidP="00E30664">
                      <w:pPr>
                        <w:pStyle w:val="NoSpacing"/>
                        <w:numPr>
                          <w:ilvl w:val="0"/>
                          <w:numId w:val="38"/>
                        </w:numPr>
                        <w:spacing w:line="360" w:lineRule="auto"/>
                        <w:rPr>
                          <w:color w:val="000000" w:themeColor="text1"/>
                          <w:lang w:val="en-US"/>
                        </w:rPr>
                      </w:pPr>
                      <w:r>
                        <w:rPr>
                          <w:color w:val="000000" w:themeColor="text1"/>
                          <w:lang w:val="en-US"/>
                        </w:rPr>
                        <w:t>I</w:t>
                      </w:r>
                      <w:r w:rsidRPr="001C643F">
                        <w:rPr>
                          <w:color w:val="000000" w:themeColor="text1"/>
                          <w:lang w:val="en-US"/>
                        </w:rPr>
                        <w:t xml:space="preserve">ncreased focus on doctor wellbeing </w:t>
                      </w:r>
                      <w:r>
                        <w:rPr>
                          <w:color w:val="000000" w:themeColor="text1"/>
                          <w:lang w:val="en-US"/>
                        </w:rPr>
                        <w:t>and workplace culture</w:t>
                      </w:r>
                    </w:p>
                    <w:p w14:paraId="574F252A" w14:textId="77777777" w:rsidR="00E30664" w:rsidRPr="000A276F" w:rsidRDefault="00E30664" w:rsidP="00E30664">
                      <w:pPr>
                        <w:pStyle w:val="NoSpacing"/>
                        <w:numPr>
                          <w:ilvl w:val="0"/>
                          <w:numId w:val="38"/>
                        </w:numPr>
                        <w:spacing w:line="360" w:lineRule="auto"/>
                        <w:rPr>
                          <w:rFonts w:ascii="Helvetica Neue" w:hAnsi="Helvetica Neue" w:cs="Helvetica Neue"/>
                          <w:color w:val="000000"/>
                          <w:lang w:val="en-US"/>
                        </w:rPr>
                      </w:pPr>
                      <w:r w:rsidRPr="00625DBB">
                        <w:rPr>
                          <w:color w:val="000000" w:themeColor="text1"/>
                          <w:lang w:val="en-US"/>
                        </w:rPr>
                        <w:t>Realignment of accredited</w:t>
                      </w:r>
                      <w:r>
                        <w:rPr>
                          <w:rFonts w:ascii="Helvetica Neue" w:hAnsi="Helvetica Neue" w:cs="Helvetica Neue"/>
                          <w:color w:val="000000"/>
                          <w:lang w:val="en-US"/>
                        </w:rPr>
                        <w:t xml:space="preserve"> and hospital registrars</w:t>
                      </w:r>
                      <w:r w:rsidRPr="004F6381">
                        <w:rPr>
                          <w:rFonts w:ascii="Helvetica Neue" w:hAnsi="Helvetica Neue" w:cs="Helvetica Neue"/>
                          <w:color w:val="000000"/>
                          <w:lang w:val="en-US"/>
                        </w:rPr>
                        <w:t xml:space="preserve"> to future need for specialists</w:t>
                      </w:r>
                    </w:p>
                  </w:txbxContent>
                </v:textbox>
                <w10:anchorlock/>
              </v:roundrect>
            </w:pict>
          </mc:Fallback>
        </mc:AlternateContent>
      </w:r>
    </w:p>
    <w:p w14:paraId="1ECAABE0" w14:textId="77777777" w:rsidR="000A276F" w:rsidRPr="000A276F" w:rsidRDefault="000A276F" w:rsidP="000A276F">
      <w:pPr>
        <w:pStyle w:val="Heading2"/>
      </w:pPr>
      <w:r w:rsidRPr="00DD3E5C">
        <w:lastRenderedPageBreak/>
        <w:t>Executive Summary</w:t>
      </w:r>
    </w:p>
    <w:p w14:paraId="603078D4" w14:textId="77777777" w:rsidR="000A276F" w:rsidRPr="00FF05B8" w:rsidRDefault="000A276F" w:rsidP="008172C0">
      <w:pPr>
        <w:rPr>
          <w:rFonts w:eastAsia="Times New Roman"/>
        </w:rPr>
      </w:pPr>
      <w:r w:rsidRPr="00FF05B8">
        <w:rPr>
          <w:rFonts w:eastAsia="Times New Roman"/>
        </w:rPr>
        <w:t xml:space="preserve">Medical locums provide essential workforce when </w:t>
      </w:r>
      <w:r w:rsidRPr="00235F05">
        <w:rPr>
          <w:rFonts w:eastAsia="Times New Roman"/>
        </w:rPr>
        <w:t>doctors take planned or unplanned leave. The National Medical Workforce Strategy identified that some health services are made up of doctors engaged to assist where there are shortfalls in staffing or when a regular doctor is unwell or completing professional development</w:t>
      </w:r>
      <w:r w:rsidRPr="00235F05" w:rsidDel="0087019B">
        <w:rPr>
          <w:rFonts w:eastAsia="Times New Roman"/>
        </w:rPr>
        <w:t xml:space="preserve"> </w:t>
      </w:r>
      <w:r w:rsidRPr="00FF05B8">
        <w:rPr>
          <w:rFonts w:eastAsia="Times New Roman"/>
        </w:rPr>
        <w:t xml:space="preserve">(1). An investigation into the optimum use of locums in the health system was recommended as locums can incur higher costs, fragment care, and </w:t>
      </w:r>
      <w:r w:rsidRPr="004C0965">
        <w:rPr>
          <w:rFonts w:eastAsia="Times New Roman"/>
        </w:rPr>
        <w:t>work outside educational and quality assurance systems (2-4).</w:t>
      </w:r>
    </w:p>
    <w:p w14:paraId="3E984FA8" w14:textId="482B8654" w:rsidR="000A276F" w:rsidRPr="00FF05B8" w:rsidRDefault="000A276F" w:rsidP="008172C0">
      <w:pPr>
        <w:rPr>
          <w:rFonts w:eastAsia="Times New Roman"/>
        </w:rPr>
      </w:pPr>
      <w:r w:rsidRPr="00FF05B8">
        <w:rPr>
          <w:rFonts w:eastAsia="Times New Roman"/>
        </w:rPr>
        <w:t xml:space="preserve">The situation worsened following the Covid-19 pandemic with increased demand for medical staff, increasing costs of locums and </w:t>
      </w:r>
      <w:r>
        <w:rPr>
          <w:rFonts w:eastAsia="Times New Roman"/>
        </w:rPr>
        <w:t xml:space="preserve">anecdotal </w:t>
      </w:r>
      <w:r w:rsidRPr="00FF05B8">
        <w:rPr>
          <w:rFonts w:eastAsia="Times New Roman"/>
        </w:rPr>
        <w:t xml:space="preserve">concerns that more doctors were working as locums. The Commonwealth commenced a project in May 2023 with BDO to undertake analysis of locum use in the medical workforce. </w:t>
      </w:r>
      <w:r w:rsidRPr="0087019B">
        <w:rPr>
          <w:rFonts w:eastAsia="Times New Roman"/>
        </w:rPr>
        <w:t xml:space="preserve">To inform this project, a survey was conducted with the locum medical workforce and the broader medical sector who engage locums in conjunction with BDO’s requests for </w:t>
      </w:r>
      <w:r w:rsidRPr="008172C0">
        <w:t>financial</w:t>
      </w:r>
      <w:r w:rsidRPr="0087019B">
        <w:rPr>
          <w:rFonts w:eastAsia="Times New Roman"/>
        </w:rPr>
        <w:t xml:space="preserve"> and other quantitative data</w:t>
      </w:r>
      <w:r w:rsidRPr="00A919C3">
        <w:rPr>
          <w:rFonts w:eastAsia="Times New Roman"/>
        </w:rPr>
        <w:t>. The project concluded in December</w:t>
      </w:r>
      <w:r w:rsidR="00CE1606">
        <w:rPr>
          <w:rFonts w:eastAsia="Times New Roman"/>
        </w:rPr>
        <w:t> </w:t>
      </w:r>
      <w:r w:rsidRPr="00A919C3">
        <w:rPr>
          <w:rFonts w:eastAsia="Times New Roman"/>
        </w:rPr>
        <w:t>2023.</w:t>
      </w:r>
    </w:p>
    <w:p w14:paraId="7434B66C" w14:textId="77777777" w:rsidR="000A276F" w:rsidRPr="008172C0" w:rsidRDefault="000A276F" w:rsidP="008172C0">
      <w:r w:rsidRPr="00FE7342">
        <w:t>A summary of the project objectives:</w:t>
      </w:r>
    </w:p>
    <w:p w14:paraId="1CDDC6C3" w14:textId="77777777" w:rsidR="000A276F" w:rsidRPr="000A276F" w:rsidRDefault="000A276F" w:rsidP="000A276F">
      <w:pPr>
        <w:pStyle w:val="ListNumber"/>
      </w:pPr>
      <w:r w:rsidRPr="000A276F">
        <w:t>Analyse locum use and costs by specialty, setting, training and experience, and location</w:t>
      </w:r>
    </w:p>
    <w:p w14:paraId="031ED7EC" w14:textId="77777777" w:rsidR="000A276F" w:rsidRPr="000A276F" w:rsidRDefault="000A276F" w:rsidP="000A276F">
      <w:pPr>
        <w:pStyle w:val="ListNumber"/>
      </w:pPr>
      <w:r w:rsidRPr="000A276F">
        <w:t>Understand doctors’ reasons for working as locums</w:t>
      </w:r>
    </w:p>
    <w:p w14:paraId="514E2B3C" w14:textId="77777777" w:rsidR="000A276F" w:rsidRPr="000A276F" w:rsidRDefault="000A276F" w:rsidP="000A276F">
      <w:pPr>
        <w:pStyle w:val="ListNumber"/>
      </w:pPr>
      <w:r w:rsidRPr="000A276F">
        <w:t>Document the benefits and disadvantages of employing locums</w:t>
      </w:r>
    </w:p>
    <w:p w14:paraId="6717C9BF" w14:textId="6E643124" w:rsidR="000A276F" w:rsidRDefault="000A276F" w:rsidP="000A276F">
      <w:pPr>
        <w:pStyle w:val="ListNumber"/>
      </w:pPr>
      <w:r w:rsidRPr="000A276F">
        <w:t>Identify policies options for increasing the permanent medical workforce.</w:t>
      </w:r>
    </w:p>
    <w:p w14:paraId="769E795A" w14:textId="77777777" w:rsidR="000A276F" w:rsidRPr="008172C0" w:rsidRDefault="000A276F" w:rsidP="008172C0">
      <w:r w:rsidRPr="00FF05B8">
        <w:t>A major limitation for the project was the insufficient quantitative information available to provide a national view of locum costs. Similarly, data on locum speciality, setting, location and training/experience was unavailable</w:t>
      </w:r>
      <w:r w:rsidRPr="00C06F97">
        <w:t xml:space="preserve">. </w:t>
      </w:r>
      <w:r w:rsidRPr="00D449D8">
        <w:t>Insights were drawn from a survey of primarily locum doctors</w:t>
      </w:r>
      <w:r>
        <w:t>, along with input</w:t>
      </w:r>
      <w:r w:rsidRPr="00D449D8">
        <w:t xml:space="preserve"> </w:t>
      </w:r>
      <w:r>
        <w:t xml:space="preserve">from some </w:t>
      </w:r>
      <w:r w:rsidRPr="00D449D8">
        <w:t>broader stakeholders involved in locum recruitment.</w:t>
      </w:r>
      <w:r w:rsidRPr="00FF05B8">
        <w:t xml:space="preserve">  The project was re-aligned </w:t>
      </w:r>
      <w:r w:rsidRPr="00682113">
        <w:t xml:space="preserve">to focus on the available qualitative data from the survey which generated </w:t>
      </w:r>
      <w:r w:rsidRPr="00682113">
        <w:rPr>
          <w:rFonts w:eastAsia="Calibri"/>
        </w:rPr>
        <w:t xml:space="preserve">1,462 responses to at least one question and 820 </w:t>
      </w:r>
      <w:r w:rsidRPr="008172C0">
        <w:t xml:space="preserve">respondents completed all questions (515 locum doctors, and 380 non-locum doctors completed ‘most’ questions). </w:t>
      </w:r>
    </w:p>
    <w:p w14:paraId="38A269CE" w14:textId="77777777" w:rsidR="000A276F" w:rsidRPr="008172C0" w:rsidRDefault="000A276F" w:rsidP="008172C0">
      <w:r w:rsidRPr="008172C0">
        <w:t>BDO’s final report provided a useful understanding of the drivers of why doctors choose to locum and the locations and specialities that rely most heavily on locums. However, the survey results may not reflect broader locum workforce issues</w:t>
      </w:r>
      <w:r w:rsidRPr="008172C0" w:rsidDel="00661D06">
        <w:t xml:space="preserve"> </w:t>
      </w:r>
      <w:r w:rsidRPr="008172C0">
        <w:t xml:space="preserve">as respondents to the qualitative survey predominately identified as locum doctors. </w:t>
      </w:r>
    </w:p>
    <w:p w14:paraId="49C1E445" w14:textId="0C73FE6A" w:rsidR="000A276F" w:rsidRPr="00E30664" w:rsidRDefault="000A276F" w:rsidP="008172C0">
      <w:r w:rsidRPr="008172C0">
        <w:t>This project has highlighted data gaps in relation to the use of locums in the medical workforce. The current environment of medical workforce reform is focused on evidence-based workforce planning through data sharing and national governance of the specialist medical</w:t>
      </w:r>
      <w:r w:rsidRPr="00E30664">
        <w:t xml:space="preserve"> training pipeline, both domestically and internationally. Therefore, this project links into current reform and provides future opportunities and options for better data collection to strengthen the evidence base to inform locum-related workforce policy, including attraction and retention of the permanent workforce. Improved data collection and reporting across the medical workforce will also support future work of the Health Workforce Taskforce in providing advice and recommendations to the Health Ministers’ Meeting on priority workforce matters to meet the current and future health needs of Australians.</w:t>
      </w:r>
    </w:p>
    <w:p w14:paraId="524F9814" w14:textId="60A78D72" w:rsidR="000A276F" w:rsidRDefault="000A276F" w:rsidP="00E30664">
      <w:pPr>
        <w:pStyle w:val="Heading3"/>
      </w:pPr>
      <w:r w:rsidRPr="000A276F">
        <w:lastRenderedPageBreak/>
        <w:t>Implications for health policy</w:t>
      </w:r>
    </w:p>
    <w:p w14:paraId="6AC734E2" w14:textId="77777777" w:rsidR="000A276F" w:rsidRPr="00E30664" w:rsidRDefault="000A276F" w:rsidP="00E30664">
      <w:r w:rsidRPr="00E30664">
        <w:t>Although this project did not focus on requesting and reviewing the effectiveness of the different strategies that employers may be implementing to remediate the use of locums, BDO made a number of observations which helped to inform the following suggestions for consideration by policy makers. It is also acknowledged that there was limited employer input in the data collected by BDO and that employers may have considered, are considering, or have implemented the suggestions listed below.</w:t>
      </w:r>
    </w:p>
    <w:p w14:paraId="733B43EC" w14:textId="16B6AFDE" w:rsidR="000A276F" w:rsidRDefault="00E30664" w:rsidP="00E30664">
      <w:pPr>
        <w:pStyle w:val="Heading4"/>
      </w:pPr>
      <w:r w:rsidRPr="00E30664">
        <w:t>Remuneration and benefits</w:t>
      </w:r>
    </w:p>
    <w:p w14:paraId="784FEF82" w14:textId="63D03D84" w:rsidR="00E30664" w:rsidRDefault="00E30664" w:rsidP="00E30664">
      <w:pPr>
        <w:pStyle w:val="ListNumber"/>
        <w:numPr>
          <w:ilvl w:val="0"/>
          <w:numId w:val="43"/>
        </w:numPr>
      </w:pPr>
      <w:r w:rsidRPr="00E30664">
        <w:t>Review remuneration rates for permanent and locum roles.</w:t>
      </w:r>
    </w:p>
    <w:p w14:paraId="38105BCC" w14:textId="77777777" w:rsidR="00E30664" w:rsidRPr="00ED7492" w:rsidRDefault="00E30664" w:rsidP="00E30664">
      <w:pPr>
        <w:pStyle w:val="Heading4"/>
      </w:pPr>
      <w:r w:rsidRPr="00ED7492">
        <w:t>Employment options</w:t>
      </w:r>
    </w:p>
    <w:p w14:paraId="669E6A03" w14:textId="77777777" w:rsidR="00E30664" w:rsidRPr="00767BB6" w:rsidRDefault="00E30664" w:rsidP="00767BB6">
      <w:pPr>
        <w:pStyle w:val="ListNumber"/>
      </w:pPr>
      <w:r w:rsidRPr="00767BB6">
        <w:t>Consider long term attraction and retention strategies that include national information on different career progression pathways and within the context of geographical locations.</w:t>
      </w:r>
    </w:p>
    <w:p w14:paraId="6655EB2D" w14:textId="77777777" w:rsidR="00E30664" w:rsidRPr="00767BB6" w:rsidRDefault="00E30664" w:rsidP="00767BB6">
      <w:pPr>
        <w:pStyle w:val="Heading4"/>
      </w:pPr>
      <w:r w:rsidRPr="00767BB6">
        <w:t>Quality and continuity of care</w:t>
      </w:r>
    </w:p>
    <w:p w14:paraId="092C0161" w14:textId="77777777" w:rsidR="00E30664" w:rsidRPr="00767BB6" w:rsidRDefault="00E30664" w:rsidP="00767BB6">
      <w:pPr>
        <w:pStyle w:val="ListNumber"/>
      </w:pPr>
      <w:r w:rsidRPr="00767BB6">
        <w:t>Engage with long-term returning locums for informing policy options and systems that promote continuity of care and involve locums in quality assurance and educational processes.</w:t>
      </w:r>
    </w:p>
    <w:p w14:paraId="783DAC85" w14:textId="77777777" w:rsidR="00E30664" w:rsidRPr="00767BB6" w:rsidRDefault="00E30664" w:rsidP="00767BB6">
      <w:pPr>
        <w:pStyle w:val="Heading4"/>
      </w:pPr>
      <w:r w:rsidRPr="00767BB6">
        <w:t>Working conditions</w:t>
      </w:r>
    </w:p>
    <w:p w14:paraId="711052B0" w14:textId="77777777" w:rsidR="00E30664" w:rsidRPr="00767BB6" w:rsidRDefault="00E30664" w:rsidP="00767BB6">
      <w:pPr>
        <w:pStyle w:val="ListNumber"/>
      </w:pPr>
      <w:r w:rsidRPr="005369DF">
        <w:rPr>
          <w:rFonts w:ascii="Arial" w:hAnsi="Arial" w:cs="Arial"/>
        </w:rPr>
        <w:t xml:space="preserve">Explore </w:t>
      </w:r>
      <w:r w:rsidRPr="00767BB6">
        <w:t>opportunities</w:t>
      </w:r>
      <w:r w:rsidRPr="005369DF">
        <w:rPr>
          <w:rFonts w:ascii="Arial" w:hAnsi="Arial" w:cs="Arial"/>
        </w:rPr>
        <w:t xml:space="preserve"> to enhance workplace culture and staff well-being to improve the recruitment, attraction and retention of the permanent workforce and thus the quality of patient care.</w:t>
      </w:r>
      <w:r w:rsidRPr="00767BB6">
        <w:t xml:space="preserve"> </w:t>
      </w:r>
    </w:p>
    <w:p w14:paraId="1A412B31" w14:textId="77777777" w:rsidR="00E30664" w:rsidRPr="00767BB6" w:rsidRDefault="00E30664" w:rsidP="00767BB6">
      <w:pPr>
        <w:pStyle w:val="ListNumber"/>
      </w:pPr>
      <w:r w:rsidRPr="00767BB6">
        <w:t>Create systems that facilitate a professional, supportive workplace for locums including orientation, credentialling, administrative processes and data collection. This could include consideration of an improved, centralised (national) approach to locum and health services matching such as a locum vendor management system, a centralised credentialling system and data collection and reporting system.</w:t>
      </w:r>
    </w:p>
    <w:p w14:paraId="5122B703" w14:textId="77777777" w:rsidR="00E30664" w:rsidRPr="00767BB6" w:rsidRDefault="00E30664" w:rsidP="00767BB6">
      <w:pPr>
        <w:pStyle w:val="ListNumber"/>
      </w:pPr>
      <w:r w:rsidRPr="00767BB6">
        <w:t>Promote the benefits of rural and remote work and provide professional, family and community support and enhanced infrastructure in these areas to reduce family and social isolation risks.</w:t>
      </w:r>
    </w:p>
    <w:p w14:paraId="3BD3E17B" w14:textId="77777777" w:rsidR="00E30664" w:rsidRPr="00767BB6" w:rsidRDefault="00E30664" w:rsidP="00767BB6">
      <w:pPr>
        <w:pStyle w:val="Heading4"/>
      </w:pPr>
      <w:r w:rsidRPr="00767BB6">
        <w:t>Workforce planning</w:t>
      </w:r>
    </w:p>
    <w:p w14:paraId="4A7DFB08" w14:textId="77777777" w:rsidR="00E30664" w:rsidRPr="00767BB6" w:rsidRDefault="00E30664" w:rsidP="00767BB6">
      <w:pPr>
        <w:pStyle w:val="ListNumber"/>
      </w:pPr>
      <w:r w:rsidRPr="00767BB6">
        <w:t>Review the medical workforce pipeline, including the training pathways for increasing rural training in each medical specialty. Workforce planning should consider whether a service operates 24/7, community need, the level of experience and qualification needed.</w:t>
      </w:r>
    </w:p>
    <w:p w14:paraId="5E144975" w14:textId="77777777" w:rsidR="00E30664" w:rsidRPr="00767BB6" w:rsidRDefault="00E30664" w:rsidP="00767BB6">
      <w:pPr>
        <w:pStyle w:val="ListNumber"/>
      </w:pPr>
      <w:r w:rsidRPr="00767BB6">
        <w:t>Collect and share relevant data between organisations to facilitate workforce planning and modelling.</w:t>
      </w:r>
    </w:p>
    <w:p w14:paraId="5D7D103A" w14:textId="05D936BD" w:rsidR="00E30664" w:rsidRPr="00E30664" w:rsidRDefault="00E30664" w:rsidP="00767BB6">
      <w:pPr>
        <w:pStyle w:val="ListNumber"/>
        <w:rPr>
          <w:rFonts w:ascii="Arial" w:hAnsi="Arial" w:cs="Arial"/>
        </w:rPr>
      </w:pPr>
      <w:r w:rsidRPr="00767BB6">
        <w:t>Students and junior doctors would benefit from having information available about career pathways to support career decisions. Improving visibility of career pathways, including increasing variety and exposure to different types of work and the ability to broaden knowledge will increase control over workload and improve access to careers of choice</w:t>
      </w:r>
      <w:r>
        <w:rPr>
          <w:rFonts w:ascii="Arial" w:hAnsi="Arial" w:cs="Arial"/>
        </w:rPr>
        <w:t>.</w:t>
      </w:r>
    </w:p>
    <w:p w14:paraId="31236417" w14:textId="77777777" w:rsidR="00E30664" w:rsidRPr="00767BB6" w:rsidRDefault="00E30664" w:rsidP="00767BB6">
      <w:pPr>
        <w:pStyle w:val="Heading2"/>
      </w:pPr>
      <w:r w:rsidRPr="00767BB6">
        <w:lastRenderedPageBreak/>
        <w:t>Next Steps</w:t>
      </w:r>
    </w:p>
    <w:p w14:paraId="35C39688" w14:textId="77777777" w:rsidR="00E30664" w:rsidRDefault="00E30664" w:rsidP="00E30664">
      <w:r>
        <w:t>The findings from this project will contribute to the work underway</w:t>
      </w:r>
      <w:r w:rsidRPr="00952B62">
        <w:t xml:space="preserve"> to support a national approach to the use of locums, the engagement of locums</w:t>
      </w:r>
      <w:r>
        <w:t xml:space="preserve"> and data collection for the locum workforce.</w:t>
      </w:r>
    </w:p>
    <w:p w14:paraId="2B72A085" w14:textId="77777777" w:rsidR="00E30664" w:rsidRDefault="00E30664" w:rsidP="00E30664">
      <w:r w:rsidRPr="00BC4AD7">
        <w:t xml:space="preserve">Significant national collaboration and commitment will be required from all stakeholders to address changes required to find the appropriate balance between locum and permanent doctors </w:t>
      </w:r>
      <w:r w:rsidRPr="00E30664">
        <w:t>across</w:t>
      </w:r>
      <w:r w:rsidRPr="00BC4AD7">
        <w:t xml:space="preserve"> the workforce for improved sustainability of medical workforce to ensure quality, safe and accessible care for all Australians.</w:t>
      </w:r>
    </w:p>
    <w:p w14:paraId="468C215D" w14:textId="77777777" w:rsidR="00E30664" w:rsidRPr="00E30664" w:rsidRDefault="00E30664" w:rsidP="00E30664">
      <w:pPr>
        <w:pStyle w:val="Heading2"/>
      </w:pPr>
      <w:r w:rsidRPr="00DD3E5C">
        <w:t>Background</w:t>
      </w:r>
    </w:p>
    <w:p w14:paraId="08E8D6F6" w14:textId="77777777" w:rsidR="00E30664" w:rsidRPr="00FF05B8" w:rsidRDefault="00E30664" w:rsidP="00E30664">
      <w:pPr>
        <w:rPr>
          <w:rFonts w:eastAsia="Times New Roman"/>
        </w:rPr>
      </w:pPr>
      <w:r w:rsidRPr="00FF05B8">
        <w:rPr>
          <w:rFonts w:eastAsia="Times New Roman"/>
        </w:rPr>
        <w:t xml:space="preserve">Action 8 in the National Medical Workforce </w:t>
      </w:r>
      <w:r>
        <w:rPr>
          <w:rFonts w:eastAsia="Times New Roman"/>
        </w:rPr>
        <w:t>Strategy</w:t>
      </w:r>
      <w:r w:rsidRPr="00FF05B8">
        <w:rPr>
          <w:rFonts w:eastAsia="Times New Roman"/>
        </w:rPr>
        <w:t>, ‘determine and monitor optimum use of locums’, is a priority to address in implementation. Employment as a locum presents many advantages over more traditional and permanent forms of employment. Locums have greater flexibility, can set their own hours and working commitments, and are often paid substantially more. This contrasts with the permanent workforce which has responsibility for maintaining continuity of care, teaching, administration and clinical governance, without the higher pay rates.</w:t>
      </w:r>
    </w:p>
    <w:p w14:paraId="6F8CC898" w14:textId="77777777" w:rsidR="00E30664" w:rsidRPr="00DD3E5C" w:rsidRDefault="00E30664" w:rsidP="00E30664">
      <w:pPr>
        <w:pStyle w:val="Heading2"/>
        <w:rPr>
          <w:color w:val="CF4400"/>
        </w:rPr>
      </w:pPr>
      <w:r w:rsidRPr="00DD3E5C">
        <w:rPr>
          <w:color w:val="CF4400"/>
        </w:rPr>
        <w:t>Methods</w:t>
      </w:r>
    </w:p>
    <w:p w14:paraId="06F86011" w14:textId="77777777" w:rsidR="00E30664" w:rsidRPr="00DD3E5C" w:rsidRDefault="00E30664" w:rsidP="00E30664">
      <w:pPr>
        <w:pStyle w:val="Heading3"/>
        <w:rPr>
          <w:color w:val="CF4400"/>
        </w:rPr>
      </w:pPr>
      <w:r w:rsidRPr="00DD3E5C">
        <w:rPr>
          <w:color w:val="CF4400"/>
        </w:rPr>
        <w:t xml:space="preserve">Project </w:t>
      </w:r>
    </w:p>
    <w:p w14:paraId="018A0E92" w14:textId="22C84E7C" w:rsidR="00E30664" w:rsidRPr="00592881" w:rsidRDefault="00E30664" w:rsidP="00E30664">
      <w:pPr>
        <w:rPr>
          <w:rFonts w:eastAsia="Times New Roman"/>
        </w:rPr>
      </w:pPr>
      <w:r w:rsidRPr="00592881">
        <w:rPr>
          <w:rFonts w:eastAsia="Times New Roman"/>
        </w:rPr>
        <w:t>The Medical Workforce Policy</w:t>
      </w:r>
      <w:r>
        <w:rPr>
          <w:rFonts w:eastAsia="Times New Roman"/>
        </w:rPr>
        <w:t xml:space="preserve"> and Strategy</w:t>
      </w:r>
      <w:r w:rsidRPr="00592881">
        <w:rPr>
          <w:rFonts w:eastAsia="Times New Roman"/>
        </w:rPr>
        <w:t xml:space="preserve"> </w:t>
      </w:r>
      <w:r>
        <w:rPr>
          <w:rFonts w:eastAsia="Times New Roman"/>
        </w:rPr>
        <w:t>S</w:t>
      </w:r>
      <w:r w:rsidRPr="00592881">
        <w:rPr>
          <w:rFonts w:eastAsia="Times New Roman"/>
        </w:rPr>
        <w:t xml:space="preserve">ection in the Department of Health and Aged Care (the department) led the project with oversight from the </w:t>
      </w:r>
      <w:r w:rsidR="00CE1606">
        <w:rPr>
          <w:rFonts w:eastAsia="Times New Roman"/>
        </w:rPr>
        <w:t>Health Workforce Taskforce (</w:t>
      </w:r>
      <w:r w:rsidRPr="00592881">
        <w:rPr>
          <w:rFonts w:eastAsia="Times New Roman"/>
        </w:rPr>
        <w:t>HWT</w:t>
      </w:r>
      <w:r w:rsidR="00CE1606">
        <w:rPr>
          <w:rFonts w:eastAsia="Times New Roman"/>
        </w:rPr>
        <w:t>)</w:t>
      </w:r>
      <w:r>
        <w:rPr>
          <w:rFonts w:eastAsia="Times New Roman"/>
        </w:rPr>
        <w:t xml:space="preserve"> and funding from the Health Chief Executive Forum (HCEF) cost-shared budget for National Medical Workforce Strategy implementation</w:t>
      </w:r>
      <w:r w:rsidRPr="00592881">
        <w:rPr>
          <w:rFonts w:eastAsia="Times New Roman"/>
        </w:rPr>
        <w:t xml:space="preserve">. </w:t>
      </w:r>
    </w:p>
    <w:p w14:paraId="285DB8D4" w14:textId="77777777" w:rsidR="00E30664" w:rsidRPr="00DD3E5C" w:rsidRDefault="00E30664" w:rsidP="00E30664">
      <w:pPr>
        <w:pStyle w:val="Heading3"/>
        <w:rPr>
          <w:color w:val="CF4400"/>
        </w:rPr>
      </w:pPr>
      <w:r w:rsidRPr="00DD3E5C">
        <w:rPr>
          <w:color w:val="CF4400"/>
        </w:rPr>
        <w:t xml:space="preserve">Project implementation </w:t>
      </w:r>
    </w:p>
    <w:p w14:paraId="2E8862ED" w14:textId="77777777" w:rsidR="00E30664" w:rsidRDefault="00E30664" w:rsidP="00E30664">
      <w:pPr>
        <w:rPr>
          <w:rFonts w:eastAsia="Times New Roman"/>
        </w:rPr>
      </w:pPr>
      <w:r w:rsidRPr="00592881">
        <w:rPr>
          <w:rFonts w:eastAsia="Times New Roman"/>
        </w:rPr>
        <w:t>The request for tender was reviewed by HWT in November 2022</w:t>
      </w:r>
      <w:r>
        <w:rPr>
          <w:rFonts w:eastAsia="Times New Roman"/>
        </w:rPr>
        <w:t xml:space="preserve"> and the </w:t>
      </w:r>
      <w:r w:rsidRPr="00E30664">
        <w:t>HCEF</w:t>
      </w:r>
      <w:r>
        <w:rPr>
          <w:rFonts w:eastAsia="Times New Roman"/>
        </w:rPr>
        <w:t xml:space="preserve"> secretariat reviewed the project plan in early 2023</w:t>
      </w:r>
      <w:r w:rsidRPr="00592881">
        <w:rPr>
          <w:rFonts w:eastAsia="Times New Roman"/>
        </w:rPr>
        <w:t xml:space="preserve">. </w:t>
      </w:r>
      <w:r>
        <w:rPr>
          <w:rFonts w:eastAsia="Times New Roman"/>
        </w:rPr>
        <w:t xml:space="preserve">The department selected </w:t>
      </w:r>
      <w:r w:rsidRPr="00592881">
        <w:rPr>
          <w:rFonts w:eastAsia="Times New Roman"/>
        </w:rPr>
        <w:t xml:space="preserve">BDO as the independent project consultant </w:t>
      </w:r>
      <w:r>
        <w:rPr>
          <w:rFonts w:eastAsia="Times New Roman"/>
        </w:rPr>
        <w:t>and work commenced in May 2023</w:t>
      </w:r>
      <w:r w:rsidRPr="00592881">
        <w:rPr>
          <w:rFonts w:eastAsia="Times New Roman"/>
        </w:rPr>
        <w:t>. Regular meetings were held between BDO and the department team. HWT received reports and provided feedback on progress in August and December 2023.</w:t>
      </w:r>
    </w:p>
    <w:p w14:paraId="4147EF22" w14:textId="77777777" w:rsidR="00E30664" w:rsidRPr="00DD3E5C" w:rsidRDefault="00E30664" w:rsidP="00E30664">
      <w:pPr>
        <w:pStyle w:val="Heading3"/>
        <w:rPr>
          <w:color w:val="CF4400"/>
        </w:rPr>
      </w:pPr>
      <w:r w:rsidRPr="00DD3E5C">
        <w:rPr>
          <w:rStyle w:val="Heading3Char"/>
          <w:b/>
          <w:color w:val="CF4400"/>
        </w:rPr>
        <w:t xml:space="preserve">State </w:t>
      </w:r>
      <w:r w:rsidRPr="00DD3E5C">
        <w:rPr>
          <w:color w:val="CF4400"/>
        </w:rPr>
        <w:t>and territory data leads</w:t>
      </w:r>
    </w:p>
    <w:p w14:paraId="7FADC30D" w14:textId="77777777" w:rsidR="00E30664" w:rsidRPr="00592881" w:rsidRDefault="00E30664" w:rsidP="00E30664">
      <w:pPr>
        <w:rPr>
          <w:rFonts w:eastAsia="Times New Roman"/>
        </w:rPr>
      </w:pPr>
      <w:r w:rsidRPr="009D5CDE">
        <w:rPr>
          <w:rFonts w:eastAsia="Times New Roman"/>
        </w:rPr>
        <w:t>HWT facilitated nominations of state and territory data leads to work on the quantitative research an</w:t>
      </w:r>
      <w:r w:rsidRPr="00592881">
        <w:rPr>
          <w:rFonts w:eastAsia="Times New Roman"/>
        </w:rPr>
        <w:t xml:space="preserve">d </w:t>
      </w:r>
      <w:r w:rsidRPr="00E30664">
        <w:t>formation</w:t>
      </w:r>
      <w:r w:rsidRPr="00592881">
        <w:rPr>
          <w:rFonts w:eastAsia="Times New Roman"/>
        </w:rPr>
        <w:t xml:space="preserve"> of a </w:t>
      </w:r>
      <w:r>
        <w:rPr>
          <w:rFonts w:eastAsia="Times New Roman"/>
        </w:rPr>
        <w:t xml:space="preserve">stakeholder </w:t>
      </w:r>
      <w:r w:rsidRPr="00592881">
        <w:rPr>
          <w:rFonts w:eastAsia="Times New Roman"/>
        </w:rPr>
        <w:t>reference group.</w:t>
      </w:r>
    </w:p>
    <w:p w14:paraId="4820CE32" w14:textId="77777777" w:rsidR="00E30664" w:rsidRPr="00DD3E5C" w:rsidRDefault="00E30664" w:rsidP="00E30664">
      <w:pPr>
        <w:pStyle w:val="Heading3"/>
        <w:rPr>
          <w:color w:val="CF4400"/>
        </w:rPr>
      </w:pPr>
      <w:r w:rsidRPr="00DD3E5C">
        <w:rPr>
          <w:color w:val="CF4400"/>
        </w:rPr>
        <w:t xml:space="preserve">Stakeholder reference group </w:t>
      </w:r>
    </w:p>
    <w:p w14:paraId="2D933366" w14:textId="77777777" w:rsidR="00E30664" w:rsidRPr="00592881" w:rsidRDefault="00E30664" w:rsidP="00E30664">
      <w:pPr>
        <w:rPr>
          <w:rFonts w:eastAsia="Times New Roman"/>
        </w:rPr>
      </w:pPr>
      <w:r w:rsidRPr="00592881">
        <w:rPr>
          <w:rFonts w:eastAsia="Times New Roman"/>
        </w:rPr>
        <w:t xml:space="preserve">The 37-member stakeholder reference group included doctors, locums, employers of locums, and staff from jurisdictional health departments, private and public hospitals and peak bodies (Australian Indigenous Doctors Association, Australian Medical Association, and the Rural Doctors </w:t>
      </w:r>
      <w:r w:rsidRPr="00E30664">
        <w:t>Association</w:t>
      </w:r>
      <w:r w:rsidRPr="00592881">
        <w:rPr>
          <w:rFonts w:eastAsia="Times New Roman"/>
        </w:rPr>
        <w:t xml:space="preserve"> of Australia</w:t>
      </w:r>
      <w:r>
        <w:rPr>
          <w:rFonts w:eastAsia="Times New Roman"/>
        </w:rPr>
        <w:t>)</w:t>
      </w:r>
      <w:r w:rsidRPr="00592881">
        <w:rPr>
          <w:rFonts w:eastAsia="Times New Roman"/>
        </w:rPr>
        <w:t>. The stakeholder reference group contributed to the approach and method for quantitative data, piloted the survey, tested initial findings, and provided feedback on the draft report. The department engaged with the Association of Medical Recruiters Australia and New Zealand (AMRANZ) to contribute to the development and distribution of the survey.</w:t>
      </w:r>
    </w:p>
    <w:p w14:paraId="0327A4BA" w14:textId="77777777" w:rsidR="00E30664" w:rsidRPr="00DD3E5C" w:rsidRDefault="00E30664" w:rsidP="00E30664">
      <w:pPr>
        <w:pStyle w:val="Heading3"/>
        <w:rPr>
          <w:color w:val="CF4400"/>
        </w:rPr>
      </w:pPr>
      <w:r w:rsidRPr="00DD3E5C">
        <w:rPr>
          <w:color w:val="CF4400"/>
        </w:rPr>
        <w:lastRenderedPageBreak/>
        <w:t xml:space="preserve">Data sources </w:t>
      </w:r>
    </w:p>
    <w:p w14:paraId="22E730CA" w14:textId="77777777" w:rsidR="00E30664" w:rsidRPr="00767BB6" w:rsidRDefault="00E30664" w:rsidP="00767BB6">
      <w:pPr>
        <w:pStyle w:val="Heading4"/>
      </w:pPr>
      <w:r w:rsidRPr="00767BB6">
        <w:t xml:space="preserve">Costs of locums </w:t>
      </w:r>
    </w:p>
    <w:p w14:paraId="1A477839" w14:textId="77777777" w:rsidR="00E30664" w:rsidRDefault="00E30664" w:rsidP="00E30664">
      <w:pPr>
        <w:rPr>
          <w:rFonts w:eastAsia="Times New Roman"/>
        </w:rPr>
      </w:pPr>
      <w:r w:rsidRPr="00592881">
        <w:rPr>
          <w:rFonts w:eastAsia="Times New Roman"/>
        </w:rPr>
        <w:t xml:space="preserve">Requests for information on the funding </w:t>
      </w:r>
      <w:r>
        <w:rPr>
          <w:rFonts w:eastAsia="Times New Roman"/>
        </w:rPr>
        <w:t>for</w:t>
      </w:r>
      <w:r w:rsidRPr="00592881">
        <w:rPr>
          <w:rFonts w:eastAsia="Times New Roman"/>
        </w:rPr>
        <w:t xml:space="preserve"> locums were sent to jurisdictional data </w:t>
      </w:r>
      <w:r w:rsidRPr="00E30664">
        <w:t>leads</w:t>
      </w:r>
      <w:r w:rsidRPr="00592881">
        <w:rPr>
          <w:rFonts w:eastAsia="Times New Roman"/>
        </w:rPr>
        <w:t xml:space="preserve"> and the format was modified in accordance with their advice. </w:t>
      </w:r>
    </w:p>
    <w:p w14:paraId="42DBEE16" w14:textId="77777777" w:rsidR="00E30664" w:rsidRPr="00767BB6" w:rsidRDefault="00E30664" w:rsidP="00767BB6">
      <w:pPr>
        <w:pStyle w:val="Heading4"/>
      </w:pPr>
      <w:r w:rsidRPr="00767BB6">
        <w:t>The National Health Workforce Dataset</w:t>
      </w:r>
    </w:p>
    <w:p w14:paraId="0A49917F" w14:textId="74FC2C02" w:rsidR="00E30664" w:rsidRPr="00592881" w:rsidRDefault="00E30664" w:rsidP="00E30664">
      <w:pPr>
        <w:rPr>
          <w:rFonts w:eastAsia="Times New Roman"/>
        </w:rPr>
      </w:pPr>
      <w:r w:rsidRPr="00592881">
        <w:rPr>
          <w:rFonts w:eastAsia="Times New Roman"/>
        </w:rPr>
        <w:t>The National Health Workforce Dataset (NHWDS) was obtained from the Department of Health and Aged Care Data Tool webpage in October 2023 (</w:t>
      </w:r>
      <w:hyperlink r:id="rId14" w:history="1">
        <w:r w:rsidRPr="00E30664">
          <w:rPr>
            <w:rStyle w:val="Hyperlink"/>
            <w:rFonts w:eastAsia="Times New Roman"/>
          </w:rPr>
          <w:t>https://hwd.</w:t>
        </w:r>
        <w:r w:rsidRPr="00E30664">
          <w:rPr>
            <w:rStyle w:val="Hyperlink"/>
          </w:rPr>
          <w:t>health</w:t>
        </w:r>
        <w:r w:rsidRPr="00E30664">
          <w:rPr>
            <w:rStyle w:val="Hyperlink"/>
            <w:rFonts w:eastAsia="Times New Roman"/>
          </w:rPr>
          <w:t>.gov.au/webapi/jsf/dataCatalogueExplorer.xhtml</w:t>
        </w:r>
      </w:hyperlink>
      <w:r w:rsidRPr="00592881">
        <w:rPr>
          <w:rFonts w:eastAsia="Times New Roman"/>
        </w:rPr>
        <w:t>)</w:t>
      </w:r>
      <w:r>
        <w:rPr>
          <w:rFonts w:eastAsia="Times New Roman"/>
        </w:rPr>
        <w:t>.</w:t>
      </w:r>
    </w:p>
    <w:p w14:paraId="435F5DE6" w14:textId="77777777" w:rsidR="00E30664" w:rsidRPr="00767BB6" w:rsidRDefault="00E30664" w:rsidP="00767BB6">
      <w:pPr>
        <w:pStyle w:val="Heading4"/>
      </w:pPr>
      <w:r w:rsidRPr="00767BB6">
        <w:t>Survey</w:t>
      </w:r>
    </w:p>
    <w:p w14:paraId="3CA21333" w14:textId="77777777" w:rsidR="00E30664" w:rsidRPr="00592881" w:rsidRDefault="00E30664" w:rsidP="00E30664">
      <w:pPr>
        <w:spacing w:line="360" w:lineRule="auto"/>
        <w:ind w:right="423"/>
        <w:jc w:val="both"/>
        <w:rPr>
          <w:rFonts w:eastAsia="Times New Roman"/>
        </w:rPr>
      </w:pPr>
      <w:r w:rsidRPr="00592881">
        <w:rPr>
          <w:rFonts w:eastAsia="Times New Roman"/>
        </w:rPr>
        <w:t xml:space="preserve">Survey questions were based on issues identified in the peer-reviewed literature, the National Medical Workforce Strategy, and by departmental staff and the stakeholder reference group. The survey was piloted and modified following feedback from the stakeholder reference group. </w:t>
      </w:r>
    </w:p>
    <w:p w14:paraId="30C772C8" w14:textId="77777777" w:rsidR="00E30664" w:rsidRPr="00592881" w:rsidRDefault="00E30664" w:rsidP="00E30664">
      <w:pPr>
        <w:rPr>
          <w:rFonts w:eastAsia="Times New Roman"/>
        </w:rPr>
      </w:pPr>
      <w:r w:rsidRPr="00592881">
        <w:rPr>
          <w:rFonts w:eastAsia="Times New Roman"/>
        </w:rPr>
        <w:t xml:space="preserve">The survey started similarly for all participants and then branched into questions for doctors and broader stakeholders such as employers, locum </w:t>
      </w:r>
      <w:r w:rsidRPr="00E30664">
        <w:t>agencies</w:t>
      </w:r>
      <w:r w:rsidRPr="00592881">
        <w:rPr>
          <w:rFonts w:eastAsia="Times New Roman"/>
        </w:rPr>
        <w:t xml:space="preserve"> and health departments. </w:t>
      </w:r>
    </w:p>
    <w:p w14:paraId="6E8B21AB" w14:textId="77777777" w:rsidR="00E30664" w:rsidRPr="00767BB6" w:rsidRDefault="00E30664" w:rsidP="00767BB6">
      <w:pPr>
        <w:pStyle w:val="Heading4"/>
      </w:pPr>
      <w:r w:rsidRPr="00767BB6">
        <w:t>Survey distribution</w:t>
      </w:r>
    </w:p>
    <w:p w14:paraId="6A97941B" w14:textId="77777777" w:rsidR="00E30664" w:rsidRPr="00E30664" w:rsidRDefault="00E30664" w:rsidP="00E30664">
      <w:r w:rsidRPr="00592881">
        <w:rPr>
          <w:rFonts w:eastAsia="Times New Roman"/>
        </w:rPr>
        <w:t>The survey was distributed to the stakeholder reference group</w:t>
      </w:r>
      <w:r>
        <w:rPr>
          <w:rFonts w:eastAsia="Times New Roman"/>
        </w:rPr>
        <w:t xml:space="preserve"> and AMRANZ</w:t>
      </w:r>
      <w:r w:rsidRPr="00592881">
        <w:rPr>
          <w:rFonts w:eastAsia="Times New Roman"/>
        </w:rPr>
        <w:t xml:space="preserve"> for them to disseminate to their members and service areas. The Medical Board of Australia included information about the project and a link to the </w:t>
      </w:r>
      <w:r w:rsidRPr="00E30664">
        <w:t xml:space="preserve">survey in their newsletter. </w:t>
      </w:r>
    </w:p>
    <w:p w14:paraId="5419BABB" w14:textId="77777777" w:rsidR="00E30664" w:rsidRDefault="00E30664" w:rsidP="00E30664">
      <w:pPr>
        <w:rPr>
          <w:rFonts w:eastAsia="Times New Roman"/>
        </w:rPr>
      </w:pPr>
      <w:r w:rsidRPr="00E30664">
        <w:t>Survey respondents received a link to the survey entitled ‘Understanding the role of locum doctors in the Australian medical workforce’ via Checkbox, an online data capture tool. The data was collected between 28 August 2023 and 19 September</w:t>
      </w:r>
      <w:r w:rsidRPr="00592881">
        <w:rPr>
          <w:rFonts w:eastAsia="Times New Roman"/>
        </w:rPr>
        <w:t xml:space="preserve"> 2023. </w:t>
      </w:r>
    </w:p>
    <w:p w14:paraId="3CD2AF41" w14:textId="4E309A6F" w:rsidR="00E30664" w:rsidRDefault="00E30664" w:rsidP="00E30664">
      <w:pPr>
        <w:pStyle w:val="Heading4"/>
      </w:pPr>
      <w:r>
        <w:t>Case studies</w:t>
      </w:r>
    </w:p>
    <w:p w14:paraId="769806E0" w14:textId="77777777" w:rsidR="00E30664" w:rsidRDefault="00E30664" w:rsidP="00E30664">
      <w:pPr>
        <w:spacing w:line="360" w:lineRule="auto"/>
        <w:ind w:right="423"/>
      </w:pPr>
      <w:r>
        <w:rPr>
          <w:rFonts w:eastAsia="Times New Roman"/>
        </w:rPr>
        <w:t xml:space="preserve">Case studies were conducted </w:t>
      </w:r>
      <w:r>
        <w:t xml:space="preserve">with two target focus groups that focused on understanding workplace culture and management and understanding reasons for high locum demand in specific specialities and locations. </w:t>
      </w:r>
    </w:p>
    <w:p w14:paraId="02F429F4" w14:textId="77777777" w:rsidR="00E30664" w:rsidRPr="00767BB6" w:rsidRDefault="00E30664" w:rsidP="00767BB6">
      <w:pPr>
        <w:pStyle w:val="Heading4"/>
      </w:pPr>
      <w:r w:rsidRPr="00767BB6">
        <w:t>Analysis</w:t>
      </w:r>
    </w:p>
    <w:p w14:paraId="6BFA2059" w14:textId="77777777" w:rsidR="00E30664" w:rsidRPr="00D234E1" w:rsidRDefault="00E30664" w:rsidP="00E30664">
      <w:r>
        <w:t xml:space="preserve">The survey results were illustrated with quotes from the thematic analysis of the free text responses. </w:t>
      </w:r>
    </w:p>
    <w:p w14:paraId="77EF7E14" w14:textId="77777777" w:rsidR="00FF1A22" w:rsidRPr="00DD3E5C" w:rsidRDefault="00FF1A22" w:rsidP="00682113">
      <w:pPr>
        <w:pStyle w:val="Heading2"/>
        <w:spacing w:after="240"/>
        <w:rPr>
          <w:color w:val="CF4400"/>
        </w:rPr>
      </w:pPr>
      <w:r w:rsidRPr="00DD3E5C">
        <w:rPr>
          <w:color w:val="CF4400"/>
        </w:rPr>
        <w:t>Results</w:t>
      </w:r>
    </w:p>
    <w:p w14:paraId="4BB64AA7" w14:textId="4BD679FF" w:rsidR="00C87FA4" w:rsidRPr="00DD3E5C" w:rsidRDefault="00C87FA4" w:rsidP="00CA4696">
      <w:pPr>
        <w:pStyle w:val="Heading3"/>
        <w:spacing w:before="0"/>
        <w:rPr>
          <w:color w:val="CF4400"/>
        </w:rPr>
      </w:pPr>
      <w:r w:rsidRPr="00DD3E5C">
        <w:rPr>
          <w:color w:val="CF4400"/>
        </w:rPr>
        <w:t>Response rate</w:t>
      </w:r>
    </w:p>
    <w:p w14:paraId="39C4CC10" w14:textId="494D5A0B" w:rsidR="00FF1A22" w:rsidRPr="00FF1A22" w:rsidRDefault="00FF1A22" w:rsidP="00FF1A22">
      <w:pPr>
        <w:spacing w:after="120"/>
        <w:jc w:val="both"/>
      </w:pPr>
      <w:r w:rsidRPr="00FF1A22">
        <w:t xml:space="preserve">Two jurisdictions were able to supply information on the costs of locums.   </w:t>
      </w:r>
    </w:p>
    <w:p w14:paraId="4DD552F6" w14:textId="30386C8A" w:rsidR="00FF1A22" w:rsidRPr="00FF1A22" w:rsidRDefault="00FF1A22" w:rsidP="00FF1A22">
      <w:pPr>
        <w:spacing w:after="120"/>
        <w:jc w:val="both"/>
      </w:pPr>
      <w:r w:rsidRPr="009D5CDE">
        <w:t>2,424 respondents</w:t>
      </w:r>
      <w:r w:rsidRPr="00FF1A22">
        <w:t xml:space="preserve"> clicked on the survey, 1,462 respondents answered at least one question and 820 respondents completed all questions</w:t>
      </w:r>
      <w:r w:rsidR="004D6C3B">
        <w:t xml:space="preserve"> </w:t>
      </w:r>
      <w:r w:rsidR="004D6C3B" w:rsidRPr="00FF1A22">
        <w:t>(</w:t>
      </w:r>
      <w:r w:rsidR="004D6C3B" w:rsidRPr="00705EE2">
        <w:rPr>
          <w:rFonts w:eastAsia="Calibri"/>
        </w:rPr>
        <w:t>5</w:t>
      </w:r>
      <w:r w:rsidR="004D6C3B">
        <w:rPr>
          <w:rFonts w:eastAsia="Calibri"/>
        </w:rPr>
        <w:t>15</w:t>
      </w:r>
      <w:r w:rsidR="004D6C3B" w:rsidRPr="00705EE2">
        <w:rPr>
          <w:rFonts w:eastAsia="Calibri"/>
        </w:rPr>
        <w:t xml:space="preserve"> locum doctors</w:t>
      </w:r>
      <w:r w:rsidR="004D6C3B" w:rsidRPr="00E14808">
        <w:rPr>
          <w:rFonts w:eastAsia="Calibri"/>
        </w:rPr>
        <w:t xml:space="preserve">, and </w:t>
      </w:r>
      <w:r w:rsidR="004D6C3B" w:rsidRPr="00705EE2">
        <w:rPr>
          <w:rFonts w:eastAsia="Calibri"/>
        </w:rPr>
        <w:t>3</w:t>
      </w:r>
      <w:r w:rsidR="004D6C3B">
        <w:rPr>
          <w:rFonts w:eastAsia="Calibri"/>
        </w:rPr>
        <w:t>8</w:t>
      </w:r>
      <w:r w:rsidR="004D6C3B" w:rsidRPr="00705EE2">
        <w:rPr>
          <w:rFonts w:eastAsia="Calibri"/>
        </w:rPr>
        <w:t>0 non-locum doctors</w:t>
      </w:r>
      <w:r w:rsidR="004D6C3B">
        <w:rPr>
          <w:rFonts w:eastAsia="Calibri"/>
        </w:rPr>
        <w:t xml:space="preserve"> completed ‘most’ questions</w:t>
      </w:r>
      <w:r w:rsidR="004D6C3B" w:rsidRPr="00FF1A22">
        <w:t>)</w:t>
      </w:r>
      <w:r w:rsidRPr="00FF1A22">
        <w:t xml:space="preserve">. </w:t>
      </w:r>
    </w:p>
    <w:p w14:paraId="07B525CD" w14:textId="445B409B" w:rsidR="00357944" w:rsidRDefault="00FF1A22" w:rsidP="009B50A2">
      <w:pPr>
        <w:spacing w:after="120"/>
        <w:jc w:val="both"/>
      </w:pPr>
      <w:r w:rsidRPr="00FF1A22">
        <w:lastRenderedPageBreak/>
        <w:t>Survey respondents wrote 3,800 free text responses to 16 questions. Over 250 survey respondents provided their contact information for further discussions on locums.</w:t>
      </w:r>
    </w:p>
    <w:p w14:paraId="080F303B" w14:textId="77777777" w:rsidR="00E87AE1" w:rsidRPr="00DD3E5C" w:rsidRDefault="00E87AE1" w:rsidP="00E87AE1">
      <w:pPr>
        <w:pStyle w:val="Heading3"/>
        <w:rPr>
          <w:color w:val="CF4400"/>
        </w:rPr>
      </w:pPr>
      <w:r w:rsidRPr="00DD3E5C">
        <w:rPr>
          <w:color w:val="CF4400"/>
        </w:rPr>
        <w:t>Locum location and local context</w:t>
      </w:r>
    </w:p>
    <w:p w14:paraId="40C7DB6E" w14:textId="5932C95F" w:rsidR="00FD7338" w:rsidRDefault="00E87AE1" w:rsidP="008172C0">
      <w:r w:rsidRPr="00FF1A22">
        <w:t>Information was not available to answer this question from jurisdictional employment records.</w:t>
      </w:r>
      <w:r w:rsidRPr="0083165A">
        <w:t xml:space="preserve"> </w:t>
      </w:r>
      <w:r>
        <w:t xml:space="preserve">Broader survey </w:t>
      </w:r>
      <w:r w:rsidR="00FD7338">
        <w:t xml:space="preserve">and locum </w:t>
      </w:r>
      <w:r>
        <w:t>respondents</w:t>
      </w:r>
      <w:r w:rsidR="00FD7338">
        <w:t xml:space="preserve"> provided </w:t>
      </w:r>
      <w:r w:rsidR="006A21C5">
        <w:t xml:space="preserve">additional feedback </w:t>
      </w:r>
      <w:r w:rsidR="004440ED">
        <w:t>which varied depending on the different environments for urban and rural locums</w:t>
      </w:r>
      <w:r w:rsidR="005A798E">
        <w:t xml:space="preserve">. It is </w:t>
      </w:r>
      <w:r w:rsidR="009E6E7A">
        <w:t>important to note that</w:t>
      </w:r>
      <w:r w:rsidR="005A798E">
        <w:t xml:space="preserve"> there are different models for engaging locums</w:t>
      </w:r>
      <w:r w:rsidR="00472C2A">
        <w:t xml:space="preserve"> in different contexts such as the </w:t>
      </w:r>
      <w:r w:rsidR="000D2EC8">
        <w:t>longer-term</w:t>
      </w:r>
      <w:r w:rsidR="0081390A">
        <w:t xml:space="preserve"> placements</w:t>
      </w:r>
      <w:r w:rsidR="00472C2A">
        <w:t xml:space="preserve"> or </w:t>
      </w:r>
      <w:r w:rsidR="00907882">
        <w:t>co</w:t>
      </w:r>
      <w:r w:rsidR="0016233D">
        <w:t xml:space="preserve">verage for </w:t>
      </w:r>
      <w:r w:rsidR="00472C2A">
        <w:t xml:space="preserve">sole </w:t>
      </w:r>
      <w:r w:rsidR="00472C2A" w:rsidRPr="008172C0">
        <w:t>practitioner</w:t>
      </w:r>
      <w:r w:rsidR="00472C2A">
        <w:t xml:space="preserve"> positions in regional, rural and remote areas </w:t>
      </w:r>
      <w:r w:rsidR="0081390A">
        <w:t xml:space="preserve">compared to shorter placements </w:t>
      </w:r>
      <w:r w:rsidR="00594F76">
        <w:t>in metropolitan areas.</w:t>
      </w:r>
    </w:p>
    <w:p w14:paraId="23B4D2AE" w14:textId="6949F3C0" w:rsidR="00FF1A22" w:rsidRPr="00DD3E5C" w:rsidRDefault="005C0E86" w:rsidP="00ED7492">
      <w:pPr>
        <w:pStyle w:val="Heading3"/>
        <w:rPr>
          <w:color w:val="CF4400"/>
        </w:rPr>
      </w:pPr>
      <w:r w:rsidRPr="00DD3E5C">
        <w:rPr>
          <w:color w:val="CF4400"/>
        </w:rPr>
        <w:t>L</w:t>
      </w:r>
      <w:r w:rsidR="00FF1A22" w:rsidRPr="00DD3E5C">
        <w:rPr>
          <w:color w:val="CF4400"/>
        </w:rPr>
        <w:t>ocum</w:t>
      </w:r>
      <w:r w:rsidRPr="00DD3E5C">
        <w:rPr>
          <w:color w:val="CF4400"/>
        </w:rPr>
        <w:t xml:space="preserve"> numbers</w:t>
      </w:r>
      <w:r w:rsidR="00FF1A22" w:rsidRPr="00DD3E5C">
        <w:rPr>
          <w:color w:val="CF4400"/>
        </w:rPr>
        <w:t xml:space="preserve"> and costs</w:t>
      </w:r>
    </w:p>
    <w:p w14:paraId="32FD6DE6" w14:textId="77777777" w:rsidR="008638F6" w:rsidRDefault="00FF1A22" w:rsidP="008172C0">
      <w:r w:rsidRPr="00FF1A22">
        <w:t xml:space="preserve">The two jurisdictions who supplied data confirmed increasing costs of employing locums. </w:t>
      </w:r>
      <w:r w:rsidR="004F3651">
        <w:t xml:space="preserve">However, </w:t>
      </w:r>
      <w:r w:rsidR="00256EEB">
        <w:t>comparative</w:t>
      </w:r>
      <w:r w:rsidR="00BC32FA">
        <w:t xml:space="preserve"> data is required to </w:t>
      </w:r>
      <w:r w:rsidR="00256EEB">
        <w:t>analyse</w:t>
      </w:r>
      <w:r w:rsidR="00BC32FA">
        <w:t xml:space="preserve"> the </w:t>
      </w:r>
      <w:r w:rsidR="00256EEB">
        <w:t xml:space="preserve">spend on locum recruitment versus the </w:t>
      </w:r>
      <w:r w:rsidR="00CC6EB6">
        <w:t>wages of permanent staff</w:t>
      </w:r>
      <w:r w:rsidR="00662462">
        <w:t xml:space="preserve"> so locum costs are not included in this paper</w:t>
      </w:r>
      <w:r w:rsidR="00CC6EB6">
        <w:t>.</w:t>
      </w:r>
      <w:r w:rsidR="008638F6">
        <w:t xml:space="preserve"> </w:t>
      </w:r>
    </w:p>
    <w:p w14:paraId="56A841E6" w14:textId="0827A265" w:rsidR="009B50A2" w:rsidRPr="00FF1A22" w:rsidRDefault="008638F6" w:rsidP="008172C0">
      <w:r>
        <w:t>Data from these two jurisdictions indicates that</w:t>
      </w:r>
      <w:r w:rsidR="00FF1A22" w:rsidRPr="00FF1A22">
        <w:t xml:space="preserve"> locum costs increased by 65% between FY2020 and FY2023. Costs per facility increased between 30% and 97% between FY2020 and FY2023. The cost</w:t>
      </w:r>
      <w:r w:rsidR="008F7BDF">
        <w:t>s</w:t>
      </w:r>
      <w:r w:rsidR="00FF1A22" w:rsidRPr="00FF1A22">
        <w:t xml:space="preserve"> increase</w:t>
      </w:r>
      <w:r w:rsidR="008F7BDF">
        <w:t>d</w:t>
      </w:r>
      <w:r w:rsidR="00FF1A22" w:rsidRPr="00FF1A22">
        <w:t xml:space="preserve"> due to an increase in the number of locums, the cost per locum and the cost </w:t>
      </w:r>
      <w:r w:rsidR="00FF1A22" w:rsidRPr="008172C0">
        <w:t>impact</w:t>
      </w:r>
      <w:r w:rsidR="00FF1A22" w:rsidRPr="00FF1A22">
        <w:t xml:space="preserve"> of the COVID-19 pandemic (costs increased and have not reduced to pre pandemic levels).</w:t>
      </w:r>
      <w:r>
        <w:t xml:space="preserve"> </w:t>
      </w:r>
      <w:r w:rsidR="009B50A2" w:rsidRPr="00FF1A22">
        <w:t xml:space="preserve">Insufficient information was available to </w:t>
      </w:r>
      <w:r w:rsidR="009B50A2">
        <w:t>provide a</w:t>
      </w:r>
      <w:r w:rsidR="009B50A2" w:rsidRPr="00FF1A22">
        <w:t xml:space="preserve"> national </w:t>
      </w:r>
      <w:r w:rsidR="009B50A2">
        <w:t xml:space="preserve">view of locum </w:t>
      </w:r>
      <w:r w:rsidR="009B50A2" w:rsidRPr="00FF1A22">
        <w:t>costs.</w:t>
      </w:r>
    </w:p>
    <w:p w14:paraId="116829DD" w14:textId="6DDF5ED9" w:rsidR="00FF1A22" w:rsidRPr="00DD3E5C" w:rsidRDefault="005C0E86" w:rsidP="005C0E86">
      <w:pPr>
        <w:pStyle w:val="Heading3"/>
        <w:rPr>
          <w:color w:val="CF4400"/>
        </w:rPr>
      </w:pPr>
      <w:r w:rsidRPr="00DD3E5C">
        <w:rPr>
          <w:color w:val="CF4400"/>
        </w:rPr>
        <w:t>L</w:t>
      </w:r>
      <w:r w:rsidR="00FF1A22" w:rsidRPr="00DD3E5C">
        <w:rPr>
          <w:color w:val="CF4400"/>
        </w:rPr>
        <w:t>ocum specialty</w:t>
      </w:r>
    </w:p>
    <w:p w14:paraId="5B4352F2" w14:textId="7012C481" w:rsidR="00127908" w:rsidRDefault="00FF1A22" w:rsidP="008172C0">
      <w:r w:rsidRPr="00FF1A22">
        <w:t xml:space="preserve">Information was not available to answer this </w:t>
      </w:r>
      <w:r w:rsidRPr="008172C0">
        <w:t>question</w:t>
      </w:r>
      <w:r w:rsidRPr="00FF1A22">
        <w:t xml:space="preserve"> from jurisdictional employment records.</w:t>
      </w:r>
      <w:r w:rsidR="0083165A" w:rsidRPr="0083165A">
        <w:t xml:space="preserve"> </w:t>
      </w:r>
      <w:r w:rsidR="0083165A">
        <w:t xml:space="preserve">Broader survey respondents </w:t>
      </w:r>
      <w:r w:rsidR="009B50A2">
        <w:t xml:space="preserve">indicated </w:t>
      </w:r>
      <w:r w:rsidR="00775EF9">
        <w:t xml:space="preserve">advised </w:t>
      </w:r>
      <w:r w:rsidR="0083165A">
        <w:t xml:space="preserve">they were more likely to employ locums in </w:t>
      </w:r>
      <w:r w:rsidR="00127908">
        <w:t>psychiatry, surgery, anaesthesia, obstetrics and gynaecology, and intensive care</w:t>
      </w:r>
      <w:r w:rsidR="0083165A">
        <w:t xml:space="preserve">. </w:t>
      </w:r>
    </w:p>
    <w:p w14:paraId="72BF2788" w14:textId="77777777" w:rsidR="00FF1A22" w:rsidRPr="00DD3E5C" w:rsidRDefault="00FF1A22" w:rsidP="00573685">
      <w:pPr>
        <w:pStyle w:val="Heading3"/>
        <w:rPr>
          <w:color w:val="CF4400"/>
        </w:rPr>
      </w:pPr>
      <w:r w:rsidRPr="00DD3E5C">
        <w:rPr>
          <w:color w:val="CF4400"/>
        </w:rPr>
        <w:t>Doctor respondents</w:t>
      </w:r>
    </w:p>
    <w:p w14:paraId="2A5C7D1A" w14:textId="2E8D6492" w:rsidR="00FF1A22" w:rsidRPr="008172C0" w:rsidRDefault="00FF1A22" w:rsidP="008172C0">
      <w:r w:rsidRPr="00FF1A22">
        <w:t xml:space="preserve">Responses to the survey showed that general practice, emergency medicine, general medicine, psychiatry, rural generalism and surgery had high locum use. Locum usage </w:t>
      </w:r>
      <w:r w:rsidRPr="008172C0">
        <w:t>increas</w:t>
      </w:r>
      <w:r w:rsidR="00AA5D43" w:rsidRPr="008172C0">
        <w:t>ed with the</w:t>
      </w:r>
      <w:r w:rsidRPr="008172C0">
        <w:t xml:space="preserve"> remoteness of</w:t>
      </w:r>
      <w:r w:rsidR="00AA5D43" w:rsidRPr="008172C0">
        <w:t xml:space="preserve"> the</w:t>
      </w:r>
      <w:r w:rsidRPr="008172C0">
        <w:t xml:space="preserve"> location. </w:t>
      </w:r>
    </w:p>
    <w:p w14:paraId="3938091D" w14:textId="664D48E4" w:rsidR="00FF1A22" w:rsidRPr="008172C0" w:rsidRDefault="00FF1A22" w:rsidP="008172C0">
      <w:r w:rsidRPr="008172C0">
        <w:t>A quarter of locum survey respondents</w:t>
      </w:r>
      <w:r w:rsidR="00AA5D43" w:rsidRPr="008172C0">
        <w:t xml:space="preserve"> worked as a locum </w:t>
      </w:r>
      <w:r w:rsidRPr="008172C0">
        <w:t xml:space="preserve">1-2 times a year whilst 17% worked permanently as locums. </w:t>
      </w:r>
      <w:r w:rsidR="004223EB" w:rsidRPr="008172C0">
        <w:t xml:space="preserve">Almost two thirds of respondents to the locum survey were </w:t>
      </w:r>
      <w:r w:rsidRPr="008172C0">
        <w:t xml:space="preserve">GP and non-GP specialists, 17% </w:t>
      </w:r>
      <w:r w:rsidR="00C0378C" w:rsidRPr="008172C0">
        <w:t xml:space="preserve">specialists were specialists in training and </w:t>
      </w:r>
      <w:r w:rsidR="006F3982" w:rsidRPr="008172C0">
        <w:t xml:space="preserve">the remaining 17% were </w:t>
      </w:r>
      <w:r w:rsidRPr="008172C0">
        <w:t>hospital non-specialists.</w:t>
      </w:r>
    </w:p>
    <w:p w14:paraId="0DBB48DF" w14:textId="7F5F0B33" w:rsidR="00A2379A" w:rsidRPr="008172C0" w:rsidRDefault="00A2379A" w:rsidP="008172C0">
      <w:r w:rsidRPr="008172C0">
        <w:t xml:space="preserve">69% of locum survey respondents had over 10+ years’ experience, 21% </w:t>
      </w:r>
      <w:r w:rsidR="00B0257F" w:rsidRPr="008172C0">
        <w:t>had</w:t>
      </w:r>
      <w:r w:rsidRPr="008172C0">
        <w:t xml:space="preserve"> 5-9 years’ experience</w:t>
      </w:r>
      <w:r w:rsidR="00B0257F" w:rsidRPr="008172C0">
        <w:t xml:space="preserve"> and 4% had 0-2 years’ experience post general registration. </w:t>
      </w:r>
    </w:p>
    <w:p w14:paraId="15C681B8" w14:textId="10A5B43E" w:rsidR="004A6488" w:rsidRPr="00767BB6" w:rsidRDefault="004A6488" w:rsidP="00767BB6">
      <w:pPr>
        <w:pStyle w:val="Heading4"/>
      </w:pPr>
      <w:r w:rsidRPr="00767BB6">
        <w:t>Rationale for working as a locum</w:t>
      </w:r>
    </w:p>
    <w:p w14:paraId="47CFD5C3" w14:textId="3B404474" w:rsidR="002B2D2E" w:rsidRDefault="00FF1A22" w:rsidP="008172C0">
      <w:r w:rsidRPr="00FF1A22">
        <w:t xml:space="preserve">The </w:t>
      </w:r>
      <w:r w:rsidR="00077A5A">
        <w:t>most frequent</w:t>
      </w:r>
      <w:r w:rsidRPr="00FF1A22">
        <w:t xml:space="preserve"> reason</w:t>
      </w:r>
      <w:r w:rsidR="0048228A">
        <w:t xml:space="preserve"> given</w:t>
      </w:r>
      <w:r w:rsidRPr="00FF1A22">
        <w:t xml:space="preserve"> why doctors chose to locum w</w:t>
      </w:r>
      <w:r w:rsidR="0048228A">
        <w:t xml:space="preserve">as the increased remuneration. </w:t>
      </w:r>
      <w:r w:rsidR="00A01756">
        <w:t>However, this was closely followed by the flexibility</w:t>
      </w:r>
      <w:r w:rsidR="005337B1">
        <w:t xml:space="preserve"> and autonomy</w:t>
      </w:r>
      <w:r w:rsidR="007444A5">
        <w:t>.</w:t>
      </w:r>
      <w:r w:rsidR="00191225">
        <w:t xml:space="preserve"> Flexibility </w:t>
      </w:r>
      <w:r w:rsidR="003D3B6A">
        <w:t>gave doctors better w</w:t>
      </w:r>
      <w:r w:rsidRPr="00FF1A22">
        <w:t>ork-life balance</w:t>
      </w:r>
      <w:r w:rsidR="005337B1">
        <w:t xml:space="preserve"> and </w:t>
      </w:r>
      <w:r w:rsidR="00EE1EA6">
        <w:t xml:space="preserve">the ability to </w:t>
      </w:r>
      <w:r w:rsidR="00EE1EA6">
        <w:lastRenderedPageBreak/>
        <w:t xml:space="preserve">study, </w:t>
      </w:r>
      <w:r w:rsidR="001A61B4">
        <w:t xml:space="preserve">care for family or take holidays without being </w:t>
      </w:r>
      <w:r w:rsidR="00815240">
        <w:t>tied to rosters</w:t>
      </w:r>
      <w:r w:rsidR="00433AA5">
        <w:t>.</w:t>
      </w:r>
      <w:r w:rsidR="004164F3">
        <w:t xml:space="preserve"> </w:t>
      </w:r>
      <w:r w:rsidR="00815240">
        <w:t>Locum</w:t>
      </w:r>
      <w:r w:rsidR="004841D9">
        <w:t xml:space="preserve">s valued the autonomy of being able to choose their work location </w:t>
      </w:r>
      <w:r w:rsidR="004164F3">
        <w:t>and not</w:t>
      </w:r>
      <w:r w:rsidR="00131CE9">
        <w:t xml:space="preserve"> work in</w:t>
      </w:r>
      <w:r w:rsidR="00191225">
        <w:t xml:space="preserve"> units where they found the environment or culture challenging.</w:t>
      </w:r>
    </w:p>
    <w:p w14:paraId="06271A76" w14:textId="61BF969B" w:rsidR="002E21DC" w:rsidRPr="00767BB6" w:rsidRDefault="002E21DC" w:rsidP="00767BB6">
      <w:pPr>
        <w:pStyle w:val="Quote"/>
      </w:pPr>
      <w:r w:rsidRPr="00767BB6">
        <w:t>“If you…give them two options: 1 - Permanent position - increased responsibility and accountability, more challenging workdays, reduced flexibility regarding workload/roster/leave.  2 - Locum position - Reduced responsibility and accountability, less complexity/less challenging workdays, increased flexibility in regard to role/workload/roster/leave, MORE Money per hour/day worked. How can we expect [doctors] to choose option 1”</w:t>
      </w:r>
    </w:p>
    <w:p w14:paraId="6D0490DA" w14:textId="209791AC" w:rsidR="008F3D93" w:rsidRPr="00682113" w:rsidRDefault="00C544C4" w:rsidP="00767BB6">
      <w:r>
        <w:t xml:space="preserve">Some </w:t>
      </w:r>
      <w:r w:rsidR="009D5CDE">
        <w:t xml:space="preserve">doctors </w:t>
      </w:r>
      <w:r>
        <w:t>working as locums</w:t>
      </w:r>
      <w:r w:rsidR="00BF534B">
        <w:t xml:space="preserve"> to</w:t>
      </w:r>
      <w:r>
        <w:t xml:space="preserve"> work in their </w:t>
      </w:r>
      <w:r w:rsidRPr="00682113">
        <w:t>chosen specialty</w:t>
      </w:r>
      <w:r w:rsidR="009D5CDE" w:rsidRPr="00682113">
        <w:t>,</w:t>
      </w:r>
      <w:r w:rsidR="00B950C7" w:rsidRPr="00682113">
        <w:t xml:space="preserve"> having experienced l</w:t>
      </w:r>
      <w:r w:rsidR="00FF1A22" w:rsidRPr="00682113">
        <w:t xml:space="preserve">imited progression, </w:t>
      </w:r>
      <w:r w:rsidR="00B950C7" w:rsidRPr="00682113">
        <w:t>development,</w:t>
      </w:r>
      <w:r w:rsidR="00FF1A22" w:rsidRPr="00682113">
        <w:t xml:space="preserve"> and opportunities in </w:t>
      </w:r>
      <w:r w:rsidR="00B950C7" w:rsidRPr="00682113">
        <w:t xml:space="preserve">their </w:t>
      </w:r>
      <w:r w:rsidR="00FF1A22" w:rsidRPr="00682113">
        <w:t>preferred speciality</w:t>
      </w:r>
      <w:r w:rsidR="00B950C7" w:rsidRPr="00682113">
        <w:t>. They attributed this to a m</w:t>
      </w:r>
      <w:r w:rsidR="00FF1A22" w:rsidRPr="00682113">
        <w:t xml:space="preserve">ismatch between training numbers and population distribution and that modelling for staff recruitment was based on weekday rather than 24/7 employment. </w:t>
      </w:r>
      <w:r w:rsidR="00CB53AB" w:rsidRPr="00682113">
        <w:t xml:space="preserve">One respondent </w:t>
      </w:r>
      <w:r w:rsidR="008F3D93" w:rsidRPr="00682113">
        <w:t>commented on the availability of specialty training positions</w:t>
      </w:r>
      <w:r w:rsidR="009D5CDE" w:rsidRPr="00682113">
        <w:t>.</w:t>
      </w:r>
    </w:p>
    <w:p w14:paraId="275B4247" w14:textId="15049CEB" w:rsidR="001A43F3" w:rsidRPr="00767BB6" w:rsidRDefault="001A43F3" w:rsidP="00767BB6">
      <w:pPr>
        <w:pStyle w:val="Quote"/>
      </w:pPr>
      <w:r w:rsidRPr="00767BB6">
        <w:t xml:space="preserve"> “…. Causing massive numbers of service registrars who are not advancing their career [...]. Fix the career pathway, or fix the pay, because staff are clearly voting with their feet and losing permanent staff has long term negative consequences”.</w:t>
      </w:r>
    </w:p>
    <w:p w14:paraId="70D67020" w14:textId="12DFECC1" w:rsidR="00682113" w:rsidRDefault="00264178" w:rsidP="00FE7342">
      <w:r w:rsidRPr="00FE7342">
        <w:t>Many</w:t>
      </w:r>
      <w:r>
        <w:t xml:space="preserve"> doctors worked as locums to supplement their regular income or to keep contributing following retirement.</w:t>
      </w:r>
      <w:r w:rsidR="003B416A" w:rsidRPr="00FF1A22">
        <w:t xml:space="preserve"> </w:t>
      </w:r>
    </w:p>
    <w:p w14:paraId="4681B30E" w14:textId="05880BB9" w:rsidR="00EF6F85" w:rsidRPr="00767BB6" w:rsidRDefault="00767BB6" w:rsidP="00767BB6">
      <w:pPr>
        <w:pStyle w:val="Caption"/>
      </w:pPr>
      <w:r>
        <w:t xml:space="preserve">Diagram </w:t>
      </w:r>
      <w:r>
        <w:fldChar w:fldCharType="begin"/>
      </w:r>
      <w:r>
        <w:instrText xml:space="preserve"> SEQ Diagram \* ARABIC </w:instrText>
      </w:r>
      <w:r>
        <w:fldChar w:fldCharType="separate"/>
      </w:r>
      <w:r>
        <w:rPr>
          <w:noProof/>
        </w:rPr>
        <w:t>1</w:t>
      </w:r>
      <w:r>
        <w:fldChar w:fldCharType="end"/>
      </w:r>
      <w:r w:rsidR="00EF6F85" w:rsidRPr="00E30664">
        <w:t xml:space="preserve"> of the locum survey question: What might attract you to permanent work?</w:t>
      </w:r>
    </w:p>
    <w:p w14:paraId="4B193291" w14:textId="4652E066" w:rsidR="00EF6F85" w:rsidRDefault="00EF6F85" w:rsidP="00625DBB">
      <w:pPr>
        <w:jc w:val="center"/>
      </w:pPr>
      <w:r>
        <w:rPr>
          <w:noProof/>
          <w:color w:val="2B579A"/>
          <w:shd w:val="clear" w:color="auto" w:fill="E6E6E6"/>
        </w:rPr>
        <w:drawing>
          <wp:inline distT="0" distB="0" distL="0" distR="0" wp14:anchorId="660F4107" wp14:editId="5A661795">
            <wp:extent cx="4400550" cy="2556990"/>
            <wp:effectExtent l="0" t="0" r="0" b="0"/>
            <wp:docPr id="3" name="Picture 3" descr="An infographic showing the 7 reasons that might attract someone to locum work including higher remuneration, greater work-life balance, better financial incentives, more flexibility in work hours, gaining work in location of my choice, workplace culture and factors of career progression, job security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infographic showing the 7 reasons that might attract someone to locum work including higher remuneration, greater work-life balance, better financial incentives, more flexibility in work hours, gaining work in location of my choice, workplace culture and factors of career progression, job security and hous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04752" cy="2559431"/>
                    </a:xfrm>
                    <a:prstGeom prst="rect">
                      <a:avLst/>
                    </a:prstGeom>
                  </pic:spPr>
                </pic:pic>
              </a:graphicData>
            </a:graphic>
          </wp:inline>
        </w:drawing>
      </w:r>
    </w:p>
    <w:p w14:paraId="024974C4" w14:textId="2481CD1C" w:rsidR="00FF1A22" w:rsidRPr="00767BB6" w:rsidRDefault="00727917" w:rsidP="00767BB6">
      <w:pPr>
        <w:pStyle w:val="Heading4"/>
      </w:pPr>
      <w:r w:rsidRPr="00767BB6">
        <w:t>Challenges</w:t>
      </w:r>
    </w:p>
    <w:p w14:paraId="227C09D9" w14:textId="13697E2F" w:rsidR="00FF1A22" w:rsidRPr="00FF1A22" w:rsidRDefault="00FF1A22" w:rsidP="00FE7342">
      <w:r w:rsidRPr="00FF1A22">
        <w:t>The challenges of being a locum were described as</w:t>
      </w:r>
      <w:r w:rsidR="00227674">
        <w:t xml:space="preserve"> the l</w:t>
      </w:r>
      <w:r w:rsidRPr="00FF1A22">
        <w:t>ack of belonging in a professional context</w:t>
      </w:r>
      <w:r w:rsidR="00142B32">
        <w:t>, va</w:t>
      </w:r>
      <w:r w:rsidRPr="00FF1A22">
        <w:t>rying administration requirements for each location</w:t>
      </w:r>
      <w:r w:rsidR="00142B32">
        <w:t xml:space="preserve"> and trying to understand the local context. Being separated from family and social supports was </w:t>
      </w:r>
      <w:r w:rsidR="00142B32" w:rsidRPr="00767BB6">
        <w:t>hard</w:t>
      </w:r>
      <w:r w:rsidR="00E0677E">
        <w:t>,</w:t>
      </w:r>
      <w:r w:rsidR="00142B32">
        <w:t xml:space="preserve"> </w:t>
      </w:r>
      <w:r w:rsidR="00142B32" w:rsidRPr="00FE7342">
        <w:t>as</w:t>
      </w:r>
      <w:r w:rsidR="00142B32">
        <w:t xml:space="preserve"> was n</w:t>
      </w:r>
      <w:r w:rsidRPr="00FF1A22">
        <w:t>ot being able to provide continuity of patient care</w:t>
      </w:r>
      <w:r w:rsidR="00142B32">
        <w:t>.</w:t>
      </w:r>
    </w:p>
    <w:p w14:paraId="665495E9" w14:textId="59ED757B" w:rsidR="00727917" w:rsidRPr="00767BB6" w:rsidRDefault="00727917" w:rsidP="00767BB6">
      <w:pPr>
        <w:pStyle w:val="Heading4"/>
      </w:pPr>
      <w:r w:rsidRPr="00767BB6">
        <w:t>Increasing permanent workforce</w:t>
      </w:r>
    </w:p>
    <w:p w14:paraId="77C82853" w14:textId="287C2314" w:rsidR="00FF1A22" w:rsidRPr="008172C0" w:rsidRDefault="00CA7895" w:rsidP="008172C0">
      <w:r>
        <w:t xml:space="preserve">The answer to </w:t>
      </w:r>
      <w:r w:rsidR="007E6D88">
        <w:t>what might attract locums int</w:t>
      </w:r>
      <w:r w:rsidR="00FF1A22" w:rsidRPr="00FF1A22">
        <w:t>o permanent roles</w:t>
      </w:r>
      <w:r>
        <w:t xml:space="preserve"> corresponded with their reasons for choosing locum work. Higher remuneration </w:t>
      </w:r>
      <w:r w:rsidRPr="00DC7C07">
        <w:t xml:space="preserve">and benefits for permanent staff </w:t>
      </w:r>
      <w:r w:rsidR="00671985" w:rsidRPr="00DC7C07">
        <w:t xml:space="preserve">was the top response, but followed by </w:t>
      </w:r>
      <w:r w:rsidR="005D5B62" w:rsidRPr="00DC7C07">
        <w:t>the</w:t>
      </w:r>
      <w:r w:rsidR="00FF1A22" w:rsidRPr="00DC7C07">
        <w:t xml:space="preserve"> combination of </w:t>
      </w:r>
      <w:r w:rsidR="00FF1A22" w:rsidRPr="00DC7C07">
        <w:lastRenderedPageBreak/>
        <w:t>flexibility</w:t>
      </w:r>
      <w:r w:rsidR="009175C2" w:rsidRPr="00DC7C07">
        <w:t>,</w:t>
      </w:r>
      <w:r w:rsidR="00FF1A22" w:rsidRPr="00DC7C07">
        <w:t xml:space="preserve"> autonomy, and work-life balance</w:t>
      </w:r>
      <w:r w:rsidR="0022470B" w:rsidRPr="00DC7C07">
        <w:t xml:space="preserve">. </w:t>
      </w:r>
      <w:r w:rsidR="007A56FD" w:rsidRPr="00DC7C07">
        <w:t>Next cited were c</w:t>
      </w:r>
      <w:r w:rsidR="00FF1A22" w:rsidRPr="00DC7C07">
        <w:t xml:space="preserve">areer progression, professional development and gaining work at </w:t>
      </w:r>
      <w:r w:rsidR="00FF1A22" w:rsidRPr="00C71495">
        <w:t xml:space="preserve">the location and </w:t>
      </w:r>
      <w:r w:rsidR="00FF1A22" w:rsidRPr="00FE7342">
        <w:t>within</w:t>
      </w:r>
      <w:r w:rsidR="00FF1A22" w:rsidRPr="00C71495">
        <w:t xml:space="preserve"> the </w:t>
      </w:r>
      <w:r w:rsidR="00FF1A22" w:rsidRPr="008172C0">
        <w:t>speciality of their choice</w:t>
      </w:r>
      <w:r w:rsidR="007A56FD" w:rsidRPr="008172C0">
        <w:t xml:space="preserve">. </w:t>
      </w:r>
    </w:p>
    <w:p w14:paraId="2B3558C7" w14:textId="53493906" w:rsidR="00FF1A22" w:rsidRPr="008172C0" w:rsidRDefault="00FF1A22" w:rsidP="008172C0">
      <w:r w:rsidRPr="008172C0">
        <w:t xml:space="preserve">79% of locum survey respondents </w:t>
      </w:r>
      <w:r w:rsidR="008D7E34" w:rsidRPr="008172C0">
        <w:t xml:space="preserve">said they </w:t>
      </w:r>
      <w:r w:rsidRPr="008172C0">
        <w:t xml:space="preserve">would </w:t>
      </w:r>
      <w:r w:rsidR="008D7E34" w:rsidRPr="008172C0">
        <w:t xml:space="preserve">NOT </w:t>
      </w:r>
      <w:r w:rsidRPr="008172C0">
        <w:t>have accepted a permanent position in their current or most recent role.</w:t>
      </w:r>
    </w:p>
    <w:p w14:paraId="6A444CBD" w14:textId="4B6614C4" w:rsidR="00FF1A22" w:rsidRPr="00767BB6" w:rsidRDefault="00573685" w:rsidP="00767BB6">
      <w:pPr>
        <w:pStyle w:val="Heading4"/>
      </w:pPr>
      <w:r w:rsidRPr="00767BB6">
        <w:t>Free text comments</w:t>
      </w:r>
    </w:p>
    <w:p w14:paraId="172A10AA" w14:textId="77777777" w:rsidR="00FC6E48" w:rsidRDefault="00573685" w:rsidP="00FE7342">
      <w:r>
        <w:t xml:space="preserve">290 locum survey respondents provided a significant volume of general comments and suggestions. The key themes from these comments were to address locum usage by improving conditions for permanent staff by valuing them and improving </w:t>
      </w:r>
      <w:r w:rsidR="00ED4E94">
        <w:t xml:space="preserve">the </w:t>
      </w:r>
      <w:r w:rsidRPr="00767BB6">
        <w:t>work</w:t>
      </w:r>
      <w:r>
        <w:t xml:space="preserve"> </w:t>
      </w:r>
      <w:r w:rsidRPr="00FE7342">
        <w:t>environment</w:t>
      </w:r>
      <w:r>
        <w:t xml:space="preserve"> (18%), improving their pay (17%), providing them with more flexibility (10%) and address overall poor work conditions (10%) and poor management (6%).</w:t>
      </w:r>
      <w:r w:rsidR="00847854">
        <w:t xml:space="preserve"> </w:t>
      </w:r>
    </w:p>
    <w:p w14:paraId="186A2079" w14:textId="22F43B9B" w:rsidR="008410C6" w:rsidRPr="000C3474" w:rsidRDefault="00FC6E48" w:rsidP="00FE7342">
      <w:pPr>
        <w:rPr>
          <w:rFonts w:asciiTheme="minorHAnsi" w:hAnsiTheme="minorHAnsi" w:cstheme="minorHAnsi"/>
          <w:i/>
          <w:iCs/>
          <w:sz w:val="22"/>
          <w:szCs w:val="22"/>
        </w:rPr>
      </w:pPr>
      <w:r w:rsidRPr="00DC7C07">
        <w:t>23% of those who provided free text answers identified poor work environment and/or mismanagement as a key factor.</w:t>
      </w:r>
      <w:r>
        <w:t xml:space="preserve"> A</w:t>
      </w:r>
      <w:r w:rsidRPr="00FF1A22">
        <w:t xml:space="preserve">llowing doctors to take leave and </w:t>
      </w:r>
      <w:r w:rsidR="00106B92">
        <w:t xml:space="preserve">improving workplace culture </w:t>
      </w:r>
      <w:r w:rsidRPr="00FF1A22">
        <w:t>and creating a supportive network of peers</w:t>
      </w:r>
      <w:r>
        <w:t xml:space="preserve"> were seen as important to improving doctor wellbeing.</w:t>
      </w:r>
      <w:r w:rsidR="00CE36B8">
        <w:t xml:space="preserve"> The changing pattern </w:t>
      </w:r>
      <w:r w:rsidR="000046B2">
        <w:t>of work was</w:t>
      </w:r>
      <w:r w:rsidR="008E0B74">
        <w:t xml:space="preserve"> also mentioned. </w:t>
      </w:r>
      <w:r w:rsidR="00BD42FD" w:rsidRPr="00FE7342">
        <w:rPr>
          <w:rStyle w:val="Emphasis"/>
        </w:rPr>
        <w:t>“Train more doctors, taking into account that the new generations of doctors will work fewer hours and accept less afterhours work than those who are retiring. We need to train double the number of doctors than the number who retire.”</w:t>
      </w:r>
    </w:p>
    <w:p w14:paraId="41FAEBCE" w14:textId="77777777" w:rsidR="00FF1A22" w:rsidRPr="00DD3E5C" w:rsidRDefault="00FF1A22" w:rsidP="00573685">
      <w:pPr>
        <w:pStyle w:val="Heading3"/>
        <w:rPr>
          <w:color w:val="CF4400"/>
        </w:rPr>
      </w:pPr>
      <w:r w:rsidRPr="00DD3E5C">
        <w:rPr>
          <w:color w:val="CF4400"/>
        </w:rPr>
        <w:t>Broader survey respondents</w:t>
      </w:r>
    </w:p>
    <w:p w14:paraId="25AF5B9A" w14:textId="418CC9FE" w:rsidR="00FF1A22" w:rsidRDefault="00C82E45" w:rsidP="00FE7342">
      <w:r>
        <w:t>Broader survey respondents</w:t>
      </w:r>
      <w:r w:rsidR="00435DC2">
        <w:t xml:space="preserve">, such as those who employ locums or run health departments, </w:t>
      </w:r>
      <w:r w:rsidR="005A2BFB">
        <w:t>saw the positives of employing locums as enabling permanent staff to take leave, to employ a rea</w:t>
      </w:r>
      <w:r w:rsidR="00FF1A22" w:rsidRPr="00FF1A22">
        <w:t xml:space="preserve">dily available, contingent workforce that offers flexibility </w:t>
      </w:r>
      <w:r w:rsidR="00C26E63">
        <w:t xml:space="preserve">according to patient demand and the </w:t>
      </w:r>
      <w:r w:rsidR="00FF1A22" w:rsidRPr="00FF1A22">
        <w:t>opportunity to evaluate suitability of candidates for future roles</w:t>
      </w:r>
      <w:r w:rsidR="00C26E63">
        <w:t>.</w:t>
      </w:r>
    </w:p>
    <w:p w14:paraId="0CEEA95A" w14:textId="33A9FEAD" w:rsidR="00FF1A22" w:rsidRPr="00FE7342" w:rsidRDefault="00C26E63" w:rsidP="00FE7342">
      <w:r>
        <w:t xml:space="preserve">They understood though that this flexibility brought </w:t>
      </w:r>
      <w:r w:rsidR="008638F6">
        <w:t xml:space="preserve">potential </w:t>
      </w:r>
      <w:r>
        <w:t xml:space="preserve">disadvantages </w:t>
      </w:r>
      <w:r w:rsidR="008638F6">
        <w:t xml:space="preserve">to </w:t>
      </w:r>
      <w:r w:rsidR="00FF1A22" w:rsidRPr="00FF1A22">
        <w:t>continuity of patient care</w:t>
      </w:r>
      <w:r>
        <w:t xml:space="preserve"> and</w:t>
      </w:r>
      <w:r w:rsidR="00DA0F25">
        <w:t xml:space="preserve"> could affect</w:t>
      </w:r>
      <w:r>
        <w:t xml:space="preserve"> team cohesion</w:t>
      </w:r>
      <w:r w:rsidR="00DA0F25">
        <w:t xml:space="preserve">. Locums </w:t>
      </w:r>
      <w:r w:rsidR="008638F6">
        <w:t xml:space="preserve">required good onboarding, and if not provided </w:t>
      </w:r>
      <w:r w:rsidR="00DA0F25">
        <w:t>were often u</w:t>
      </w:r>
      <w:r w:rsidR="00FF1A22" w:rsidRPr="00FF1A22">
        <w:t xml:space="preserve">naware of local protocols and procedures </w:t>
      </w:r>
      <w:r w:rsidR="008638F6">
        <w:t xml:space="preserve">that </w:t>
      </w:r>
      <w:r w:rsidR="00DA0F25">
        <w:t>left</w:t>
      </w:r>
      <w:r w:rsidR="00FF1A22" w:rsidRPr="00FF1A22">
        <w:t xml:space="preserve"> </w:t>
      </w:r>
      <w:r w:rsidR="00FF1A22" w:rsidRPr="00FE7342">
        <w:t>admin</w:t>
      </w:r>
      <w:r w:rsidR="00DA0F25" w:rsidRPr="00FE7342">
        <w:t>istrative</w:t>
      </w:r>
      <w:r w:rsidR="00FF1A22" w:rsidRPr="00FE7342">
        <w:t xml:space="preserve"> tasks to permanent staff</w:t>
      </w:r>
      <w:r w:rsidR="00DA0F25" w:rsidRPr="00FE7342">
        <w:t>.</w:t>
      </w:r>
      <w:r w:rsidR="00FF1A22" w:rsidRPr="00FE7342">
        <w:t xml:space="preserve"> </w:t>
      </w:r>
      <w:r w:rsidR="00AB07F8" w:rsidRPr="00FE7342">
        <w:t>R</w:t>
      </w:r>
      <w:r w:rsidR="00FF1A22" w:rsidRPr="00FE7342">
        <w:t xml:space="preserve">egulatory and licencing requirements </w:t>
      </w:r>
      <w:r w:rsidR="00AB07F8" w:rsidRPr="00FE7342">
        <w:t xml:space="preserve">could </w:t>
      </w:r>
      <w:r w:rsidR="00A563D4" w:rsidRPr="00FE7342">
        <w:t xml:space="preserve">also </w:t>
      </w:r>
      <w:r w:rsidR="00AB07F8" w:rsidRPr="00FE7342">
        <w:t>be a barrier to employing locums.</w:t>
      </w:r>
    </w:p>
    <w:p w14:paraId="10E34D7E" w14:textId="6BA9A580" w:rsidR="00FF1A22" w:rsidRPr="00FE7342" w:rsidRDefault="00F31A7D" w:rsidP="00FE7342">
      <w:r w:rsidRPr="00FE7342">
        <w:t>B</w:t>
      </w:r>
      <w:r w:rsidR="0058157F" w:rsidRPr="00FE7342">
        <w:t>roader survey respondents could see p</w:t>
      </w:r>
      <w:r w:rsidR="00FF1A22" w:rsidRPr="00FE7342">
        <w:t xml:space="preserve">otential consequences </w:t>
      </w:r>
      <w:r w:rsidR="0058157F" w:rsidRPr="00FE7342">
        <w:t>o</w:t>
      </w:r>
      <w:r w:rsidR="00FF1A22" w:rsidRPr="00FE7342">
        <w:t>f minimising locum usage</w:t>
      </w:r>
      <w:r w:rsidR="0058157F" w:rsidRPr="00FE7342">
        <w:t xml:space="preserve">. There was concern that </w:t>
      </w:r>
      <w:r w:rsidR="00F76B23" w:rsidRPr="00FE7342">
        <w:t xml:space="preserve">reduced use of locums could further increase </w:t>
      </w:r>
      <w:r w:rsidR="00FF1A22" w:rsidRPr="00FE7342">
        <w:t>pressure on permanent/other doctors and wider healthcare teams</w:t>
      </w:r>
      <w:r w:rsidR="00F76B23" w:rsidRPr="00FE7342">
        <w:t xml:space="preserve">, </w:t>
      </w:r>
      <w:r w:rsidR="00FF1A22" w:rsidRPr="00FE7342">
        <w:t xml:space="preserve">disadvantaging practices that rely on locums and their ability to meet demand </w:t>
      </w:r>
      <w:r w:rsidR="00F76B23" w:rsidRPr="00FE7342">
        <w:t xml:space="preserve">with determinantal impacts on patients. If permanent </w:t>
      </w:r>
      <w:r w:rsidR="00FF1A22" w:rsidRPr="00FE7342">
        <w:t xml:space="preserve">positions remain unfilled </w:t>
      </w:r>
      <w:r w:rsidR="00E4766B" w:rsidRPr="00FE7342">
        <w:t xml:space="preserve">services could </w:t>
      </w:r>
      <w:r w:rsidR="00FF1A22" w:rsidRPr="00FE7342">
        <w:t>close</w:t>
      </w:r>
      <w:r w:rsidR="00606D6E" w:rsidRPr="00FE7342">
        <w:t>,</w:t>
      </w:r>
      <w:r w:rsidR="00CE59DA" w:rsidRPr="00FE7342">
        <w:t xml:space="preserve"> and </w:t>
      </w:r>
      <w:r w:rsidR="00395354" w:rsidRPr="00FE7342">
        <w:t>l</w:t>
      </w:r>
      <w:r w:rsidR="00FF1A22" w:rsidRPr="00FE7342">
        <w:t>ocum doctors m</w:t>
      </w:r>
      <w:r w:rsidR="00CE59DA" w:rsidRPr="00FE7342">
        <w:t>ight</w:t>
      </w:r>
      <w:r w:rsidR="00FF1A22" w:rsidRPr="00FE7342">
        <w:t xml:space="preserve"> leave the medical workforce</w:t>
      </w:r>
      <w:r w:rsidR="00CE59DA" w:rsidRPr="00FE7342">
        <w:t xml:space="preserve"> altogether</w:t>
      </w:r>
      <w:r w:rsidR="00FF1A22" w:rsidRPr="00FE7342">
        <w:t>.</w:t>
      </w:r>
    </w:p>
    <w:p w14:paraId="412E6E53" w14:textId="77777777" w:rsidR="00CE1606" w:rsidRDefault="00FF1A22" w:rsidP="00FE7342">
      <w:pPr>
        <w:rPr>
          <w:rFonts w:asciiTheme="minorHAnsi" w:hAnsiTheme="minorHAnsi" w:cstheme="minorHAnsi"/>
          <w:i/>
          <w:iCs/>
          <w:sz w:val="24"/>
          <w:szCs w:val="24"/>
        </w:rPr>
      </w:pPr>
      <w:r w:rsidRPr="00FE7342">
        <w:t>188 broader survey respondents</w:t>
      </w:r>
      <w:r w:rsidRPr="00FF1A22">
        <w:t xml:space="preserve"> provided a significant volume of general comments and suggestions. The key themes from these comments were to address locum usage by improving pay of permanent staff (18%) and decreasing the pay and benefits for locums by introducing a pay cap (16%) and improving conditions for permanent staff by improving work environment (12%) and work/life balance (10%). 10 % suggested to tend to overall national healthcare workforce shortage. One survey respondent quoted </w:t>
      </w:r>
      <w:r w:rsidRPr="00FE7342">
        <w:rPr>
          <w:rStyle w:val="Emphasis"/>
        </w:rPr>
        <w:t>“We should never be in the position where we are paying the supervised more than we are paying the supervisors - yet we are, and it is to our detriment.”</w:t>
      </w:r>
      <w:r w:rsidR="00FE7342">
        <w:rPr>
          <w:rFonts w:asciiTheme="minorHAnsi" w:hAnsiTheme="minorHAnsi" w:cstheme="minorHAnsi"/>
          <w:i/>
          <w:iCs/>
          <w:sz w:val="24"/>
          <w:szCs w:val="24"/>
        </w:rPr>
        <w:t xml:space="preserve"> </w:t>
      </w:r>
    </w:p>
    <w:p w14:paraId="75ADF858" w14:textId="3CF5EA68" w:rsidR="00F611F5" w:rsidRDefault="009B50A2" w:rsidP="008172C0">
      <w:r>
        <w:lastRenderedPageBreak/>
        <w:t xml:space="preserve">Findings from the case studies were consistent with the overall findings and </w:t>
      </w:r>
      <w:r w:rsidRPr="008172C0">
        <w:t>recommendations</w:t>
      </w:r>
      <w:r>
        <w:t xml:space="preserve"> of the </w:t>
      </w:r>
      <w:r w:rsidR="00B06B33">
        <w:t>project.</w:t>
      </w:r>
    </w:p>
    <w:tbl>
      <w:tblPr>
        <w:tblStyle w:val="TableGridLight"/>
        <w:tblW w:w="0" w:type="auto"/>
        <w:tblLayout w:type="fixed"/>
        <w:tblLook w:val="06A0" w:firstRow="1" w:lastRow="0" w:firstColumn="1" w:lastColumn="0" w:noHBand="1" w:noVBand="1"/>
      </w:tblPr>
      <w:tblGrid>
        <w:gridCol w:w="5228"/>
        <w:gridCol w:w="5228"/>
      </w:tblGrid>
      <w:tr w:rsidR="00EF6F85" w14:paraId="2AAE1B25" w14:textId="77777777" w:rsidTr="00FE7342">
        <w:trPr>
          <w:trHeight w:val="300"/>
          <w:tblHeader/>
        </w:trPr>
        <w:tc>
          <w:tcPr>
            <w:tcW w:w="5228" w:type="dxa"/>
          </w:tcPr>
          <w:p w14:paraId="399A6886" w14:textId="77777777" w:rsidR="00EF6F85" w:rsidRPr="00DD3E5C" w:rsidRDefault="00EF6F85">
            <w:pPr>
              <w:pStyle w:val="Heading2"/>
              <w:jc w:val="center"/>
              <w:rPr>
                <w:color w:val="CF4400"/>
              </w:rPr>
            </w:pPr>
            <w:r w:rsidRPr="00DD3E5C">
              <w:rPr>
                <w:color w:val="CF4400"/>
              </w:rPr>
              <w:t>Advantages and disadvantages of engaging locums</w:t>
            </w:r>
          </w:p>
        </w:tc>
        <w:tc>
          <w:tcPr>
            <w:tcW w:w="5228" w:type="dxa"/>
          </w:tcPr>
          <w:p w14:paraId="73A8B82A" w14:textId="77777777" w:rsidR="00EF6F85" w:rsidRPr="00DD3E5C" w:rsidRDefault="00EF6F85">
            <w:pPr>
              <w:pStyle w:val="Heading2"/>
              <w:jc w:val="center"/>
              <w:rPr>
                <w:color w:val="CF4400"/>
              </w:rPr>
            </w:pPr>
            <w:r w:rsidRPr="00DD3E5C">
              <w:rPr>
                <w:color w:val="CF4400"/>
              </w:rPr>
              <w:t>Advantages and disadvantages of taking on locum work</w:t>
            </w:r>
          </w:p>
        </w:tc>
      </w:tr>
      <w:tr w:rsidR="00EF6F85" w14:paraId="0B73568D" w14:textId="77777777" w:rsidTr="00FE7342">
        <w:trPr>
          <w:trHeight w:val="300"/>
        </w:trPr>
        <w:tc>
          <w:tcPr>
            <w:tcW w:w="5228" w:type="dxa"/>
          </w:tcPr>
          <w:p w14:paraId="745425E4" w14:textId="77777777" w:rsidR="00EF6F85" w:rsidRDefault="00EF6F85">
            <w:pPr>
              <w:jc w:val="center"/>
            </w:pPr>
            <w:r>
              <w:rPr>
                <w:noProof/>
                <w:color w:val="2B579A"/>
                <w:shd w:val="clear" w:color="auto" w:fill="E6E6E6"/>
              </w:rPr>
              <w:drawing>
                <wp:inline distT="0" distB="0" distL="0" distR="0" wp14:anchorId="62CC19D1" wp14:editId="7278FB6A">
                  <wp:extent cx="2492860" cy="2366712"/>
                  <wp:effectExtent l="0" t="0" r="0" b="0"/>
                  <wp:docPr id="4" name="Picture 4" descr="Boxes showing advantages for engaging locums as keeping health service functioning, allowing other doctors to take leave and locums are a readily available workforce. Disadvantages are limit continuity of care, locums may not know local protocol, team cohesion may be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oxes showing advantages for engaging locums as keeping health service functioning, allowing other doctors to take leave and locums are a readily available workforce. Disadvantages are limit continuity of care, locums may not know local protocol, team cohesion may be reduced."/>
                          <pic:cNvPicPr/>
                        </pic:nvPicPr>
                        <pic:blipFill>
                          <a:blip r:embed="rId16" cstate="print">
                            <a:extLst>
                              <a:ext uri="{28A0092B-C50C-407E-A947-70E740481C1C}">
                                <a14:useLocalDpi xmlns:a14="http://schemas.microsoft.com/office/drawing/2010/main" val="0"/>
                              </a:ext>
                            </a:extLst>
                          </a:blip>
                          <a:srcRect l="21637" r="20760"/>
                          <a:stretch>
                            <a:fillRect/>
                          </a:stretch>
                        </pic:blipFill>
                        <pic:spPr>
                          <a:xfrm>
                            <a:off x="0" y="0"/>
                            <a:ext cx="2492860" cy="2366712"/>
                          </a:xfrm>
                          <a:prstGeom prst="rect">
                            <a:avLst/>
                          </a:prstGeom>
                        </pic:spPr>
                      </pic:pic>
                    </a:graphicData>
                  </a:graphic>
                </wp:inline>
              </w:drawing>
            </w:r>
          </w:p>
        </w:tc>
        <w:tc>
          <w:tcPr>
            <w:tcW w:w="5228" w:type="dxa"/>
          </w:tcPr>
          <w:p w14:paraId="5B3E98A8" w14:textId="77777777" w:rsidR="00EF6F85" w:rsidRDefault="00EF6F85">
            <w:pPr>
              <w:jc w:val="center"/>
            </w:pPr>
            <w:r>
              <w:rPr>
                <w:noProof/>
                <w:color w:val="2B579A"/>
                <w:shd w:val="clear" w:color="auto" w:fill="E6E6E6"/>
              </w:rPr>
              <w:drawing>
                <wp:inline distT="0" distB="0" distL="0" distR="0" wp14:anchorId="708BAE07" wp14:editId="5E635779">
                  <wp:extent cx="2416887" cy="2369262"/>
                  <wp:effectExtent l="0" t="0" r="0" b="0"/>
                  <wp:docPr id="5" name="Picture 5" descr="Boxes showing advantages of taking on locum work are greater work life balance, autonomy and independence, supplementary income. Boxes showing the disadvantages of taking on locum work are administrative challenges, lakc of familiarity with local context and protocols and impact on various family opport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oxes showing advantages of taking on locum work are greater work life balance, autonomy and independence, supplementary income. Boxes showing the disadvantages of taking on locum work are administrative challenges, lakc of familiarity with local context and protocols and impact on various family opportunities."/>
                          <pic:cNvPicPr/>
                        </pic:nvPicPr>
                        <pic:blipFill>
                          <a:blip r:embed="rId17" cstate="print">
                            <a:extLst>
                              <a:ext uri="{28A0092B-C50C-407E-A947-70E740481C1C}">
                                <a14:useLocalDpi xmlns:a14="http://schemas.microsoft.com/office/drawing/2010/main" val="0"/>
                              </a:ext>
                            </a:extLst>
                          </a:blip>
                          <a:srcRect l="22318" r="20579"/>
                          <a:stretch>
                            <a:fillRect/>
                          </a:stretch>
                        </pic:blipFill>
                        <pic:spPr>
                          <a:xfrm>
                            <a:off x="0" y="0"/>
                            <a:ext cx="2416887" cy="2369262"/>
                          </a:xfrm>
                          <a:prstGeom prst="rect">
                            <a:avLst/>
                          </a:prstGeom>
                        </pic:spPr>
                      </pic:pic>
                    </a:graphicData>
                  </a:graphic>
                </wp:inline>
              </w:drawing>
            </w:r>
          </w:p>
        </w:tc>
      </w:tr>
    </w:tbl>
    <w:p w14:paraId="211AEC1A" w14:textId="41676F43" w:rsidR="00405A2D" w:rsidRPr="00DD3E5C" w:rsidRDefault="00720781" w:rsidP="00ED7492">
      <w:pPr>
        <w:pStyle w:val="Heading3"/>
        <w:rPr>
          <w:color w:val="CF4400"/>
        </w:rPr>
      </w:pPr>
      <w:r w:rsidRPr="00DD3E5C">
        <w:rPr>
          <w:color w:val="CF4400"/>
        </w:rPr>
        <w:t>Complementary projects</w:t>
      </w:r>
    </w:p>
    <w:p w14:paraId="0A06BAB9" w14:textId="45C4650E" w:rsidR="00CA4F7B" w:rsidRPr="00FE7342" w:rsidRDefault="00F85362" w:rsidP="00FE7342">
      <w:r>
        <w:t xml:space="preserve">BDO made recommendations regarding the data that would be needed to analyse the costs of locums nationally </w:t>
      </w:r>
      <w:r w:rsidR="003E2EEF">
        <w:t xml:space="preserve">which </w:t>
      </w:r>
      <w:r w:rsidR="003E2EEF" w:rsidRPr="00FE7342">
        <w:t xml:space="preserve">could provide a basis for national consistency in payments. </w:t>
      </w:r>
    </w:p>
    <w:p w14:paraId="5462F541" w14:textId="77777777" w:rsidR="006A34B0" w:rsidRPr="00FE7342" w:rsidRDefault="006A34B0" w:rsidP="00FE7342">
      <w:r w:rsidRPr="00FE7342">
        <w:t>The Department of Health and Aged Care Workforce Data and Intelligence Unit undertook to explore patterns of locum work in general practice from Medicare billing data. This project focussed on the cost of locums in public hospitals and understanding why locum employment had increased, and why doctors choose to locum. From this information policies can be designed to meet the needs of patients and doctors within fiscal constraints.</w:t>
      </w:r>
    </w:p>
    <w:p w14:paraId="44EB46CF" w14:textId="3D376113" w:rsidR="009D5D26" w:rsidRDefault="000E3689" w:rsidP="00FE7342">
      <w:r w:rsidRPr="00FE7342">
        <w:t>Analysis</w:t>
      </w:r>
      <w:r>
        <w:t xml:space="preserve"> of the medical specialty pipeline and agreements on data sharing have</w:t>
      </w:r>
      <w:r w:rsidR="009B48D6" w:rsidRPr="009B48D6">
        <w:t xml:space="preserve"> commenced under the National Medical Workforce Strategy</w:t>
      </w:r>
      <w:r w:rsidR="00C13F7C">
        <w:t xml:space="preserve"> </w:t>
      </w:r>
      <w:r w:rsidR="009B48D6" w:rsidRPr="009B48D6">
        <w:t xml:space="preserve">and has been strengthened by actions and resources allocated following the Kruk review </w:t>
      </w:r>
      <w:r w:rsidR="007C37F0">
        <w:rPr>
          <w:color w:val="2B579A"/>
          <w:shd w:val="clear" w:color="auto" w:fill="E6E6E6"/>
        </w:rPr>
        <w:fldChar w:fldCharType="begin"/>
      </w:r>
      <w:r w:rsidR="007C37F0">
        <w:instrText xml:space="preserve"> ADDIN EN.CITE &lt;EndNote&gt;&lt;Cite&gt;&lt;Author&gt;Kruk&lt;/Author&gt;&lt;Year&gt;2023&lt;/Year&gt;&lt;RecNum&gt;72&lt;/RecNum&gt;&lt;DisplayText&gt;(5)&lt;/DisplayText&gt;&lt;record&gt;&lt;rec-number&gt;72&lt;/rec-number&gt;&lt;foreign-keys&gt;&lt;key app="EN" db-id="xtfsx2t2y2pzx5e0pagxddr2wdxatwxf0wv2" timestamp="1714792702"&gt;72&lt;/key&gt;&lt;/foreign-keys&gt;&lt;ref-type name="Government Document"&gt;46&lt;/ref-type&gt;&lt;contributors&gt;&lt;authors&gt;&lt;author&gt;Kruk, Robyn&lt;/author&gt;&lt;/authors&gt;&lt;secondary-authors&gt;&lt;author&gt;Department of Finance&lt;/author&gt;&lt;/secondary-authors&gt;&lt;/contributors&gt;&lt;titles&gt;&lt;title&gt;The Final Report of the Independent Review of Health Practitioner Regulatory Settings, &lt;/title&gt;&lt;/titles&gt;&lt;dates&gt;&lt;year&gt;2023&lt;/year&gt;&lt;/dates&gt;&lt;pub-location&gt;Canberra &lt;/pub-location&gt;&lt;urls&gt;&lt;related-urls&gt;&lt;url&gt;https://www.regulatoryreform.gov.au/news-and-events/2023-12-06-final-report-independent-review-overseas-health-practitioner-regulatory-settings&lt;/url&gt;&lt;/related-urls&gt;&lt;/urls&gt;&lt;/record&gt;&lt;/Cite&gt;&lt;/EndNote&gt;</w:instrText>
      </w:r>
      <w:r w:rsidR="007C37F0">
        <w:rPr>
          <w:color w:val="2B579A"/>
          <w:shd w:val="clear" w:color="auto" w:fill="E6E6E6"/>
        </w:rPr>
        <w:fldChar w:fldCharType="separate"/>
      </w:r>
      <w:r w:rsidR="007C37F0">
        <w:rPr>
          <w:noProof/>
        </w:rPr>
        <w:t>(5)</w:t>
      </w:r>
      <w:r w:rsidR="007C37F0">
        <w:rPr>
          <w:color w:val="2B579A"/>
          <w:shd w:val="clear" w:color="auto" w:fill="E6E6E6"/>
        </w:rPr>
        <w:fldChar w:fldCharType="end"/>
      </w:r>
      <w:r w:rsidR="007C37F0">
        <w:t>.</w:t>
      </w:r>
    </w:p>
    <w:p w14:paraId="2C874EAD" w14:textId="1AA12BA5" w:rsidR="00FF1A22" w:rsidRPr="00DD3E5C" w:rsidRDefault="00FF1A22" w:rsidP="00C07F9A">
      <w:pPr>
        <w:pStyle w:val="Heading2"/>
        <w:rPr>
          <w:color w:val="CF4400"/>
        </w:rPr>
      </w:pPr>
      <w:r w:rsidRPr="00DD3E5C">
        <w:rPr>
          <w:color w:val="CF4400"/>
        </w:rPr>
        <w:t xml:space="preserve">Conclusion </w:t>
      </w:r>
    </w:p>
    <w:p w14:paraId="5DE1FCD7" w14:textId="4904D71F" w:rsidR="00FF1A22" w:rsidRPr="00FE7342" w:rsidRDefault="00FF1A22" w:rsidP="00FE7342">
      <w:r w:rsidRPr="00FF1A22">
        <w:t xml:space="preserve">Locums are an </w:t>
      </w:r>
      <w:r w:rsidRPr="00FE7342">
        <w:t xml:space="preserve">essential part of the medical workforce and the findings of this project show that the drivers of locum </w:t>
      </w:r>
      <w:r w:rsidR="00B06B33" w:rsidRPr="00FE7342">
        <w:t xml:space="preserve">employment </w:t>
      </w:r>
      <w:r w:rsidRPr="00FE7342">
        <w:t>are complex and multifaceted.</w:t>
      </w:r>
      <w:r w:rsidR="00B12F9E" w:rsidRPr="00FE7342">
        <w:t xml:space="preserve"> </w:t>
      </w:r>
      <w:r w:rsidR="00080FE4" w:rsidRPr="00FE7342">
        <w:t xml:space="preserve">The drivers include </w:t>
      </w:r>
      <w:r w:rsidR="00820ACB" w:rsidRPr="00FE7342">
        <w:t xml:space="preserve">the </w:t>
      </w:r>
      <w:r w:rsidR="00E57688" w:rsidRPr="00FE7342">
        <w:t>attracti</w:t>
      </w:r>
      <w:r w:rsidR="00820ACB" w:rsidRPr="00FE7342">
        <w:t xml:space="preserve">on of supplementary </w:t>
      </w:r>
      <w:r w:rsidR="00B12F9E" w:rsidRPr="00FE7342">
        <w:t>doctors</w:t>
      </w:r>
      <w:r w:rsidR="003E686D" w:rsidRPr="00FE7342">
        <w:t xml:space="preserve"> who </w:t>
      </w:r>
      <w:r w:rsidR="00457B73" w:rsidRPr="00FE7342">
        <w:t>are employed</w:t>
      </w:r>
      <w:r w:rsidR="00BF7FAA" w:rsidRPr="00FE7342">
        <w:t xml:space="preserve">, </w:t>
      </w:r>
      <w:r w:rsidR="003E686D" w:rsidRPr="00FE7342">
        <w:t>semi-</w:t>
      </w:r>
      <w:r w:rsidR="004A44B6" w:rsidRPr="00FE7342">
        <w:t>retired or</w:t>
      </w:r>
      <w:r w:rsidR="003E686D" w:rsidRPr="00FE7342">
        <w:t xml:space="preserve"> </w:t>
      </w:r>
      <w:r w:rsidR="00820ACB" w:rsidRPr="00FE7342">
        <w:t xml:space="preserve">those who </w:t>
      </w:r>
      <w:r w:rsidR="003E686D" w:rsidRPr="00FE7342">
        <w:t xml:space="preserve">have family and personal commitments in a different location to the availability of </w:t>
      </w:r>
      <w:r w:rsidR="00B12F9E" w:rsidRPr="00FE7342">
        <w:t>work</w:t>
      </w:r>
      <w:r w:rsidR="00E63703" w:rsidRPr="00FE7342">
        <w:t xml:space="preserve">. Locum work also enables </w:t>
      </w:r>
      <w:r w:rsidR="00C77C88" w:rsidRPr="00FE7342">
        <w:t>potential employees and employers to assess their mutual fit prior to making a longer</w:t>
      </w:r>
      <w:r w:rsidR="004A44B6" w:rsidRPr="00FE7342">
        <w:t>-</w:t>
      </w:r>
      <w:r w:rsidR="00C77C88" w:rsidRPr="00FE7342">
        <w:t xml:space="preserve">term commitment. </w:t>
      </w:r>
      <w:r w:rsidR="00B12F9E" w:rsidRPr="00FE7342">
        <w:t xml:space="preserve"> </w:t>
      </w:r>
    </w:p>
    <w:p w14:paraId="19FC0AAC" w14:textId="5C8269F3" w:rsidR="00DB18C3" w:rsidRPr="00FE7342" w:rsidRDefault="00DB18C3" w:rsidP="00FE7342">
      <w:r w:rsidRPr="00FE7342">
        <w:t xml:space="preserve">This project took place </w:t>
      </w:r>
      <w:r w:rsidR="00091BE8" w:rsidRPr="00FE7342">
        <w:t>in 2023</w:t>
      </w:r>
      <w:r w:rsidRPr="00FE7342">
        <w:t xml:space="preserve"> as the world and Australia’s health systems </w:t>
      </w:r>
      <w:r w:rsidR="00091BE8" w:rsidRPr="00FE7342">
        <w:t xml:space="preserve">continued to </w:t>
      </w:r>
      <w:r w:rsidRPr="00FE7342">
        <w:t>emerg</w:t>
      </w:r>
      <w:r w:rsidR="00091BE8" w:rsidRPr="00FE7342">
        <w:t>e</w:t>
      </w:r>
      <w:r w:rsidRPr="00FE7342">
        <w:t xml:space="preserve"> from a pandemic, so the results need interpretation</w:t>
      </w:r>
      <w:r>
        <w:t xml:space="preserve"> within this context. Lockdowns and the threat of catching a fatal disease at work </w:t>
      </w:r>
      <w:r>
        <w:lastRenderedPageBreak/>
        <w:t xml:space="preserve">challenged doctors as human beings and professionals. Health </w:t>
      </w:r>
      <w:r w:rsidR="004519A7">
        <w:t xml:space="preserve">departments, managers and services </w:t>
      </w:r>
      <w:r>
        <w:t>are coping with significant increases in demand trying to catch up care that was delayed during Covid</w:t>
      </w:r>
      <w:r w:rsidR="00D17653">
        <w:t>-19</w:t>
      </w:r>
      <w:r>
        <w:t xml:space="preserve"> alongside the predicted increased need for an enlarging and proportionately older population. The results likely reflect a system and profession </w:t>
      </w:r>
      <w:r w:rsidRPr="00FE7342">
        <w:t>readjusting after major shock and re-evaluation of their personal commitment to serve patients and need to care for themselves and their families.</w:t>
      </w:r>
      <w:r w:rsidR="00244541" w:rsidRPr="00FE7342">
        <w:t xml:space="preserve"> </w:t>
      </w:r>
      <w:r w:rsidR="00A563D4" w:rsidRPr="00FE7342">
        <w:t>E</w:t>
      </w:r>
      <w:r w:rsidR="00244541" w:rsidRPr="00FE7342">
        <w:t xml:space="preserve">mployers </w:t>
      </w:r>
      <w:r w:rsidR="008235D4" w:rsidRPr="00FE7342">
        <w:t xml:space="preserve">may </w:t>
      </w:r>
      <w:r w:rsidR="00A563D4" w:rsidRPr="00FE7342">
        <w:t xml:space="preserve">also </w:t>
      </w:r>
      <w:r w:rsidR="008235D4" w:rsidRPr="00FE7342">
        <w:t>be implementing a range of strategies</w:t>
      </w:r>
      <w:r w:rsidR="00A30C59" w:rsidRPr="00FE7342">
        <w:t xml:space="preserve"> to remediate the use of locums in the medical workforce, independent of this project and</w:t>
      </w:r>
      <w:r w:rsidR="00DA562A" w:rsidRPr="00FE7342">
        <w:t xml:space="preserve"> its findings.</w:t>
      </w:r>
    </w:p>
    <w:p w14:paraId="4443FBB4" w14:textId="4539597D" w:rsidR="00A563D4" w:rsidRPr="00FE7342" w:rsidRDefault="005D4F50" w:rsidP="00FE7342">
      <w:r w:rsidRPr="00FE7342">
        <w:t xml:space="preserve">The level of </w:t>
      </w:r>
      <w:r w:rsidR="00847992" w:rsidRPr="00FE7342">
        <w:t>respon</w:t>
      </w:r>
      <w:r w:rsidR="000E0FE4" w:rsidRPr="00FE7342">
        <w:t>s</w:t>
      </w:r>
      <w:r w:rsidR="00847992" w:rsidRPr="00FE7342">
        <w:t>e in relation to</w:t>
      </w:r>
      <w:r w:rsidRPr="00FE7342">
        <w:t xml:space="preserve"> workplace culture expressed by</w:t>
      </w:r>
      <w:r w:rsidR="009E0ED4" w:rsidRPr="00FE7342">
        <w:t xml:space="preserve"> some</w:t>
      </w:r>
      <w:r w:rsidRPr="00FE7342">
        <w:t xml:space="preserve"> locums in the free text was a concern. </w:t>
      </w:r>
      <w:r w:rsidR="00DB18C3" w:rsidRPr="00FE7342">
        <w:t>S</w:t>
      </w:r>
      <w:r w:rsidR="00874477" w:rsidRPr="00FE7342">
        <w:t>everal</w:t>
      </w:r>
      <w:r w:rsidR="00DB18C3" w:rsidRPr="00FE7342">
        <w:t xml:space="preserve"> media articles have painted locums as ‘greedy’ and self-serving. The free text comment that “locums are not the enemy” suggests an alternative narrative. That is that increased reliance on locums is evidence of a system under stress that impacts negatively on its workforce</w:t>
      </w:r>
      <w:r w:rsidR="000201B6" w:rsidRPr="00FE7342">
        <w:t>. L</w:t>
      </w:r>
      <w:r w:rsidR="002F57B0" w:rsidRPr="00FE7342">
        <w:t>ocum work gives doctors the financial freedom to</w:t>
      </w:r>
      <w:r w:rsidR="007B74A0" w:rsidRPr="00FE7342">
        <w:t xml:space="preserve"> maintain their wellbeing by</w:t>
      </w:r>
      <w:r w:rsidR="002F57B0" w:rsidRPr="00FE7342">
        <w:t xml:space="preserve"> </w:t>
      </w:r>
      <w:r w:rsidR="00BF4877" w:rsidRPr="00FE7342">
        <w:t>titrat</w:t>
      </w:r>
      <w:r w:rsidR="007B74A0" w:rsidRPr="00FE7342">
        <w:t>ing</w:t>
      </w:r>
      <w:r w:rsidR="00BF4877" w:rsidRPr="00FE7342">
        <w:t xml:space="preserve"> their interaction with the health system</w:t>
      </w:r>
      <w:r w:rsidR="00B06B33" w:rsidRPr="00FE7342">
        <w:t xml:space="preserve"> and is mirrored in other professions and industries.</w:t>
      </w:r>
    </w:p>
    <w:p w14:paraId="5528916D" w14:textId="3B3D44FC" w:rsidR="00A563D4" w:rsidRPr="00FE7342" w:rsidRDefault="00FF1A22" w:rsidP="00FE7342">
      <w:r w:rsidRPr="00FE7342">
        <w:t xml:space="preserve">The </w:t>
      </w:r>
      <w:r w:rsidR="00645033" w:rsidRPr="00FE7342">
        <w:t xml:space="preserve">findings and </w:t>
      </w:r>
      <w:r w:rsidR="00675E04" w:rsidRPr="00FE7342">
        <w:t>themes</w:t>
      </w:r>
      <w:r w:rsidR="00CF26E7" w:rsidRPr="00FE7342">
        <w:t xml:space="preserve"> </w:t>
      </w:r>
      <w:r w:rsidR="00BD5013" w:rsidRPr="00FE7342">
        <w:t xml:space="preserve">from </w:t>
      </w:r>
      <w:r w:rsidRPr="00FE7342">
        <w:t xml:space="preserve">this project are consistent with the </w:t>
      </w:r>
      <w:r w:rsidR="7521BA8A" w:rsidRPr="00FE7342">
        <w:t xml:space="preserve">priorities identified in the </w:t>
      </w:r>
      <w:r w:rsidRPr="00FE7342">
        <w:t>N</w:t>
      </w:r>
      <w:r w:rsidR="00933CCC" w:rsidRPr="00FE7342">
        <w:t xml:space="preserve">ational </w:t>
      </w:r>
      <w:r w:rsidRPr="00FE7342">
        <w:t>M</w:t>
      </w:r>
      <w:r w:rsidR="00933CCC" w:rsidRPr="00FE7342">
        <w:t xml:space="preserve">edical </w:t>
      </w:r>
      <w:r w:rsidRPr="00FE7342">
        <w:t>W</w:t>
      </w:r>
      <w:r w:rsidR="00933CCC" w:rsidRPr="00FE7342">
        <w:t xml:space="preserve">orkforce </w:t>
      </w:r>
      <w:r w:rsidRPr="00FE7342">
        <w:t>S</w:t>
      </w:r>
      <w:r w:rsidR="00933CCC" w:rsidRPr="00FE7342">
        <w:t>trategy</w:t>
      </w:r>
      <w:r w:rsidR="00157E86" w:rsidRPr="00FE7342">
        <w:t xml:space="preserve">. </w:t>
      </w:r>
      <w:r w:rsidRPr="00FE7342">
        <w:t>In addition to the consideration of quality, safe and accessible care, these areas include renumeration, work-life balance, flexibility, workplace culture, opportunities in specialty groups, the overall cycle of attraction, retention, permanent recruitment, and the supply and distribution of the medical workforce and the number and location of training places</w:t>
      </w:r>
      <w:r w:rsidR="000C4C59" w:rsidRPr="00FE7342">
        <w:t>.</w:t>
      </w:r>
    </w:p>
    <w:p w14:paraId="0D13A3E2" w14:textId="646FE0ED" w:rsidR="00EF6F85" w:rsidRPr="00FE7342" w:rsidRDefault="005A5964" w:rsidP="00FE7342">
      <w:r w:rsidRPr="00FE7342">
        <w:t xml:space="preserve">Significant </w:t>
      </w:r>
      <w:r w:rsidR="00AB499C" w:rsidRPr="00FE7342">
        <w:t xml:space="preserve">national </w:t>
      </w:r>
      <w:r w:rsidRPr="00FE7342">
        <w:t>collaboration and commitment will be required from all stakeholders to address changes required to find the appropriate</w:t>
      </w:r>
      <w:r w:rsidRPr="00FF1A22">
        <w:t xml:space="preserve"> balance between locum and permanent doctors across the workforce for improved sustainability of medical workforce to ensure quality, safe and accessible care for all Australians</w:t>
      </w:r>
      <w:r w:rsidR="0051337A">
        <w:t>.</w:t>
      </w:r>
    </w:p>
    <w:p w14:paraId="547E3FCD" w14:textId="3111D088" w:rsidR="006E3752" w:rsidRPr="00625DBB" w:rsidRDefault="005A4F71" w:rsidP="00FE7342">
      <w:pPr>
        <w:pStyle w:val="Heading2"/>
        <w:rPr>
          <w:highlight w:val="yellow"/>
        </w:rPr>
      </w:pPr>
      <w:r w:rsidRPr="00625DBB">
        <w:t>References</w:t>
      </w:r>
    </w:p>
    <w:p w14:paraId="5E9608CB" w14:textId="77777777" w:rsidR="007C37F0" w:rsidRPr="007C37F0" w:rsidRDefault="006E3752" w:rsidP="00625DBB">
      <w:pPr>
        <w:pStyle w:val="EndNoteBibliography"/>
        <w:spacing w:after="0"/>
        <w:ind w:left="567" w:hanging="567"/>
      </w:pPr>
      <w:r>
        <w:rPr>
          <w:color w:val="2B579A"/>
          <w:highlight w:val="yellow"/>
          <w:shd w:val="clear" w:color="auto" w:fill="E6E6E6"/>
        </w:rPr>
        <w:fldChar w:fldCharType="begin"/>
      </w:r>
      <w:r>
        <w:rPr>
          <w:highlight w:val="yellow"/>
        </w:rPr>
        <w:instrText xml:space="preserve"> ADDIN EN.REFLIST </w:instrText>
      </w:r>
      <w:r>
        <w:rPr>
          <w:color w:val="2B579A"/>
          <w:highlight w:val="yellow"/>
          <w:shd w:val="clear" w:color="auto" w:fill="E6E6E6"/>
        </w:rPr>
        <w:fldChar w:fldCharType="separate"/>
      </w:r>
      <w:r w:rsidR="007C37F0" w:rsidRPr="007C37F0">
        <w:t>1.</w:t>
      </w:r>
      <w:r w:rsidR="007C37F0" w:rsidRPr="007C37F0">
        <w:tab/>
        <w:t>Australian Department of Health. National Medical Workforce Strategy 2021-2031. Canberra 2021.</w:t>
      </w:r>
    </w:p>
    <w:p w14:paraId="1EB08549" w14:textId="77777777" w:rsidR="007C37F0" w:rsidRPr="007C37F0" w:rsidRDefault="007C37F0" w:rsidP="00625DBB">
      <w:pPr>
        <w:pStyle w:val="EndNoteBibliography"/>
        <w:spacing w:after="0"/>
        <w:ind w:left="567" w:hanging="567"/>
      </w:pPr>
      <w:r w:rsidRPr="007C37F0">
        <w:t>2.</w:t>
      </w:r>
      <w:r w:rsidRPr="007C37F0">
        <w:tab/>
        <w:t>Jones MP, Zhao Y, Guthridge S, Russell DJ, Ramjan M, Humphreys JS, et al. Effects of turnover and stability of health staff on quality of care in remote communities of the Northern Territory, Australia: a retrospective cohort study. BMJ Open. 2021;11(10):e055635.</w:t>
      </w:r>
    </w:p>
    <w:p w14:paraId="2EDDAD41" w14:textId="77777777" w:rsidR="007C37F0" w:rsidRPr="007C37F0" w:rsidRDefault="007C37F0" w:rsidP="00625DBB">
      <w:pPr>
        <w:pStyle w:val="EndNoteBibliography"/>
        <w:spacing w:after="0"/>
        <w:ind w:left="567" w:hanging="567"/>
      </w:pPr>
      <w:r w:rsidRPr="007C37F0">
        <w:t>3.</w:t>
      </w:r>
      <w:r w:rsidRPr="007C37F0">
        <w:tab/>
        <w:t>Ferguson J, Walshe K. The quality and safety of locum doctors: a narrative review. Journal of the Royal Society of Medicine. 2019;112(11):462-71.</w:t>
      </w:r>
    </w:p>
    <w:p w14:paraId="53778FD7" w14:textId="79B169F3" w:rsidR="007C37F0" w:rsidRPr="007C37F0" w:rsidRDefault="007C37F0" w:rsidP="00625DBB">
      <w:pPr>
        <w:pStyle w:val="EndNoteBibliography"/>
        <w:spacing w:after="0"/>
        <w:ind w:left="567" w:hanging="567"/>
      </w:pPr>
      <w:r w:rsidRPr="007C37F0">
        <w:t>4.</w:t>
      </w:r>
      <w:r w:rsidRPr="007C37F0">
        <w:tab/>
        <w:t>New South Wales Parliament. Health outcomes and access to health and hospital services in rural, regional and remote New South Wales In: Legislative Council. Portfolio Committee No. 2,. 2022.</w:t>
      </w:r>
    </w:p>
    <w:p w14:paraId="390C8C16" w14:textId="77777777" w:rsidR="007C37F0" w:rsidRPr="007C37F0" w:rsidRDefault="007C37F0" w:rsidP="00625DBB">
      <w:pPr>
        <w:pStyle w:val="EndNoteBibliography"/>
        <w:ind w:left="567" w:hanging="567"/>
      </w:pPr>
      <w:r w:rsidRPr="007C37F0">
        <w:t>5.</w:t>
      </w:r>
      <w:r w:rsidRPr="007C37F0">
        <w:tab/>
        <w:t>Kruk R. The Final Report of the Independent Review of Health Practitioner Regulatory Settings, . In: Finance Do, editor. Canberra 2023.</w:t>
      </w:r>
    </w:p>
    <w:p w14:paraId="593A6EF6" w14:textId="048DEDCB" w:rsidR="00527613" w:rsidRPr="00527613" w:rsidRDefault="006E3752" w:rsidP="017C7DEC">
      <w:pPr>
        <w:ind w:right="423"/>
        <w:rPr>
          <w:highlight w:val="yellow"/>
        </w:rPr>
      </w:pPr>
      <w:r>
        <w:rPr>
          <w:color w:val="2B579A"/>
          <w:highlight w:val="yellow"/>
          <w:shd w:val="clear" w:color="auto" w:fill="E6E6E6"/>
        </w:rPr>
        <w:fldChar w:fldCharType="end"/>
      </w:r>
    </w:p>
    <w:sectPr w:rsidR="00527613" w:rsidRPr="00527613" w:rsidSect="00EE1994">
      <w:headerReference w:type="default" r:id="rId18"/>
      <w:footerReference w:type="default" r:id="rId19"/>
      <w:headerReference w:type="first" r:id="rId20"/>
      <w:footerReference w:type="first" r:id="rId21"/>
      <w:pgSz w:w="11900" w:h="16840"/>
      <w:pgMar w:top="1276" w:right="720" w:bottom="496"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F8653" w14:textId="77777777" w:rsidR="002B6F6D" w:rsidRDefault="002B6F6D" w:rsidP="00830A2A">
      <w:r>
        <w:separator/>
      </w:r>
    </w:p>
  </w:endnote>
  <w:endnote w:type="continuationSeparator" w:id="0">
    <w:p w14:paraId="37E8EFE2" w14:textId="77777777" w:rsidR="002B6F6D" w:rsidRDefault="002B6F6D" w:rsidP="00830A2A">
      <w:r>
        <w:continuationSeparator/>
      </w:r>
    </w:p>
  </w:endnote>
  <w:endnote w:type="continuationNotice" w:id="1">
    <w:p w14:paraId="1A76280B" w14:textId="77777777" w:rsidR="002B6F6D" w:rsidRDefault="002B6F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Helvetica LT Std Light">
    <w:altName w:val="Arial"/>
    <w:charset w:val="00"/>
    <w:family w:val="auto"/>
    <w:pitch w:val="variable"/>
    <w:sig w:usb0="00000003" w:usb1="00000000" w:usb2="00000000" w:usb3="00000000" w:csb0="00000001" w:csb1="00000000"/>
  </w:font>
  <w:font w:name="Helvetica LT Std">
    <w:altName w:val="Arial"/>
    <w:panose1 w:val="00000000000000000000"/>
    <w:charset w:val="4D"/>
    <w:family w:val="swiss"/>
    <w:notTrueType/>
    <w:pitch w:val="variable"/>
    <w:sig w:usb0="00000203" w:usb1="00000000" w:usb2="00000000" w:usb3="00000000" w:csb0="00000005"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T Std Lt">
    <w:altName w:val="Arial"/>
    <w:charset w:val="00"/>
    <w:family w:val="swiss"/>
    <w:pitch w:val="variable"/>
    <w:sig w:usb0="800000AF" w:usb1="4000204A" w:usb2="00000000" w:usb3="00000000" w:csb0="00000001" w:csb1="00000000"/>
  </w:font>
  <w:font w:name="Lato Light">
    <w:charset w:val="00"/>
    <w:family w:val="swiss"/>
    <w:pitch w:val="variable"/>
    <w:sig w:usb0="E10002FF" w:usb1="5000ECFF" w:usb2="00000021" w:usb3="00000000" w:csb0="0000019F" w:csb1="00000000"/>
  </w:font>
  <w:font w:name="Minion Pro">
    <w:altName w:val="Cambria Math"/>
    <w:charset w:val="00"/>
    <w:family w:val="roman"/>
    <w:pitch w:val="variable"/>
    <w:sig w:usb0="60000287" w:usb1="00000001" w:usb2="00000000" w:usb3="00000000" w:csb0="0000019F" w:csb1="00000000"/>
  </w:font>
  <w:font w:name="Helvetica Light">
    <w:altName w:val="Arial Nova Light"/>
    <w:charset w:val="00"/>
    <w:family w:val="swiss"/>
    <w:pitch w:val="variable"/>
    <w:sig w:usb0="800000AF" w:usb1="4000204A"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Thin">
    <w:altName w:val="Arial"/>
    <w:panose1 w:val="00000000000000000000"/>
    <w:charset w:val="00"/>
    <w:family w:val="swiss"/>
    <w:notTrueType/>
    <w:pitch w:val="variable"/>
    <w:sig w:usb0="800000AF" w:usb1="4000204A" w:usb2="00000000" w:usb3="00000000" w:csb0="00000001" w:csb1="00000000"/>
  </w:font>
  <w:font w:name="HelveticaNeueLTStd-Lt">
    <w:altName w:val="Yu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61B1" w14:textId="5EFC1AEC" w:rsidR="000D0FD0" w:rsidRDefault="007104E9" w:rsidP="00187E1F">
    <w:pPr>
      <w:pStyle w:val="Footer"/>
      <w:ind w:left="-710"/>
    </w:pPr>
    <w:r>
      <w:rPr>
        <w:noProof/>
        <w:color w:val="2B579A"/>
        <w:shd w:val="clear" w:color="auto" w:fill="E6E6E6"/>
        <w:lang w:val="en-US"/>
      </w:rPr>
      <w:drawing>
        <wp:inline distT="0" distB="0" distL="0" distR="0" wp14:anchorId="1190D7A2" wp14:editId="504F4AA2">
          <wp:extent cx="7585507" cy="830345"/>
          <wp:effectExtent l="0" t="0" r="0" b="8255"/>
          <wp:docPr id="519293523" name="Picture 519293523" descr="P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293523" name="Picture 519293523" descr="Page 3"/>
                  <pic:cNvPicPr/>
                </pic:nvPicPr>
                <pic:blipFill>
                  <a:blip r:embed="rId1">
                    <a:extLst>
                      <a:ext uri="{28A0092B-C50C-407E-A947-70E740481C1C}">
                        <a14:useLocalDpi xmlns:a14="http://schemas.microsoft.com/office/drawing/2010/main" val="0"/>
                      </a:ext>
                    </a:extLst>
                  </a:blip>
                  <a:stretch>
                    <a:fillRect/>
                  </a:stretch>
                </pic:blipFill>
                <pic:spPr>
                  <a:xfrm>
                    <a:off x="0" y="0"/>
                    <a:ext cx="7585507" cy="8303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C00A6" w14:textId="69C5A40C" w:rsidR="000C5AB1" w:rsidRDefault="000C5AB1" w:rsidP="000C5AB1">
    <w:pPr>
      <w:pStyle w:val="Footer"/>
      <w:ind w:left="-709"/>
    </w:pPr>
    <w:r>
      <w:rPr>
        <w:noProof/>
        <w:color w:val="2B579A"/>
        <w:shd w:val="clear" w:color="auto" w:fill="E6E6E6"/>
        <w:lang w:val="en-US"/>
      </w:rPr>
      <w:drawing>
        <wp:inline distT="0" distB="0" distL="0" distR="0" wp14:anchorId="7273B18D" wp14:editId="0AB847AF">
          <wp:extent cx="7814283" cy="855024"/>
          <wp:effectExtent l="0" t="0" r="0" b="2540"/>
          <wp:docPr id="1294995489" name="Picture 1294995489" descr="P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995489" name="Picture 1294995489" descr="Page 2"/>
                  <pic:cNvPicPr/>
                </pic:nvPicPr>
                <pic:blipFill>
                  <a:blip r:embed="rId1">
                    <a:extLst>
                      <a:ext uri="{28A0092B-C50C-407E-A947-70E740481C1C}">
                        <a14:useLocalDpi xmlns:a14="http://schemas.microsoft.com/office/drawing/2010/main" val="0"/>
                      </a:ext>
                    </a:extLst>
                  </a:blip>
                  <a:stretch>
                    <a:fillRect/>
                  </a:stretch>
                </pic:blipFill>
                <pic:spPr>
                  <a:xfrm>
                    <a:off x="0" y="0"/>
                    <a:ext cx="7853889" cy="8593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91D76" w14:textId="77777777" w:rsidR="002B6F6D" w:rsidRDefault="002B6F6D" w:rsidP="00830A2A">
      <w:r>
        <w:separator/>
      </w:r>
    </w:p>
  </w:footnote>
  <w:footnote w:type="continuationSeparator" w:id="0">
    <w:p w14:paraId="716666D9" w14:textId="77777777" w:rsidR="002B6F6D" w:rsidRDefault="002B6F6D" w:rsidP="00830A2A">
      <w:r>
        <w:continuationSeparator/>
      </w:r>
    </w:p>
  </w:footnote>
  <w:footnote w:type="continuationNotice" w:id="1">
    <w:p w14:paraId="764671D4" w14:textId="77777777" w:rsidR="002B6F6D" w:rsidRDefault="002B6F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657977"/>
      <w:docPartObj>
        <w:docPartGallery w:val="Page Numbers (Top of Page)"/>
        <w:docPartUnique/>
      </w:docPartObj>
    </w:sdtPr>
    <w:sdtEndPr>
      <w:rPr>
        <w:noProof/>
      </w:rPr>
    </w:sdtEndPr>
    <w:sdtContent>
      <w:p w14:paraId="49DB6ED5" w14:textId="6E615F52" w:rsidR="0611BBB0" w:rsidRDefault="00815195" w:rsidP="00FE7342">
        <w:pPr>
          <w:pStyle w:val="Head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01972" w14:textId="77777777" w:rsidR="000C5AB1" w:rsidRDefault="000C5AB1" w:rsidP="000C5AB1">
    <w:pPr>
      <w:pStyle w:val="Header"/>
    </w:pPr>
  </w:p>
  <w:p w14:paraId="48DCEA1A" w14:textId="77777777" w:rsidR="000C5AB1" w:rsidRDefault="000C5AB1" w:rsidP="000C5AB1">
    <w:pPr>
      <w:pStyle w:val="Header"/>
    </w:pPr>
  </w:p>
  <w:p w14:paraId="5E0DD06B" w14:textId="0FBB1F11" w:rsidR="000C5AB1" w:rsidRDefault="000C5AB1" w:rsidP="000C5AB1">
    <w:pPr>
      <w:pStyle w:val="Title"/>
      <w:rPr>
        <w:rFonts w:ascii="HelveticaNeueLT Std" w:hAnsi="HelveticaNeueLT Std" w:cs="HelveticaNeueLT Std"/>
        <w:b/>
        <w:bCs/>
        <w:color w:val="F16021"/>
        <w:sz w:val="30"/>
        <w:szCs w:val="30"/>
      </w:rPr>
    </w:pPr>
    <w:r w:rsidRPr="000D0FD0">
      <w:t>National Medical Workforce</w:t>
    </w:r>
    <w:r w:rsidR="005369DF">
      <w:t xml:space="preserve"> </w:t>
    </w:r>
    <w:r w:rsidRPr="000D0FD0">
      <w:t>Strategy</w:t>
    </w:r>
    <w:r>
      <w:br/>
    </w:r>
    <w:r w:rsidRPr="00830A2A">
      <w:rPr>
        <w:rStyle w:val="Year"/>
      </w:rPr>
      <w:t>2021–2031</w:t>
    </w:r>
  </w:p>
  <w:p w14:paraId="44B4D887" w14:textId="4417A806" w:rsidR="000C5AB1" w:rsidRDefault="000C5AB1" w:rsidP="000A276F">
    <w:pPr>
      <w:pStyle w:val="Normalwhite"/>
    </w:pPr>
    <w:r w:rsidRPr="00DD3E5C">
      <w:t>Investing in our medical workforce to meet Australia’s health needs</w:t>
    </w:r>
    <w:r w:rsidR="006405A0" w:rsidRPr="004D29E6">
      <w:rPr>
        <w:noProof/>
        <w:color w:val="2B579A"/>
        <w:shd w:val="clear" w:color="auto" w:fill="E6E6E6"/>
        <w:lang w:val="en-US"/>
      </w:rPr>
      <w:drawing>
        <wp:anchor distT="0" distB="0" distL="114300" distR="114300" simplePos="0" relativeHeight="251658240" behindDoc="1" locked="1" layoutInCell="1" allowOverlap="1" wp14:anchorId="5A95C937" wp14:editId="7145F0DA">
          <wp:simplePos x="0" y="0"/>
          <wp:positionH relativeFrom="page">
            <wp:align>right</wp:align>
          </wp:positionH>
          <wp:positionV relativeFrom="page">
            <wp:align>top</wp:align>
          </wp:positionV>
          <wp:extent cx="7559675" cy="2375535"/>
          <wp:effectExtent l="0" t="0" r="3175" b="5715"/>
          <wp:wrapNone/>
          <wp:docPr id="151938467" name="Picture 151938467" descr="Australian Government Department of Health and Aged Care - National Medical Workforce Strategy 2021-2031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and Aged Care - National Medical Workforce Strategy 2021-2031 banner"/>
                  <pic:cNvPicPr/>
                </pic:nvPicPr>
                <pic:blipFill>
                  <a:blip r:embed="rId1">
                    <a:extLst>
                      <a:ext uri="{28A0092B-C50C-407E-A947-70E740481C1C}">
                        <a14:useLocalDpi xmlns:a14="http://schemas.microsoft.com/office/drawing/2010/main" val="0"/>
                      </a:ext>
                    </a:extLst>
                  </a:blip>
                  <a:stretch>
                    <a:fillRect/>
                  </a:stretch>
                </pic:blipFill>
                <pic:spPr>
                  <a:xfrm>
                    <a:off x="0" y="0"/>
                    <a:ext cx="7559675" cy="2375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3986EB0"/>
    <w:lvl w:ilvl="0">
      <w:start w:val="1"/>
      <w:numFmt w:val="decimal"/>
      <w:pStyle w:val="ListNumber"/>
      <w:lvlText w:val="%1."/>
      <w:lvlJc w:val="left"/>
      <w:pPr>
        <w:tabs>
          <w:tab w:val="num" w:pos="360"/>
        </w:tabs>
        <w:ind w:left="360" w:hanging="360"/>
      </w:pPr>
    </w:lvl>
  </w:abstractNum>
  <w:abstractNum w:abstractNumId="1" w15:restartNumberingAfterBreak="0">
    <w:nsid w:val="060C2785"/>
    <w:multiLevelType w:val="hybridMultilevel"/>
    <w:tmpl w:val="CA5A976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9220756"/>
    <w:multiLevelType w:val="hybridMultilevel"/>
    <w:tmpl w:val="54C6976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0AC54D20"/>
    <w:multiLevelType w:val="hybridMultilevel"/>
    <w:tmpl w:val="FD0095E6"/>
    <w:lvl w:ilvl="0" w:tplc="662E8848">
      <w:start w:val="4"/>
      <w:numFmt w:val="bullet"/>
      <w:lvlText w:val="•"/>
      <w:lvlJc w:val="left"/>
      <w:pPr>
        <w:ind w:left="780" w:hanging="720"/>
      </w:pPr>
      <w:rPr>
        <w:rFonts w:ascii="Helvetica Neue" w:eastAsiaTheme="minorHAnsi" w:hAnsi="Helvetica Neue" w:cs="Helvetica Neue"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C9C658D"/>
    <w:multiLevelType w:val="hybridMultilevel"/>
    <w:tmpl w:val="FFE47D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D53A0A"/>
    <w:multiLevelType w:val="hybridMultilevel"/>
    <w:tmpl w:val="72A481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E51AB3"/>
    <w:multiLevelType w:val="hybridMultilevel"/>
    <w:tmpl w:val="FF3EBC0C"/>
    <w:lvl w:ilvl="0" w:tplc="662E8848">
      <w:start w:val="4"/>
      <w:numFmt w:val="bullet"/>
      <w:lvlText w:val="•"/>
      <w:lvlJc w:val="left"/>
      <w:pPr>
        <w:ind w:left="720" w:hanging="720"/>
      </w:pPr>
      <w:rPr>
        <w:rFonts w:ascii="Helvetica Neue" w:eastAsiaTheme="minorHAnsi" w:hAnsi="Helvetica Neue" w:cs="Helvetica Neu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131DB5"/>
    <w:multiLevelType w:val="hybridMultilevel"/>
    <w:tmpl w:val="3098A96C"/>
    <w:lvl w:ilvl="0" w:tplc="3E9E9C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FA0560"/>
    <w:multiLevelType w:val="hybridMultilevel"/>
    <w:tmpl w:val="F4D40F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4840EF"/>
    <w:multiLevelType w:val="hybridMultilevel"/>
    <w:tmpl w:val="896EC092"/>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592102F"/>
    <w:multiLevelType w:val="hybridMultilevel"/>
    <w:tmpl w:val="0886504E"/>
    <w:lvl w:ilvl="0" w:tplc="662E8848">
      <w:start w:val="4"/>
      <w:numFmt w:val="bullet"/>
      <w:lvlText w:val="•"/>
      <w:lvlJc w:val="left"/>
      <w:pPr>
        <w:ind w:left="720" w:hanging="720"/>
      </w:pPr>
      <w:rPr>
        <w:rFonts w:ascii="Helvetica Neue" w:eastAsiaTheme="minorHAnsi" w:hAnsi="Helvetica Neue" w:cs="Helvetica Neu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5350DD"/>
    <w:multiLevelType w:val="hybridMultilevel"/>
    <w:tmpl w:val="E05E2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2B2805"/>
    <w:multiLevelType w:val="hybridMultilevel"/>
    <w:tmpl w:val="1924C3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DE7C64"/>
    <w:multiLevelType w:val="hybridMultilevel"/>
    <w:tmpl w:val="A1141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3A20CA"/>
    <w:multiLevelType w:val="hybridMultilevel"/>
    <w:tmpl w:val="26CCAC4C"/>
    <w:lvl w:ilvl="0" w:tplc="55841F30">
      <w:start w:val="1"/>
      <w:numFmt w:val="decimal"/>
      <w:lvlText w:val="%1."/>
      <w:lvlJc w:val="left"/>
      <w:pPr>
        <w:ind w:left="786" w:hanging="360"/>
      </w:pPr>
      <w:rPr>
        <w:rFonts w:hint="default"/>
        <w:b w:val="0"/>
        <w:bCs w:val="0"/>
        <w:i w:val="0"/>
        <w:iCs/>
      </w:rPr>
    </w:lvl>
    <w:lvl w:ilvl="1" w:tplc="068466A8">
      <w:numFmt w:val="bullet"/>
      <w:lvlText w:val="•"/>
      <w:lvlJc w:val="left"/>
      <w:pPr>
        <w:ind w:left="1800" w:hanging="720"/>
      </w:pPr>
      <w:rPr>
        <w:rFonts w:ascii="Trebuchet MS" w:eastAsiaTheme="minorEastAsia" w:hAnsi="Trebuchet MS"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393A8E"/>
    <w:multiLevelType w:val="hybridMultilevel"/>
    <w:tmpl w:val="94DC3AA6"/>
    <w:lvl w:ilvl="0" w:tplc="662E8848">
      <w:start w:val="4"/>
      <w:numFmt w:val="bullet"/>
      <w:lvlText w:val="•"/>
      <w:lvlJc w:val="left"/>
      <w:pPr>
        <w:ind w:left="720" w:hanging="720"/>
      </w:pPr>
      <w:rPr>
        <w:rFonts w:ascii="Helvetica Neue" w:eastAsiaTheme="minorHAnsi" w:hAnsi="Helvetica Neue" w:cs="Helvetica Neue"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743E918"/>
    <w:multiLevelType w:val="hybridMultilevel"/>
    <w:tmpl w:val="7D56CE60"/>
    <w:lvl w:ilvl="0" w:tplc="D6F86BD4">
      <w:start w:val="1"/>
      <w:numFmt w:val="bullet"/>
      <w:lvlText w:val="-"/>
      <w:lvlJc w:val="left"/>
      <w:pPr>
        <w:ind w:left="720" w:hanging="360"/>
      </w:pPr>
      <w:rPr>
        <w:rFonts w:ascii="Calibri" w:hAnsi="Calibri" w:hint="default"/>
      </w:rPr>
    </w:lvl>
    <w:lvl w:ilvl="1" w:tplc="44F60A20">
      <w:start w:val="1"/>
      <w:numFmt w:val="bullet"/>
      <w:lvlText w:val="o"/>
      <w:lvlJc w:val="left"/>
      <w:pPr>
        <w:ind w:left="1440" w:hanging="360"/>
      </w:pPr>
      <w:rPr>
        <w:rFonts w:ascii="Courier New" w:hAnsi="Courier New" w:hint="default"/>
      </w:rPr>
    </w:lvl>
    <w:lvl w:ilvl="2" w:tplc="C284DFDC">
      <w:start w:val="1"/>
      <w:numFmt w:val="bullet"/>
      <w:lvlText w:val=""/>
      <w:lvlJc w:val="left"/>
      <w:pPr>
        <w:ind w:left="2160" w:hanging="360"/>
      </w:pPr>
      <w:rPr>
        <w:rFonts w:ascii="Wingdings" w:hAnsi="Wingdings" w:hint="default"/>
      </w:rPr>
    </w:lvl>
    <w:lvl w:ilvl="3" w:tplc="748A61EE">
      <w:start w:val="1"/>
      <w:numFmt w:val="bullet"/>
      <w:lvlText w:val=""/>
      <w:lvlJc w:val="left"/>
      <w:pPr>
        <w:ind w:left="2880" w:hanging="360"/>
      </w:pPr>
      <w:rPr>
        <w:rFonts w:ascii="Symbol" w:hAnsi="Symbol" w:hint="default"/>
      </w:rPr>
    </w:lvl>
    <w:lvl w:ilvl="4" w:tplc="6DA49540">
      <w:start w:val="1"/>
      <w:numFmt w:val="bullet"/>
      <w:lvlText w:val="o"/>
      <w:lvlJc w:val="left"/>
      <w:pPr>
        <w:ind w:left="3600" w:hanging="360"/>
      </w:pPr>
      <w:rPr>
        <w:rFonts w:ascii="Courier New" w:hAnsi="Courier New" w:hint="default"/>
      </w:rPr>
    </w:lvl>
    <w:lvl w:ilvl="5" w:tplc="2014189C">
      <w:start w:val="1"/>
      <w:numFmt w:val="bullet"/>
      <w:lvlText w:val=""/>
      <w:lvlJc w:val="left"/>
      <w:pPr>
        <w:ind w:left="4320" w:hanging="360"/>
      </w:pPr>
      <w:rPr>
        <w:rFonts w:ascii="Wingdings" w:hAnsi="Wingdings" w:hint="default"/>
      </w:rPr>
    </w:lvl>
    <w:lvl w:ilvl="6" w:tplc="76480AF0">
      <w:start w:val="1"/>
      <w:numFmt w:val="bullet"/>
      <w:lvlText w:val=""/>
      <w:lvlJc w:val="left"/>
      <w:pPr>
        <w:ind w:left="5040" w:hanging="360"/>
      </w:pPr>
      <w:rPr>
        <w:rFonts w:ascii="Symbol" w:hAnsi="Symbol" w:hint="default"/>
      </w:rPr>
    </w:lvl>
    <w:lvl w:ilvl="7" w:tplc="EC029EAE">
      <w:start w:val="1"/>
      <w:numFmt w:val="bullet"/>
      <w:lvlText w:val="o"/>
      <w:lvlJc w:val="left"/>
      <w:pPr>
        <w:ind w:left="5760" w:hanging="360"/>
      </w:pPr>
      <w:rPr>
        <w:rFonts w:ascii="Courier New" w:hAnsi="Courier New" w:hint="default"/>
      </w:rPr>
    </w:lvl>
    <w:lvl w:ilvl="8" w:tplc="27F8BE00">
      <w:start w:val="1"/>
      <w:numFmt w:val="bullet"/>
      <w:lvlText w:val=""/>
      <w:lvlJc w:val="left"/>
      <w:pPr>
        <w:ind w:left="6480" w:hanging="360"/>
      </w:pPr>
      <w:rPr>
        <w:rFonts w:ascii="Wingdings" w:hAnsi="Wingdings" w:hint="default"/>
      </w:rPr>
    </w:lvl>
  </w:abstractNum>
  <w:abstractNum w:abstractNumId="17" w15:restartNumberingAfterBreak="0">
    <w:nsid w:val="37D82A47"/>
    <w:multiLevelType w:val="multilevel"/>
    <w:tmpl w:val="2CD0AA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033175"/>
    <w:multiLevelType w:val="hybridMultilevel"/>
    <w:tmpl w:val="461C1C0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BF72FC1"/>
    <w:multiLevelType w:val="hybridMultilevel"/>
    <w:tmpl w:val="68A28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1F6D58"/>
    <w:multiLevelType w:val="multilevel"/>
    <w:tmpl w:val="42FC33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284776"/>
    <w:multiLevelType w:val="hybridMultilevel"/>
    <w:tmpl w:val="C0F06436"/>
    <w:lvl w:ilvl="0" w:tplc="662E8848">
      <w:start w:val="4"/>
      <w:numFmt w:val="bullet"/>
      <w:lvlText w:val="•"/>
      <w:lvlJc w:val="left"/>
      <w:pPr>
        <w:ind w:left="720" w:hanging="720"/>
      </w:pPr>
      <w:rPr>
        <w:rFonts w:ascii="Helvetica Neue" w:eastAsiaTheme="minorHAnsi" w:hAnsi="Helvetica Neue" w:cs="Helvetica Neu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C95EE2"/>
    <w:multiLevelType w:val="hybridMultilevel"/>
    <w:tmpl w:val="BE24F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55457C1"/>
    <w:multiLevelType w:val="multilevel"/>
    <w:tmpl w:val="9FF4D6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F44269"/>
    <w:multiLevelType w:val="hybridMultilevel"/>
    <w:tmpl w:val="5AE2196A"/>
    <w:lvl w:ilvl="0" w:tplc="6B787AAA">
      <w:numFmt w:val="bullet"/>
      <w:lvlText w:val="•"/>
      <w:lvlJc w:val="left"/>
      <w:pPr>
        <w:ind w:left="720" w:hanging="360"/>
      </w:pPr>
      <w:rPr>
        <w:rFonts w:ascii="Helvetica LT Std Light" w:eastAsiaTheme="minorHAnsi" w:hAnsi="Helvetica LT Std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607380"/>
    <w:multiLevelType w:val="hybridMultilevel"/>
    <w:tmpl w:val="69926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402272"/>
    <w:multiLevelType w:val="hybridMultilevel"/>
    <w:tmpl w:val="32F65EA6"/>
    <w:lvl w:ilvl="0" w:tplc="662E8848">
      <w:start w:val="4"/>
      <w:numFmt w:val="bullet"/>
      <w:lvlText w:val="•"/>
      <w:lvlJc w:val="left"/>
      <w:pPr>
        <w:ind w:left="720" w:hanging="720"/>
      </w:pPr>
      <w:rPr>
        <w:rFonts w:ascii="Helvetica Neue" w:eastAsiaTheme="minorHAnsi" w:hAnsi="Helvetica Neue" w:cs="Helvetica Neu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D960B0"/>
    <w:multiLevelType w:val="hybridMultilevel"/>
    <w:tmpl w:val="12EAFB9C"/>
    <w:lvl w:ilvl="0" w:tplc="662E8848">
      <w:start w:val="4"/>
      <w:numFmt w:val="bullet"/>
      <w:lvlText w:val="•"/>
      <w:lvlJc w:val="left"/>
      <w:pPr>
        <w:ind w:left="720" w:hanging="720"/>
      </w:pPr>
      <w:rPr>
        <w:rFonts w:ascii="Helvetica Neue" w:eastAsiaTheme="minorHAnsi" w:hAnsi="Helvetica Neue" w:cs="Helvetica Neu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205A66"/>
    <w:multiLevelType w:val="hybridMultilevel"/>
    <w:tmpl w:val="A8122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91320E"/>
    <w:multiLevelType w:val="multilevel"/>
    <w:tmpl w:val="F01632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B66810"/>
    <w:multiLevelType w:val="hybridMultilevel"/>
    <w:tmpl w:val="0CC8AF5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C7A4DC4"/>
    <w:multiLevelType w:val="hybridMultilevel"/>
    <w:tmpl w:val="24C88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B85E18"/>
    <w:multiLevelType w:val="hybridMultilevel"/>
    <w:tmpl w:val="043A73A6"/>
    <w:lvl w:ilvl="0" w:tplc="07B4E6C2">
      <w:start w:val="4"/>
      <w:numFmt w:val="bullet"/>
      <w:lvlText w:val="•"/>
      <w:lvlJc w:val="left"/>
      <w:pPr>
        <w:ind w:left="77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373416"/>
    <w:multiLevelType w:val="hybridMultilevel"/>
    <w:tmpl w:val="A34C46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563FF0"/>
    <w:multiLevelType w:val="hybridMultilevel"/>
    <w:tmpl w:val="3C586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E76B64"/>
    <w:multiLevelType w:val="hybridMultilevel"/>
    <w:tmpl w:val="707CB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90212A"/>
    <w:multiLevelType w:val="hybridMultilevel"/>
    <w:tmpl w:val="8E363566"/>
    <w:lvl w:ilvl="0" w:tplc="07B4E6C2">
      <w:start w:val="4"/>
      <w:numFmt w:val="bullet"/>
      <w:lvlText w:val="•"/>
      <w:lvlJc w:val="left"/>
      <w:pPr>
        <w:ind w:left="770" w:hanging="720"/>
      </w:pPr>
      <w:rPr>
        <w:rFonts w:ascii="Calibri" w:eastAsiaTheme="minorHAnsi" w:hAnsi="Calibri" w:cs="Calibri"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7" w15:restartNumberingAfterBreak="0">
    <w:nsid w:val="783B36F0"/>
    <w:multiLevelType w:val="hybridMultilevel"/>
    <w:tmpl w:val="8AFED80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8" w15:restartNumberingAfterBreak="0">
    <w:nsid w:val="7AA42937"/>
    <w:multiLevelType w:val="multilevel"/>
    <w:tmpl w:val="9D44E4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857A65"/>
    <w:multiLevelType w:val="hybridMultilevel"/>
    <w:tmpl w:val="3B7C6CB4"/>
    <w:lvl w:ilvl="0" w:tplc="662E8848">
      <w:start w:val="4"/>
      <w:numFmt w:val="bullet"/>
      <w:lvlText w:val="•"/>
      <w:lvlJc w:val="left"/>
      <w:pPr>
        <w:ind w:left="720" w:hanging="720"/>
      </w:pPr>
      <w:rPr>
        <w:rFonts w:ascii="Helvetica Neue" w:eastAsiaTheme="minorHAnsi" w:hAnsi="Helvetica Neue" w:cs="Helvetica Neu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4F16B2"/>
    <w:multiLevelType w:val="hybridMultilevel"/>
    <w:tmpl w:val="DF1CDCE8"/>
    <w:lvl w:ilvl="0" w:tplc="07B4E6C2">
      <w:start w:val="4"/>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77191F"/>
    <w:multiLevelType w:val="hybridMultilevel"/>
    <w:tmpl w:val="9A58C9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2548867">
    <w:abstractNumId w:val="12"/>
  </w:num>
  <w:num w:numId="2" w16cid:durableId="2017342052">
    <w:abstractNumId w:val="22"/>
  </w:num>
  <w:num w:numId="3" w16cid:durableId="1995254221">
    <w:abstractNumId w:val="28"/>
  </w:num>
  <w:num w:numId="4" w16cid:durableId="840851465">
    <w:abstractNumId w:val="16"/>
  </w:num>
  <w:num w:numId="5" w16cid:durableId="1693341756">
    <w:abstractNumId w:val="25"/>
  </w:num>
  <w:num w:numId="6" w16cid:durableId="1124080362">
    <w:abstractNumId w:val="15"/>
  </w:num>
  <w:num w:numId="7" w16cid:durableId="1600984208">
    <w:abstractNumId w:val="6"/>
  </w:num>
  <w:num w:numId="8" w16cid:durableId="1671372447">
    <w:abstractNumId w:val="39"/>
  </w:num>
  <w:num w:numId="9" w16cid:durableId="1335645301">
    <w:abstractNumId w:val="27"/>
  </w:num>
  <w:num w:numId="10" w16cid:durableId="1001811473">
    <w:abstractNumId w:val="26"/>
  </w:num>
  <w:num w:numId="11" w16cid:durableId="432438424">
    <w:abstractNumId w:val="10"/>
  </w:num>
  <w:num w:numId="12" w16cid:durableId="471099976">
    <w:abstractNumId w:val="3"/>
  </w:num>
  <w:num w:numId="13" w16cid:durableId="790903556">
    <w:abstractNumId w:val="33"/>
  </w:num>
  <w:num w:numId="14" w16cid:durableId="1439134653">
    <w:abstractNumId w:val="11"/>
  </w:num>
  <w:num w:numId="15" w16cid:durableId="1977946807">
    <w:abstractNumId w:val="13"/>
  </w:num>
  <w:num w:numId="16" w16cid:durableId="1013610495">
    <w:abstractNumId w:val="2"/>
  </w:num>
  <w:num w:numId="17" w16cid:durableId="886574935">
    <w:abstractNumId w:val="30"/>
  </w:num>
  <w:num w:numId="18" w16cid:durableId="647780092">
    <w:abstractNumId w:val="37"/>
  </w:num>
  <w:num w:numId="19" w16cid:durableId="1304194145">
    <w:abstractNumId w:val="31"/>
  </w:num>
  <w:num w:numId="20" w16cid:durableId="408623473">
    <w:abstractNumId w:val="40"/>
  </w:num>
  <w:num w:numId="21" w16cid:durableId="964192841">
    <w:abstractNumId w:val="36"/>
  </w:num>
  <w:num w:numId="22" w16cid:durableId="1931811092">
    <w:abstractNumId w:val="21"/>
  </w:num>
  <w:num w:numId="23" w16cid:durableId="538978532">
    <w:abstractNumId w:val="32"/>
  </w:num>
  <w:num w:numId="24" w16cid:durableId="1954634544">
    <w:abstractNumId w:val="8"/>
  </w:num>
  <w:num w:numId="25" w16cid:durableId="237599224">
    <w:abstractNumId w:val="7"/>
  </w:num>
  <w:num w:numId="26" w16cid:durableId="657345567">
    <w:abstractNumId w:val="14"/>
  </w:num>
  <w:num w:numId="27" w16cid:durableId="1271469534">
    <w:abstractNumId w:val="5"/>
  </w:num>
  <w:num w:numId="28" w16cid:durableId="626549851">
    <w:abstractNumId w:val="17"/>
  </w:num>
  <w:num w:numId="29" w16cid:durableId="1260066705">
    <w:abstractNumId w:val="38"/>
  </w:num>
  <w:num w:numId="30" w16cid:durableId="1061252426">
    <w:abstractNumId w:val="29"/>
  </w:num>
  <w:num w:numId="31" w16cid:durableId="1999527757">
    <w:abstractNumId w:val="20"/>
  </w:num>
  <w:num w:numId="32" w16cid:durableId="1392382190">
    <w:abstractNumId w:val="23"/>
  </w:num>
  <w:num w:numId="33" w16cid:durableId="954479228">
    <w:abstractNumId w:val="9"/>
  </w:num>
  <w:num w:numId="34" w16cid:durableId="1895198402">
    <w:abstractNumId w:val="18"/>
  </w:num>
  <w:num w:numId="35" w16cid:durableId="1366713332">
    <w:abstractNumId w:val="41"/>
  </w:num>
  <w:num w:numId="36" w16cid:durableId="1009217034">
    <w:abstractNumId w:val="19"/>
  </w:num>
  <w:num w:numId="37" w16cid:durableId="1029720990">
    <w:abstractNumId w:val="24"/>
  </w:num>
  <w:num w:numId="38" w16cid:durableId="764884781">
    <w:abstractNumId w:val="1"/>
  </w:num>
  <w:num w:numId="39" w16cid:durableId="1437362299">
    <w:abstractNumId w:val="34"/>
  </w:num>
  <w:num w:numId="40" w16cid:durableId="688263523">
    <w:abstractNumId w:val="35"/>
  </w:num>
  <w:num w:numId="41" w16cid:durableId="503980177">
    <w:abstractNumId w:val="4"/>
  </w:num>
  <w:num w:numId="42" w16cid:durableId="1631474741">
    <w:abstractNumId w:val="0"/>
  </w:num>
  <w:num w:numId="43" w16cid:durableId="280263035">
    <w:abstractNumId w:val="0"/>
    <w:lvlOverride w:ilvl="0">
      <w:startOverride w:val="1"/>
    </w:lvlOverride>
  </w:num>
  <w:num w:numId="44" w16cid:durableId="1444763929">
    <w:abstractNumId w:val="0"/>
  </w:num>
  <w:num w:numId="45" w16cid:durableId="2027168655">
    <w:abstractNumId w:val="0"/>
  </w:num>
  <w:num w:numId="46" w16cid:durableId="1579048687">
    <w:abstractNumId w:val="0"/>
  </w:num>
  <w:num w:numId="47" w16cid:durableId="2112966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Helvetica LT Std Light&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tfsx2t2y2pzx5e0pagxddr2wdxatwxf0wv2&quot;&gt;locums&lt;record-ids&gt;&lt;item&gt;5&lt;/item&gt;&lt;item&gt;30&lt;/item&gt;&lt;item&gt;36&lt;/item&gt;&lt;item&gt;46&lt;/item&gt;&lt;item&gt;72&lt;/item&gt;&lt;/record-ids&gt;&lt;/item&gt;&lt;/Libraries&gt;"/>
  </w:docVars>
  <w:rsids>
    <w:rsidRoot w:val="005E440B"/>
    <w:rsid w:val="0000146B"/>
    <w:rsid w:val="000027B3"/>
    <w:rsid w:val="000046B2"/>
    <w:rsid w:val="000047E3"/>
    <w:rsid w:val="00005D57"/>
    <w:rsid w:val="00013CB4"/>
    <w:rsid w:val="00015C96"/>
    <w:rsid w:val="000201B6"/>
    <w:rsid w:val="0002109B"/>
    <w:rsid w:val="00033DCA"/>
    <w:rsid w:val="0003460B"/>
    <w:rsid w:val="00043D5F"/>
    <w:rsid w:val="00047E84"/>
    <w:rsid w:val="00053747"/>
    <w:rsid w:val="000619B7"/>
    <w:rsid w:val="00062E64"/>
    <w:rsid w:val="0006508F"/>
    <w:rsid w:val="00067952"/>
    <w:rsid w:val="00070E2B"/>
    <w:rsid w:val="00071182"/>
    <w:rsid w:val="000775B8"/>
    <w:rsid w:val="00077A5A"/>
    <w:rsid w:val="000807C3"/>
    <w:rsid w:val="00080FE4"/>
    <w:rsid w:val="00081CBE"/>
    <w:rsid w:val="00084A21"/>
    <w:rsid w:val="000908F8"/>
    <w:rsid w:val="00091BE8"/>
    <w:rsid w:val="00093DF6"/>
    <w:rsid w:val="0009677D"/>
    <w:rsid w:val="000A276F"/>
    <w:rsid w:val="000C2972"/>
    <w:rsid w:val="000C3474"/>
    <w:rsid w:val="000C4C59"/>
    <w:rsid w:val="000C5AB1"/>
    <w:rsid w:val="000D0FD0"/>
    <w:rsid w:val="000D1399"/>
    <w:rsid w:val="000D2EC8"/>
    <w:rsid w:val="000D3B94"/>
    <w:rsid w:val="000D437D"/>
    <w:rsid w:val="000D5F26"/>
    <w:rsid w:val="000E077F"/>
    <w:rsid w:val="000E0FE4"/>
    <w:rsid w:val="000E2E6F"/>
    <w:rsid w:val="000E3689"/>
    <w:rsid w:val="000E44E7"/>
    <w:rsid w:val="000F1DCB"/>
    <w:rsid w:val="000F2042"/>
    <w:rsid w:val="0010482A"/>
    <w:rsid w:val="00105B85"/>
    <w:rsid w:val="00106B92"/>
    <w:rsid w:val="001126E5"/>
    <w:rsid w:val="00112E6A"/>
    <w:rsid w:val="001149BB"/>
    <w:rsid w:val="00116B07"/>
    <w:rsid w:val="0012210C"/>
    <w:rsid w:val="00122662"/>
    <w:rsid w:val="001273D0"/>
    <w:rsid w:val="00127908"/>
    <w:rsid w:val="00131CE9"/>
    <w:rsid w:val="00134413"/>
    <w:rsid w:val="00134B8E"/>
    <w:rsid w:val="00142B32"/>
    <w:rsid w:val="001433D4"/>
    <w:rsid w:val="001444F1"/>
    <w:rsid w:val="001456A3"/>
    <w:rsid w:val="001517C8"/>
    <w:rsid w:val="0015733C"/>
    <w:rsid w:val="0015791D"/>
    <w:rsid w:val="00157E86"/>
    <w:rsid w:val="0016233D"/>
    <w:rsid w:val="00162D7A"/>
    <w:rsid w:val="00176159"/>
    <w:rsid w:val="00177CD8"/>
    <w:rsid w:val="0018424A"/>
    <w:rsid w:val="001845DD"/>
    <w:rsid w:val="00185622"/>
    <w:rsid w:val="00187E1F"/>
    <w:rsid w:val="00191225"/>
    <w:rsid w:val="001914A9"/>
    <w:rsid w:val="00192132"/>
    <w:rsid w:val="00196AED"/>
    <w:rsid w:val="001A3E8C"/>
    <w:rsid w:val="001A43F3"/>
    <w:rsid w:val="001A61B4"/>
    <w:rsid w:val="001B112E"/>
    <w:rsid w:val="001B245D"/>
    <w:rsid w:val="001B747D"/>
    <w:rsid w:val="001B7FA9"/>
    <w:rsid w:val="001C181A"/>
    <w:rsid w:val="001C643F"/>
    <w:rsid w:val="001D19A9"/>
    <w:rsid w:val="001D36C3"/>
    <w:rsid w:val="001E5C99"/>
    <w:rsid w:val="001F0BBC"/>
    <w:rsid w:val="001F512E"/>
    <w:rsid w:val="002004C5"/>
    <w:rsid w:val="002019E9"/>
    <w:rsid w:val="0021262D"/>
    <w:rsid w:val="00216615"/>
    <w:rsid w:val="00220526"/>
    <w:rsid w:val="002212F4"/>
    <w:rsid w:val="0022470B"/>
    <w:rsid w:val="002251EE"/>
    <w:rsid w:val="0022685E"/>
    <w:rsid w:val="00227674"/>
    <w:rsid w:val="00227901"/>
    <w:rsid w:val="00234C97"/>
    <w:rsid w:val="00234CA9"/>
    <w:rsid w:val="00234CFF"/>
    <w:rsid w:val="00235F05"/>
    <w:rsid w:val="00244541"/>
    <w:rsid w:val="002560E3"/>
    <w:rsid w:val="00256EEB"/>
    <w:rsid w:val="00263B1B"/>
    <w:rsid w:val="00263EF3"/>
    <w:rsid w:val="00264178"/>
    <w:rsid w:val="00264F79"/>
    <w:rsid w:val="00265A51"/>
    <w:rsid w:val="00267989"/>
    <w:rsid w:val="00270F45"/>
    <w:rsid w:val="00275B7D"/>
    <w:rsid w:val="00275C7F"/>
    <w:rsid w:val="002839D5"/>
    <w:rsid w:val="002854AC"/>
    <w:rsid w:val="00285D9F"/>
    <w:rsid w:val="0029127E"/>
    <w:rsid w:val="002924A3"/>
    <w:rsid w:val="00294CA3"/>
    <w:rsid w:val="0029792E"/>
    <w:rsid w:val="002A0FF3"/>
    <w:rsid w:val="002A35FB"/>
    <w:rsid w:val="002A38DD"/>
    <w:rsid w:val="002B0D85"/>
    <w:rsid w:val="002B18C8"/>
    <w:rsid w:val="002B2D2E"/>
    <w:rsid w:val="002B3418"/>
    <w:rsid w:val="002B6C93"/>
    <w:rsid w:val="002B6F6D"/>
    <w:rsid w:val="002C03A5"/>
    <w:rsid w:val="002C1C2D"/>
    <w:rsid w:val="002C5C32"/>
    <w:rsid w:val="002C6392"/>
    <w:rsid w:val="002D08B2"/>
    <w:rsid w:val="002D15D4"/>
    <w:rsid w:val="002D4983"/>
    <w:rsid w:val="002E0FC3"/>
    <w:rsid w:val="002E21DC"/>
    <w:rsid w:val="002F19A8"/>
    <w:rsid w:val="002F57B0"/>
    <w:rsid w:val="002F7837"/>
    <w:rsid w:val="0030157F"/>
    <w:rsid w:val="0030250A"/>
    <w:rsid w:val="0031001A"/>
    <w:rsid w:val="00316F99"/>
    <w:rsid w:val="00317F8D"/>
    <w:rsid w:val="00321005"/>
    <w:rsid w:val="00323BF4"/>
    <w:rsid w:val="00337277"/>
    <w:rsid w:val="003424E5"/>
    <w:rsid w:val="00344EBF"/>
    <w:rsid w:val="0034732E"/>
    <w:rsid w:val="00357014"/>
    <w:rsid w:val="00357944"/>
    <w:rsid w:val="00360E7D"/>
    <w:rsid w:val="0036275D"/>
    <w:rsid w:val="00362F76"/>
    <w:rsid w:val="003643E4"/>
    <w:rsid w:val="00366B63"/>
    <w:rsid w:val="00381F3F"/>
    <w:rsid w:val="00383930"/>
    <w:rsid w:val="00383E58"/>
    <w:rsid w:val="00395354"/>
    <w:rsid w:val="003A00E4"/>
    <w:rsid w:val="003A0A9F"/>
    <w:rsid w:val="003A111E"/>
    <w:rsid w:val="003A16F3"/>
    <w:rsid w:val="003A2C1B"/>
    <w:rsid w:val="003A40FA"/>
    <w:rsid w:val="003B416A"/>
    <w:rsid w:val="003C20C3"/>
    <w:rsid w:val="003C325C"/>
    <w:rsid w:val="003D15CF"/>
    <w:rsid w:val="003D3652"/>
    <w:rsid w:val="003D3B6A"/>
    <w:rsid w:val="003D5BF9"/>
    <w:rsid w:val="003E2EEF"/>
    <w:rsid w:val="003E3986"/>
    <w:rsid w:val="003E3D6D"/>
    <w:rsid w:val="003E55EC"/>
    <w:rsid w:val="003E686D"/>
    <w:rsid w:val="003E71ED"/>
    <w:rsid w:val="003F06C1"/>
    <w:rsid w:val="003F52F1"/>
    <w:rsid w:val="003F6B17"/>
    <w:rsid w:val="00405A2D"/>
    <w:rsid w:val="00407A13"/>
    <w:rsid w:val="00413E5C"/>
    <w:rsid w:val="00414E9A"/>
    <w:rsid w:val="00415086"/>
    <w:rsid w:val="004164F3"/>
    <w:rsid w:val="004176A4"/>
    <w:rsid w:val="004223EB"/>
    <w:rsid w:val="004229F0"/>
    <w:rsid w:val="00425BD1"/>
    <w:rsid w:val="00433AA5"/>
    <w:rsid w:val="00433CBA"/>
    <w:rsid w:val="0043437B"/>
    <w:rsid w:val="00435D8C"/>
    <w:rsid w:val="00435DC2"/>
    <w:rsid w:val="004440ED"/>
    <w:rsid w:val="00446A78"/>
    <w:rsid w:val="00446AEA"/>
    <w:rsid w:val="0044739B"/>
    <w:rsid w:val="004479FF"/>
    <w:rsid w:val="00447CD7"/>
    <w:rsid w:val="004519A7"/>
    <w:rsid w:val="00454615"/>
    <w:rsid w:val="00457B73"/>
    <w:rsid w:val="0046086F"/>
    <w:rsid w:val="00460A35"/>
    <w:rsid w:val="00462557"/>
    <w:rsid w:val="004632D1"/>
    <w:rsid w:val="00467786"/>
    <w:rsid w:val="00472C2A"/>
    <w:rsid w:val="004772CB"/>
    <w:rsid w:val="0048228A"/>
    <w:rsid w:val="00482951"/>
    <w:rsid w:val="004841D9"/>
    <w:rsid w:val="00485C4D"/>
    <w:rsid w:val="00486489"/>
    <w:rsid w:val="00486A6D"/>
    <w:rsid w:val="00490885"/>
    <w:rsid w:val="0049111C"/>
    <w:rsid w:val="00495F99"/>
    <w:rsid w:val="00496000"/>
    <w:rsid w:val="00496495"/>
    <w:rsid w:val="00497E9D"/>
    <w:rsid w:val="004A18F2"/>
    <w:rsid w:val="004A2FF1"/>
    <w:rsid w:val="004A44B6"/>
    <w:rsid w:val="004A5350"/>
    <w:rsid w:val="004A6488"/>
    <w:rsid w:val="004B5BAB"/>
    <w:rsid w:val="004C0965"/>
    <w:rsid w:val="004C224D"/>
    <w:rsid w:val="004C3C87"/>
    <w:rsid w:val="004D2402"/>
    <w:rsid w:val="004D29E6"/>
    <w:rsid w:val="004D6C3B"/>
    <w:rsid w:val="004D7068"/>
    <w:rsid w:val="004F0E53"/>
    <w:rsid w:val="004F3651"/>
    <w:rsid w:val="004F3E64"/>
    <w:rsid w:val="004F6381"/>
    <w:rsid w:val="00500E63"/>
    <w:rsid w:val="005010C9"/>
    <w:rsid w:val="005065A8"/>
    <w:rsid w:val="00506947"/>
    <w:rsid w:val="0051337A"/>
    <w:rsid w:val="00514761"/>
    <w:rsid w:val="00515CEB"/>
    <w:rsid w:val="00520118"/>
    <w:rsid w:val="005201F3"/>
    <w:rsid w:val="0052050A"/>
    <w:rsid w:val="0052428C"/>
    <w:rsid w:val="005248EF"/>
    <w:rsid w:val="0052666E"/>
    <w:rsid w:val="00527613"/>
    <w:rsid w:val="00527F94"/>
    <w:rsid w:val="005337B1"/>
    <w:rsid w:val="00534242"/>
    <w:rsid w:val="00534ED6"/>
    <w:rsid w:val="00536503"/>
    <w:rsid w:val="00536620"/>
    <w:rsid w:val="005369DF"/>
    <w:rsid w:val="00537638"/>
    <w:rsid w:val="00541378"/>
    <w:rsid w:val="00541BB9"/>
    <w:rsid w:val="00555450"/>
    <w:rsid w:val="00564BB2"/>
    <w:rsid w:val="005666C5"/>
    <w:rsid w:val="00570BB9"/>
    <w:rsid w:val="005721A1"/>
    <w:rsid w:val="00573685"/>
    <w:rsid w:val="00574392"/>
    <w:rsid w:val="00576977"/>
    <w:rsid w:val="00580472"/>
    <w:rsid w:val="0058157F"/>
    <w:rsid w:val="0058648C"/>
    <w:rsid w:val="00590F0B"/>
    <w:rsid w:val="00592881"/>
    <w:rsid w:val="00594F76"/>
    <w:rsid w:val="005A0A49"/>
    <w:rsid w:val="005A29CD"/>
    <w:rsid w:val="005A2BFB"/>
    <w:rsid w:val="005A34F5"/>
    <w:rsid w:val="005A4F71"/>
    <w:rsid w:val="005A5964"/>
    <w:rsid w:val="005A798E"/>
    <w:rsid w:val="005B1FDE"/>
    <w:rsid w:val="005B2F06"/>
    <w:rsid w:val="005B310C"/>
    <w:rsid w:val="005B5607"/>
    <w:rsid w:val="005C0E86"/>
    <w:rsid w:val="005C26A5"/>
    <w:rsid w:val="005C4A70"/>
    <w:rsid w:val="005C5AF7"/>
    <w:rsid w:val="005C7454"/>
    <w:rsid w:val="005D4F50"/>
    <w:rsid w:val="005D5B62"/>
    <w:rsid w:val="005E2D16"/>
    <w:rsid w:val="005E37FC"/>
    <w:rsid w:val="005E440B"/>
    <w:rsid w:val="005E5933"/>
    <w:rsid w:val="005E7FD0"/>
    <w:rsid w:val="005F23FE"/>
    <w:rsid w:val="005F2507"/>
    <w:rsid w:val="005F7F3A"/>
    <w:rsid w:val="00600820"/>
    <w:rsid w:val="00602951"/>
    <w:rsid w:val="00604A79"/>
    <w:rsid w:val="00605147"/>
    <w:rsid w:val="00606D6E"/>
    <w:rsid w:val="00614300"/>
    <w:rsid w:val="00620EDD"/>
    <w:rsid w:val="0062377A"/>
    <w:rsid w:val="00623890"/>
    <w:rsid w:val="00625A9F"/>
    <w:rsid w:val="00625DBB"/>
    <w:rsid w:val="0063010F"/>
    <w:rsid w:val="00630DA3"/>
    <w:rsid w:val="0063140D"/>
    <w:rsid w:val="00633625"/>
    <w:rsid w:val="00636970"/>
    <w:rsid w:val="006405A0"/>
    <w:rsid w:val="00645033"/>
    <w:rsid w:val="00645BCF"/>
    <w:rsid w:val="006461E7"/>
    <w:rsid w:val="00653726"/>
    <w:rsid w:val="006608EE"/>
    <w:rsid w:val="00661C3C"/>
    <w:rsid w:val="00661D06"/>
    <w:rsid w:val="00662462"/>
    <w:rsid w:val="006651A3"/>
    <w:rsid w:val="00666CD3"/>
    <w:rsid w:val="00671770"/>
    <w:rsid w:val="00671985"/>
    <w:rsid w:val="00674497"/>
    <w:rsid w:val="00675C5D"/>
    <w:rsid w:val="00675E04"/>
    <w:rsid w:val="00680C9A"/>
    <w:rsid w:val="006813E4"/>
    <w:rsid w:val="00682113"/>
    <w:rsid w:val="00683AB1"/>
    <w:rsid w:val="006924E0"/>
    <w:rsid w:val="006965E9"/>
    <w:rsid w:val="006A09E5"/>
    <w:rsid w:val="006A21C5"/>
    <w:rsid w:val="006A34B0"/>
    <w:rsid w:val="006A75CF"/>
    <w:rsid w:val="006A7848"/>
    <w:rsid w:val="006B1EDA"/>
    <w:rsid w:val="006B3501"/>
    <w:rsid w:val="006C048C"/>
    <w:rsid w:val="006C1243"/>
    <w:rsid w:val="006C6592"/>
    <w:rsid w:val="006C6638"/>
    <w:rsid w:val="006D13C7"/>
    <w:rsid w:val="006D3D1D"/>
    <w:rsid w:val="006D3DA0"/>
    <w:rsid w:val="006E3752"/>
    <w:rsid w:val="006E4C80"/>
    <w:rsid w:val="006E5A94"/>
    <w:rsid w:val="006E5E44"/>
    <w:rsid w:val="006F1884"/>
    <w:rsid w:val="006F292F"/>
    <w:rsid w:val="006F3982"/>
    <w:rsid w:val="00702DCF"/>
    <w:rsid w:val="00704D0E"/>
    <w:rsid w:val="00705D8D"/>
    <w:rsid w:val="00707257"/>
    <w:rsid w:val="0070780D"/>
    <w:rsid w:val="007104E9"/>
    <w:rsid w:val="007137A7"/>
    <w:rsid w:val="00720781"/>
    <w:rsid w:val="00721715"/>
    <w:rsid w:val="00727917"/>
    <w:rsid w:val="007444A5"/>
    <w:rsid w:val="00753718"/>
    <w:rsid w:val="0075437B"/>
    <w:rsid w:val="00754F4D"/>
    <w:rsid w:val="00763707"/>
    <w:rsid w:val="00765BC9"/>
    <w:rsid w:val="00767BB6"/>
    <w:rsid w:val="0077470C"/>
    <w:rsid w:val="00775EF9"/>
    <w:rsid w:val="00777885"/>
    <w:rsid w:val="00781428"/>
    <w:rsid w:val="00782C23"/>
    <w:rsid w:val="00790E5F"/>
    <w:rsid w:val="00792F25"/>
    <w:rsid w:val="00796E9A"/>
    <w:rsid w:val="007A2EF0"/>
    <w:rsid w:val="007A37BD"/>
    <w:rsid w:val="007A55EA"/>
    <w:rsid w:val="007A56FD"/>
    <w:rsid w:val="007B03DC"/>
    <w:rsid w:val="007B5804"/>
    <w:rsid w:val="007B74A0"/>
    <w:rsid w:val="007C1D94"/>
    <w:rsid w:val="007C37F0"/>
    <w:rsid w:val="007C5E30"/>
    <w:rsid w:val="007C5F6E"/>
    <w:rsid w:val="007C63EE"/>
    <w:rsid w:val="007C66D7"/>
    <w:rsid w:val="007C6A2E"/>
    <w:rsid w:val="007D3534"/>
    <w:rsid w:val="007D6C06"/>
    <w:rsid w:val="007D7D42"/>
    <w:rsid w:val="007D7FAC"/>
    <w:rsid w:val="007E1253"/>
    <w:rsid w:val="007E1AC7"/>
    <w:rsid w:val="007E2A0E"/>
    <w:rsid w:val="007E339C"/>
    <w:rsid w:val="007E4FA5"/>
    <w:rsid w:val="007E5765"/>
    <w:rsid w:val="007E6D88"/>
    <w:rsid w:val="007F138B"/>
    <w:rsid w:val="0080128A"/>
    <w:rsid w:val="00801C68"/>
    <w:rsid w:val="00803493"/>
    <w:rsid w:val="00803B28"/>
    <w:rsid w:val="008044DC"/>
    <w:rsid w:val="00807416"/>
    <w:rsid w:val="00807809"/>
    <w:rsid w:val="00812C5C"/>
    <w:rsid w:val="0081390A"/>
    <w:rsid w:val="00815195"/>
    <w:rsid w:val="00815240"/>
    <w:rsid w:val="008172B7"/>
    <w:rsid w:val="008172C0"/>
    <w:rsid w:val="00820ACB"/>
    <w:rsid w:val="00820C2E"/>
    <w:rsid w:val="008212FB"/>
    <w:rsid w:val="008218F0"/>
    <w:rsid w:val="008235D4"/>
    <w:rsid w:val="00824BDF"/>
    <w:rsid w:val="00830A2A"/>
    <w:rsid w:val="0083165A"/>
    <w:rsid w:val="008410C6"/>
    <w:rsid w:val="0084201B"/>
    <w:rsid w:val="008466DE"/>
    <w:rsid w:val="00847854"/>
    <w:rsid w:val="00847992"/>
    <w:rsid w:val="00850322"/>
    <w:rsid w:val="008504AE"/>
    <w:rsid w:val="00850931"/>
    <w:rsid w:val="00851BD9"/>
    <w:rsid w:val="00863469"/>
    <w:rsid w:val="008638F6"/>
    <w:rsid w:val="00865300"/>
    <w:rsid w:val="00867A23"/>
    <w:rsid w:val="0087019B"/>
    <w:rsid w:val="00871714"/>
    <w:rsid w:val="00872F8E"/>
    <w:rsid w:val="00874477"/>
    <w:rsid w:val="008758A8"/>
    <w:rsid w:val="0087595E"/>
    <w:rsid w:val="00877EF4"/>
    <w:rsid w:val="00880860"/>
    <w:rsid w:val="00882D21"/>
    <w:rsid w:val="0089113F"/>
    <w:rsid w:val="0089358B"/>
    <w:rsid w:val="00895910"/>
    <w:rsid w:val="00897955"/>
    <w:rsid w:val="008A5EAE"/>
    <w:rsid w:val="008A7433"/>
    <w:rsid w:val="008B0978"/>
    <w:rsid w:val="008B3BAE"/>
    <w:rsid w:val="008B526B"/>
    <w:rsid w:val="008B6118"/>
    <w:rsid w:val="008C12AF"/>
    <w:rsid w:val="008D036B"/>
    <w:rsid w:val="008D1338"/>
    <w:rsid w:val="008D26C5"/>
    <w:rsid w:val="008D3333"/>
    <w:rsid w:val="008D62D3"/>
    <w:rsid w:val="008D6E6F"/>
    <w:rsid w:val="008D7E34"/>
    <w:rsid w:val="008E0B74"/>
    <w:rsid w:val="008E12E5"/>
    <w:rsid w:val="008E2E5A"/>
    <w:rsid w:val="008E3BE4"/>
    <w:rsid w:val="008E3D7F"/>
    <w:rsid w:val="008E482F"/>
    <w:rsid w:val="008F0A26"/>
    <w:rsid w:val="008F3D93"/>
    <w:rsid w:val="008F60B6"/>
    <w:rsid w:val="008F60F5"/>
    <w:rsid w:val="008F6EF3"/>
    <w:rsid w:val="008F7BDF"/>
    <w:rsid w:val="00906542"/>
    <w:rsid w:val="0090765A"/>
    <w:rsid w:val="00907882"/>
    <w:rsid w:val="00914EED"/>
    <w:rsid w:val="009175C2"/>
    <w:rsid w:val="00921C9D"/>
    <w:rsid w:val="0092447B"/>
    <w:rsid w:val="0092467E"/>
    <w:rsid w:val="00925232"/>
    <w:rsid w:val="00925AAC"/>
    <w:rsid w:val="00925AD6"/>
    <w:rsid w:val="00933CCC"/>
    <w:rsid w:val="009368F0"/>
    <w:rsid w:val="00942771"/>
    <w:rsid w:val="00943A87"/>
    <w:rsid w:val="00952B62"/>
    <w:rsid w:val="00954EA5"/>
    <w:rsid w:val="00966596"/>
    <w:rsid w:val="00966D21"/>
    <w:rsid w:val="009710EC"/>
    <w:rsid w:val="0097127F"/>
    <w:rsid w:val="00974828"/>
    <w:rsid w:val="00977AB1"/>
    <w:rsid w:val="00977BA6"/>
    <w:rsid w:val="0098154C"/>
    <w:rsid w:val="0099278D"/>
    <w:rsid w:val="009A6B27"/>
    <w:rsid w:val="009B1478"/>
    <w:rsid w:val="009B48D6"/>
    <w:rsid w:val="009B50A2"/>
    <w:rsid w:val="009B586F"/>
    <w:rsid w:val="009C0686"/>
    <w:rsid w:val="009C281D"/>
    <w:rsid w:val="009C6041"/>
    <w:rsid w:val="009C6344"/>
    <w:rsid w:val="009D0867"/>
    <w:rsid w:val="009D0A6B"/>
    <w:rsid w:val="009D36B0"/>
    <w:rsid w:val="009D492C"/>
    <w:rsid w:val="009D5CDE"/>
    <w:rsid w:val="009D5D26"/>
    <w:rsid w:val="009E0ED4"/>
    <w:rsid w:val="009E1C2D"/>
    <w:rsid w:val="009E25C8"/>
    <w:rsid w:val="009E2F69"/>
    <w:rsid w:val="009E6E7A"/>
    <w:rsid w:val="009E75AD"/>
    <w:rsid w:val="009F4BFF"/>
    <w:rsid w:val="009F4C27"/>
    <w:rsid w:val="009F69C0"/>
    <w:rsid w:val="00A01756"/>
    <w:rsid w:val="00A0238F"/>
    <w:rsid w:val="00A043D5"/>
    <w:rsid w:val="00A066EE"/>
    <w:rsid w:val="00A144B8"/>
    <w:rsid w:val="00A14F0D"/>
    <w:rsid w:val="00A153A0"/>
    <w:rsid w:val="00A212E9"/>
    <w:rsid w:val="00A2379A"/>
    <w:rsid w:val="00A30C59"/>
    <w:rsid w:val="00A32BAC"/>
    <w:rsid w:val="00A51BEA"/>
    <w:rsid w:val="00A51FFF"/>
    <w:rsid w:val="00A52525"/>
    <w:rsid w:val="00A5421F"/>
    <w:rsid w:val="00A550EB"/>
    <w:rsid w:val="00A55CEA"/>
    <w:rsid w:val="00A563D4"/>
    <w:rsid w:val="00A60EBB"/>
    <w:rsid w:val="00A72A7A"/>
    <w:rsid w:val="00A75390"/>
    <w:rsid w:val="00A763D7"/>
    <w:rsid w:val="00A76A6D"/>
    <w:rsid w:val="00A82916"/>
    <w:rsid w:val="00A83800"/>
    <w:rsid w:val="00A919C3"/>
    <w:rsid w:val="00A93292"/>
    <w:rsid w:val="00A93E17"/>
    <w:rsid w:val="00A948CC"/>
    <w:rsid w:val="00A97EB9"/>
    <w:rsid w:val="00AA50E1"/>
    <w:rsid w:val="00AA5833"/>
    <w:rsid w:val="00AA5B53"/>
    <w:rsid w:val="00AA5D43"/>
    <w:rsid w:val="00AA664A"/>
    <w:rsid w:val="00AA77EE"/>
    <w:rsid w:val="00AB0743"/>
    <w:rsid w:val="00AB07F8"/>
    <w:rsid w:val="00AB261F"/>
    <w:rsid w:val="00AB448A"/>
    <w:rsid w:val="00AB499C"/>
    <w:rsid w:val="00AB4E10"/>
    <w:rsid w:val="00AC0A33"/>
    <w:rsid w:val="00AC2050"/>
    <w:rsid w:val="00AD0C90"/>
    <w:rsid w:val="00AD22DE"/>
    <w:rsid w:val="00AD3190"/>
    <w:rsid w:val="00AD5AD1"/>
    <w:rsid w:val="00AD61FB"/>
    <w:rsid w:val="00AD75C3"/>
    <w:rsid w:val="00AE2FE0"/>
    <w:rsid w:val="00AF772F"/>
    <w:rsid w:val="00B0128A"/>
    <w:rsid w:val="00B01A2B"/>
    <w:rsid w:val="00B0257F"/>
    <w:rsid w:val="00B058B8"/>
    <w:rsid w:val="00B06B33"/>
    <w:rsid w:val="00B12B56"/>
    <w:rsid w:val="00B12F9E"/>
    <w:rsid w:val="00B156E8"/>
    <w:rsid w:val="00B16174"/>
    <w:rsid w:val="00B21793"/>
    <w:rsid w:val="00B25EF0"/>
    <w:rsid w:val="00B338E1"/>
    <w:rsid w:val="00B33C0D"/>
    <w:rsid w:val="00B348AA"/>
    <w:rsid w:val="00B41597"/>
    <w:rsid w:val="00B43237"/>
    <w:rsid w:val="00B43D23"/>
    <w:rsid w:val="00B44EC1"/>
    <w:rsid w:val="00B527AB"/>
    <w:rsid w:val="00B543EE"/>
    <w:rsid w:val="00B5634D"/>
    <w:rsid w:val="00B60A1C"/>
    <w:rsid w:val="00B6364B"/>
    <w:rsid w:val="00B71888"/>
    <w:rsid w:val="00B77400"/>
    <w:rsid w:val="00B8214B"/>
    <w:rsid w:val="00B84676"/>
    <w:rsid w:val="00B85D7C"/>
    <w:rsid w:val="00B871C5"/>
    <w:rsid w:val="00B9043A"/>
    <w:rsid w:val="00B950C7"/>
    <w:rsid w:val="00B9645E"/>
    <w:rsid w:val="00B9645F"/>
    <w:rsid w:val="00B976D5"/>
    <w:rsid w:val="00BA2057"/>
    <w:rsid w:val="00BA6A5D"/>
    <w:rsid w:val="00BB1BD0"/>
    <w:rsid w:val="00BB5DC4"/>
    <w:rsid w:val="00BC3177"/>
    <w:rsid w:val="00BC32FA"/>
    <w:rsid w:val="00BC4872"/>
    <w:rsid w:val="00BC4AD7"/>
    <w:rsid w:val="00BD4070"/>
    <w:rsid w:val="00BD42FD"/>
    <w:rsid w:val="00BD5013"/>
    <w:rsid w:val="00BE0121"/>
    <w:rsid w:val="00BE358C"/>
    <w:rsid w:val="00BE7B41"/>
    <w:rsid w:val="00BF4877"/>
    <w:rsid w:val="00BF51FF"/>
    <w:rsid w:val="00BF534B"/>
    <w:rsid w:val="00BF7119"/>
    <w:rsid w:val="00BF7FAA"/>
    <w:rsid w:val="00C00A97"/>
    <w:rsid w:val="00C0378C"/>
    <w:rsid w:val="00C051D3"/>
    <w:rsid w:val="00C05ACE"/>
    <w:rsid w:val="00C0609E"/>
    <w:rsid w:val="00C06F97"/>
    <w:rsid w:val="00C07F9A"/>
    <w:rsid w:val="00C1169B"/>
    <w:rsid w:val="00C133A2"/>
    <w:rsid w:val="00C13CF5"/>
    <w:rsid w:val="00C13F7C"/>
    <w:rsid w:val="00C16D1F"/>
    <w:rsid w:val="00C209E3"/>
    <w:rsid w:val="00C20EEB"/>
    <w:rsid w:val="00C2287D"/>
    <w:rsid w:val="00C2512B"/>
    <w:rsid w:val="00C25B64"/>
    <w:rsid w:val="00C26E63"/>
    <w:rsid w:val="00C27141"/>
    <w:rsid w:val="00C30406"/>
    <w:rsid w:val="00C30DFE"/>
    <w:rsid w:val="00C35E1A"/>
    <w:rsid w:val="00C36480"/>
    <w:rsid w:val="00C36552"/>
    <w:rsid w:val="00C36769"/>
    <w:rsid w:val="00C36BA8"/>
    <w:rsid w:val="00C402ED"/>
    <w:rsid w:val="00C40AAC"/>
    <w:rsid w:val="00C43C9C"/>
    <w:rsid w:val="00C544C4"/>
    <w:rsid w:val="00C62E74"/>
    <w:rsid w:val="00C6309B"/>
    <w:rsid w:val="00C63AD7"/>
    <w:rsid w:val="00C6456F"/>
    <w:rsid w:val="00C660DE"/>
    <w:rsid w:val="00C67A52"/>
    <w:rsid w:val="00C713F6"/>
    <w:rsid w:val="00C71495"/>
    <w:rsid w:val="00C732AA"/>
    <w:rsid w:val="00C77C88"/>
    <w:rsid w:val="00C82E45"/>
    <w:rsid w:val="00C843DE"/>
    <w:rsid w:val="00C87FA4"/>
    <w:rsid w:val="00C87FFA"/>
    <w:rsid w:val="00C9177F"/>
    <w:rsid w:val="00C924A4"/>
    <w:rsid w:val="00C925D3"/>
    <w:rsid w:val="00C9377C"/>
    <w:rsid w:val="00C95A7A"/>
    <w:rsid w:val="00C96501"/>
    <w:rsid w:val="00CA2AD5"/>
    <w:rsid w:val="00CA318C"/>
    <w:rsid w:val="00CA4696"/>
    <w:rsid w:val="00CA4F7B"/>
    <w:rsid w:val="00CA7895"/>
    <w:rsid w:val="00CB1430"/>
    <w:rsid w:val="00CB35BB"/>
    <w:rsid w:val="00CB53AB"/>
    <w:rsid w:val="00CC0E04"/>
    <w:rsid w:val="00CC53FE"/>
    <w:rsid w:val="00CC6EB6"/>
    <w:rsid w:val="00CD3DAC"/>
    <w:rsid w:val="00CD4DF5"/>
    <w:rsid w:val="00CD6EC5"/>
    <w:rsid w:val="00CD7966"/>
    <w:rsid w:val="00CE1286"/>
    <w:rsid w:val="00CE1606"/>
    <w:rsid w:val="00CE30CC"/>
    <w:rsid w:val="00CE36B8"/>
    <w:rsid w:val="00CE3A37"/>
    <w:rsid w:val="00CE4F15"/>
    <w:rsid w:val="00CE59DA"/>
    <w:rsid w:val="00CF0E04"/>
    <w:rsid w:val="00CF2241"/>
    <w:rsid w:val="00CF26E7"/>
    <w:rsid w:val="00CF370B"/>
    <w:rsid w:val="00D00EED"/>
    <w:rsid w:val="00D03C15"/>
    <w:rsid w:val="00D05977"/>
    <w:rsid w:val="00D0784F"/>
    <w:rsid w:val="00D11D22"/>
    <w:rsid w:val="00D14AFB"/>
    <w:rsid w:val="00D17653"/>
    <w:rsid w:val="00D2079B"/>
    <w:rsid w:val="00D21B16"/>
    <w:rsid w:val="00D234E1"/>
    <w:rsid w:val="00D26536"/>
    <w:rsid w:val="00D26F6B"/>
    <w:rsid w:val="00D27D9F"/>
    <w:rsid w:val="00D33F75"/>
    <w:rsid w:val="00D3488E"/>
    <w:rsid w:val="00D42BCE"/>
    <w:rsid w:val="00D42CC8"/>
    <w:rsid w:val="00D4376F"/>
    <w:rsid w:val="00D43C55"/>
    <w:rsid w:val="00D449D8"/>
    <w:rsid w:val="00D4781A"/>
    <w:rsid w:val="00D57038"/>
    <w:rsid w:val="00D65AC4"/>
    <w:rsid w:val="00D74576"/>
    <w:rsid w:val="00D76AA3"/>
    <w:rsid w:val="00D76DF6"/>
    <w:rsid w:val="00D96338"/>
    <w:rsid w:val="00DA0E1A"/>
    <w:rsid w:val="00DA0F25"/>
    <w:rsid w:val="00DA15C3"/>
    <w:rsid w:val="00DA199D"/>
    <w:rsid w:val="00DA409B"/>
    <w:rsid w:val="00DA5485"/>
    <w:rsid w:val="00DA562A"/>
    <w:rsid w:val="00DB18C3"/>
    <w:rsid w:val="00DB2CA0"/>
    <w:rsid w:val="00DB5436"/>
    <w:rsid w:val="00DB6E30"/>
    <w:rsid w:val="00DB7966"/>
    <w:rsid w:val="00DB7E72"/>
    <w:rsid w:val="00DC0FE6"/>
    <w:rsid w:val="00DC2764"/>
    <w:rsid w:val="00DC7C07"/>
    <w:rsid w:val="00DD16D1"/>
    <w:rsid w:val="00DD2037"/>
    <w:rsid w:val="00DD3516"/>
    <w:rsid w:val="00DD3E5C"/>
    <w:rsid w:val="00DD4356"/>
    <w:rsid w:val="00DE1A6B"/>
    <w:rsid w:val="00DE1BFB"/>
    <w:rsid w:val="00DE1CDF"/>
    <w:rsid w:val="00DE4467"/>
    <w:rsid w:val="00DF015E"/>
    <w:rsid w:val="00DF2C8A"/>
    <w:rsid w:val="00DF44F6"/>
    <w:rsid w:val="00E00D03"/>
    <w:rsid w:val="00E011FD"/>
    <w:rsid w:val="00E015CF"/>
    <w:rsid w:val="00E0677E"/>
    <w:rsid w:val="00E13C74"/>
    <w:rsid w:val="00E14808"/>
    <w:rsid w:val="00E17F3D"/>
    <w:rsid w:val="00E25147"/>
    <w:rsid w:val="00E27C77"/>
    <w:rsid w:val="00E30664"/>
    <w:rsid w:val="00E375B8"/>
    <w:rsid w:val="00E425C8"/>
    <w:rsid w:val="00E44736"/>
    <w:rsid w:val="00E46812"/>
    <w:rsid w:val="00E47296"/>
    <w:rsid w:val="00E47501"/>
    <w:rsid w:val="00E4750F"/>
    <w:rsid w:val="00E4766B"/>
    <w:rsid w:val="00E50757"/>
    <w:rsid w:val="00E52522"/>
    <w:rsid w:val="00E562CB"/>
    <w:rsid w:val="00E57688"/>
    <w:rsid w:val="00E63703"/>
    <w:rsid w:val="00E63970"/>
    <w:rsid w:val="00E66865"/>
    <w:rsid w:val="00E670A7"/>
    <w:rsid w:val="00E6719B"/>
    <w:rsid w:val="00E67A13"/>
    <w:rsid w:val="00E80FA5"/>
    <w:rsid w:val="00E81A17"/>
    <w:rsid w:val="00E87AE1"/>
    <w:rsid w:val="00E90DC4"/>
    <w:rsid w:val="00E97F21"/>
    <w:rsid w:val="00EA1379"/>
    <w:rsid w:val="00EA5B43"/>
    <w:rsid w:val="00EB3425"/>
    <w:rsid w:val="00EB4B16"/>
    <w:rsid w:val="00EC2478"/>
    <w:rsid w:val="00EC26F7"/>
    <w:rsid w:val="00EC5D43"/>
    <w:rsid w:val="00ED4E94"/>
    <w:rsid w:val="00ED7492"/>
    <w:rsid w:val="00EE0DD2"/>
    <w:rsid w:val="00EE1994"/>
    <w:rsid w:val="00EE1EA6"/>
    <w:rsid w:val="00EE7913"/>
    <w:rsid w:val="00EF35E7"/>
    <w:rsid w:val="00EF4ED5"/>
    <w:rsid w:val="00EF6F85"/>
    <w:rsid w:val="00F065E4"/>
    <w:rsid w:val="00F10831"/>
    <w:rsid w:val="00F14211"/>
    <w:rsid w:val="00F179D2"/>
    <w:rsid w:val="00F24769"/>
    <w:rsid w:val="00F31A7D"/>
    <w:rsid w:val="00F422E4"/>
    <w:rsid w:val="00F45A50"/>
    <w:rsid w:val="00F55AE7"/>
    <w:rsid w:val="00F60481"/>
    <w:rsid w:val="00F60B13"/>
    <w:rsid w:val="00F611F5"/>
    <w:rsid w:val="00F637BF"/>
    <w:rsid w:val="00F6695E"/>
    <w:rsid w:val="00F66F6A"/>
    <w:rsid w:val="00F67111"/>
    <w:rsid w:val="00F676C9"/>
    <w:rsid w:val="00F71229"/>
    <w:rsid w:val="00F76B23"/>
    <w:rsid w:val="00F8021C"/>
    <w:rsid w:val="00F8261B"/>
    <w:rsid w:val="00F84645"/>
    <w:rsid w:val="00F84B07"/>
    <w:rsid w:val="00F85362"/>
    <w:rsid w:val="00F87797"/>
    <w:rsid w:val="00F90B02"/>
    <w:rsid w:val="00F91406"/>
    <w:rsid w:val="00FA0D31"/>
    <w:rsid w:val="00FA6BDA"/>
    <w:rsid w:val="00FB2297"/>
    <w:rsid w:val="00FC021A"/>
    <w:rsid w:val="00FC2B50"/>
    <w:rsid w:val="00FC34E0"/>
    <w:rsid w:val="00FC6E48"/>
    <w:rsid w:val="00FD3FD2"/>
    <w:rsid w:val="00FD442C"/>
    <w:rsid w:val="00FD7338"/>
    <w:rsid w:val="00FE1A47"/>
    <w:rsid w:val="00FE1E71"/>
    <w:rsid w:val="00FE26DA"/>
    <w:rsid w:val="00FE412E"/>
    <w:rsid w:val="00FE6E2F"/>
    <w:rsid w:val="00FE7342"/>
    <w:rsid w:val="00FE7EC0"/>
    <w:rsid w:val="00FF05B8"/>
    <w:rsid w:val="00FF0837"/>
    <w:rsid w:val="00FF0926"/>
    <w:rsid w:val="00FF1A22"/>
    <w:rsid w:val="00FF4511"/>
    <w:rsid w:val="00FF59E7"/>
    <w:rsid w:val="010FC903"/>
    <w:rsid w:val="01198015"/>
    <w:rsid w:val="0130F6D3"/>
    <w:rsid w:val="015A0C5B"/>
    <w:rsid w:val="016DC38B"/>
    <w:rsid w:val="017C7DEC"/>
    <w:rsid w:val="027AAEDB"/>
    <w:rsid w:val="02D17C60"/>
    <w:rsid w:val="02E03ECE"/>
    <w:rsid w:val="032F5A50"/>
    <w:rsid w:val="0342D383"/>
    <w:rsid w:val="034E20C2"/>
    <w:rsid w:val="03559A63"/>
    <w:rsid w:val="0384C1CD"/>
    <w:rsid w:val="03A43B6F"/>
    <w:rsid w:val="03BC9BDC"/>
    <w:rsid w:val="03D6ADFC"/>
    <w:rsid w:val="05B8787A"/>
    <w:rsid w:val="0611BBB0"/>
    <w:rsid w:val="0658CB33"/>
    <w:rsid w:val="06A55FEB"/>
    <w:rsid w:val="06B4115D"/>
    <w:rsid w:val="07D0BC2E"/>
    <w:rsid w:val="07D421FF"/>
    <w:rsid w:val="07D827B1"/>
    <w:rsid w:val="08041087"/>
    <w:rsid w:val="0846B536"/>
    <w:rsid w:val="08F0193C"/>
    <w:rsid w:val="092DC7C7"/>
    <w:rsid w:val="09501930"/>
    <w:rsid w:val="0AA91FF7"/>
    <w:rsid w:val="0AC5ED8C"/>
    <w:rsid w:val="0AE9D35E"/>
    <w:rsid w:val="0BDFAC84"/>
    <w:rsid w:val="0C5408D3"/>
    <w:rsid w:val="0C645319"/>
    <w:rsid w:val="0C87B9F2"/>
    <w:rsid w:val="0C901568"/>
    <w:rsid w:val="0C98C4CB"/>
    <w:rsid w:val="0CC8288A"/>
    <w:rsid w:val="0CD4805E"/>
    <w:rsid w:val="0D5EA5A3"/>
    <w:rsid w:val="0DC6A333"/>
    <w:rsid w:val="0E0AE85B"/>
    <w:rsid w:val="0E0DC762"/>
    <w:rsid w:val="0E238A53"/>
    <w:rsid w:val="0E2B77D9"/>
    <w:rsid w:val="0E543419"/>
    <w:rsid w:val="0EA9810D"/>
    <w:rsid w:val="0EC690DD"/>
    <w:rsid w:val="0ECF61FA"/>
    <w:rsid w:val="0F9BF3DB"/>
    <w:rsid w:val="0FBFE119"/>
    <w:rsid w:val="10C2B3D4"/>
    <w:rsid w:val="1132575B"/>
    <w:rsid w:val="118C082E"/>
    <w:rsid w:val="11C4D803"/>
    <w:rsid w:val="124C7923"/>
    <w:rsid w:val="124F420C"/>
    <w:rsid w:val="12B3E92A"/>
    <w:rsid w:val="132390CF"/>
    <w:rsid w:val="1436853C"/>
    <w:rsid w:val="14854637"/>
    <w:rsid w:val="148C4BA5"/>
    <w:rsid w:val="1493523C"/>
    <w:rsid w:val="15257B21"/>
    <w:rsid w:val="152D2741"/>
    <w:rsid w:val="1565FF4C"/>
    <w:rsid w:val="15D8C9C3"/>
    <w:rsid w:val="16267EB4"/>
    <w:rsid w:val="16272E72"/>
    <w:rsid w:val="163689BE"/>
    <w:rsid w:val="166BED3E"/>
    <w:rsid w:val="168FE65B"/>
    <w:rsid w:val="16B5C372"/>
    <w:rsid w:val="17B931C2"/>
    <w:rsid w:val="17CA179B"/>
    <w:rsid w:val="1815D872"/>
    <w:rsid w:val="18CA7659"/>
    <w:rsid w:val="190CC611"/>
    <w:rsid w:val="1931F8C3"/>
    <w:rsid w:val="1979A87F"/>
    <w:rsid w:val="198A55C5"/>
    <w:rsid w:val="19BC4A66"/>
    <w:rsid w:val="19F28E5A"/>
    <w:rsid w:val="19FC1B16"/>
    <w:rsid w:val="1A0AB486"/>
    <w:rsid w:val="1A1214A1"/>
    <w:rsid w:val="1A1ABB32"/>
    <w:rsid w:val="1AC51F51"/>
    <w:rsid w:val="1B5806F9"/>
    <w:rsid w:val="1B9F08E7"/>
    <w:rsid w:val="1C41A313"/>
    <w:rsid w:val="1C5D9387"/>
    <w:rsid w:val="1CD2C654"/>
    <w:rsid w:val="1D1DBA1F"/>
    <w:rsid w:val="1D6D18C8"/>
    <w:rsid w:val="1DC6FAF6"/>
    <w:rsid w:val="1E49F342"/>
    <w:rsid w:val="1E69791A"/>
    <w:rsid w:val="1EA7ACFA"/>
    <w:rsid w:val="1ED631C6"/>
    <w:rsid w:val="1F0047C9"/>
    <w:rsid w:val="1F0766DB"/>
    <w:rsid w:val="1F1ED8E5"/>
    <w:rsid w:val="1F2582A8"/>
    <w:rsid w:val="1F56DF8A"/>
    <w:rsid w:val="1F6683AC"/>
    <w:rsid w:val="200F7AD7"/>
    <w:rsid w:val="201128F9"/>
    <w:rsid w:val="207782F8"/>
    <w:rsid w:val="20815625"/>
    <w:rsid w:val="20D1E0C3"/>
    <w:rsid w:val="213D4C09"/>
    <w:rsid w:val="21686F7E"/>
    <w:rsid w:val="218539DB"/>
    <w:rsid w:val="219EEAF3"/>
    <w:rsid w:val="21FBAF08"/>
    <w:rsid w:val="220BEBAF"/>
    <w:rsid w:val="229BE475"/>
    <w:rsid w:val="234A044F"/>
    <w:rsid w:val="236E9185"/>
    <w:rsid w:val="24DEA939"/>
    <w:rsid w:val="251774AD"/>
    <w:rsid w:val="25253915"/>
    <w:rsid w:val="252EB3FB"/>
    <w:rsid w:val="254747A7"/>
    <w:rsid w:val="255F30B4"/>
    <w:rsid w:val="266C7468"/>
    <w:rsid w:val="268C523A"/>
    <w:rsid w:val="26A6952F"/>
    <w:rsid w:val="26B0A51F"/>
    <w:rsid w:val="26DC484C"/>
    <w:rsid w:val="27076021"/>
    <w:rsid w:val="2719E678"/>
    <w:rsid w:val="27719591"/>
    <w:rsid w:val="27819E7A"/>
    <w:rsid w:val="27CF558C"/>
    <w:rsid w:val="27F08AB7"/>
    <w:rsid w:val="28CC35D2"/>
    <w:rsid w:val="2913C4B7"/>
    <w:rsid w:val="29844E4A"/>
    <w:rsid w:val="29949262"/>
    <w:rsid w:val="2A07B30A"/>
    <w:rsid w:val="2AD6FEEE"/>
    <w:rsid w:val="2ADE2294"/>
    <w:rsid w:val="2B150B45"/>
    <w:rsid w:val="2B1CB95C"/>
    <w:rsid w:val="2B5F65CB"/>
    <w:rsid w:val="2B79A36A"/>
    <w:rsid w:val="2BCF64E2"/>
    <w:rsid w:val="2BDDCC93"/>
    <w:rsid w:val="2BEBAA56"/>
    <w:rsid w:val="2C03D694"/>
    <w:rsid w:val="2C237581"/>
    <w:rsid w:val="2D1685CF"/>
    <w:rsid w:val="2D46B0D0"/>
    <w:rsid w:val="2D52C1A3"/>
    <w:rsid w:val="2E2505E2"/>
    <w:rsid w:val="2F22384E"/>
    <w:rsid w:val="2F2E36B6"/>
    <w:rsid w:val="2F735FD7"/>
    <w:rsid w:val="2FBD1BC7"/>
    <w:rsid w:val="2FF38FCE"/>
    <w:rsid w:val="305564FB"/>
    <w:rsid w:val="31834FC0"/>
    <w:rsid w:val="32110E9E"/>
    <w:rsid w:val="321F82E0"/>
    <w:rsid w:val="32257E09"/>
    <w:rsid w:val="3225B1DE"/>
    <w:rsid w:val="32318444"/>
    <w:rsid w:val="32AE8603"/>
    <w:rsid w:val="32DD0AC9"/>
    <w:rsid w:val="32E1DDB9"/>
    <w:rsid w:val="33301561"/>
    <w:rsid w:val="335782D0"/>
    <w:rsid w:val="34934F71"/>
    <w:rsid w:val="350F3723"/>
    <w:rsid w:val="36D4DFD2"/>
    <w:rsid w:val="3720203E"/>
    <w:rsid w:val="374C1E23"/>
    <w:rsid w:val="3750038B"/>
    <w:rsid w:val="38294155"/>
    <w:rsid w:val="385D51A8"/>
    <w:rsid w:val="386076E0"/>
    <w:rsid w:val="38785A22"/>
    <w:rsid w:val="38932EF3"/>
    <w:rsid w:val="38C09A51"/>
    <w:rsid w:val="38C86F62"/>
    <w:rsid w:val="38EBDD28"/>
    <w:rsid w:val="38F78A8D"/>
    <w:rsid w:val="38FCF60B"/>
    <w:rsid w:val="390F1C45"/>
    <w:rsid w:val="39DDBC0D"/>
    <w:rsid w:val="3A1778DE"/>
    <w:rsid w:val="3AB4A603"/>
    <w:rsid w:val="3AC747A3"/>
    <w:rsid w:val="3BC5F3A7"/>
    <w:rsid w:val="3BF808B2"/>
    <w:rsid w:val="3C551D78"/>
    <w:rsid w:val="3CB4C72C"/>
    <w:rsid w:val="3D1433E1"/>
    <w:rsid w:val="3D33851B"/>
    <w:rsid w:val="3D457EB8"/>
    <w:rsid w:val="3D56515E"/>
    <w:rsid w:val="3D86D279"/>
    <w:rsid w:val="3D9BE085"/>
    <w:rsid w:val="3DEB6C9A"/>
    <w:rsid w:val="3DFEE865"/>
    <w:rsid w:val="3E060D3E"/>
    <w:rsid w:val="3E1F5A88"/>
    <w:rsid w:val="3E20390B"/>
    <w:rsid w:val="3E33D4A6"/>
    <w:rsid w:val="3E4BDB79"/>
    <w:rsid w:val="3EB1A33B"/>
    <w:rsid w:val="3EDBE214"/>
    <w:rsid w:val="3F37B0E6"/>
    <w:rsid w:val="3F444BCF"/>
    <w:rsid w:val="3F5811B0"/>
    <w:rsid w:val="4011F247"/>
    <w:rsid w:val="40833A85"/>
    <w:rsid w:val="416F0FF2"/>
    <w:rsid w:val="41D86525"/>
    <w:rsid w:val="426F51A8"/>
    <w:rsid w:val="427B932D"/>
    <w:rsid w:val="427BFB42"/>
    <w:rsid w:val="4327D4D2"/>
    <w:rsid w:val="432F64C6"/>
    <w:rsid w:val="4342A523"/>
    <w:rsid w:val="43837565"/>
    <w:rsid w:val="4402C693"/>
    <w:rsid w:val="441BEEF0"/>
    <w:rsid w:val="441F8950"/>
    <w:rsid w:val="44D3FF42"/>
    <w:rsid w:val="4517B436"/>
    <w:rsid w:val="451DF5F1"/>
    <w:rsid w:val="46766F5F"/>
    <w:rsid w:val="4704FAF6"/>
    <w:rsid w:val="477ED636"/>
    <w:rsid w:val="479757B1"/>
    <w:rsid w:val="47D2ACF8"/>
    <w:rsid w:val="47E7F356"/>
    <w:rsid w:val="4815753B"/>
    <w:rsid w:val="481802BF"/>
    <w:rsid w:val="49013FA9"/>
    <w:rsid w:val="49100705"/>
    <w:rsid w:val="49190501"/>
    <w:rsid w:val="495F2B55"/>
    <w:rsid w:val="49C9FAA9"/>
    <w:rsid w:val="49E4E8B5"/>
    <w:rsid w:val="49F2B6E9"/>
    <w:rsid w:val="4A1ED1C8"/>
    <w:rsid w:val="4AA2A7F5"/>
    <w:rsid w:val="4AED05A1"/>
    <w:rsid w:val="4B1CA2B3"/>
    <w:rsid w:val="4B81EE3F"/>
    <w:rsid w:val="4B886E3B"/>
    <w:rsid w:val="4BB8D995"/>
    <w:rsid w:val="4C0ABB32"/>
    <w:rsid w:val="4C1560F2"/>
    <w:rsid w:val="4C50EBF5"/>
    <w:rsid w:val="4C8425B1"/>
    <w:rsid w:val="4CB79E61"/>
    <w:rsid w:val="4CD974E4"/>
    <w:rsid w:val="4D73AF06"/>
    <w:rsid w:val="4D86AC18"/>
    <w:rsid w:val="4DDAC419"/>
    <w:rsid w:val="4E24A663"/>
    <w:rsid w:val="4E30D013"/>
    <w:rsid w:val="4E3671BB"/>
    <w:rsid w:val="4E807C60"/>
    <w:rsid w:val="4E9089F4"/>
    <w:rsid w:val="4EBEF414"/>
    <w:rsid w:val="4EE50B16"/>
    <w:rsid w:val="4F2CBA72"/>
    <w:rsid w:val="4F4D36FF"/>
    <w:rsid w:val="4F989DF0"/>
    <w:rsid w:val="4FB9EAFF"/>
    <w:rsid w:val="4FC013DC"/>
    <w:rsid w:val="4FC076C4"/>
    <w:rsid w:val="4FE5C8D1"/>
    <w:rsid w:val="5036CD3A"/>
    <w:rsid w:val="508C988A"/>
    <w:rsid w:val="50F0F78F"/>
    <w:rsid w:val="50F19297"/>
    <w:rsid w:val="517B3F4C"/>
    <w:rsid w:val="519004FC"/>
    <w:rsid w:val="51DBACFB"/>
    <w:rsid w:val="520A66D5"/>
    <w:rsid w:val="520D0CB6"/>
    <w:rsid w:val="52274787"/>
    <w:rsid w:val="5231FCEA"/>
    <w:rsid w:val="52850782"/>
    <w:rsid w:val="5311EEFF"/>
    <w:rsid w:val="53837DCE"/>
    <w:rsid w:val="53A63736"/>
    <w:rsid w:val="543972C1"/>
    <w:rsid w:val="546AB562"/>
    <w:rsid w:val="54B7986C"/>
    <w:rsid w:val="5514CE51"/>
    <w:rsid w:val="551508C6"/>
    <w:rsid w:val="55348AC7"/>
    <w:rsid w:val="5541EE31"/>
    <w:rsid w:val="557B745D"/>
    <w:rsid w:val="55DC054F"/>
    <w:rsid w:val="5600A3F1"/>
    <w:rsid w:val="563BE1F8"/>
    <w:rsid w:val="56846C93"/>
    <w:rsid w:val="568FDBB9"/>
    <w:rsid w:val="5706AC99"/>
    <w:rsid w:val="5714A57E"/>
    <w:rsid w:val="5751AA07"/>
    <w:rsid w:val="575D27B2"/>
    <w:rsid w:val="576B1984"/>
    <w:rsid w:val="5844A4D3"/>
    <w:rsid w:val="588F19CF"/>
    <w:rsid w:val="59639213"/>
    <w:rsid w:val="59FB392D"/>
    <w:rsid w:val="5A43006D"/>
    <w:rsid w:val="5A77776F"/>
    <w:rsid w:val="5ABAB909"/>
    <w:rsid w:val="5AEFD8BD"/>
    <w:rsid w:val="5C4E9E2F"/>
    <w:rsid w:val="5C51610E"/>
    <w:rsid w:val="5C9E96E4"/>
    <w:rsid w:val="5CB4417D"/>
    <w:rsid w:val="5CBE9912"/>
    <w:rsid w:val="5EB38F96"/>
    <w:rsid w:val="5EBBF514"/>
    <w:rsid w:val="5F220C2A"/>
    <w:rsid w:val="60059DA0"/>
    <w:rsid w:val="600CCDFE"/>
    <w:rsid w:val="606844E0"/>
    <w:rsid w:val="60776201"/>
    <w:rsid w:val="608009BD"/>
    <w:rsid w:val="609208BA"/>
    <w:rsid w:val="60940198"/>
    <w:rsid w:val="610E2580"/>
    <w:rsid w:val="6122912B"/>
    <w:rsid w:val="618EF5AF"/>
    <w:rsid w:val="61BDCC48"/>
    <w:rsid w:val="61DF4A83"/>
    <w:rsid w:val="627DDFA2"/>
    <w:rsid w:val="62C40C35"/>
    <w:rsid w:val="630CE3F7"/>
    <w:rsid w:val="631AD7E1"/>
    <w:rsid w:val="6375C5E2"/>
    <w:rsid w:val="63AE3E8F"/>
    <w:rsid w:val="641CBE7E"/>
    <w:rsid w:val="650A2F22"/>
    <w:rsid w:val="65247522"/>
    <w:rsid w:val="653A489B"/>
    <w:rsid w:val="65877252"/>
    <w:rsid w:val="6702697A"/>
    <w:rsid w:val="6834D500"/>
    <w:rsid w:val="68D5D5CC"/>
    <w:rsid w:val="68ED2126"/>
    <w:rsid w:val="69580151"/>
    <w:rsid w:val="69851AF6"/>
    <w:rsid w:val="6987476B"/>
    <w:rsid w:val="69A69C3C"/>
    <w:rsid w:val="69F004EA"/>
    <w:rsid w:val="69FAE29E"/>
    <w:rsid w:val="6A0CB8BC"/>
    <w:rsid w:val="6B604849"/>
    <w:rsid w:val="6B79383F"/>
    <w:rsid w:val="6C5FCB5C"/>
    <w:rsid w:val="6C77D42A"/>
    <w:rsid w:val="6C9D56FA"/>
    <w:rsid w:val="6CAACA37"/>
    <w:rsid w:val="6DD1A9B9"/>
    <w:rsid w:val="6E34397F"/>
    <w:rsid w:val="6E511FE4"/>
    <w:rsid w:val="6EB8CC8D"/>
    <w:rsid w:val="6EE05600"/>
    <w:rsid w:val="6EEDD2D0"/>
    <w:rsid w:val="6F132E9F"/>
    <w:rsid w:val="6F33A938"/>
    <w:rsid w:val="6F3A6593"/>
    <w:rsid w:val="6FCD880E"/>
    <w:rsid w:val="6FEB7FFA"/>
    <w:rsid w:val="70336837"/>
    <w:rsid w:val="7035277E"/>
    <w:rsid w:val="70651606"/>
    <w:rsid w:val="707C9ED6"/>
    <w:rsid w:val="70F8330B"/>
    <w:rsid w:val="71D2CDA1"/>
    <w:rsid w:val="72BBB97D"/>
    <w:rsid w:val="72C72055"/>
    <w:rsid w:val="73047B76"/>
    <w:rsid w:val="7310FEBE"/>
    <w:rsid w:val="73DA8031"/>
    <w:rsid w:val="740BE57F"/>
    <w:rsid w:val="7411D9C9"/>
    <w:rsid w:val="744E857F"/>
    <w:rsid w:val="7451B4E4"/>
    <w:rsid w:val="750BFD48"/>
    <w:rsid w:val="75180EB0"/>
    <w:rsid w:val="751CC9D5"/>
    <w:rsid w:val="7521BA8A"/>
    <w:rsid w:val="753FA97C"/>
    <w:rsid w:val="75765092"/>
    <w:rsid w:val="7577F803"/>
    <w:rsid w:val="759B792D"/>
    <w:rsid w:val="75A6F3C1"/>
    <w:rsid w:val="75C52146"/>
    <w:rsid w:val="75E01077"/>
    <w:rsid w:val="75ED8545"/>
    <w:rsid w:val="75FE7EF3"/>
    <w:rsid w:val="76433339"/>
    <w:rsid w:val="76790F6C"/>
    <w:rsid w:val="76959532"/>
    <w:rsid w:val="769BBDE2"/>
    <w:rsid w:val="76B35F4E"/>
    <w:rsid w:val="76C99AB5"/>
    <w:rsid w:val="77995ED8"/>
    <w:rsid w:val="780DBE45"/>
    <w:rsid w:val="78386C22"/>
    <w:rsid w:val="78420F25"/>
    <w:rsid w:val="7917B139"/>
    <w:rsid w:val="79937087"/>
    <w:rsid w:val="799464BE"/>
    <w:rsid w:val="79D25776"/>
    <w:rsid w:val="79F43E0B"/>
    <w:rsid w:val="7A59A473"/>
    <w:rsid w:val="7A66C063"/>
    <w:rsid w:val="7B6E27D7"/>
    <w:rsid w:val="7C074425"/>
    <w:rsid w:val="7C7AB37A"/>
    <w:rsid w:val="7CC264AD"/>
    <w:rsid w:val="7CCB1149"/>
    <w:rsid w:val="7CD980B0"/>
    <w:rsid w:val="7E125EE2"/>
    <w:rsid w:val="7E4264A3"/>
    <w:rsid w:val="7E4FC770"/>
    <w:rsid w:val="7E5BE92C"/>
    <w:rsid w:val="7E6E2415"/>
    <w:rsid w:val="7ECC5A3C"/>
    <w:rsid w:val="7EE1585F"/>
    <w:rsid w:val="7FA936E9"/>
    <w:rsid w:val="7FB254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92B49"/>
  <w15:chartTrackingRefBased/>
  <w15:docId w15:val="{FF9B58A2-773D-450A-90F6-0177290F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63EE"/>
    <w:pPr>
      <w:spacing w:after="240" w:line="384" w:lineRule="auto"/>
    </w:pPr>
    <w:rPr>
      <w:rFonts w:ascii="Helvetica LT Std Light" w:hAnsi="Helvetica LT Std Light"/>
      <w:sz w:val="20"/>
      <w:szCs w:val="20"/>
    </w:rPr>
  </w:style>
  <w:style w:type="paragraph" w:styleId="Heading1">
    <w:name w:val="heading 1"/>
    <w:next w:val="Normal"/>
    <w:link w:val="Heading1Char"/>
    <w:uiPriority w:val="9"/>
    <w:qFormat/>
    <w:rsid w:val="000A276F"/>
    <w:pPr>
      <w:spacing w:before="480"/>
      <w:outlineLvl w:val="0"/>
    </w:pPr>
    <w:rPr>
      <w:rFonts w:ascii="Helvetica LT Std" w:hAnsi="Helvetica LT Std" w:cs="Helvetica LT Std"/>
      <w:color w:val="60848C"/>
      <w:sz w:val="48"/>
      <w:szCs w:val="50"/>
      <w:lang w:val="en-US"/>
    </w:rPr>
  </w:style>
  <w:style w:type="paragraph" w:styleId="Heading2">
    <w:name w:val="heading 2"/>
    <w:basedOn w:val="Normal"/>
    <w:next w:val="Normal"/>
    <w:link w:val="Heading2Char"/>
    <w:uiPriority w:val="9"/>
    <w:unhideWhenUsed/>
    <w:qFormat/>
    <w:rsid w:val="00830A2A"/>
    <w:pPr>
      <w:keepNext/>
      <w:keepLines/>
      <w:spacing w:before="240" w:after="0"/>
      <w:outlineLvl w:val="1"/>
    </w:pPr>
    <w:rPr>
      <w:rFonts w:ascii="Helvetica LT Std" w:eastAsiaTheme="majorEastAsia" w:hAnsi="Helvetica LT Std" w:cstheme="majorBidi"/>
      <w:b/>
      <w:color w:val="E15929"/>
      <w:sz w:val="26"/>
      <w:szCs w:val="26"/>
    </w:rPr>
  </w:style>
  <w:style w:type="paragraph" w:styleId="Heading3">
    <w:name w:val="heading 3"/>
    <w:basedOn w:val="Normal"/>
    <w:next w:val="Normal"/>
    <w:link w:val="Heading3Char"/>
    <w:uiPriority w:val="9"/>
    <w:unhideWhenUsed/>
    <w:qFormat/>
    <w:rsid w:val="00830A2A"/>
    <w:pPr>
      <w:keepNext/>
      <w:keepLines/>
      <w:spacing w:before="240" w:after="120" w:line="240" w:lineRule="auto"/>
      <w:outlineLvl w:val="2"/>
    </w:pPr>
    <w:rPr>
      <w:rFonts w:ascii="Helvetica LT Std" w:eastAsiaTheme="majorEastAsia" w:hAnsi="Helvetica LT Std" w:cstheme="majorBidi"/>
      <w:b/>
      <w:color w:val="E15929"/>
      <w:sz w:val="24"/>
      <w:szCs w:val="24"/>
    </w:rPr>
  </w:style>
  <w:style w:type="paragraph" w:styleId="Heading4">
    <w:name w:val="heading 4"/>
    <w:basedOn w:val="Normal"/>
    <w:next w:val="Normal"/>
    <w:link w:val="Heading4Char"/>
    <w:uiPriority w:val="9"/>
    <w:unhideWhenUsed/>
    <w:qFormat/>
    <w:rsid w:val="00E30664"/>
    <w:pPr>
      <w:keepNext/>
      <w:keepLines/>
      <w:spacing w:before="40" w:after="0"/>
      <w:outlineLvl w:val="3"/>
    </w:pPr>
    <w:rPr>
      <w:rFonts w:asciiTheme="majorHAnsi" w:eastAsiaTheme="majorEastAsia" w:hAnsiTheme="majorHAnsi" w:cstheme="majorBidi"/>
      <w:b/>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1">
    <w:name w:val="Paragraph Style 1"/>
    <w:basedOn w:val="Normal"/>
    <w:uiPriority w:val="99"/>
    <w:rsid w:val="004D29E6"/>
    <w:pPr>
      <w:suppressAutoHyphens/>
      <w:autoSpaceDE w:val="0"/>
      <w:autoSpaceDN w:val="0"/>
      <w:adjustRightInd w:val="0"/>
      <w:spacing w:line="903" w:lineRule="atLeast"/>
      <w:textAlignment w:val="center"/>
    </w:pPr>
    <w:rPr>
      <w:rFonts w:ascii="HelveticaNeueLT Std Lt" w:hAnsi="HelveticaNeueLT Std Lt" w:cs="HelveticaNeueLT Std Lt"/>
      <w:color w:val="FFFFFF"/>
      <w:spacing w:val="-8"/>
      <w:sz w:val="79"/>
      <w:szCs w:val="79"/>
      <w:lang w:val="en-US"/>
    </w:rPr>
  </w:style>
  <w:style w:type="paragraph" w:customStyle="1" w:styleId="LatoItalic">
    <w:name w:val="Lato Italic"/>
    <w:basedOn w:val="Normal"/>
    <w:uiPriority w:val="99"/>
    <w:rsid w:val="004D29E6"/>
    <w:pPr>
      <w:suppressAutoHyphens/>
      <w:autoSpaceDE w:val="0"/>
      <w:autoSpaceDN w:val="0"/>
      <w:adjustRightInd w:val="0"/>
      <w:spacing w:line="700" w:lineRule="atLeast"/>
      <w:textAlignment w:val="center"/>
    </w:pPr>
    <w:rPr>
      <w:rFonts w:ascii="Lato Light" w:hAnsi="Lato Light" w:cs="Lato Light"/>
      <w:i/>
      <w:iCs/>
      <w:color w:val="FFCC5B"/>
      <w:spacing w:val="81"/>
      <w:sz w:val="54"/>
      <w:szCs w:val="54"/>
      <w:lang w:val="en-US"/>
    </w:rPr>
  </w:style>
  <w:style w:type="paragraph" w:customStyle="1" w:styleId="Tagline">
    <w:name w:val="Tagline"/>
    <w:basedOn w:val="Normal"/>
    <w:uiPriority w:val="99"/>
    <w:rsid w:val="001F0BBC"/>
    <w:pPr>
      <w:suppressAutoHyphens/>
      <w:autoSpaceDE w:val="0"/>
      <w:autoSpaceDN w:val="0"/>
      <w:adjustRightInd w:val="0"/>
      <w:spacing w:after="454" w:line="288" w:lineRule="auto"/>
      <w:textAlignment w:val="center"/>
    </w:pPr>
    <w:rPr>
      <w:rFonts w:ascii="HelveticaNeueLT Std Lt" w:hAnsi="HelveticaNeueLT Std Lt" w:cs="HelveticaNeueLT Std Lt"/>
      <w:i/>
      <w:iCs/>
      <w:color w:val="00A3BF"/>
      <w:sz w:val="33"/>
      <w:szCs w:val="33"/>
      <w:lang w:val="en-US"/>
    </w:rPr>
  </w:style>
  <w:style w:type="paragraph" w:customStyle="1" w:styleId="BasicParagraph">
    <w:name w:val="[Basic Paragraph]"/>
    <w:basedOn w:val="Normal"/>
    <w:uiPriority w:val="99"/>
    <w:rsid w:val="00CE4F15"/>
    <w:pPr>
      <w:autoSpaceDE w:val="0"/>
      <w:autoSpaceDN w:val="0"/>
      <w:adjustRightInd w:val="0"/>
      <w:spacing w:line="288" w:lineRule="auto"/>
      <w:textAlignment w:val="center"/>
    </w:pPr>
    <w:rPr>
      <w:rFonts w:ascii="Minion Pro" w:hAnsi="Minion Pro" w:cs="Minion Pro"/>
      <w:color w:val="000000"/>
      <w:lang w:val="en-US"/>
    </w:rPr>
  </w:style>
  <w:style w:type="paragraph" w:customStyle="1" w:styleId="ParagraphStyle2">
    <w:name w:val="Paragraph Style 2"/>
    <w:basedOn w:val="Normal"/>
    <w:uiPriority w:val="99"/>
    <w:rsid w:val="002560E3"/>
    <w:pPr>
      <w:autoSpaceDE w:val="0"/>
      <w:autoSpaceDN w:val="0"/>
      <w:adjustRightInd w:val="0"/>
      <w:spacing w:line="360" w:lineRule="atLeast"/>
      <w:textAlignment w:val="center"/>
    </w:pPr>
    <w:rPr>
      <w:rFonts w:ascii="Helvetica Neue" w:hAnsi="Helvetica Neue" w:cs="Helvetica Neue"/>
      <w:color w:val="000000"/>
      <w:lang w:val="en-US"/>
    </w:rPr>
  </w:style>
  <w:style w:type="paragraph" w:styleId="Header">
    <w:name w:val="header"/>
    <w:basedOn w:val="Normal"/>
    <w:link w:val="HeaderChar"/>
    <w:uiPriority w:val="99"/>
    <w:unhideWhenUsed/>
    <w:rsid w:val="000D0FD0"/>
    <w:pPr>
      <w:tabs>
        <w:tab w:val="center" w:pos="4513"/>
        <w:tab w:val="right" w:pos="9026"/>
      </w:tabs>
    </w:pPr>
  </w:style>
  <w:style w:type="character" w:customStyle="1" w:styleId="HeaderChar">
    <w:name w:val="Header Char"/>
    <w:basedOn w:val="DefaultParagraphFont"/>
    <w:link w:val="Header"/>
    <w:uiPriority w:val="99"/>
    <w:rsid w:val="000D0FD0"/>
  </w:style>
  <w:style w:type="paragraph" w:styleId="Footer">
    <w:name w:val="footer"/>
    <w:basedOn w:val="Normal"/>
    <w:link w:val="FooterChar"/>
    <w:uiPriority w:val="99"/>
    <w:unhideWhenUsed/>
    <w:rsid w:val="004F0E53"/>
    <w:pPr>
      <w:tabs>
        <w:tab w:val="center" w:pos="4513"/>
        <w:tab w:val="right" w:pos="9026"/>
      </w:tabs>
      <w:spacing w:after="120" w:line="336" w:lineRule="auto"/>
    </w:pPr>
    <w:rPr>
      <w:sz w:val="16"/>
    </w:rPr>
  </w:style>
  <w:style w:type="character" w:customStyle="1" w:styleId="FooterChar">
    <w:name w:val="Footer Char"/>
    <w:basedOn w:val="DefaultParagraphFont"/>
    <w:link w:val="Footer"/>
    <w:uiPriority w:val="99"/>
    <w:rsid w:val="004F0E53"/>
    <w:rPr>
      <w:rFonts w:ascii="Helvetica LT Std Light" w:hAnsi="Helvetica LT Std Light"/>
      <w:sz w:val="16"/>
      <w:szCs w:val="20"/>
    </w:rPr>
  </w:style>
  <w:style w:type="paragraph" w:styleId="Title">
    <w:name w:val="Title"/>
    <w:next w:val="Normal"/>
    <w:link w:val="TitleChar"/>
    <w:uiPriority w:val="10"/>
    <w:qFormat/>
    <w:rsid w:val="00830A2A"/>
    <w:pPr>
      <w:spacing w:after="240"/>
    </w:pPr>
    <w:rPr>
      <w:rFonts w:ascii="Helvetica Light" w:hAnsi="Helvetica Light"/>
      <w:color w:val="00A88F"/>
      <w:sz w:val="44"/>
      <w:szCs w:val="44"/>
    </w:rPr>
  </w:style>
  <w:style w:type="character" w:customStyle="1" w:styleId="TitleChar">
    <w:name w:val="Title Char"/>
    <w:basedOn w:val="DefaultParagraphFont"/>
    <w:link w:val="Title"/>
    <w:uiPriority w:val="10"/>
    <w:rsid w:val="00830A2A"/>
    <w:rPr>
      <w:rFonts w:ascii="Helvetica Light" w:hAnsi="Helvetica Light"/>
      <w:color w:val="00A88F"/>
      <w:sz w:val="44"/>
      <w:szCs w:val="44"/>
    </w:rPr>
  </w:style>
  <w:style w:type="paragraph" w:styleId="Subtitle">
    <w:name w:val="Subtitle"/>
    <w:basedOn w:val="Normal"/>
    <w:next w:val="Normal"/>
    <w:link w:val="SubtitleChar"/>
    <w:uiPriority w:val="11"/>
    <w:qFormat/>
    <w:rsid w:val="00830A2A"/>
    <w:pPr>
      <w:numPr>
        <w:ilvl w:val="1"/>
      </w:numPr>
      <w:spacing w:before="520" w:after="160"/>
    </w:pPr>
    <w:rPr>
      <w:rFonts w:eastAsiaTheme="minorEastAsia"/>
      <w:color w:val="FFFFFF" w:themeColor="background1"/>
      <w:spacing w:val="15"/>
      <w:sz w:val="22"/>
      <w:szCs w:val="22"/>
    </w:rPr>
  </w:style>
  <w:style w:type="character" w:customStyle="1" w:styleId="SubtitleChar">
    <w:name w:val="Subtitle Char"/>
    <w:basedOn w:val="DefaultParagraphFont"/>
    <w:link w:val="Subtitle"/>
    <w:uiPriority w:val="11"/>
    <w:rsid w:val="00830A2A"/>
    <w:rPr>
      <w:rFonts w:eastAsiaTheme="minorEastAsia"/>
      <w:color w:val="FFFFFF" w:themeColor="background1"/>
      <w:spacing w:val="15"/>
      <w:sz w:val="22"/>
      <w:szCs w:val="22"/>
    </w:rPr>
  </w:style>
  <w:style w:type="character" w:customStyle="1" w:styleId="Year">
    <w:name w:val="Year"/>
    <w:basedOn w:val="DefaultParagraphFont"/>
    <w:uiPriority w:val="1"/>
    <w:qFormat/>
    <w:rsid w:val="00830A2A"/>
    <w:rPr>
      <w:rFonts w:ascii="Helvetica" w:hAnsi="Helvetica" w:cs="HelveticaNeueLT Std"/>
      <w:b/>
      <w:bCs/>
      <w:i w:val="0"/>
      <w:color w:val="F16021"/>
      <w:spacing w:val="40"/>
      <w:sz w:val="30"/>
      <w:szCs w:val="30"/>
    </w:rPr>
  </w:style>
  <w:style w:type="character" w:customStyle="1" w:styleId="Heading1Char">
    <w:name w:val="Heading 1 Char"/>
    <w:basedOn w:val="DefaultParagraphFont"/>
    <w:link w:val="Heading1"/>
    <w:uiPriority w:val="9"/>
    <w:rsid w:val="000A276F"/>
    <w:rPr>
      <w:rFonts w:ascii="Helvetica LT Std" w:hAnsi="Helvetica LT Std" w:cs="Helvetica LT Std"/>
      <w:color w:val="60848C"/>
      <w:sz w:val="48"/>
      <w:szCs w:val="50"/>
      <w:lang w:val="en-US"/>
    </w:rPr>
  </w:style>
  <w:style w:type="paragraph" w:styleId="Quote">
    <w:name w:val="Quote"/>
    <w:basedOn w:val="Normal"/>
    <w:next w:val="Normal"/>
    <w:link w:val="QuoteChar"/>
    <w:uiPriority w:val="29"/>
    <w:qFormat/>
    <w:rsid w:val="00767BB6"/>
    <w:rPr>
      <w:rFonts w:ascii="HelveticaNeueLT Std Thin" w:hAnsi="HelveticaNeueLT Std Thin" w:cs="HelveticaNeueLT Std Thin"/>
      <w:i/>
      <w:szCs w:val="30"/>
    </w:rPr>
  </w:style>
  <w:style w:type="character" w:styleId="Emphasis">
    <w:name w:val="Emphasis"/>
    <w:basedOn w:val="DefaultParagraphFont"/>
    <w:uiPriority w:val="20"/>
    <w:qFormat/>
    <w:rsid w:val="00830A2A"/>
    <w:rPr>
      <w:i/>
      <w:iCs/>
    </w:rPr>
  </w:style>
  <w:style w:type="character" w:customStyle="1" w:styleId="QuoteChar">
    <w:name w:val="Quote Char"/>
    <w:basedOn w:val="DefaultParagraphFont"/>
    <w:link w:val="Quote"/>
    <w:uiPriority w:val="29"/>
    <w:rsid w:val="00767BB6"/>
    <w:rPr>
      <w:rFonts w:ascii="HelveticaNeueLT Std Thin" w:hAnsi="HelveticaNeueLT Std Thin" w:cs="HelveticaNeueLT Std Thin"/>
      <w:i/>
      <w:sz w:val="20"/>
      <w:szCs w:val="30"/>
    </w:rPr>
  </w:style>
  <w:style w:type="paragraph" w:styleId="IntenseQuote">
    <w:name w:val="Intense Quote"/>
    <w:basedOn w:val="Normal"/>
    <w:next w:val="Normal"/>
    <w:link w:val="IntenseQuoteChar"/>
    <w:uiPriority w:val="30"/>
    <w:qFormat/>
    <w:rsid w:val="00830A2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30A2A"/>
    <w:rPr>
      <w:i/>
      <w:iCs/>
      <w:color w:val="4472C4" w:themeColor="accent1"/>
    </w:rPr>
  </w:style>
  <w:style w:type="character" w:customStyle="1" w:styleId="Heading2Char">
    <w:name w:val="Heading 2 Char"/>
    <w:basedOn w:val="DefaultParagraphFont"/>
    <w:link w:val="Heading2"/>
    <w:uiPriority w:val="9"/>
    <w:rsid w:val="00830A2A"/>
    <w:rPr>
      <w:rFonts w:ascii="Helvetica LT Std" w:eastAsiaTheme="majorEastAsia" w:hAnsi="Helvetica LT Std" w:cstheme="majorBidi"/>
      <w:b/>
      <w:color w:val="E15929"/>
      <w:sz w:val="26"/>
      <w:szCs w:val="26"/>
    </w:rPr>
  </w:style>
  <w:style w:type="character" w:customStyle="1" w:styleId="Heading3Char">
    <w:name w:val="Heading 3 Char"/>
    <w:basedOn w:val="DefaultParagraphFont"/>
    <w:link w:val="Heading3"/>
    <w:uiPriority w:val="9"/>
    <w:rsid w:val="00830A2A"/>
    <w:rPr>
      <w:rFonts w:ascii="Helvetica LT Std" w:eastAsiaTheme="majorEastAsia" w:hAnsi="Helvetica LT Std" w:cstheme="majorBidi"/>
      <w:b/>
      <w:color w:val="E15929"/>
    </w:rPr>
  </w:style>
  <w:style w:type="table" w:styleId="TableGrid">
    <w:name w:val="Table Grid"/>
    <w:basedOn w:val="TableNormal"/>
    <w:uiPriority w:val="39"/>
    <w:rsid w:val="004F0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0E53"/>
    <w:rPr>
      <w:b/>
      <w:color w:val="auto"/>
      <w:u w:val="none"/>
    </w:rPr>
  </w:style>
  <w:style w:type="character" w:customStyle="1" w:styleId="UnresolvedMention1">
    <w:name w:val="Unresolved Mention1"/>
    <w:basedOn w:val="DefaultParagraphFont"/>
    <w:uiPriority w:val="99"/>
    <w:semiHidden/>
    <w:unhideWhenUsed/>
    <w:rsid w:val="004F0E53"/>
    <w:rPr>
      <w:color w:val="605E5C"/>
      <w:shd w:val="clear" w:color="auto" w:fill="E1DFDD"/>
    </w:rPr>
  </w:style>
  <w:style w:type="paragraph" w:styleId="ListParagraph">
    <w:name w:val="List Paragraph"/>
    <w:basedOn w:val="Normal"/>
    <w:link w:val="ListParagraphChar"/>
    <w:uiPriority w:val="34"/>
    <w:qFormat/>
    <w:rsid w:val="00527613"/>
    <w:pPr>
      <w:ind w:left="720"/>
      <w:contextualSpacing/>
    </w:pPr>
  </w:style>
  <w:style w:type="character" w:styleId="UnresolvedMention">
    <w:name w:val="Unresolved Mention"/>
    <w:basedOn w:val="DefaultParagraphFont"/>
    <w:uiPriority w:val="99"/>
    <w:rsid w:val="002A38DD"/>
    <w:rPr>
      <w:color w:val="605E5C"/>
      <w:shd w:val="clear" w:color="auto" w:fill="E1DFDD"/>
    </w:rPr>
  </w:style>
  <w:style w:type="character" w:customStyle="1" w:styleId="Heading4Char">
    <w:name w:val="Heading 4 Char"/>
    <w:basedOn w:val="DefaultParagraphFont"/>
    <w:link w:val="Heading4"/>
    <w:uiPriority w:val="9"/>
    <w:rsid w:val="00E30664"/>
    <w:rPr>
      <w:rFonts w:asciiTheme="majorHAnsi" w:eastAsiaTheme="majorEastAsia" w:hAnsiTheme="majorHAnsi" w:cstheme="majorBidi"/>
      <w:b/>
      <w:iCs/>
      <w:color w:val="2F5496" w:themeColor="accent1" w:themeShade="BF"/>
      <w:sz w:val="20"/>
      <w:szCs w:val="20"/>
    </w:rPr>
  </w:style>
  <w:style w:type="paragraph" w:styleId="NoSpacing">
    <w:name w:val="No Spacing"/>
    <w:uiPriority w:val="1"/>
    <w:qFormat/>
    <w:rsid w:val="00F24769"/>
    <w:rPr>
      <w:rFonts w:ascii="Helvetica LT Std Light" w:hAnsi="Helvetica LT Std Light"/>
      <w:sz w:val="20"/>
      <w:szCs w:val="20"/>
    </w:rPr>
  </w:style>
  <w:style w:type="paragraph" w:styleId="Revision">
    <w:name w:val="Revision"/>
    <w:hidden/>
    <w:uiPriority w:val="99"/>
    <w:semiHidden/>
    <w:rsid w:val="00815195"/>
    <w:rPr>
      <w:rFonts w:ascii="Helvetica LT Std Light" w:hAnsi="Helvetica LT Std Light"/>
      <w:sz w:val="20"/>
      <w:szCs w:val="20"/>
    </w:rPr>
  </w:style>
  <w:style w:type="paragraph" w:customStyle="1" w:styleId="EndNoteBibliographyTitle">
    <w:name w:val="EndNote Bibliography Title"/>
    <w:basedOn w:val="Normal"/>
    <w:link w:val="EndNoteBibliographyTitleChar"/>
    <w:rsid w:val="008044DC"/>
    <w:pPr>
      <w:spacing w:after="0"/>
      <w:jc w:val="center"/>
    </w:pPr>
    <w:rPr>
      <w:noProof/>
      <w:lang w:val="en-US"/>
    </w:rPr>
  </w:style>
  <w:style w:type="character" w:customStyle="1" w:styleId="ListParagraphChar">
    <w:name w:val="List Paragraph Char"/>
    <w:basedOn w:val="DefaultParagraphFont"/>
    <w:link w:val="ListParagraph"/>
    <w:uiPriority w:val="34"/>
    <w:rsid w:val="008044DC"/>
    <w:rPr>
      <w:rFonts w:ascii="Helvetica LT Std Light" w:hAnsi="Helvetica LT Std Light"/>
      <w:sz w:val="20"/>
      <w:szCs w:val="20"/>
    </w:rPr>
  </w:style>
  <w:style w:type="character" w:customStyle="1" w:styleId="EndNoteBibliographyTitleChar">
    <w:name w:val="EndNote Bibliography Title Char"/>
    <w:basedOn w:val="ListParagraphChar"/>
    <w:link w:val="EndNoteBibliographyTitle"/>
    <w:rsid w:val="008044DC"/>
    <w:rPr>
      <w:rFonts w:ascii="Helvetica LT Std Light" w:hAnsi="Helvetica LT Std Light"/>
      <w:noProof/>
      <w:sz w:val="20"/>
      <w:szCs w:val="20"/>
      <w:lang w:val="en-US"/>
    </w:rPr>
  </w:style>
  <w:style w:type="paragraph" w:customStyle="1" w:styleId="EndNoteBibliography">
    <w:name w:val="EndNote Bibliography"/>
    <w:basedOn w:val="Normal"/>
    <w:link w:val="EndNoteBibliographyChar"/>
    <w:rsid w:val="008044DC"/>
    <w:pPr>
      <w:spacing w:line="240" w:lineRule="auto"/>
      <w:jc w:val="both"/>
    </w:pPr>
    <w:rPr>
      <w:noProof/>
      <w:lang w:val="en-US"/>
    </w:rPr>
  </w:style>
  <w:style w:type="character" w:customStyle="1" w:styleId="EndNoteBibliographyChar">
    <w:name w:val="EndNote Bibliography Char"/>
    <w:basedOn w:val="ListParagraphChar"/>
    <w:link w:val="EndNoteBibliography"/>
    <w:rsid w:val="008044DC"/>
    <w:rPr>
      <w:rFonts w:ascii="Helvetica LT Std Light" w:hAnsi="Helvetica LT Std Light"/>
      <w:noProof/>
      <w:sz w:val="20"/>
      <w:szCs w:val="20"/>
      <w:lang w:val="en-US"/>
    </w:rPr>
  </w:style>
  <w:style w:type="character" w:styleId="CommentReference">
    <w:name w:val="annotation reference"/>
    <w:basedOn w:val="DefaultParagraphFont"/>
    <w:uiPriority w:val="99"/>
    <w:semiHidden/>
    <w:unhideWhenUsed/>
    <w:rsid w:val="005A34F5"/>
    <w:rPr>
      <w:sz w:val="16"/>
      <w:szCs w:val="16"/>
    </w:rPr>
  </w:style>
  <w:style w:type="paragraph" w:styleId="CommentText">
    <w:name w:val="annotation text"/>
    <w:basedOn w:val="Normal"/>
    <w:link w:val="CommentTextChar"/>
    <w:uiPriority w:val="99"/>
    <w:unhideWhenUsed/>
    <w:rsid w:val="005A34F5"/>
    <w:pPr>
      <w:spacing w:line="240" w:lineRule="auto"/>
    </w:pPr>
  </w:style>
  <w:style w:type="character" w:customStyle="1" w:styleId="CommentTextChar">
    <w:name w:val="Comment Text Char"/>
    <w:basedOn w:val="DefaultParagraphFont"/>
    <w:link w:val="CommentText"/>
    <w:uiPriority w:val="99"/>
    <w:rsid w:val="005A34F5"/>
    <w:rPr>
      <w:rFonts w:ascii="Helvetica LT Std Light" w:hAnsi="Helvetica LT Std Light"/>
      <w:sz w:val="20"/>
      <w:szCs w:val="20"/>
    </w:rPr>
  </w:style>
  <w:style w:type="paragraph" w:styleId="CommentSubject">
    <w:name w:val="annotation subject"/>
    <w:basedOn w:val="CommentText"/>
    <w:next w:val="CommentText"/>
    <w:link w:val="CommentSubjectChar"/>
    <w:uiPriority w:val="99"/>
    <w:semiHidden/>
    <w:unhideWhenUsed/>
    <w:rsid w:val="005A34F5"/>
    <w:rPr>
      <w:b/>
      <w:bCs/>
    </w:rPr>
  </w:style>
  <w:style w:type="character" w:customStyle="1" w:styleId="CommentSubjectChar">
    <w:name w:val="Comment Subject Char"/>
    <w:basedOn w:val="CommentTextChar"/>
    <w:link w:val="CommentSubject"/>
    <w:uiPriority w:val="99"/>
    <w:semiHidden/>
    <w:rsid w:val="005A34F5"/>
    <w:rPr>
      <w:rFonts w:ascii="Helvetica LT Std Light" w:hAnsi="Helvetica LT Std Light"/>
      <w:b/>
      <w:bCs/>
      <w:sz w:val="20"/>
      <w:szCs w:val="20"/>
    </w:rPr>
  </w:style>
  <w:style w:type="character" w:styleId="Mention">
    <w:name w:val="Mention"/>
    <w:basedOn w:val="DefaultParagraphFont"/>
    <w:uiPriority w:val="99"/>
    <w:unhideWhenUsed/>
    <w:rsid w:val="00966D21"/>
    <w:rPr>
      <w:color w:val="2B579A"/>
      <w:shd w:val="clear" w:color="auto" w:fill="E6E6E6"/>
    </w:rPr>
  </w:style>
  <w:style w:type="character" w:customStyle="1" w:styleId="normaltextrun">
    <w:name w:val="normaltextrun"/>
    <w:basedOn w:val="DefaultParagraphFont"/>
    <w:rsid w:val="006F292F"/>
  </w:style>
  <w:style w:type="paragraph" w:customStyle="1" w:styleId="paragraph">
    <w:name w:val="paragraph"/>
    <w:basedOn w:val="Normal"/>
    <w:rsid w:val="00C051D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1"/>
    <w:qFormat/>
    <w:rsid w:val="00C051D3"/>
    <w:pPr>
      <w:widowControl w:val="0"/>
      <w:autoSpaceDE w:val="0"/>
      <w:autoSpaceDN w:val="0"/>
      <w:spacing w:after="0" w:line="240" w:lineRule="auto"/>
      <w:ind w:left="720"/>
    </w:pPr>
    <w:rPr>
      <w:rFonts w:ascii="HelveticaNeueLTStd-Lt" w:eastAsia="HelveticaNeueLTStd-Lt" w:hAnsi="HelveticaNeueLTStd-Lt" w:cs="HelveticaNeueLTStd-Lt"/>
      <w:sz w:val="18"/>
      <w:szCs w:val="18"/>
    </w:rPr>
  </w:style>
  <w:style w:type="character" w:customStyle="1" w:styleId="BodyTextChar">
    <w:name w:val="Body Text Char"/>
    <w:basedOn w:val="DefaultParagraphFont"/>
    <w:link w:val="BodyText"/>
    <w:uiPriority w:val="1"/>
    <w:rsid w:val="00C051D3"/>
    <w:rPr>
      <w:rFonts w:ascii="HelveticaNeueLTStd-Lt" w:eastAsia="HelveticaNeueLTStd-Lt" w:hAnsi="HelveticaNeueLTStd-Lt" w:cs="HelveticaNeueLTStd-Lt"/>
      <w:sz w:val="18"/>
      <w:szCs w:val="18"/>
    </w:rPr>
  </w:style>
  <w:style w:type="paragraph" w:customStyle="1" w:styleId="Normalwhite">
    <w:name w:val="Normal (white)"/>
    <w:basedOn w:val="Subtitle"/>
    <w:link w:val="NormalwhiteChar"/>
    <w:qFormat/>
    <w:rsid w:val="000A276F"/>
  </w:style>
  <w:style w:type="character" w:customStyle="1" w:styleId="NormalwhiteChar">
    <w:name w:val="Normal (white) Char"/>
    <w:basedOn w:val="SubtitleChar"/>
    <w:link w:val="Normalwhite"/>
    <w:rsid w:val="000A276F"/>
    <w:rPr>
      <w:rFonts w:ascii="Helvetica LT Std Light" w:eastAsiaTheme="minorEastAsia" w:hAnsi="Helvetica LT Std Light"/>
      <w:color w:val="FFFFFF" w:themeColor="background1"/>
      <w:spacing w:val="15"/>
      <w:sz w:val="22"/>
      <w:szCs w:val="22"/>
    </w:rPr>
  </w:style>
  <w:style w:type="paragraph" w:customStyle="1" w:styleId="Introparagraph">
    <w:name w:val="Intro paragraph"/>
    <w:basedOn w:val="Quote"/>
    <w:link w:val="IntroparagraphChar"/>
    <w:qFormat/>
    <w:rsid w:val="000A276F"/>
    <w:rPr>
      <w:color w:val="547A82"/>
    </w:rPr>
  </w:style>
  <w:style w:type="character" w:customStyle="1" w:styleId="IntroparagraphChar">
    <w:name w:val="Intro paragraph Char"/>
    <w:basedOn w:val="QuoteChar"/>
    <w:link w:val="Introparagraph"/>
    <w:rsid w:val="000A276F"/>
    <w:rPr>
      <w:rFonts w:ascii="HelveticaNeueLT Std Thin" w:hAnsi="HelveticaNeueLT Std Thin" w:cs="HelveticaNeueLT Std Thin"/>
      <w:i/>
      <w:color w:val="547A82"/>
      <w:sz w:val="20"/>
      <w:szCs w:val="30"/>
    </w:rPr>
  </w:style>
  <w:style w:type="paragraph" w:styleId="ListNumber">
    <w:name w:val="List Number"/>
    <w:basedOn w:val="Normal"/>
    <w:uiPriority w:val="99"/>
    <w:unhideWhenUsed/>
    <w:rsid w:val="000A276F"/>
    <w:pPr>
      <w:numPr>
        <w:numId w:val="42"/>
      </w:numPr>
      <w:contextualSpacing/>
    </w:pPr>
  </w:style>
  <w:style w:type="paragraph" w:styleId="Caption">
    <w:name w:val="caption"/>
    <w:basedOn w:val="Normal"/>
    <w:next w:val="Normal"/>
    <w:uiPriority w:val="35"/>
    <w:unhideWhenUsed/>
    <w:qFormat/>
    <w:rsid w:val="00E30664"/>
    <w:pPr>
      <w:spacing w:after="200" w:line="240" w:lineRule="auto"/>
    </w:pPr>
    <w:rPr>
      <w:b/>
      <w:iCs/>
      <w:color w:val="2F5496"/>
      <w:sz w:val="22"/>
      <w:szCs w:val="18"/>
    </w:rPr>
  </w:style>
  <w:style w:type="table" w:styleId="TableGridLight">
    <w:name w:val="Grid Table Light"/>
    <w:basedOn w:val="TableNormal"/>
    <w:uiPriority w:val="40"/>
    <w:rsid w:val="00FE73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47425">
      <w:bodyDiv w:val="1"/>
      <w:marLeft w:val="0"/>
      <w:marRight w:val="0"/>
      <w:marTop w:val="0"/>
      <w:marBottom w:val="0"/>
      <w:divBdr>
        <w:top w:val="none" w:sz="0" w:space="0" w:color="auto"/>
        <w:left w:val="none" w:sz="0" w:space="0" w:color="auto"/>
        <w:bottom w:val="none" w:sz="0" w:space="0" w:color="auto"/>
        <w:right w:val="none" w:sz="0" w:space="0" w:color="auto"/>
      </w:divBdr>
    </w:div>
    <w:div w:id="267271509">
      <w:bodyDiv w:val="1"/>
      <w:marLeft w:val="0"/>
      <w:marRight w:val="0"/>
      <w:marTop w:val="0"/>
      <w:marBottom w:val="0"/>
      <w:divBdr>
        <w:top w:val="none" w:sz="0" w:space="0" w:color="auto"/>
        <w:left w:val="none" w:sz="0" w:space="0" w:color="auto"/>
        <w:bottom w:val="none" w:sz="0" w:space="0" w:color="auto"/>
        <w:right w:val="none" w:sz="0" w:space="0" w:color="auto"/>
      </w:divBdr>
    </w:div>
    <w:div w:id="380325968">
      <w:bodyDiv w:val="1"/>
      <w:marLeft w:val="0"/>
      <w:marRight w:val="0"/>
      <w:marTop w:val="0"/>
      <w:marBottom w:val="0"/>
      <w:divBdr>
        <w:top w:val="none" w:sz="0" w:space="0" w:color="auto"/>
        <w:left w:val="none" w:sz="0" w:space="0" w:color="auto"/>
        <w:bottom w:val="none" w:sz="0" w:space="0" w:color="auto"/>
        <w:right w:val="none" w:sz="0" w:space="0" w:color="auto"/>
      </w:divBdr>
    </w:div>
    <w:div w:id="453714677">
      <w:bodyDiv w:val="1"/>
      <w:marLeft w:val="0"/>
      <w:marRight w:val="0"/>
      <w:marTop w:val="0"/>
      <w:marBottom w:val="0"/>
      <w:divBdr>
        <w:top w:val="none" w:sz="0" w:space="0" w:color="auto"/>
        <w:left w:val="none" w:sz="0" w:space="0" w:color="auto"/>
        <w:bottom w:val="none" w:sz="0" w:space="0" w:color="auto"/>
        <w:right w:val="none" w:sz="0" w:space="0" w:color="auto"/>
      </w:divBdr>
    </w:div>
    <w:div w:id="763065977">
      <w:bodyDiv w:val="1"/>
      <w:marLeft w:val="0"/>
      <w:marRight w:val="0"/>
      <w:marTop w:val="0"/>
      <w:marBottom w:val="0"/>
      <w:divBdr>
        <w:top w:val="none" w:sz="0" w:space="0" w:color="auto"/>
        <w:left w:val="none" w:sz="0" w:space="0" w:color="auto"/>
        <w:bottom w:val="none" w:sz="0" w:space="0" w:color="auto"/>
        <w:right w:val="none" w:sz="0" w:space="0" w:color="auto"/>
      </w:divBdr>
    </w:div>
    <w:div w:id="855197311">
      <w:bodyDiv w:val="1"/>
      <w:marLeft w:val="0"/>
      <w:marRight w:val="0"/>
      <w:marTop w:val="0"/>
      <w:marBottom w:val="0"/>
      <w:divBdr>
        <w:top w:val="none" w:sz="0" w:space="0" w:color="auto"/>
        <w:left w:val="none" w:sz="0" w:space="0" w:color="auto"/>
        <w:bottom w:val="none" w:sz="0" w:space="0" w:color="auto"/>
        <w:right w:val="none" w:sz="0" w:space="0" w:color="auto"/>
      </w:divBdr>
    </w:div>
    <w:div w:id="1453477497">
      <w:bodyDiv w:val="1"/>
      <w:marLeft w:val="0"/>
      <w:marRight w:val="0"/>
      <w:marTop w:val="0"/>
      <w:marBottom w:val="0"/>
      <w:divBdr>
        <w:top w:val="none" w:sz="0" w:space="0" w:color="auto"/>
        <w:left w:val="none" w:sz="0" w:space="0" w:color="auto"/>
        <w:bottom w:val="none" w:sz="0" w:space="0" w:color="auto"/>
        <w:right w:val="none" w:sz="0" w:space="0" w:color="auto"/>
      </w:divBdr>
    </w:div>
    <w:div w:id="1500852209">
      <w:bodyDiv w:val="1"/>
      <w:marLeft w:val="0"/>
      <w:marRight w:val="0"/>
      <w:marTop w:val="0"/>
      <w:marBottom w:val="0"/>
      <w:divBdr>
        <w:top w:val="none" w:sz="0" w:space="0" w:color="auto"/>
        <w:left w:val="none" w:sz="0" w:space="0" w:color="auto"/>
        <w:bottom w:val="none" w:sz="0" w:space="0" w:color="auto"/>
        <w:right w:val="none" w:sz="0" w:space="0" w:color="auto"/>
      </w:divBdr>
    </w:div>
    <w:div w:id="1553541184">
      <w:bodyDiv w:val="1"/>
      <w:marLeft w:val="0"/>
      <w:marRight w:val="0"/>
      <w:marTop w:val="0"/>
      <w:marBottom w:val="0"/>
      <w:divBdr>
        <w:top w:val="none" w:sz="0" w:space="0" w:color="auto"/>
        <w:left w:val="none" w:sz="0" w:space="0" w:color="auto"/>
        <w:bottom w:val="none" w:sz="0" w:space="0" w:color="auto"/>
        <w:right w:val="none" w:sz="0" w:space="0" w:color="auto"/>
      </w:divBdr>
    </w:div>
    <w:div w:id="1637906301">
      <w:bodyDiv w:val="1"/>
      <w:marLeft w:val="0"/>
      <w:marRight w:val="0"/>
      <w:marTop w:val="0"/>
      <w:marBottom w:val="0"/>
      <w:divBdr>
        <w:top w:val="none" w:sz="0" w:space="0" w:color="auto"/>
        <w:left w:val="none" w:sz="0" w:space="0" w:color="auto"/>
        <w:bottom w:val="none" w:sz="0" w:space="0" w:color="auto"/>
        <w:right w:val="none" w:sz="0" w:space="0" w:color="auto"/>
      </w:divBdr>
    </w:div>
    <w:div w:id="192972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wd.health.gov.au/webapi/jsf/dataCatalogueExplorer.x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tintoPortal xmlns="514746d9-538c-4772-b6e3-2fc5123a020e">true</PutintoPortal>
    <TaxCatchAll xmlns="11fb65b2-8d1a-4b15-bb48-8eb0a4e54da9" xsi:nil="true"/>
    <lcf76f155ced4ddcb4097134ff3c332f xmlns="514746d9-538c-4772-b6e3-2fc5123a02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B7B2E5225EBB41993EC91748DBA203" ma:contentTypeVersion="14" ma:contentTypeDescription="Create a new document." ma:contentTypeScope="" ma:versionID="3785e06f3632c48f2f586d32cfd60330">
  <xsd:schema xmlns:xsd="http://www.w3.org/2001/XMLSchema" xmlns:xs="http://www.w3.org/2001/XMLSchema" xmlns:p="http://schemas.microsoft.com/office/2006/metadata/properties" xmlns:ns2="514746d9-538c-4772-b6e3-2fc5123a020e" xmlns:ns3="11fb65b2-8d1a-4b15-bb48-8eb0a4e54da9" targetNamespace="http://schemas.microsoft.com/office/2006/metadata/properties" ma:root="true" ma:fieldsID="422ecead75d7c7a7e1c73faa9aefc810" ns2:_="" ns3:_="">
    <xsd:import namespace="514746d9-538c-4772-b6e3-2fc5123a020e"/>
    <xsd:import namespace="11fb65b2-8d1a-4b15-bb48-8eb0a4e54d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PutintoPortal"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746d9-538c-4772-b6e3-2fc5123a0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PutintoPortal" ma:index="14" nillable="true" ma:displayName="Put into Portal" ma:default="1" ma:format="Dropdown" ma:internalName="PutintoPortal">
      <xsd:simpleType>
        <xsd:restriction base="dms:Boolea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b65b2-8d1a-4b15-bb48-8eb0a4e54da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1c244e8-20d9-46c4-9f7f-67d20c21b059}" ma:internalName="TaxCatchAll" ma:showField="CatchAllData" ma:web="11fb65b2-8d1a-4b15-bb48-8eb0a4e54d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D95B0-2ED5-A444-B87A-92453F73473E}">
  <ds:schemaRefs>
    <ds:schemaRef ds:uri="http://schemas.openxmlformats.org/officeDocument/2006/bibliography"/>
  </ds:schemaRefs>
</ds:datastoreItem>
</file>

<file path=customXml/itemProps2.xml><?xml version="1.0" encoding="utf-8"?>
<ds:datastoreItem xmlns:ds="http://schemas.openxmlformats.org/officeDocument/2006/customXml" ds:itemID="{4FBC8005-618D-4A47-9F01-087E7AAB061D}">
  <ds:schemaRefs>
    <ds:schemaRef ds:uri="http://schemas.microsoft.com/office/2006/metadata/properties"/>
    <ds:schemaRef ds:uri="http://schemas.microsoft.com/office/infopath/2007/PartnerControls"/>
    <ds:schemaRef ds:uri="514746d9-538c-4772-b6e3-2fc5123a020e"/>
    <ds:schemaRef ds:uri="11fb65b2-8d1a-4b15-bb48-8eb0a4e54da9"/>
  </ds:schemaRefs>
</ds:datastoreItem>
</file>

<file path=customXml/itemProps3.xml><?xml version="1.0" encoding="utf-8"?>
<ds:datastoreItem xmlns:ds="http://schemas.openxmlformats.org/officeDocument/2006/customXml" ds:itemID="{435C9036-75EC-4A43-8542-287FCAFE4355}">
  <ds:schemaRefs>
    <ds:schemaRef ds:uri="http://schemas.microsoft.com/sharepoint/v3/contenttype/forms"/>
  </ds:schemaRefs>
</ds:datastoreItem>
</file>

<file path=customXml/itemProps4.xml><?xml version="1.0" encoding="utf-8"?>
<ds:datastoreItem xmlns:ds="http://schemas.openxmlformats.org/officeDocument/2006/customXml" ds:itemID="{EA5D7BC3-D573-48C9-AEE3-B7F6A1701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746d9-538c-4772-b6e3-2fc5123a020e"/>
    <ds:schemaRef ds:uri="11fb65b2-8d1a-4b15-bb48-8eb0a4e54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3567</Words>
  <Characters>20728</Characters>
  <Application>Microsoft Office Word</Application>
  <DocSecurity>0</DocSecurity>
  <Lines>291</Lines>
  <Paragraphs>138</Paragraphs>
  <ScaleCrop>false</ScaleCrop>
  <HeadingPairs>
    <vt:vector size="2" baseType="variant">
      <vt:variant>
        <vt:lpstr>Title</vt:lpstr>
      </vt:variant>
      <vt:variant>
        <vt:i4>1</vt:i4>
      </vt:variant>
    </vt:vector>
  </HeadingPairs>
  <TitlesOfParts>
    <vt:vector size="1" baseType="lpstr">
      <vt:lpstr>Analysis of Locum use in the Medical Workforce</vt:lpstr>
    </vt:vector>
  </TitlesOfParts>
  <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Locum use in the Medical Workforce</dc:title>
  <dc:subject>Health workforce</dc:subject>
  <dc:creator>Australian Government Department of Health and Aged Care;Department of Health and Aged Care</dc:creator>
  <cp:keywords>Medical Workforce;</cp:keywords>
  <dc:description/>
  <cp:lastModifiedBy>MASCHKE, Elvia</cp:lastModifiedBy>
  <cp:revision>3</cp:revision>
  <dcterms:created xsi:type="dcterms:W3CDTF">2025-03-03T22:27:00Z</dcterms:created>
  <dcterms:modified xsi:type="dcterms:W3CDTF">2025-03-03T22:28:00Z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0x01010020B7B2E5225EBB41993EC91748DBA203</vt:lpwstr>
  </property>
</Properties>
</file>