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E0AF" w14:textId="54803481" w:rsidR="00280050" w:rsidRDefault="0070412A" w:rsidP="00066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Transitional </w:t>
      </w:r>
      <w:r w:rsidR="00747D70"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 xml:space="preserve">ules </w:t>
      </w:r>
    </w:p>
    <w:p w14:paraId="5D36EE6B" w14:textId="556B2D00" w:rsidR="0070412A" w:rsidRDefault="00294866" w:rsidP="007041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Transitional Rules align to the Chapters in the </w:t>
      </w:r>
      <w:r w:rsidRPr="00294866">
        <w:rPr>
          <w:rFonts w:ascii="Calibri" w:hAnsi="Calibri" w:cs="Calibri"/>
          <w:i/>
          <w:iCs/>
          <w:sz w:val="22"/>
          <w:szCs w:val="22"/>
        </w:rPr>
        <w:t>Aged Care Act 2024</w:t>
      </w:r>
      <w:r>
        <w:rPr>
          <w:rFonts w:ascii="Calibri" w:hAnsi="Calibri" w:cs="Calibri"/>
          <w:sz w:val="22"/>
          <w:szCs w:val="22"/>
        </w:rPr>
        <w:t xml:space="preserve"> and will deal with matters not addressed by the </w:t>
      </w:r>
      <w:r w:rsidRPr="00294866">
        <w:rPr>
          <w:rFonts w:ascii="Calibri" w:hAnsi="Calibri" w:cs="Calibri"/>
          <w:i/>
          <w:iCs/>
          <w:sz w:val="22"/>
          <w:szCs w:val="22"/>
        </w:rPr>
        <w:t>Aged Care (Consequential Amendments and Transitional Provisions) Act 2024</w:t>
      </w:r>
      <w:r>
        <w:rPr>
          <w:rFonts w:ascii="Calibri" w:hAnsi="Calibri" w:cs="Calibri"/>
          <w:sz w:val="22"/>
          <w:szCs w:val="22"/>
        </w:rPr>
        <w:t>.</w:t>
      </w:r>
      <w:r w:rsidR="001749AB">
        <w:rPr>
          <w:rFonts w:ascii="Calibri" w:hAnsi="Calibri" w:cs="Calibri"/>
          <w:sz w:val="22"/>
          <w:szCs w:val="22"/>
        </w:rPr>
        <w:t xml:space="preserve"> The Transitional Rules are mechanical in nature and will seek to ensure a seamless transition between the existing legal framework and the new</w:t>
      </w:r>
      <w:r w:rsidR="00071F42">
        <w:rPr>
          <w:rFonts w:ascii="Calibri" w:hAnsi="Calibri" w:cs="Calibri"/>
          <w:sz w:val="22"/>
          <w:szCs w:val="22"/>
        </w:rPr>
        <w:t xml:space="preserve"> framework with a focus on ensuring continuity of care for </w:t>
      </w:r>
      <w:r w:rsidR="00B26D4C">
        <w:rPr>
          <w:rFonts w:ascii="Calibri" w:hAnsi="Calibri" w:cs="Calibri"/>
          <w:sz w:val="22"/>
          <w:szCs w:val="22"/>
        </w:rPr>
        <w:t>older people.</w:t>
      </w:r>
    </w:p>
    <w:p w14:paraId="0F78FF3D" w14:textId="184C4A2C" w:rsidR="0070412A" w:rsidRPr="00876A2A" w:rsidRDefault="00294866" w:rsidP="007041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876A2A">
        <w:rPr>
          <w:rFonts w:ascii="Calibri" w:hAnsi="Calibri" w:cs="Calibri"/>
          <w:sz w:val="22"/>
          <w:szCs w:val="22"/>
        </w:rPr>
        <w:t xml:space="preserve">Transitional </w:t>
      </w:r>
      <w:r>
        <w:rPr>
          <w:rFonts w:ascii="Calibri" w:hAnsi="Calibri" w:cs="Calibri"/>
          <w:sz w:val="22"/>
          <w:szCs w:val="22"/>
        </w:rPr>
        <w:t xml:space="preserve">Rules </w:t>
      </w:r>
      <w:r w:rsidR="00876A2A">
        <w:rPr>
          <w:rFonts w:ascii="Calibri" w:hAnsi="Calibri" w:cs="Calibri"/>
          <w:sz w:val="22"/>
          <w:szCs w:val="22"/>
        </w:rPr>
        <w:t xml:space="preserve">are being developed concurrently with the new Aged Care Rules and some matters may be addressed in those rules </w:t>
      </w:r>
      <w:proofErr w:type="spellStart"/>
      <w:proofErr w:type="gramStart"/>
      <w:r w:rsidR="00876A2A">
        <w:rPr>
          <w:rFonts w:ascii="Calibri" w:hAnsi="Calibri" w:cs="Calibri"/>
          <w:sz w:val="22"/>
          <w:szCs w:val="22"/>
        </w:rPr>
        <w:t>where</w:t>
      </w:r>
      <w:proofErr w:type="spellEnd"/>
      <w:proofErr w:type="gramEnd"/>
      <w:r w:rsidR="00876A2A">
        <w:rPr>
          <w:rFonts w:ascii="Calibri" w:hAnsi="Calibri" w:cs="Calibri"/>
          <w:sz w:val="22"/>
          <w:szCs w:val="22"/>
        </w:rPr>
        <w:t xml:space="preserve"> </w:t>
      </w:r>
      <w:r w:rsidR="00747D70">
        <w:rPr>
          <w:rFonts w:ascii="Calibri" w:hAnsi="Calibri" w:cs="Calibri"/>
          <w:sz w:val="22"/>
          <w:szCs w:val="22"/>
        </w:rPr>
        <w:t xml:space="preserve">doing so </w:t>
      </w:r>
      <w:r w:rsidR="00876A2A">
        <w:rPr>
          <w:rFonts w:ascii="Calibri" w:hAnsi="Calibri" w:cs="Calibri"/>
          <w:sz w:val="22"/>
          <w:szCs w:val="22"/>
        </w:rPr>
        <w:t xml:space="preserve">is more appropriate. </w:t>
      </w:r>
      <w:r w:rsidR="00747D70">
        <w:rPr>
          <w:rFonts w:ascii="Calibri" w:hAnsi="Calibri" w:cs="Calibri"/>
          <w:sz w:val="22"/>
          <w:szCs w:val="22"/>
        </w:rPr>
        <w:t>T</w:t>
      </w:r>
      <w:r w:rsidR="00876A2A">
        <w:rPr>
          <w:rFonts w:ascii="Calibri" w:hAnsi="Calibri" w:cs="Calibri"/>
          <w:sz w:val="22"/>
          <w:szCs w:val="22"/>
        </w:rPr>
        <w:t xml:space="preserve">he list below provides an overview of matters which may be addressed in the Transitional Rules as they relate to the Chapters of the </w:t>
      </w:r>
      <w:r w:rsidR="00876A2A" w:rsidRPr="00294866">
        <w:rPr>
          <w:rFonts w:ascii="Calibri" w:hAnsi="Calibri" w:cs="Calibri"/>
          <w:i/>
          <w:iCs/>
          <w:sz w:val="22"/>
          <w:szCs w:val="22"/>
        </w:rPr>
        <w:t>Aged Care Act 2024</w:t>
      </w:r>
      <w:r w:rsidR="00747D70">
        <w:rPr>
          <w:rFonts w:ascii="Calibri" w:hAnsi="Calibri" w:cs="Calibri"/>
          <w:sz w:val="22"/>
          <w:szCs w:val="22"/>
        </w:rPr>
        <w:t>. This</w:t>
      </w:r>
      <w:r w:rsidR="00876A2A">
        <w:rPr>
          <w:rFonts w:ascii="Calibri" w:hAnsi="Calibri" w:cs="Calibri"/>
          <w:sz w:val="22"/>
          <w:szCs w:val="22"/>
        </w:rPr>
        <w:t xml:space="preserve"> remains subject to change.</w:t>
      </w:r>
    </w:p>
    <w:p w14:paraId="063F5387" w14:textId="77777777" w:rsidR="00294866" w:rsidRDefault="00294866" w:rsidP="0070412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2501"/>
        <w:gridCol w:w="3311"/>
        <w:gridCol w:w="6407"/>
      </w:tblGrid>
      <w:tr w:rsidR="006A6890" w:rsidRPr="00747D70" w14:paraId="2BCFD754" w14:textId="77777777" w:rsidTr="00747D70">
        <w:trPr>
          <w:tblHeader/>
        </w:trPr>
        <w:tc>
          <w:tcPr>
            <w:tcW w:w="2501" w:type="dxa"/>
            <w:shd w:val="clear" w:color="auto" w:fill="E8E8E8" w:themeFill="background2"/>
          </w:tcPr>
          <w:p w14:paraId="4A0F5B5E" w14:textId="3CA48418" w:rsidR="006A6890" w:rsidRPr="00747D70" w:rsidRDefault="006A6890" w:rsidP="007041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D70">
              <w:rPr>
                <w:rFonts w:ascii="Calibri" w:hAnsi="Calibri" w:cs="Calibri"/>
                <w:b/>
                <w:bCs/>
                <w:sz w:val="22"/>
                <w:szCs w:val="22"/>
              </w:rPr>
              <w:t>Aged Care Act 2024 Chapter</w:t>
            </w:r>
          </w:p>
        </w:tc>
        <w:tc>
          <w:tcPr>
            <w:tcW w:w="3311" w:type="dxa"/>
            <w:shd w:val="clear" w:color="auto" w:fill="E8E8E8" w:themeFill="background2"/>
          </w:tcPr>
          <w:p w14:paraId="4A311474" w14:textId="16CC1B7C" w:rsidR="006A6890" w:rsidRPr="00747D70" w:rsidRDefault="006A6890" w:rsidP="007041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D70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6407" w:type="dxa"/>
            <w:shd w:val="clear" w:color="auto" w:fill="E8E8E8" w:themeFill="background2"/>
          </w:tcPr>
          <w:p w14:paraId="372F4752" w14:textId="66EEC68B" w:rsidR="006A6890" w:rsidRPr="00747D70" w:rsidRDefault="006A6890" w:rsidP="007041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D70">
              <w:rPr>
                <w:rFonts w:ascii="Calibri" w:hAnsi="Calibri" w:cs="Calibri"/>
                <w:b/>
                <w:bCs/>
                <w:sz w:val="22"/>
                <w:szCs w:val="22"/>
              </w:rPr>
              <w:t>Overview of content</w:t>
            </w:r>
          </w:p>
        </w:tc>
      </w:tr>
      <w:tr w:rsidR="006A6890" w:rsidRPr="00747D70" w14:paraId="1C16D491" w14:textId="77777777" w:rsidTr="006A6890">
        <w:tc>
          <w:tcPr>
            <w:tcW w:w="2501" w:type="dxa"/>
          </w:tcPr>
          <w:p w14:paraId="5F847BD8" w14:textId="32DE3D52" w:rsidR="006A6890" w:rsidRPr="00747D70" w:rsidRDefault="006A6890" w:rsidP="0070412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1</w:t>
            </w:r>
            <w:r w:rsidR="00591FA5" w:rsidRPr="00747D70">
              <w:rPr>
                <w:rFonts w:ascii="Calibri" w:hAnsi="Calibri" w:cs="Calibri"/>
                <w:sz w:val="22"/>
                <w:szCs w:val="22"/>
              </w:rPr>
              <w:t xml:space="preserve"> – Introduction</w:t>
            </w:r>
          </w:p>
        </w:tc>
        <w:tc>
          <w:tcPr>
            <w:tcW w:w="3311" w:type="dxa"/>
          </w:tcPr>
          <w:p w14:paraId="788FEE7F" w14:textId="3B7531E7" w:rsidR="006A6890" w:rsidRPr="00747D70" w:rsidRDefault="006A6890" w:rsidP="0070412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Supporters </w:t>
            </w:r>
          </w:p>
        </w:tc>
        <w:tc>
          <w:tcPr>
            <w:tcW w:w="6407" w:type="dxa"/>
          </w:tcPr>
          <w:p w14:paraId="461E8666" w14:textId="7000CF90" w:rsidR="006A6890" w:rsidRPr="00747D70" w:rsidRDefault="006A6890" w:rsidP="0070412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to transition existing arrangements for supported decision making as they apply to the new Act</w:t>
            </w:r>
          </w:p>
        </w:tc>
      </w:tr>
      <w:tr w:rsidR="006A6890" w:rsidRPr="00747D70" w14:paraId="3101E469" w14:textId="77777777" w:rsidTr="006A6890">
        <w:tc>
          <w:tcPr>
            <w:tcW w:w="2501" w:type="dxa"/>
            <w:vMerge w:val="restart"/>
          </w:tcPr>
          <w:p w14:paraId="059B28E0" w14:textId="6403EE1B" w:rsidR="006A6890" w:rsidRPr="00747D70" w:rsidRDefault="006A6890" w:rsidP="00AF354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2</w:t>
            </w:r>
            <w:r w:rsidR="00591FA5" w:rsidRPr="00747D70">
              <w:rPr>
                <w:rFonts w:ascii="Calibri" w:hAnsi="Calibri" w:cs="Calibri"/>
                <w:sz w:val="22"/>
                <w:szCs w:val="22"/>
              </w:rPr>
              <w:t xml:space="preserve"> – Entry to the Commonwealth Aged Care System</w:t>
            </w:r>
          </w:p>
        </w:tc>
        <w:tc>
          <w:tcPr>
            <w:tcW w:w="3311" w:type="dxa"/>
          </w:tcPr>
          <w:p w14:paraId="2C7BC92E" w14:textId="7843DC0C" w:rsidR="006A6890" w:rsidRPr="00747D70" w:rsidRDefault="006A6890" w:rsidP="0070412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Eligibility determination </w:t>
            </w:r>
          </w:p>
        </w:tc>
        <w:tc>
          <w:tcPr>
            <w:tcW w:w="6407" w:type="dxa"/>
          </w:tcPr>
          <w:p w14:paraId="74490997" w14:textId="01AD80C7" w:rsidR="006A6890" w:rsidRPr="00747D70" w:rsidRDefault="006A6890" w:rsidP="0070412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to maintain eligibility for aged care for those currently accessing services</w:t>
            </w:r>
          </w:p>
        </w:tc>
      </w:tr>
      <w:tr w:rsidR="006A6890" w:rsidRPr="00747D70" w14:paraId="08C7059B" w14:textId="77777777" w:rsidTr="006A6890">
        <w:tc>
          <w:tcPr>
            <w:tcW w:w="2501" w:type="dxa"/>
            <w:vMerge/>
          </w:tcPr>
          <w:p w14:paraId="74B132DB" w14:textId="434798D3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4CF8F77D" w14:textId="3B5E63C7" w:rsidR="006A6890" w:rsidRPr="00747D70" w:rsidRDefault="006A6890" w:rsidP="0070412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Conditions on approvals </w:t>
            </w:r>
          </w:p>
        </w:tc>
        <w:tc>
          <w:tcPr>
            <w:tcW w:w="6407" w:type="dxa"/>
          </w:tcPr>
          <w:p w14:paraId="538DFA45" w14:textId="50AB5EF0" w:rsidR="006A6890" w:rsidRPr="00747D70" w:rsidRDefault="006A6890" w:rsidP="00872514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to provide for conditions on approvals as required for transitional cohorts of individuals (if required)</w:t>
            </w:r>
          </w:p>
        </w:tc>
      </w:tr>
      <w:tr w:rsidR="006A6890" w:rsidRPr="00747D70" w14:paraId="3B9BB519" w14:textId="77777777" w:rsidTr="006A6890">
        <w:tc>
          <w:tcPr>
            <w:tcW w:w="2501" w:type="dxa"/>
            <w:vMerge/>
          </w:tcPr>
          <w:p w14:paraId="27B164F0" w14:textId="381FBD11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5B7A2241" w14:textId="7C19E679" w:rsidR="006A6890" w:rsidRPr="00747D70" w:rsidRDefault="006A6890" w:rsidP="0070412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Classification levels for transitioning individuals </w:t>
            </w:r>
          </w:p>
        </w:tc>
        <w:tc>
          <w:tcPr>
            <w:tcW w:w="6407" w:type="dxa"/>
          </w:tcPr>
          <w:p w14:paraId="4B1339C2" w14:textId="59556A78" w:rsidR="006A6890" w:rsidRPr="00747D70" w:rsidRDefault="006A6890" w:rsidP="0070412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to provide for classification levels associated with approvals for transitional cohorts of individuals</w:t>
            </w:r>
          </w:p>
        </w:tc>
      </w:tr>
      <w:tr w:rsidR="006A6890" w:rsidRPr="00747D70" w14:paraId="4E26BBC0" w14:textId="77777777" w:rsidTr="006A6890">
        <w:tc>
          <w:tcPr>
            <w:tcW w:w="2501" w:type="dxa"/>
            <w:vMerge/>
          </w:tcPr>
          <w:p w14:paraId="5F7F4FF4" w14:textId="35461C1E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322B359C" w14:textId="08AB9FD4" w:rsidR="006A6890" w:rsidRPr="00747D70" w:rsidRDefault="006A6890" w:rsidP="0070412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Priority categories for transitioning individuals </w:t>
            </w:r>
          </w:p>
        </w:tc>
        <w:tc>
          <w:tcPr>
            <w:tcW w:w="6407" w:type="dxa"/>
          </w:tcPr>
          <w:p w14:paraId="3992C1EF" w14:textId="3B8C24AD" w:rsidR="006A6890" w:rsidRPr="00747D70" w:rsidRDefault="006A6890" w:rsidP="00EE3060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to provide for prioritisation associated with approvals for transitional cohorts of individuals</w:t>
            </w:r>
          </w:p>
        </w:tc>
      </w:tr>
      <w:tr w:rsidR="006A6890" w:rsidRPr="00747D70" w14:paraId="2AFF9D94" w14:textId="77777777" w:rsidTr="006A6890">
        <w:tc>
          <w:tcPr>
            <w:tcW w:w="2501" w:type="dxa"/>
            <w:vMerge/>
          </w:tcPr>
          <w:p w14:paraId="3EFD8AFE" w14:textId="509A5E5E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1FCA0EBD" w14:textId="4076253B" w:rsidR="006A6890" w:rsidRPr="00747D70" w:rsidRDefault="006A6890" w:rsidP="0070412A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Places for transitioning individuals </w:t>
            </w:r>
          </w:p>
        </w:tc>
        <w:tc>
          <w:tcPr>
            <w:tcW w:w="6407" w:type="dxa"/>
          </w:tcPr>
          <w:p w14:paraId="11454F4B" w14:textId="132034CD" w:rsidR="006A6890" w:rsidRPr="00747D70" w:rsidRDefault="006A6890" w:rsidP="0019619E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to provide for places allocated to individuals associated with approvals for transitional cohorts of individuals</w:t>
            </w:r>
          </w:p>
        </w:tc>
      </w:tr>
      <w:tr w:rsidR="006A6890" w:rsidRPr="00747D70" w14:paraId="252FB8C8" w14:textId="77777777" w:rsidTr="006A6890">
        <w:tc>
          <w:tcPr>
            <w:tcW w:w="2501" w:type="dxa"/>
            <w:vMerge/>
          </w:tcPr>
          <w:p w14:paraId="2B4D0C7C" w14:textId="1EE88EEB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45E4C318" w14:textId="25EAD3AE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Places to providers</w:t>
            </w:r>
          </w:p>
        </w:tc>
        <w:tc>
          <w:tcPr>
            <w:tcW w:w="6407" w:type="dxa"/>
          </w:tcPr>
          <w:p w14:paraId="224AA885" w14:textId="0E283A4A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Mechanical provisions to provide for places allocated to specialist aged care programs </w:t>
            </w:r>
          </w:p>
        </w:tc>
      </w:tr>
      <w:tr w:rsidR="006A6890" w:rsidRPr="00747D70" w14:paraId="382216A1" w14:textId="77777777" w:rsidTr="006A6890">
        <w:tc>
          <w:tcPr>
            <w:tcW w:w="2501" w:type="dxa"/>
            <w:vMerge/>
          </w:tcPr>
          <w:p w14:paraId="3A976608" w14:textId="581EB19E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5D320949" w14:textId="622D878C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Notice of decision </w:t>
            </w:r>
          </w:p>
        </w:tc>
        <w:tc>
          <w:tcPr>
            <w:tcW w:w="6407" w:type="dxa"/>
          </w:tcPr>
          <w:p w14:paraId="75FAF8A7" w14:textId="199E558A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Mechanical provisions </w:t>
            </w:r>
            <w:r w:rsidR="00646D2F" w:rsidRPr="00747D70">
              <w:rPr>
                <w:rFonts w:ascii="Calibri" w:hAnsi="Calibri" w:cs="Calibri"/>
                <w:sz w:val="22"/>
                <w:szCs w:val="22"/>
              </w:rPr>
              <w:t>regarding</w:t>
            </w:r>
            <w:r w:rsidRPr="00747D70">
              <w:rPr>
                <w:rFonts w:ascii="Calibri" w:hAnsi="Calibri" w:cs="Calibri"/>
                <w:sz w:val="22"/>
                <w:szCs w:val="22"/>
              </w:rPr>
              <w:t xml:space="preserve"> notification </w:t>
            </w:r>
            <w:r w:rsidR="00646D2F" w:rsidRPr="00747D70">
              <w:rPr>
                <w:rFonts w:ascii="Calibri" w:hAnsi="Calibri" w:cs="Calibri"/>
                <w:sz w:val="22"/>
                <w:szCs w:val="22"/>
              </w:rPr>
              <w:t>of</w:t>
            </w:r>
            <w:r w:rsidRPr="00747D70">
              <w:rPr>
                <w:rFonts w:ascii="Calibri" w:hAnsi="Calibri" w:cs="Calibri"/>
                <w:sz w:val="22"/>
                <w:szCs w:val="22"/>
              </w:rPr>
              <w:t xml:space="preserve"> transitional decisions applying to approval of transitional cohorts of individuals </w:t>
            </w:r>
          </w:p>
        </w:tc>
      </w:tr>
      <w:tr w:rsidR="006A6890" w:rsidRPr="00747D70" w14:paraId="4DBA6E1E" w14:textId="77777777" w:rsidTr="006A6890">
        <w:tc>
          <w:tcPr>
            <w:tcW w:w="2501" w:type="dxa"/>
            <w:vMerge w:val="restart"/>
          </w:tcPr>
          <w:p w14:paraId="6E21777D" w14:textId="36A3E622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3</w:t>
            </w:r>
            <w:r w:rsidR="008F591D" w:rsidRPr="00747D70">
              <w:rPr>
                <w:rFonts w:ascii="Calibri" w:hAnsi="Calibri" w:cs="Calibri"/>
                <w:sz w:val="22"/>
                <w:szCs w:val="22"/>
              </w:rPr>
              <w:t xml:space="preserve"> – Registered providers, aged care workers and </w:t>
            </w:r>
            <w:r w:rsidR="008F591D" w:rsidRPr="00747D70">
              <w:rPr>
                <w:rFonts w:ascii="Calibri" w:hAnsi="Calibri" w:cs="Calibri"/>
                <w:sz w:val="22"/>
                <w:szCs w:val="22"/>
              </w:rPr>
              <w:lastRenderedPageBreak/>
              <w:t>aged care digital platforms</w:t>
            </w:r>
          </w:p>
        </w:tc>
        <w:tc>
          <w:tcPr>
            <w:tcW w:w="3311" w:type="dxa"/>
          </w:tcPr>
          <w:p w14:paraId="14F1E648" w14:textId="6DA1F259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lastRenderedPageBreak/>
              <w:t>Registration period for deemed providers</w:t>
            </w:r>
          </w:p>
        </w:tc>
        <w:tc>
          <w:tcPr>
            <w:tcW w:w="6407" w:type="dxa"/>
          </w:tcPr>
          <w:p w14:paraId="7BA91A06" w14:textId="50F12385" w:rsidR="006A6890" w:rsidRPr="00747D70" w:rsidRDefault="006A6890" w:rsidP="00F81B8F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Mechanical provisions which allocate initial registration periods to transitioning approved providers </w:t>
            </w:r>
          </w:p>
          <w:p w14:paraId="4C8CB9A3" w14:textId="37B57AE8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890" w:rsidRPr="00747D70" w14:paraId="712ADD38" w14:textId="77777777" w:rsidTr="006A6890">
        <w:tc>
          <w:tcPr>
            <w:tcW w:w="2501" w:type="dxa"/>
            <w:vMerge/>
          </w:tcPr>
          <w:p w14:paraId="022108DC" w14:textId="60DDBE89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485DA2FC" w14:textId="1A6628F0" w:rsidR="006A6890" w:rsidRPr="00747D70" w:rsidRDefault="006A6890" w:rsidP="001A60F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Registration categories</w:t>
            </w:r>
          </w:p>
        </w:tc>
        <w:tc>
          <w:tcPr>
            <w:tcW w:w="6407" w:type="dxa"/>
          </w:tcPr>
          <w:p w14:paraId="2BE7A828" w14:textId="3DEBD959" w:rsidR="006A6890" w:rsidRPr="00747D70" w:rsidRDefault="006A6890" w:rsidP="00F81B8F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which allocate registration categories to transitioning approved providers to reflect services provided</w:t>
            </w:r>
          </w:p>
        </w:tc>
      </w:tr>
      <w:tr w:rsidR="006A6890" w:rsidRPr="00747D70" w14:paraId="52D53BC0" w14:textId="77777777" w:rsidTr="006A6890">
        <w:tc>
          <w:tcPr>
            <w:tcW w:w="2501" w:type="dxa"/>
            <w:vMerge/>
          </w:tcPr>
          <w:p w14:paraId="321083DD" w14:textId="7003D050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3E9F82E9" w14:textId="41C631CE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Residential care homes </w:t>
            </w:r>
            <w:r w:rsidR="00747D70">
              <w:rPr>
                <w:rFonts w:ascii="Calibri" w:hAnsi="Calibri" w:cs="Calibri"/>
                <w:sz w:val="22"/>
                <w:szCs w:val="22"/>
              </w:rPr>
              <w:t>and</w:t>
            </w:r>
            <w:r w:rsidRPr="00747D70">
              <w:rPr>
                <w:rFonts w:ascii="Calibri" w:hAnsi="Calibri" w:cs="Calibri"/>
                <w:sz w:val="22"/>
                <w:szCs w:val="22"/>
              </w:rPr>
              <w:t xml:space="preserve"> total beds</w:t>
            </w:r>
          </w:p>
        </w:tc>
        <w:tc>
          <w:tcPr>
            <w:tcW w:w="6407" w:type="dxa"/>
          </w:tcPr>
          <w:p w14:paraId="2EC4E6C1" w14:textId="137EE954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which attach existing homes to transitioning approved providers’ registrations and reflect permitted operating capacity</w:t>
            </w:r>
          </w:p>
        </w:tc>
      </w:tr>
      <w:tr w:rsidR="006A6890" w:rsidRPr="00747D70" w14:paraId="44E09CD6" w14:textId="77777777" w:rsidTr="006A6890">
        <w:tc>
          <w:tcPr>
            <w:tcW w:w="2501" w:type="dxa"/>
            <w:vMerge/>
          </w:tcPr>
          <w:p w14:paraId="53912E42" w14:textId="28A1455C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03A8802F" w14:textId="6B719209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Deemed registered providers </w:t>
            </w:r>
            <w:r w:rsidR="00747D70">
              <w:rPr>
                <w:rFonts w:ascii="Calibri" w:hAnsi="Calibri" w:cs="Calibri"/>
                <w:sz w:val="22"/>
                <w:szCs w:val="22"/>
              </w:rPr>
              <w:t>and</w:t>
            </w:r>
            <w:r w:rsidRPr="00747D70">
              <w:rPr>
                <w:rFonts w:ascii="Calibri" w:hAnsi="Calibri" w:cs="Calibri"/>
                <w:sz w:val="22"/>
                <w:szCs w:val="22"/>
              </w:rPr>
              <w:t xml:space="preserve"> residential care homes</w:t>
            </w:r>
          </w:p>
        </w:tc>
        <w:tc>
          <w:tcPr>
            <w:tcW w:w="6407" w:type="dxa"/>
          </w:tcPr>
          <w:p w14:paraId="23C482F4" w14:textId="319F7B6C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Determinations to transition grant-funded providers to the new legislative framework</w:t>
            </w:r>
          </w:p>
        </w:tc>
      </w:tr>
      <w:tr w:rsidR="006A6890" w:rsidRPr="00747D70" w14:paraId="06E6AE98" w14:textId="77777777" w:rsidTr="006A6890">
        <w:tc>
          <w:tcPr>
            <w:tcW w:w="2501" w:type="dxa"/>
            <w:vMerge/>
          </w:tcPr>
          <w:p w14:paraId="1204E40D" w14:textId="72BAC3CA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60AD71CE" w14:textId="693EEF0A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Conditions of registration</w:t>
            </w:r>
          </w:p>
        </w:tc>
        <w:tc>
          <w:tcPr>
            <w:tcW w:w="6407" w:type="dxa"/>
          </w:tcPr>
          <w:p w14:paraId="1BA43DE1" w14:textId="74CF411E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which will apply general conditions of registration (if required) to transitioning approved providers</w:t>
            </w:r>
          </w:p>
        </w:tc>
      </w:tr>
      <w:tr w:rsidR="006A6890" w:rsidRPr="00747D70" w14:paraId="396CE9AD" w14:textId="77777777" w:rsidTr="006A6890">
        <w:tc>
          <w:tcPr>
            <w:tcW w:w="2501" w:type="dxa"/>
            <w:vMerge/>
          </w:tcPr>
          <w:p w14:paraId="1F1FD0B5" w14:textId="17991E5F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22967C42" w14:textId="0714A705" w:rsidR="006A6890" w:rsidRPr="00747D70" w:rsidRDefault="006A6890" w:rsidP="002871C1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Delivery of funded aged care services</w:t>
            </w:r>
          </w:p>
        </w:tc>
        <w:tc>
          <w:tcPr>
            <w:tcW w:w="6407" w:type="dxa"/>
          </w:tcPr>
          <w:p w14:paraId="11C1231E" w14:textId="3122DB15" w:rsidR="006A6890" w:rsidRPr="00747D70" w:rsidRDefault="006A6890" w:rsidP="002871C1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which recognise existing agreements and care plans between individuals and providers where possible</w:t>
            </w:r>
          </w:p>
        </w:tc>
      </w:tr>
      <w:tr w:rsidR="006A6890" w:rsidRPr="00747D70" w14:paraId="6F1B25EC" w14:textId="77777777" w:rsidTr="006A6890">
        <w:tc>
          <w:tcPr>
            <w:tcW w:w="2501" w:type="dxa"/>
            <w:vMerge/>
          </w:tcPr>
          <w:p w14:paraId="11E7BB61" w14:textId="5B1CA7F1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1" w:type="dxa"/>
          </w:tcPr>
          <w:p w14:paraId="020C2248" w14:textId="56218E52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Starting and ceasing services</w:t>
            </w:r>
          </w:p>
        </w:tc>
        <w:tc>
          <w:tcPr>
            <w:tcW w:w="6407" w:type="dxa"/>
          </w:tcPr>
          <w:p w14:paraId="61074627" w14:textId="77B8E0F8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 xml:space="preserve">Mechanical provisions which recognise notifications </w:t>
            </w:r>
            <w:r w:rsidR="00547A49" w:rsidRPr="00747D70">
              <w:rPr>
                <w:rFonts w:ascii="Calibri" w:hAnsi="Calibri" w:cs="Calibri"/>
                <w:sz w:val="22"/>
                <w:szCs w:val="22"/>
              </w:rPr>
              <w:t xml:space="preserve">that </w:t>
            </w:r>
            <w:r w:rsidRPr="00747D70">
              <w:rPr>
                <w:rFonts w:ascii="Calibri" w:hAnsi="Calibri" w:cs="Calibri"/>
                <w:sz w:val="22"/>
                <w:szCs w:val="22"/>
              </w:rPr>
              <w:t>persons</w:t>
            </w:r>
            <w:r w:rsidR="006168EF" w:rsidRPr="00747D70">
              <w:rPr>
                <w:rFonts w:ascii="Calibri" w:hAnsi="Calibri" w:cs="Calibri"/>
                <w:sz w:val="22"/>
                <w:szCs w:val="22"/>
              </w:rPr>
              <w:t xml:space="preserve"> have</w:t>
            </w:r>
            <w:r w:rsidRPr="00747D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4139" w:rsidRPr="00747D70">
              <w:rPr>
                <w:rFonts w:ascii="Calibri" w:hAnsi="Calibri" w:cs="Calibri"/>
                <w:sz w:val="22"/>
                <w:szCs w:val="22"/>
              </w:rPr>
              <w:t>start</w:t>
            </w:r>
            <w:r w:rsidR="006168EF" w:rsidRPr="00747D70">
              <w:rPr>
                <w:rFonts w:ascii="Calibri" w:hAnsi="Calibri" w:cs="Calibri"/>
                <w:sz w:val="22"/>
                <w:szCs w:val="22"/>
              </w:rPr>
              <w:t>ed</w:t>
            </w:r>
            <w:r w:rsidR="00C24139" w:rsidRPr="00747D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7D70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="006168EF" w:rsidRPr="00747D70">
              <w:rPr>
                <w:rFonts w:ascii="Calibri" w:hAnsi="Calibri" w:cs="Calibri"/>
                <w:sz w:val="22"/>
                <w:szCs w:val="22"/>
              </w:rPr>
              <w:t>ceased receiving</w:t>
            </w:r>
            <w:r w:rsidR="00547A49" w:rsidRPr="00747D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7D70">
              <w:rPr>
                <w:rFonts w:ascii="Calibri" w:hAnsi="Calibri" w:cs="Calibri"/>
                <w:sz w:val="22"/>
                <w:szCs w:val="22"/>
              </w:rPr>
              <w:t>services</w:t>
            </w:r>
            <w:r w:rsidR="00547A49" w:rsidRPr="00747D70">
              <w:rPr>
                <w:rFonts w:ascii="Calibri" w:hAnsi="Calibri" w:cs="Calibri"/>
                <w:sz w:val="22"/>
                <w:szCs w:val="22"/>
              </w:rPr>
              <w:t xml:space="preserve"> from a provider</w:t>
            </w:r>
            <w:r w:rsidRPr="00747D70">
              <w:rPr>
                <w:rFonts w:ascii="Calibri" w:hAnsi="Calibri" w:cs="Calibri"/>
                <w:sz w:val="22"/>
                <w:szCs w:val="22"/>
              </w:rPr>
              <w:t xml:space="preserve"> not yet actioned at the transition time </w:t>
            </w:r>
          </w:p>
        </w:tc>
      </w:tr>
      <w:tr w:rsidR="008F591D" w:rsidRPr="00747D70" w14:paraId="65D32F75" w14:textId="77777777" w:rsidTr="00AD41A1">
        <w:tc>
          <w:tcPr>
            <w:tcW w:w="2501" w:type="dxa"/>
          </w:tcPr>
          <w:p w14:paraId="2FD8B792" w14:textId="4AFB1364" w:rsidR="008F591D" w:rsidRPr="00747D70" w:rsidRDefault="008F591D" w:rsidP="008F591D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4 – Funding of aged care services</w:t>
            </w:r>
          </w:p>
        </w:tc>
        <w:tc>
          <w:tcPr>
            <w:tcW w:w="9718" w:type="dxa"/>
            <w:gridSpan w:val="2"/>
          </w:tcPr>
          <w:p w14:paraId="3463702D" w14:textId="456ECD37" w:rsidR="008F591D" w:rsidRPr="00747D70" w:rsidRDefault="008F591D" w:rsidP="008F591D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Style w:val="normaltextrun"/>
                <w:rFonts w:ascii="Calibri" w:hAnsi="Calibri" w:cs="Calibri"/>
                <w:sz w:val="22"/>
                <w:szCs w:val="22"/>
              </w:rPr>
              <w:t>It is intended that the</w:t>
            </w:r>
            <w:r w:rsidRPr="00747D70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Aged Care Rules 2024</w:t>
            </w:r>
            <w:r w:rsidRPr="00747D7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will address funding matters for transitional cohorts though some residual matters such as retrospective claims may be address</w:t>
            </w:r>
            <w:r w:rsidR="006153D1" w:rsidRPr="00747D70">
              <w:rPr>
                <w:rStyle w:val="normaltextrun"/>
                <w:rFonts w:ascii="Calibri" w:hAnsi="Calibri" w:cs="Calibri"/>
                <w:sz w:val="22"/>
                <w:szCs w:val="22"/>
              </w:rPr>
              <w:t>ed</w:t>
            </w:r>
            <w:r w:rsidRPr="00747D7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 the Transitional Rules</w:t>
            </w:r>
            <w:r w:rsidRPr="00747D7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F591D" w:rsidRPr="00747D70" w14:paraId="23D2760B" w14:textId="77777777" w:rsidTr="005D6C8F">
        <w:tc>
          <w:tcPr>
            <w:tcW w:w="2501" w:type="dxa"/>
          </w:tcPr>
          <w:p w14:paraId="4189392B" w14:textId="4451112B" w:rsidR="008F591D" w:rsidRPr="00747D70" w:rsidRDefault="008F591D" w:rsidP="008F591D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5 – Governance of the aged care system</w:t>
            </w:r>
          </w:p>
        </w:tc>
        <w:tc>
          <w:tcPr>
            <w:tcW w:w="9718" w:type="dxa"/>
            <w:gridSpan w:val="2"/>
          </w:tcPr>
          <w:p w14:paraId="1A4352F6" w14:textId="6A60D959" w:rsidR="008F591D" w:rsidRPr="00747D70" w:rsidRDefault="008F591D" w:rsidP="008F591D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It is intended that Part 4 of the </w:t>
            </w:r>
            <w:r w:rsidRPr="00747D7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Aged Care (Consequential Amendments and Transitional Provisions) Act 2024 </w:t>
            </w:r>
            <w:r w:rsidRPr="00747D70">
              <w:rPr>
                <w:rStyle w:val="normaltextrun"/>
                <w:rFonts w:ascii="Calibri" w:hAnsi="Calibri" w:cs="Calibri"/>
                <w:sz w:val="22"/>
                <w:szCs w:val="22"/>
              </w:rPr>
              <w:t>address matters within this Chapter comprehensively</w:t>
            </w:r>
            <w:r w:rsidRPr="00747D7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F591D" w:rsidRPr="00747D70" w14:paraId="73F7D816" w14:textId="77777777" w:rsidTr="005C1F76">
        <w:tc>
          <w:tcPr>
            <w:tcW w:w="2501" w:type="dxa"/>
          </w:tcPr>
          <w:p w14:paraId="568ACDFD" w14:textId="4D8E0B95" w:rsidR="008F591D" w:rsidRPr="00747D70" w:rsidRDefault="008F591D" w:rsidP="008F591D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6 – Regulatory mechanisms</w:t>
            </w:r>
          </w:p>
        </w:tc>
        <w:tc>
          <w:tcPr>
            <w:tcW w:w="9718" w:type="dxa"/>
            <w:gridSpan w:val="2"/>
          </w:tcPr>
          <w:p w14:paraId="6398B22A" w14:textId="5C0A76D4" w:rsidR="008F591D" w:rsidRPr="00747D70" w:rsidRDefault="008F591D" w:rsidP="008F591D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It is intended that Part 4 of the </w:t>
            </w:r>
            <w:r w:rsidRPr="00747D7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Aged Care (Consequential Amendments and Transitional Provisions) Act 2024 </w:t>
            </w:r>
            <w:r w:rsidRPr="00747D70">
              <w:rPr>
                <w:rStyle w:val="normaltextrun"/>
                <w:rFonts w:ascii="Calibri" w:hAnsi="Calibri" w:cs="Calibri"/>
                <w:sz w:val="22"/>
                <w:szCs w:val="22"/>
              </w:rPr>
              <w:t>address matters within this Chapter, however, m</w:t>
            </w:r>
            <w:r w:rsidRPr="00747D70">
              <w:rPr>
                <w:rFonts w:ascii="Calibri" w:hAnsi="Calibri" w:cs="Calibri"/>
                <w:sz w:val="22"/>
                <w:szCs w:val="22"/>
              </w:rPr>
              <w:t>echanical provisions could be included in the</w:t>
            </w:r>
            <w:r w:rsidR="000C50B6" w:rsidRPr="00747D70">
              <w:rPr>
                <w:rFonts w:ascii="Calibri" w:hAnsi="Calibri" w:cs="Calibri"/>
                <w:sz w:val="22"/>
                <w:szCs w:val="22"/>
              </w:rPr>
              <w:t xml:space="preserve"> Transitional</w:t>
            </w:r>
            <w:r w:rsidRPr="00747D70">
              <w:rPr>
                <w:rFonts w:ascii="Calibri" w:hAnsi="Calibri" w:cs="Calibri"/>
                <w:sz w:val="22"/>
                <w:szCs w:val="22"/>
              </w:rPr>
              <w:t xml:space="preserve"> Rules to ensure continuity of regulatory activities on foot at the transition time if required</w:t>
            </w:r>
          </w:p>
        </w:tc>
      </w:tr>
      <w:tr w:rsidR="006A6890" w:rsidRPr="00747D70" w14:paraId="6C604819" w14:textId="77777777" w:rsidTr="006A6890">
        <w:tc>
          <w:tcPr>
            <w:tcW w:w="2501" w:type="dxa"/>
          </w:tcPr>
          <w:p w14:paraId="529BD5F3" w14:textId="298421DD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7</w:t>
            </w:r>
            <w:r w:rsidR="008F591D" w:rsidRPr="00747D70">
              <w:rPr>
                <w:rFonts w:ascii="Calibri" w:hAnsi="Calibri" w:cs="Calibri"/>
                <w:sz w:val="22"/>
                <w:szCs w:val="22"/>
              </w:rPr>
              <w:t xml:space="preserve"> – Information management</w:t>
            </w:r>
          </w:p>
        </w:tc>
        <w:tc>
          <w:tcPr>
            <w:tcW w:w="3311" w:type="dxa"/>
          </w:tcPr>
          <w:p w14:paraId="3F6BBDD8" w14:textId="46766C80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Protected Information</w:t>
            </w:r>
          </w:p>
        </w:tc>
        <w:tc>
          <w:tcPr>
            <w:tcW w:w="6407" w:type="dxa"/>
          </w:tcPr>
          <w:p w14:paraId="0866D75A" w14:textId="4D098522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Provisions to ensure that information which falls within the protected information framework is transitioned to the new framework (if required)</w:t>
            </w:r>
          </w:p>
        </w:tc>
      </w:tr>
      <w:tr w:rsidR="006A6890" w:rsidRPr="00747D70" w14:paraId="1EC0886F" w14:textId="77777777" w:rsidTr="006A6890">
        <w:tc>
          <w:tcPr>
            <w:tcW w:w="2501" w:type="dxa"/>
          </w:tcPr>
          <w:p w14:paraId="6C783094" w14:textId="24A61CD3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8</w:t>
            </w:r>
            <w:r w:rsidR="008F591D" w:rsidRPr="00747D70">
              <w:rPr>
                <w:rFonts w:ascii="Calibri" w:hAnsi="Calibri" w:cs="Calibri"/>
                <w:sz w:val="22"/>
                <w:szCs w:val="22"/>
              </w:rPr>
              <w:t xml:space="preserve"> – Miscellaneous </w:t>
            </w:r>
          </w:p>
        </w:tc>
        <w:tc>
          <w:tcPr>
            <w:tcW w:w="3311" w:type="dxa"/>
          </w:tcPr>
          <w:p w14:paraId="59EC7D13" w14:textId="5A1ACD9F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Reviewable decisions</w:t>
            </w:r>
          </w:p>
        </w:tc>
        <w:tc>
          <w:tcPr>
            <w:tcW w:w="6407" w:type="dxa"/>
          </w:tcPr>
          <w:p w14:paraId="3A851698" w14:textId="1C4D84EA" w:rsidR="006A6890" w:rsidRPr="00747D70" w:rsidRDefault="006A6890" w:rsidP="00871AC8">
            <w:pPr>
              <w:rPr>
                <w:rFonts w:ascii="Calibri" w:hAnsi="Calibri" w:cs="Calibri"/>
                <w:sz w:val="22"/>
                <w:szCs w:val="22"/>
              </w:rPr>
            </w:pPr>
            <w:r w:rsidRPr="00747D70">
              <w:rPr>
                <w:rFonts w:ascii="Calibri" w:hAnsi="Calibri" w:cs="Calibri"/>
                <w:sz w:val="22"/>
                <w:szCs w:val="22"/>
              </w:rPr>
              <w:t>Mechanical provisions which ensure continuity of reviewable decisions processes</w:t>
            </w:r>
          </w:p>
        </w:tc>
      </w:tr>
    </w:tbl>
    <w:p w14:paraId="3FC67735" w14:textId="77777777" w:rsidR="0070412A" w:rsidRDefault="0070412A" w:rsidP="000526D6">
      <w:pPr>
        <w:rPr>
          <w:rFonts w:ascii="Calibri" w:hAnsi="Calibri" w:cs="Calibri"/>
          <w:sz w:val="22"/>
          <w:szCs w:val="22"/>
        </w:rPr>
      </w:pPr>
    </w:p>
    <w:p w14:paraId="508E2D83" w14:textId="77777777" w:rsidR="006A6890" w:rsidRDefault="006A6890" w:rsidP="000526D6">
      <w:pPr>
        <w:rPr>
          <w:rFonts w:ascii="Calibri" w:hAnsi="Calibri" w:cs="Calibri"/>
          <w:sz w:val="22"/>
          <w:szCs w:val="22"/>
        </w:rPr>
      </w:pPr>
    </w:p>
    <w:p w14:paraId="105CE4C7" w14:textId="77777777" w:rsidR="006A6890" w:rsidRDefault="006A6890" w:rsidP="000526D6">
      <w:pPr>
        <w:rPr>
          <w:rFonts w:ascii="Calibri" w:hAnsi="Calibri" w:cs="Calibri"/>
          <w:sz w:val="22"/>
          <w:szCs w:val="22"/>
        </w:rPr>
      </w:pPr>
    </w:p>
    <w:sectPr w:rsidR="006A6890" w:rsidSect="00066A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A36F9"/>
    <w:multiLevelType w:val="hybridMultilevel"/>
    <w:tmpl w:val="71F06CB2"/>
    <w:lvl w:ilvl="0" w:tplc="C1E4E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2DB1"/>
    <w:multiLevelType w:val="hybridMultilevel"/>
    <w:tmpl w:val="614898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47470"/>
    <w:multiLevelType w:val="hybridMultilevel"/>
    <w:tmpl w:val="2B549A2C"/>
    <w:lvl w:ilvl="0" w:tplc="73DACE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93C7F"/>
    <w:multiLevelType w:val="hybridMultilevel"/>
    <w:tmpl w:val="1AA0F046"/>
    <w:lvl w:ilvl="0" w:tplc="362ED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21991">
    <w:abstractNumId w:val="3"/>
  </w:num>
  <w:num w:numId="2" w16cid:durableId="1660769387">
    <w:abstractNumId w:val="0"/>
  </w:num>
  <w:num w:numId="3" w16cid:durableId="1290165915">
    <w:abstractNumId w:val="1"/>
  </w:num>
  <w:num w:numId="4" w16cid:durableId="737676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1D"/>
    <w:rsid w:val="000055D7"/>
    <w:rsid w:val="00017079"/>
    <w:rsid w:val="000526D6"/>
    <w:rsid w:val="00066A1A"/>
    <w:rsid w:val="00071F42"/>
    <w:rsid w:val="00074B45"/>
    <w:rsid w:val="0007529A"/>
    <w:rsid w:val="00076C22"/>
    <w:rsid w:val="00082667"/>
    <w:rsid w:val="00084C8C"/>
    <w:rsid w:val="0008762B"/>
    <w:rsid w:val="00091FCA"/>
    <w:rsid w:val="000B29DC"/>
    <w:rsid w:val="000C50B6"/>
    <w:rsid w:val="000D7083"/>
    <w:rsid w:val="000E78BC"/>
    <w:rsid w:val="000F6227"/>
    <w:rsid w:val="00112E35"/>
    <w:rsid w:val="00113E25"/>
    <w:rsid w:val="0011518F"/>
    <w:rsid w:val="00120D96"/>
    <w:rsid w:val="00142684"/>
    <w:rsid w:val="001602FD"/>
    <w:rsid w:val="00166421"/>
    <w:rsid w:val="00170C29"/>
    <w:rsid w:val="001749AB"/>
    <w:rsid w:val="00186394"/>
    <w:rsid w:val="00186D68"/>
    <w:rsid w:val="0019619E"/>
    <w:rsid w:val="00196547"/>
    <w:rsid w:val="001A0BF9"/>
    <w:rsid w:val="001A60F8"/>
    <w:rsid w:val="001A6B1D"/>
    <w:rsid w:val="001D62B9"/>
    <w:rsid w:val="001F17A0"/>
    <w:rsid w:val="002011E9"/>
    <w:rsid w:val="00215D5A"/>
    <w:rsid w:val="0021664E"/>
    <w:rsid w:val="00233B2D"/>
    <w:rsid w:val="00260CBD"/>
    <w:rsid w:val="00280050"/>
    <w:rsid w:val="002871C1"/>
    <w:rsid w:val="00293828"/>
    <w:rsid w:val="00294866"/>
    <w:rsid w:val="0029522D"/>
    <w:rsid w:val="002E1A1E"/>
    <w:rsid w:val="002F0363"/>
    <w:rsid w:val="00301101"/>
    <w:rsid w:val="00310E4D"/>
    <w:rsid w:val="00344EA5"/>
    <w:rsid w:val="003466C4"/>
    <w:rsid w:val="003738CA"/>
    <w:rsid w:val="003A257D"/>
    <w:rsid w:val="003B0A78"/>
    <w:rsid w:val="003D7FAF"/>
    <w:rsid w:val="003F361A"/>
    <w:rsid w:val="00404728"/>
    <w:rsid w:val="00405315"/>
    <w:rsid w:val="00415DD3"/>
    <w:rsid w:val="00422133"/>
    <w:rsid w:val="00474A3D"/>
    <w:rsid w:val="004834EC"/>
    <w:rsid w:val="00491D55"/>
    <w:rsid w:val="004A2501"/>
    <w:rsid w:val="004C04CE"/>
    <w:rsid w:val="004C2C04"/>
    <w:rsid w:val="004C6EE5"/>
    <w:rsid w:val="004D02EF"/>
    <w:rsid w:val="0050081A"/>
    <w:rsid w:val="00516F23"/>
    <w:rsid w:val="00517B55"/>
    <w:rsid w:val="00542F6D"/>
    <w:rsid w:val="00547A49"/>
    <w:rsid w:val="00580709"/>
    <w:rsid w:val="00586940"/>
    <w:rsid w:val="00591FA5"/>
    <w:rsid w:val="005B5B37"/>
    <w:rsid w:val="005C4ACF"/>
    <w:rsid w:val="005C7292"/>
    <w:rsid w:val="005E375A"/>
    <w:rsid w:val="005F18D1"/>
    <w:rsid w:val="006138C1"/>
    <w:rsid w:val="006153D1"/>
    <w:rsid w:val="006168EF"/>
    <w:rsid w:val="00622DF8"/>
    <w:rsid w:val="00643FAF"/>
    <w:rsid w:val="00646D2F"/>
    <w:rsid w:val="0065288B"/>
    <w:rsid w:val="006649FC"/>
    <w:rsid w:val="006720AC"/>
    <w:rsid w:val="00684CD0"/>
    <w:rsid w:val="006A6890"/>
    <w:rsid w:val="006A7611"/>
    <w:rsid w:val="006C015E"/>
    <w:rsid w:val="006D403B"/>
    <w:rsid w:val="006F4860"/>
    <w:rsid w:val="007032FB"/>
    <w:rsid w:val="0070412A"/>
    <w:rsid w:val="0070597F"/>
    <w:rsid w:val="00707C76"/>
    <w:rsid w:val="0071340F"/>
    <w:rsid w:val="007148B4"/>
    <w:rsid w:val="00722935"/>
    <w:rsid w:val="00727F24"/>
    <w:rsid w:val="00735589"/>
    <w:rsid w:val="00747D70"/>
    <w:rsid w:val="00763BC0"/>
    <w:rsid w:val="007653DB"/>
    <w:rsid w:val="00772A3A"/>
    <w:rsid w:val="007849FA"/>
    <w:rsid w:val="00790E2D"/>
    <w:rsid w:val="007C7C1E"/>
    <w:rsid w:val="007D5066"/>
    <w:rsid w:val="007E2DB6"/>
    <w:rsid w:val="00801FCF"/>
    <w:rsid w:val="0081082C"/>
    <w:rsid w:val="0082554F"/>
    <w:rsid w:val="00842FCC"/>
    <w:rsid w:val="00871AC8"/>
    <w:rsid w:val="00872514"/>
    <w:rsid w:val="00876A2A"/>
    <w:rsid w:val="00876FA1"/>
    <w:rsid w:val="008861ED"/>
    <w:rsid w:val="00890C74"/>
    <w:rsid w:val="008A0DBA"/>
    <w:rsid w:val="008C1023"/>
    <w:rsid w:val="008D2877"/>
    <w:rsid w:val="008D68E1"/>
    <w:rsid w:val="008E4012"/>
    <w:rsid w:val="008F14F8"/>
    <w:rsid w:val="008F2F9B"/>
    <w:rsid w:val="008F591D"/>
    <w:rsid w:val="009035D4"/>
    <w:rsid w:val="00915599"/>
    <w:rsid w:val="00940B85"/>
    <w:rsid w:val="00973386"/>
    <w:rsid w:val="009A55BE"/>
    <w:rsid w:val="009A65A0"/>
    <w:rsid w:val="009D4BA0"/>
    <w:rsid w:val="009D5DE4"/>
    <w:rsid w:val="00A00282"/>
    <w:rsid w:val="00A40BA6"/>
    <w:rsid w:val="00A458AD"/>
    <w:rsid w:val="00A45EE4"/>
    <w:rsid w:val="00A83EE8"/>
    <w:rsid w:val="00A94FF2"/>
    <w:rsid w:val="00AB18F3"/>
    <w:rsid w:val="00AC7670"/>
    <w:rsid w:val="00AF354A"/>
    <w:rsid w:val="00B05C9F"/>
    <w:rsid w:val="00B26D4C"/>
    <w:rsid w:val="00B810DF"/>
    <w:rsid w:val="00B86741"/>
    <w:rsid w:val="00B9127F"/>
    <w:rsid w:val="00B95CAF"/>
    <w:rsid w:val="00BA0625"/>
    <w:rsid w:val="00BD0910"/>
    <w:rsid w:val="00BF4471"/>
    <w:rsid w:val="00BF6CFB"/>
    <w:rsid w:val="00C03B47"/>
    <w:rsid w:val="00C24139"/>
    <w:rsid w:val="00C307B0"/>
    <w:rsid w:val="00C413EE"/>
    <w:rsid w:val="00C4667C"/>
    <w:rsid w:val="00C479C6"/>
    <w:rsid w:val="00C60009"/>
    <w:rsid w:val="00C84BB1"/>
    <w:rsid w:val="00C86E99"/>
    <w:rsid w:val="00CB0D5B"/>
    <w:rsid w:val="00CD1291"/>
    <w:rsid w:val="00CD13CA"/>
    <w:rsid w:val="00D23EE1"/>
    <w:rsid w:val="00D378D9"/>
    <w:rsid w:val="00D74C92"/>
    <w:rsid w:val="00DB1A0B"/>
    <w:rsid w:val="00DE7CF2"/>
    <w:rsid w:val="00E36EC0"/>
    <w:rsid w:val="00E54824"/>
    <w:rsid w:val="00EB3207"/>
    <w:rsid w:val="00EB39EC"/>
    <w:rsid w:val="00EE3060"/>
    <w:rsid w:val="00EE5EF8"/>
    <w:rsid w:val="00EF39F8"/>
    <w:rsid w:val="00EF65E0"/>
    <w:rsid w:val="00F00A7E"/>
    <w:rsid w:val="00F04464"/>
    <w:rsid w:val="00F14D6C"/>
    <w:rsid w:val="00F26E35"/>
    <w:rsid w:val="00F30000"/>
    <w:rsid w:val="00F43E42"/>
    <w:rsid w:val="00F4478E"/>
    <w:rsid w:val="00F56666"/>
    <w:rsid w:val="00F742B1"/>
    <w:rsid w:val="00F81B8F"/>
    <w:rsid w:val="00F86930"/>
    <w:rsid w:val="00FA23BB"/>
    <w:rsid w:val="00FD095E"/>
    <w:rsid w:val="00FE0925"/>
    <w:rsid w:val="00FF2F4F"/>
    <w:rsid w:val="00FF471C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967E"/>
  <w15:chartTrackingRefBased/>
  <w15:docId w15:val="{A02C1C3B-A500-4DD1-BDE2-D7949A3A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B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B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B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B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B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B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B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B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B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B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B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B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B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B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B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B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B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0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BA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01101"/>
  </w:style>
  <w:style w:type="character" w:customStyle="1" w:styleId="eop">
    <w:name w:val="eop"/>
    <w:basedOn w:val="DefaultParagraphFont"/>
    <w:rsid w:val="00301101"/>
  </w:style>
  <w:style w:type="paragraph" w:styleId="Revision">
    <w:name w:val="Revision"/>
    <w:hidden/>
    <w:uiPriority w:val="99"/>
    <w:semiHidden/>
    <w:rsid w:val="00D23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600df-d0b0-4bf8-9919-75fbfdc08afc">
      <Terms xmlns="http://schemas.microsoft.com/office/infopath/2007/PartnerControls"/>
    </lcf76f155ced4ddcb4097134ff3c332f>
    <TaxCatchAll xmlns="b460321b-948a-465f-b38c-9a30c8f895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EAD76948A2A43A0E0728352D3F26F" ma:contentTypeVersion="14" ma:contentTypeDescription="Create a new document." ma:contentTypeScope="" ma:versionID="cec3d1b253451d8e9b5f85cc0741c6a7">
  <xsd:schema xmlns:xsd="http://www.w3.org/2001/XMLSchema" xmlns:xs="http://www.w3.org/2001/XMLSchema" xmlns:p="http://schemas.microsoft.com/office/2006/metadata/properties" xmlns:ns2="3e8600df-d0b0-4bf8-9919-75fbfdc08afc" xmlns:ns3="b460321b-948a-465f-b38c-9a30c8f89503" targetNamespace="http://schemas.microsoft.com/office/2006/metadata/properties" ma:root="true" ma:fieldsID="f0c3700ec64c8ce61d260a3b21451fbf" ns2:_="" ns3:_="">
    <xsd:import namespace="3e8600df-d0b0-4bf8-9919-75fbfdc08afc"/>
    <xsd:import namespace="b460321b-948a-465f-b38c-9a30c8f89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00df-d0b0-4bf8-9919-75fbfdc08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321b-948a-465f-b38c-9a30c8f895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ff681c-d39c-4dc7-83c7-5e5e11604018}" ma:internalName="TaxCatchAll" ma:showField="CatchAllData" ma:web="b460321b-948a-465f-b38c-9a30c8f89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C623B-190C-4298-B7C6-29D832884CCC}">
  <ds:schemaRefs>
    <ds:schemaRef ds:uri="http://schemas.microsoft.com/office/2006/metadata/properties"/>
    <ds:schemaRef ds:uri="http://schemas.microsoft.com/office/infopath/2007/PartnerControls"/>
    <ds:schemaRef ds:uri="3e8600df-d0b0-4bf8-9919-75fbfdc08afc"/>
    <ds:schemaRef ds:uri="b460321b-948a-465f-b38c-9a30c8f89503"/>
  </ds:schemaRefs>
</ds:datastoreItem>
</file>

<file path=customXml/itemProps2.xml><?xml version="1.0" encoding="utf-8"?>
<ds:datastoreItem xmlns:ds="http://schemas.openxmlformats.org/officeDocument/2006/customXml" ds:itemID="{D72F77A2-70DA-438C-BAD8-383230329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9F21A-BFF6-43E2-99B0-EE29E8E4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00df-d0b0-4bf8-9919-75fbfdc08afc"/>
    <ds:schemaRef ds:uri="b460321b-948a-465f-b38c-9a30c8f89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Matthew</dc:creator>
  <cp:keywords/>
  <dc:description/>
  <cp:lastModifiedBy>LAVITHIS, Naomi</cp:lastModifiedBy>
  <cp:revision>2</cp:revision>
  <dcterms:created xsi:type="dcterms:W3CDTF">2025-02-11T02:35:00Z</dcterms:created>
  <dcterms:modified xsi:type="dcterms:W3CDTF">2025-02-11T02:35:00Z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0x010100611EAD76948A2A43A0E0728352D3F26F</vt:lpwstr>
  </property>
</Properties>
</file>