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7EAA" w:rsidP="005E7403" w:rsidRDefault="003B7EAA" w14:paraId="797356A4" w14:textId="094E8563">
      <w:pPr>
        <w:pStyle w:val="Title"/>
        <w:numPr>
          <w:ilvl w:val="1"/>
          <w:numId w:val="0"/>
        </w:numPr>
        <w:spacing w:before="2160"/>
      </w:pPr>
      <w:r>
        <w:t xml:space="preserve">Aged Care Rules </w:t>
      </w:r>
      <w:r w:rsidR="00F005CE">
        <w:t>–</w:t>
      </w:r>
      <w:r w:rsidR="00541EE2">
        <w:t xml:space="preserve"> </w:t>
      </w:r>
      <w:r>
        <w:t xml:space="preserve">Release 3 </w:t>
      </w:r>
      <w:r w:rsidR="00F005CE">
        <w:t>Relating to Provider Obligations</w:t>
      </w:r>
    </w:p>
    <w:p w:rsidR="003B7EAA" w:rsidP="003B7EAA" w:rsidRDefault="00F005CE" w14:paraId="3437CFCE" w14:textId="6BC81F37">
      <w:pPr>
        <w:pStyle w:val="Subtitle"/>
        <w:sectPr w:rsidR="003B7EAA" w:rsidSect="003B7EAA">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pgMar w:top="1701" w:right="1418" w:bottom="1418" w:left="1418" w:header="850" w:footer="709" w:gutter="0"/>
          <w:cols w:space="708"/>
          <w:titlePg/>
          <w:docGrid w:linePitch="360"/>
        </w:sectPr>
      </w:pPr>
      <w:r>
        <w:t>Public Release – Supporting Document</w:t>
      </w:r>
    </w:p>
    <w:p w:rsidR="77E0D8EF" w:rsidRDefault="77E0D8EF" w14:paraId="705FCFEB" w14:textId="77777777">
      <w:pPr>
        <w:spacing w:before="0" w:after="0" w:line="240" w:lineRule="auto"/>
        <w:rPr>
          <w:rFonts w:cs="Arial"/>
          <w:b/>
          <w:color w:val="3F4A75"/>
          <w:kern w:val="28"/>
          <w:sz w:val="44"/>
          <w:szCs w:val="36"/>
        </w:rPr>
      </w:pPr>
      <w:r>
        <w:br w:type="page"/>
      </w:r>
    </w:p>
    <w:p w:rsidR="009040E9" w:rsidP="00781E88" w:rsidRDefault="00781E88" w14:paraId="2EC3E619" w14:textId="14FAB0DD">
      <w:pPr>
        <w:pStyle w:val="Heading1"/>
      </w:pPr>
      <w:r>
        <w:t>Purpose</w:t>
      </w:r>
    </w:p>
    <w:p w:rsidR="00DF2B10" w:rsidP="00DF2B10" w:rsidRDefault="00DF2B10" w14:paraId="6582497B" w14:textId="50AD81B1">
      <w:r>
        <w:t xml:space="preserve">The purpose of this document is to further explain some of the topics </w:t>
      </w:r>
      <w:r w:rsidR="40F9F2EC">
        <w:t xml:space="preserve">contained in </w:t>
      </w:r>
      <w:r w:rsidR="29B99079">
        <w:t xml:space="preserve">the </w:t>
      </w:r>
      <w:r w:rsidR="40F9F2EC">
        <w:t xml:space="preserve">Stage 3 release of the </w:t>
      </w:r>
      <w:r w:rsidR="650B196F">
        <w:t xml:space="preserve">new </w:t>
      </w:r>
      <w:r w:rsidR="40F9F2EC">
        <w:t xml:space="preserve">Aged Care </w:t>
      </w:r>
      <w:r>
        <w:t xml:space="preserve">Rules </w:t>
      </w:r>
      <w:r w:rsidR="36E14836">
        <w:t>(Rules)</w:t>
      </w:r>
      <w:r w:rsidR="0B75F946">
        <w:t>. This release</w:t>
      </w:r>
      <w:r w:rsidR="36E14836">
        <w:t xml:space="preserve"> includes </w:t>
      </w:r>
      <w:r w:rsidR="4D3C9038">
        <w:t xml:space="preserve">draft Rules that relate to </w:t>
      </w:r>
      <w:r w:rsidR="36E14836">
        <w:t xml:space="preserve">some </w:t>
      </w:r>
      <w:r w:rsidR="23965ADE">
        <w:t xml:space="preserve">of the </w:t>
      </w:r>
      <w:r w:rsidR="00FB03D5">
        <w:t>provider obligations</w:t>
      </w:r>
      <w:r>
        <w:t xml:space="preserve"> under the </w:t>
      </w:r>
      <w:r w:rsidRPr="2728FD39">
        <w:rPr>
          <w:i/>
        </w:rPr>
        <w:t>Aged Care Act 2024</w:t>
      </w:r>
      <w:r>
        <w:t xml:space="preserve"> (the new Act)</w:t>
      </w:r>
      <w:r w:rsidR="1143824C">
        <w:t xml:space="preserve"> </w:t>
      </w:r>
      <w:r w:rsidR="6BF63EB1">
        <w:t xml:space="preserve">as well as </w:t>
      </w:r>
      <w:r w:rsidR="1143824C">
        <w:t>the Quality Standards</w:t>
      </w:r>
      <w:r>
        <w:t xml:space="preserve">. </w:t>
      </w:r>
      <w:r w:rsidR="71D44EBE">
        <w:t>This document</w:t>
      </w:r>
      <w:r>
        <w:t xml:space="preserve"> aims to assist stakeholders in providing feedback to the Department of Health and Aged Care (the department) on the Rules</w:t>
      </w:r>
      <w:r w:rsidR="441D8635">
        <w:t xml:space="preserve"> released as part of Stage 3</w:t>
      </w:r>
      <w:r>
        <w:t>.</w:t>
      </w:r>
    </w:p>
    <w:p w:rsidR="00DF2B10" w:rsidP="00DF2B10" w:rsidRDefault="00DF2B10" w14:paraId="5249ED24" w14:textId="77777777">
      <w:r>
        <w:t>It is not a comprehensive guide to the Rules, nor is it a standalone document. Please read it in conjunction with:</w:t>
      </w:r>
    </w:p>
    <w:p w:rsidR="00DF2B10" w:rsidP="00460EA9" w:rsidRDefault="438B70B1" w14:paraId="791B68C6" w14:textId="4550B23E">
      <w:pPr>
        <w:pStyle w:val="ListNumber2"/>
        <w:rPr>
          <w:rStyle w:val="Hyperlink"/>
        </w:rPr>
      </w:pPr>
      <w:r>
        <w:t xml:space="preserve">the </w:t>
      </w:r>
      <w:hyperlink r:id="rId17">
        <w:r w:rsidRPr="50F5DC3F">
          <w:rPr>
            <w:rStyle w:val="Hyperlink"/>
          </w:rPr>
          <w:t>new Act</w:t>
        </w:r>
      </w:hyperlink>
      <w:r>
        <w:t xml:space="preserve"> and its </w:t>
      </w:r>
      <w:hyperlink w:history="1" r:id="rId18">
        <w:r w:rsidRPr="00803014">
          <w:rPr>
            <w:rStyle w:val="Hyperlink"/>
          </w:rPr>
          <w:t>Explanatory Memorandum</w:t>
        </w:r>
      </w:hyperlink>
    </w:p>
    <w:p w:rsidR="00C3137B" w:rsidP="00460EA9" w:rsidRDefault="00DF2B10" w14:paraId="2E7865E1" w14:textId="07E63827" w14:noSpellErr="1">
      <w:pPr>
        <w:pStyle w:val="ListNumber2"/>
        <w:rPr/>
      </w:pPr>
      <w:r w:rsidR="00DF2B10">
        <w:rPr/>
        <w:t xml:space="preserve">the </w:t>
      </w:r>
      <w:hyperlink r:id="Rda3e33ecc8344842">
        <w:r w:rsidRPr="15B74840" w:rsidR="00DF2B10">
          <w:rPr>
            <w:rStyle w:val="Hyperlink"/>
          </w:rPr>
          <w:t>draft Rules</w:t>
        </w:r>
      </w:hyperlink>
      <w:r w:rsidR="00DF2B10">
        <w:rPr/>
        <w:t xml:space="preserve"> </w:t>
      </w:r>
      <w:r w:rsidR="00BB7ABB">
        <w:rPr/>
        <w:t>released with Release 3.</w:t>
      </w:r>
    </w:p>
    <w:p w:rsidR="00460EA9" w:rsidP="00F13F9E" w:rsidRDefault="00F13F9E" w14:paraId="7049FF85" w14:textId="3B9A1317">
      <w:pPr>
        <w:pStyle w:val="Heading1"/>
      </w:pPr>
      <w:r>
        <w:t>Context</w:t>
      </w:r>
    </w:p>
    <w:p w:rsidR="009F30AE" w:rsidP="5101B34D" w:rsidRDefault="7159D406" w14:paraId="0810041B" w14:textId="46DBE2E0">
      <w:r>
        <w:t xml:space="preserve">The department is publishing the Rules in stages, ahead of the new Act </w:t>
      </w:r>
      <w:r w:rsidR="5C8FA608">
        <w:t xml:space="preserve">starting </w:t>
      </w:r>
      <w:r>
        <w:t xml:space="preserve">from 1 July 2025. </w:t>
      </w:r>
      <w:r w:rsidRPr="352A3073" w:rsidR="77A4A26E">
        <w:rPr>
          <w:rFonts w:eastAsia="Arial"/>
        </w:rPr>
        <w:t xml:space="preserve">The </w:t>
      </w:r>
      <w:r w:rsidRPr="352A3073" w:rsidR="63033C0C">
        <w:rPr>
          <w:rFonts w:eastAsia="Arial"/>
        </w:rPr>
        <w:t>releases of the</w:t>
      </w:r>
      <w:r w:rsidRPr="352A3073" w:rsidR="77A4A26E">
        <w:rPr>
          <w:rFonts w:eastAsia="Arial"/>
        </w:rPr>
        <w:t xml:space="preserve"> Rules have been prioritised so that new Rules and areas of strong interest are released earlier</w:t>
      </w:r>
      <w:r w:rsidRPr="352A3073" w:rsidR="1DD887A5">
        <w:rPr>
          <w:rFonts w:eastAsia="Arial"/>
        </w:rPr>
        <w:t>. This will</w:t>
      </w:r>
      <w:r w:rsidRPr="352A3073" w:rsidR="77A4A26E">
        <w:rPr>
          <w:rFonts w:eastAsia="Arial"/>
        </w:rPr>
        <w:t xml:space="preserve"> provide the community and </w:t>
      </w:r>
      <w:r w:rsidR="00C26493">
        <w:rPr>
          <w:rFonts w:eastAsia="Arial"/>
        </w:rPr>
        <w:t xml:space="preserve">aged care </w:t>
      </w:r>
      <w:r w:rsidRPr="352A3073" w:rsidR="77A4A26E">
        <w:rPr>
          <w:rFonts w:eastAsia="Arial"/>
        </w:rPr>
        <w:t xml:space="preserve">sector more time to consider them and make sure we have them right. </w:t>
      </w:r>
      <w:r>
        <w:t xml:space="preserve">A </w:t>
      </w:r>
      <w:hyperlink r:id="rId19">
        <w:r w:rsidRPr="7CF21928">
          <w:rPr>
            <w:rStyle w:val="Hyperlink"/>
          </w:rPr>
          <w:t>timeline</w:t>
        </w:r>
      </w:hyperlink>
      <w:r>
        <w:t xml:space="preserve"> sets out each topic and its </w:t>
      </w:r>
      <w:r w:rsidR="00D7619C">
        <w:t>indicative</w:t>
      </w:r>
      <w:r>
        <w:t xml:space="preserve"> release date for public feedback. </w:t>
      </w:r>
    </w:p>
    <w:p w:rsidR="009F30AE" w:rsidP="009F30AE" w:rsidRDefault="009F30AE" w14:paraId="697A280B" w14:textId="523BDAE0">
      <w:pPr>
        <w:pStyle w:val="ListNumber2"/>
      </w:pPr>
      <w:r>
        <w:t xml:space="preserve">The </w:t>
      </w:r>
      <w:hyperlink w:history="1" r:id="rId20">
        <w:r w:rsidRPr="352A3073">
          <w:rPr>
            <w:rStyle w:val="Hyperlink"/>
          </w:rPr>
          <w:t>Stage 1 release</w:t>
        </w:r>
      </w:hyperlink>
      <w:r>
        <w:t xml:space="preserve"> contained the draft </w:t>
      </w:r>
      <w:r w:rsidR="66A2ABD5">
        <w:t>service list</w:t>
      </w:r>
      <w:r>
        <w:t xml:space="preserve">. This outlined the care and services that will be available to older people under the new laws. Submissions closed on 31 October 2024. A summary of the feedback is available on the </w:t>
      </w:r>
      <w:hyperlink r:id="rId21">
        <w:r w:rsidRPr="245F8BBF">
          <w:rPr>
            <w:rStyle w:val="Hyperlink"/>
          </w:rPr>
          <w:t>Ageing and Aged Care Engagement Hub</w:t>
        </w:r>
      </w:hyperlink>
      <w:r>
        <w:t>.</w:t>
      </w:r>
    </w:p>
    <w:p w:rsidR="00F13F9E" w:rsidP="009F30AE" w:rsidRDefault="2264DE01" w14:paraId="140899AF" w14:textId="20F50E45">
      <w:pPr>
        <w:pStyle w:val="ListNumber2"/>
      </w:pPr>
      <w:r w:rsidRPr="0865EBD4">
        <w:rPr>
          <w:rFonts w:eastAsia="Arial" w:cs="Arial"/>
        </w:rPr>
        <w:t xml:space="preserve">The </w:t>
      </w:r>
      <w:hyperlink w:history="1" r:id="rId22">
        <w:r w:rsidRPr="0865EBD4">
          <w:rPr>
            <w:rStyle w:val="Hyperlink"/>
            <w:rFonts w:eastAsia="Arial" w:cs="Arial"/>
          </w:rPr>
          <w:t>Stage 2a release</w:t>
        </w:r>
      </w:hyperlink>
      <w:r w:rsidRPr="0865EBD4">
        <w:rPr>
          <w:rFonts w:eastAsia="Arial" w:cs="Arial"/>
        </w:rPr>
        <w:t xml:space="preserve"> </w:t>
      </w:r>
      <w:r w:rsidR="009F30AE">
        <w:t xml:space="preserve">contained some of the draft Rules for Chapter 4 of the new Act. The release focused on funding related to the new Support at Home program, including subsidies, individual contributions and means testing for older people. Submissions closed on 6 December 2024. </w:t>
      </w:r>
      <w:r w:rsidR="00DE5C2D">
        <w:t>The department will release a summary of feedback once available.</w:t>
      </w:r>
    </w:p>
    <w:p w:rsidR="0070171A" w:rsidP="00FF50B7" w:rsidRDefault="5C25447F" w14:paraId="3D0250EC" w14:textId="74311DFE">
      <w:pPr>
        <w:pStyle w:val="ListNumber2"/>
      </w:pPr>
      <w:r w:rsidRPr="0865EBD4">
        <w:rPr>
          <w:rFonts w:eastAsia="Arial" w:cs="Arial"/>
        </w:rPr>
        <w:t xml:space="preserve">The </w:t>
      </w:r>
      <w:hyperlink w:history="1" r:id="rId23">
        <w:r w:rsidRPr="0865EBD4">
          <w:rPr>
            <w:rStyle w:val="Hyperlink"/>
            <w:rFonts w:eastAsia="Arial" w:cs="Arial"/>
          </w:rPr>
          <w:t>Stage 2b release</w:t>
        </w:r>
      </w:hyperlink>
      <w:r w:rsidR="0070171A">
        <w:t xml:space="preserve"> </w:t>
      </w:r>
      <w:r w:rsidR="00B8329E">
        <w:t xml:space="preserve">contained </w:t>
      </w:r>
      <w:r w:rsidR="000F302D">
        <w:t xml:space="preserve">draft Rules related to </w:t>
      </w:r>
      <w:r w:rsidR="00B8329E">
        <w:t>funding for other ag</w:t>
      </w:r>
      <w:r w:rsidR="001B7F6C">
        <w:t xml:space="preserve">ed care programs covered by Chapter 4 of the new Act. </w:t>
      </w:r>
      <w:r w:rsidR="00541FCE">
        <w:t>Stage 2a was re-released with Stage 2b</w:t>
      </w:r>
      <w:r w:rsidR="00B677F8">
        <w:t xml:space="preserve"> to support stakeholders</w:t>
      </w:r>
      <w:r w:rsidR="00900DE5">
        <w:t xml:space="preserve"> </w:t>
      </w:r>
      <w:r w:rsidRPr="00C87331" w:rsidR="00C87331">
        <w:t xml:space="preserve">to view the Rules </w:t>
      </w:r>
      <w:r w:rsidR="79FFBEFD">
        <w:t>for Support at Home along with the other Chapter 4 Rules release as part of Stage 2b</w:t>
      </w:r>
      <w:r w:rsidR="00C87331">
        <w:t xml:space="preserve">. Submissions close on </w:t>
      </w:r>
      <w:r w:rsidR="00080D21">
        <w:t>28 February 2025</w:t>
      </w:r>
      <w:r w:rsidR="008C137B">
        <w:t xml:space="preserve">. The department will release a summary of feedback once available. </w:t>
      </w:r>
    </w:p>
    <w:p w:rsidR="0070171A" w:rsidP="0865EBD4" w:rsidRDefault="0070171A" w14:paraId="0EC9FE4E" w14:textId="25790394">
      <w:pPr>
        <w:pStyle w:val="Heading1"/>
        <w:spacing w:line="259" w:lineRule="auto"/>
      </w:pPr>
      <w:r>
        <w:t xml:space="preserve">What is in </w:t>
      </w:r>
      <w:r w:rsidR="3B27DA35">
        <w:t xml:space="preserve">the Stage 3 Rules </w:t>
      </w:r>
      <w:r>
        <w:t>release?</w:t>
      </w:r>
    </w:p>
    <w:p w:rsidR="009F30AE" w:rsidP="000522F2" w:rsidRDefault="4224B111" w14:paraId="70D3377D" w14:textId="472EB02D">
      <w:pPr>
        <w:pStyle w:val="ListNumber2"/>
        <w:numPr>
          <w:ilvl w:val="0"/>
          <w:numId w:val="0"/>
        </w:numPr>
      </w:pPr>
      <w:r>
        <w:t>The Stage 3</w:t>
      </w:r>
      <w:r w:rsidR="000522F2">
        <w:t xml:space="preserve"> release c</w:t>
      </w:r>
      <w:r w:rsidR="002E1B2D">
        <w:t>overs</w:t>
      </w:r>
      <w:r w:rsidRPr="000B7D69" w:rsidR="000B7D69">
        <w:t xml:space="preserve"> </w:t>
      </w:r>
      <w:r w:rsidR="000B7D69">
        <w:t>o</w:t>
      </w:r>
      <w:r w:rsidRPr="000B7D69" w:rsidR="000B7D69">
        <w:t xml:space="preserve">bligations of registered providers and conditions on registration of registered providers under Chapter 3 of the new </w:t>
      </w:r>
      <w:r w:rsidR="1D3A01C5">
        <w:t>Act</w:t>
      </w:r>
      <w:r w:rsidR="00FF50B7">
        <w:t xml:space="preserve">. </w:t>
      </w:r>
    </w:p>
    <w:p w:rsidR="00FF50B7" w:rsidP="000522F2" w:rsidRDefault="00FF50B7" w14:paraId="064EAFC2" w14:textId="26CD6DAE">
      <w:pPr>
        <w:pStyle w:val="ListNumber2"/>
        <w:numPr>
          <w:ilvl w:val="0"/>
          <w:numId w:val="0"/>
        </w:numPr>
      </w:pPr>
      <w:r>
        <w:t>This includes:</w:t>
      </w:r>
    </w:p>
    <w:p w:rsidR="00FF50B7" w:rsidP="002E1B2D" w:rsidRDefault="662AB9C9" w14:paraId="67AD80B1" w14:textId="6A80CC4E">
      <w:pPr>
        <w:pStyle w:val="ListNumber2"/>
      </w:pPr>
      <w:r>
        <w:t>e</w:t>
      </w:r>
      <w:r w:rsidR="002E1B2D">
        <w:t xml:space="preserve">xisting provider obligations </w:t>
      </w:r>
      <w:r w:rsidR="00FF50B7">
        <w:t xml:space="preserve">such as </w:t>
      </w:r>
      <w:r w:rsidR="00141AC0">
        <w:t xml:space="preserve">the </w:t>
      </w:r>
      <w:r w:rsidR="00BD5CAB">
        <w:t>A</w:t>
      </w:r>
      <w:r w:rsidR="00141AC0">
        <w:t xml:space="preserve">ged </w:t>
      </w:r>
      <w:r w:rsidR="00BD5CAB">
        <w:t>C</w:t>
      </w:r>
      <w:r w:rsidR="00141AC0">
        <w:t xml:space="preserve">are </w:t>
      </w:r>
      <w:r w:rsidR="00BD5CAB">
        <w:t>C</w:t>
      </w:r>
      <w:r w:rsidR="002E1B2D">
        <w:t xml:space="preserve">ode of </w:t>
      </w:r>
      <w:r w:rsidR="00BD5CAB">
        <w:t>C</w:t>
      </w:r>
      <w:r w:rsidR="002E1B2D">
        <w:t>onduct, restrictive practices</w:t>
      </w:r>
      <w:r w:rsidR="00FF50B7">
        <w:t xml:space="preserve"> and</w:t>
      </w:r>
      <w:r w:rsidR="002E1B2D">
        <w:t xml:space="preserve"> strengthened Aged Care Quality Standards</w:t>
      </w:r>
    </w:p>
    <w:p w:rsidR="000A25F0" w:rsidP="002E1B2D" w:rsidRDefault="607D369D" w14:paraId="1515F3E0" w14:textId="7B37A301">
      <w:pPr>
        <w:pStyle w:val="ListNumber2"/>
      </w:pPr>
      <w:r>
        <w:t>n</w:t>
      </w:r>
      <w:r w:rsidR="002E1B2D">
        <w:t xml:space="preserve">ew requirements </w:t>
      </w:r>
      <w:r w:rsidR="003719D6">
        <w:t xml:space="preserve">including </w:t>
      </w:r>
      <w:r w:rsidR="002E1B2D">
        <w:t>rights and principles</w:t>
      </w:r>
    </w:p>
    <w:p w:rsidR="00A95C4E" w:rsidP="00A95C4E" w:rsidRDefault="1CFF20C8" w14:paraId="51CED658" w14:textId="456A1740">
      <w:pPr>
        <w:pStyle w:val="ListNumber2"/>
      </w:pPr>
      <w:r>
        <w:t>r</w:t>
      </w:r>
      <w:r w:rsidR="002E1B2D">
        <w:t>eporting and recordkeeping requirements.</w:t>
      </w:r>
    </w:p>
    <w:p w:rsidR="00A95C4E" w:rsidP="00A95C4E" w:rsidRDefault="00A95C4E" w14:paraId="3E326525" w14:textId="77777777">
      <w:pPr>
        <w:pStyle w:val="ListNumber2"/>
        <w:numPr>
          <w:ilvl w:val="0"/>
          <w:numId w:val="0"/>
        </w:numPr>
        <w:ind w:left="284"/>
      </w:pPr>
    </w:p>
    <w:p w:rsidRPr="00347D20" w:rsidR="000A0229" w:rsidP="00347D20" w:rsidRDefault="00D348FC" w14:paraId="26E2A80E" w14:textId="0CC108BB">
      <w:pPr>
        <w:pStyle w:val="Boxtype"/>
        <w:spacing w:after="120"/>
        <w:rPr>
          <w:b/>
          <w:bCs/>
          <w:i/>
          <w:iCs/>
          <w:color w:val="358189" w:themeColor="accent2"/>
        </w:rPr>
      </w:pPr>
      <w:r w:rsidRPr="00347D20">
        <w:rPr>
          <w:b/>
          <w:bCs/>
          <w:i/>
          <w:iCs/>
          <w:color w:val="358189" w:themeColor="accent2"/>
        </w:rPr>
        <w:t>Reading the</w:t>
      </w:r>
      <w:r w:rsidRPr="00347D20" w:rsidR="000A0229">
        <w:rPr>
          <w:b/>
          <w:bCs/>
          <w:i/>
          <w:iCs/>
          <w:color w:val="358189" w:themeColor="accent2"/>
        </w:rPr>
        <w:t xml:space="preserve"> Rules </w:t>
      </w:r>
    </w:p>
    <w:p w:rsidR="00801869" w:rsidP="79D62226" w:rsidRDefault="3C6A1648" w14:paraId="14A58C1F" w14:textId="77777777">
      <w:pPr>
        <w:pStyle w:val="Boxtype"/>
        <w:spacing w:after="120"/>
        <w:rPr>
          <w:i/>
          <w:iCs/>
          <w:color w:val="358189" w:themeColor="accent2"/>
          <w:lang w:val="en-US"/>
        </w:rPr>
      </w:pPr>
      <w:r w:rsidRPr="79D62226">
        <w:rPr>
          <w:i/>
          <w:iCs/>
          <w:color w:val="358189" w:themeColor="accent2"/>
          <w:lang w:val="en-US"/>
        </w:rPr>
        <w:t xml:space="preserve">The structure of the Rules (Chapters, Parts, Divisions, Subdivisions) does not follow the same structure as the new Act. However, each provision in the Rules must be </w:t>
      </w:r>
      <w:proofErr w:type="spellStart"/>
      <w:r w:rsidRPr="79D62226">
        <w:rPr>
          <w:i/>
          <w:iCs/>
          <w:color w:val="358189" w:themeColor="accent2"/>
          <w:lang w:val="en-US"/>
        </w:rPr>
        <w:t>authorised</w:t>
      </w:r>
      <w:proofErr w:type="spellEnd"/>
      <w:r w:rsidRPr="79D62226">
        <w:rPr>
          <w:i/>
          <w:iCs/>
          <w:color w:val="358189" w:themeColor="accent2"/>
          <w:lang w:val="en-US"/>
        </w:rPr>
        <w:t xml:space="preserve"> by a provision in the new Act.  </w:t>
      </w:r>
      <w:r w:rsidRPr="00801869" w:rsidR="00801869">
        <w:rPr>
          <w:i/>
          <w:iCs/>
          <w:color w:val="358189" w:themeColor="accent2"/>
          <w:lang w:val="en-US"/>
        </w:rPr>
        <w:t xml:space="preserve">       </w:t>
      </w:r>
    </w:p>
    <w:p w:rsidRPr="00347D20" w:rsidR="000A0229" w:rsidP="79D62226" w:rsidRDefault="00801869" w14:paraId="6055F441" w14:textId="1AE58F5A">
      <w:pPr>
        <w:pStyle w:val="Boxtype"/>
        <w:spacing w:after="120"/>
        <w:rPr>
          <w:i/>
          <w:iCs/>
          <w:color w:val="358189" w:themeColor="accent2"/>
          <w:lang w:val="en-US"/>
        </w:rPr>
      </w:pPr>
      <w:r w:rsidRPr="00801869">
        <w:rPr>
          <w:i/>
          <w:iCs/>
          <w:color w:val="358189" w:themeColor="accent2"/>
          <w:lang w:val="en-US"/>
        </w:rPr>
        <w:t>For example, paragraph 166(a) of the new Act requires registered providers of a kind prescribed by the Rules to give the System Governor and/or the Commissioner information in accordance with any requirements prescribed by the Rules. Section 166-5 of the</w:t>
      </w:r>
      <w:r w:rsidR="00B032FA">
        <w:rPr>
          <w:i/>
          <w:iCs/>
          <w:color w:val="358189" w:themeColor="accent2"/>
          <w:lang w:val="en-US"/>
        </w:rPr>
        <w:t xml:space="preserve"> draft</w:t>
      </w:r>
      <w:r w:rsidRPr="00801869">
        <w:rPr>
          <w:i/>
          <w:iCs/>
          <w:color w:val="358189" w:themeColor="accent2"/>
          <w:lang w:val="en-US"/>
        </w:rPr>
        <w:t xml:space="preserve"> Rules provides “for the purposes of paragraph 166(a) of the Act</w:t>
      </w:r>
      <w:r w:rsidR="00B032FA">
        <w:rPr>
          <w:i/>
          <w:iCs/>
          <w:color w:val="358189" w:themeColor="accent2"/>
          <w:lang w:val="en-US"/>
        </w:rPr>
        <w:t xml:space="preserve"> [meaning the new Act]</w:t>
      </w:r>
      <w:r w:rsidRPr="00801869">
        <w:rPr>
          <w:i/>
          <w:iCs/>
          <w:color w:val="358189" w:themeColor="accent2"/>
          <w:lang w:val="en-US"/>
        </w:rPr>
        <w:t>, this section prescribes that a registered provider to whom this subdivision applies must give a report about the management of complaints and feedback to the System Governor and the Commissioner within 4 months after the end of every reporting period”.</w:t>
      </w:r>
    </w:p>
    <w:p w:rsidR="00645473" w:rsidP="00645473" w:rsidRDefault="00645473" w14:paraId="235561FB" w14:textId="72E7E69D">
      <w:pPr>
        <w:pStyle w:val="Heading1"/>
      </w:pPr>
      <w:r>
        <w:t>Key topics</w:t>
      </w:r>
    </w:p>
    <w:p w:rsidRPr="00645473" w:rsidR="00645473" w:rsidP="00645473" w:rsidRDefault="00C85288" w14:paraId="6A4F3697" w14:textId="0A7BC9A3">
      <w:r>
        <w:t xml:space="preserve">The key topics </w:t>
      </w:r>
      <w:r w:rsidR="009F6F72">
        <w:t>in Release 3 of the Rules</w:t>
      </w:r>
      <w:r w:rsidR="004E3F31">
        <w:t xml:space="preserve"> are explained below</w:t>
      </w:r>
      <w:r w:rsidR="00D515BE">
        <w:t xml:space="preserve">. Please refer to </w:t>
      </w:r>
      <w:r w:rsidRPr="001A0F12" w:rsidR="007873AB">
        <w:rPr>
          <w:i/>
          <w:iCs/>
        </w:rPr>
        <w:t xml:space="preserve">Appendix </w:t>
      </w:r>
      <w:r w:rsidR="00271246">
        <w:rPr>
          <w:i/>
          <w:iCs/>
        </w:rPr>
        <w:t>A</w:t>
      </w:r>
      <w:r w:rsidR="007873AB">
        <w:t xml:space="preserve"> for </w:t>
      </w:r>
      <w:r w:rsidR="001A0F12">
        <w:t>the full list of</w:t>
      </w:r>
      <w:r w:rsidR="00573B2B">
        <w:t xml:space="preserve"> Release 3</w:t>
      </w:r>
      <w:r w:rsidR="001A0F12">
        <w:t xml:space="preserve"> topics </w:t>
      </w:r>
      <w:r w:rsidR="001D6793">
        <w:t>and a</w:t>
      </w:r>
      <w:r w:rsidR="001A0F12">
        <w:t xml:space="preserve"> brief explanation. </w:t>
      </w:r>
    </w:p>
    <w:p w:rsidR="00FF50B7" w:rsidP="003F7AF1" w:rsidRDefault="003F7AF1" w14:paraId="43091AEF" w14:textId="1FB47B64">
      <w:pPr>
        <w:pStyle w:val="Heading3"/>
      </w:pPr>
      <w:r>
        <w:t>Provider obligations</w:t>
      </w:r>
    </w:p>
    <w:p w:rsidR="009C3C25" w:rsidP="009C3C25" w:rsidRDefault="009C3C25" w14:paraId="208B0C9F" w14:textId="4B85E2DC">
      <w:r w:rsidRPr="003B69FB">
        <w:t xml:space="preserve">All providers seeking to deliver </w:t>
      </w:r>
      <w:r w:rsidR="00FB7591">
        <w:t>g</w:t>
      </w:r>
      <w:r w:rsidRPr="003B69FB">
        <w:t>overnment funded aged care will need to apply to become a registered provider.</w:t>
      </w:r>
      <w:r>
        <w:t xml:space="preserve"> </w:t>
      </w:r>
      <w:r w:rsidR="00F76E28">
        <w:t>Registered providers will have certain obligations and conditions of registration.</w:t>
      </w:r>
      <w:r>
        <w:t xml:space="preserve"> These</w:t>
      </w:r>
      <w:r w:rsidRPr="0006334B">
        <w:t xml:space="preserve"> </w:t>
      </w:r>
      <w:r>
        <w:t>obligations can be found in Chapter 3 of the new Act. T</w:t>
      </w:r>
      <w:r w:rsidRPr="0006334B">
        <w:t xml:space="preserve">he Rules set out further details around how </w:t>
      </w:r>
      <w:r>
        <w:t>registered providers can comply with their</w:t>
      </w:r>
      <w:r w:rsidRPr="0006334B">
        <w:t xml:space="preserve"> obligations under the </w:t>
      </w:r>
      <w:r w:rsidR="00841587">
        <w:t xml:space="preserve">new </w:t>
      </w:r>
      <w:r w:rsidRPr="0006334B">
        <w:t>Act</w:t>
      </w:r>
      <w:r>
        <w:t>.</w:t>
      </w:r>
    </w:p>
    <w:p w:rsidR="007767CA" w:rsidP="659121E1" w:rsidRDefault="00125725" w14:paraId="0681F2DD" w14:textId="3CA911D9">
      <w:r>
        <w:t>The</w:t>
      </w:r>
      <w:r w:rsidR="007767CA">
        <w:t xml:space="preserve"> </w:t>
      </w:r>
      <w:r w:rsidR="007E6638">
        <w:t>R</w:t>
      </w:r>
      <w:r w:rsidR="007767CA">
        <w:t xml:space="preserve">ules </w:t>
      </w:r>
      <w:r w:rsidR="006E040F">
        <w:t>relating to</w:t>
      </w:r>
      <w:r w:rsidR="007767CA">
        <w:t xml:space="preserve"> conditions of registration or </w:t>
      </w:r>
      <w:r w:rsidR="005063E2">
        <w:t xml:space="preserve">providers’ </w:t>
      </w:r>
      <w:r w:rsidR="007767CA">
        <w:t xml:space="preserve">obligations set different requirements according to the kind of registered provider. </w:t>
      </w:r>
      <w:r w:rsidR="683E3412">
        <w:t xml:space="preserve">Some Rules will apply to all registered providers, while some Rules will </w:t>
      </w:r>
      <w:r w:rsidR="40906934">
        <w:t xml:space="preserve">certain registered providers as specified by the Rules. </w:t>
      </w:r>
      <w:r w:rsidR="007767CA">
        <w:t>This is to ensure the regulation is proportionate</w:t>
      </w:r>
      <w:r w:rsidR="40FB3FA4">
        <w:t xml:space="preserve"> to factors such as: </w:t>
      </w:r>
    </w:p>
    <w:p w:rsidR="007767CA" w:rsidP="659121E1" w:rsidRDefault="24DFBF9B" w14:paraId="310C0A33" w14:textId="7737A328">
      <w:pPr>
        <w:pStyle w:val="ListParagraph"/>
        <w:numPr>
          <w:ilvl w:val="0"/>
          <w:numId w:val="41"/>
        </w:numPr>
      </w:pPr>
      <w:r>
        <w:t xml:space="preserve">the setting a provider operates in </w:t>
      </w:r>
    </w:p>
    <w:p w:rsidR="24DFBF9B" w:rsidP="659121E1" w:rsidRDefault="24DFBF9B" w14:paraId="2EFFCAB1" w14:textId="667BC57E">
      <w:pPr>
        <w:pStyle w:val="ListParagraph"/>
        <w:numPr>
          <w:ilvl w:val="0"/>
          <w:numId w:val="41"/>
        </w:numPr>
      </w:pPr>
      <w:r>
        <w:t>the services they deliver</w:t>
      </w:r>
    </w:p>
    <w:p w:rsidR="24DFBF9B" w:rsidP="659121E1" w:rsidRDefault="24DFBF9B" w14:paraId="2DFD2DB1" w14:textId="20432818">
      <w:pPr>
        <w:pStyle w:val="ListParagraph"/>
        <w:numPr>
          <w:ilvl w:val="0"/>
          <w:numId w:val="41"/>
        </w:numPr>
      </w:pPr>
      <w:r>
        <w:t>any risks of harm that may be present.</w:t>
      </w:r>
    </w:p>
    <w:p w:rsidR="007767CA" w:rsidP="007767CA" w:rsidRDefault="007767CA" w14:paraId="518AF8C6" w14:textId="77777777">
      <w:r>
        <w:t>Examples of different kinds of registered providers include:</w:t>
      </w:r>
    </w:p>
    <w:p w:rsidR="007767CA" w:rsidP="007767CA" w:rsidRDefault="007767CA" w14:paraId="6F3B3043" w14:textId="77777777">
      <w:pPr>
        <w:pStyle w:val="ListNumber2"/>
      </w:pPr>
      <w:r>
        <w:t xml:space="preserve">providers that have previously been registered </w:t>
      </w:r>
    </w:p>
    <w:p w:rsidR="007767CA" w:rsidP="007767CA" w:rsidRDefault="007767CA" w14:paraId="5B7695FA" w14:textId="0336DD48">
      <w:pPr>
        <w:pStyle w:val="ListNumber2"/>
      </w:pPr>
      <w:r>
        <w:t xml:space="preserve">providers in a provider registration category or </w:t>
      </w:r>
      <w:r w:rsidR="00AA2D75">
        <w:t xml:space="preserve">who deliver </w:t>
      </w:r>
      <w:r>
        <w:t>a particular service type within a registration category</w:t>
      </w:r>
    </w:p>
    <w:p w:rsidR="007767CA" w:rsidP="007767CA" w:rsidRDefault="007767CA" w14:paraId="7AD0D8EB" w14:textId="42635448">
      <w:pPr>
        <w:pStyle w:val="ListNumber2"/>
      </w:pPr>
      <w:r>
        <w:t>providers who are government entities or non-government entities.</w:t>
      </w:r>
    </w:p>
    <w:p w:rsidR="007767CA" w:rsidP="007767CA" w:rsidRDefault="007767CA" w14:paraId="258575A3" w14:textId="1C7039A5">
      <w:r>
        <w:t xml:space="preserve">Where all registered providers need to meet a condition or obligation, the </w:t>
      </w:r>
      <w:r w:rsidR="007E6638">
        <w:t>R</w:t>
      </w:r>
      <w:r>
        <w:t xml:space="preserve">ules </w:t>
      </w:r>
      <w:r w:rsidR="00A3215E">
        <w:t xml:space="preserve">will </w:t>
      </w:r>
      <w:r w:rsidR="00963707">
        <w:t>apply to</w:t>
      </w:r>
      <w:r>
        <w:t xml:space="preserve"> all kinds of registered providers. The </w:t>
      </w:r>
      <w:r w:rsidR="007E6638">
        <w:t>R</w:t>
      </w:r>
      <w:r>
        <w:t>ules may also</w:t>
      </w:r>
      <w:r w:rsidR="4006BC1E">
        <w:t xml:space="preserve"> specify that the condition or obligation only applies to some providers. One common way of doing this will be that the Rules will specify that the condition </w:t>
      </w:r>
      <w:r w:rsidR="0F871A46">
        <w:t xml:space="preserve">or obligation will only apply to providers in certain registration categories. However, the Rules may also specify </w:t>
      </w:r>
      <w:r w:rsidR="000369FE">
        <w:t>kinds</w:t>
      </w:r>
      <w:r w:rsidR="5C7F00B3">
        <w:t xml:space="preserve"> </w:t>
      </w:r>
      <w:r w:rsidR="002A7EDC">
        <w:t>(or cohorts) of providers</w:t>
      </w:r>
      <w:r w:rsidR="583013C8">
        <w:t xml:space="preserve"> other than by registration category</w:t>
      </w:r>
      <w:r w:rsidR="3BAE3759">
        <w:t xml:space="preserve"> (for example, providers </w:t>
      </w:r>
      <w:r w:rsidR="7EF9001B">
        <w:t>who</w:t>
      </w:r>
      <w:r w:rsidR="00A15615">
        <w:t xml:space="preserve"> are government entities</w:t>
      </w:r>
      <w:r w:rsidR="3BAE3759">
        <w:t>)</w:t>
      </w:r>
      <w:r w:rsidR="583013C8">
        <w:t>. This allows the conditions and obligations</w:t>
      </w:r>
      <w:r>
        <w:t xml:space="preserve"> to be proportionate </w:t>
      </w:r>
      <w:r w:rsidDel="007767CA">
        <w:t>to</w:t>
      </w:r>
      <w:r>
        <w:t xml:space="preserve"> </w:t>
      </w:r>
      <w:r w:rsidR="00A3633B">
        <w:t xml:space="preserve">factors such as </w:t>
      </w:r>
      <w:r>
        <w:t>the setting a provider operates in, the services they deliver and any risks of harm that may be present.</w:t>
      </w:r>
    </w:p>
    <w:p w:rsidR="00AB322E" w:rsidP="00AB322E" w:rsidRDefault="00AB322E" w14:paraId="6EEF2AA6" w14:textId="77777777">
      <w:pPr>
        <w:pStyle w:val="Heading3"/>
      </w:pPr>
      <w:r>
        <w:t>Strengthened Quality Standards</w:t>
      </w:r>
    </w:p>
    <w:p w:rsidR="00CF59DF" w:rsidP="00DE02E6" w:rsidRDefault="00AB322E" w14:paraId="3585D14B" w14:textId="33DCF053">
      <w:r>
        <w:t xml:space="preserve">The strengthened Quality Standards are included in the Rules and prescribe standards relating to the quality of funded aged care services delivered by a registered provider. </w:t>
      </w:r>
    </w:p>
    <w:p w:rsidR="00727A74" w:rsidP="00727A74" w:rsidRDefault="00530D53" w14:paraId="0122032C" w14:textId="6EADD6B9">
      <w:r>
        <w:t>The strengthen</w:t>
      </w:r>
      <w:r w:rsidR="000D13F4">
        <w:t>e</w:t>
      </w:r>
      <w:r>
        <w:t>d Quality Stan</w:t>
      </w:r>
      <w:r w:rsidR="000D13F4">
        <w:t>d</w:t>
      </w:r>
      <w:r>
        <w:t>ards apply to register</w:t>
      </w:r>
      <w:r w:rsidR="000D13F4">
        <w:t>e</w:t>
      </w:r>
      <w:r>
        <w:t xml:space="preserve">d providers based on </w:t>
      </w:r>
      <w:r w:rsidR="00310DB8">
        <w:t>the service types they provide</w:t>
      </w:r>
      <w:r w:rsidR="00373E4C">
        <w:t xml:space="preserve"> under </w:t>
      </w:r>
      <w:r>
        <w:t>their registration ca</w:t>
      </w:r>
      <w:r w:rsidR="000D13F4">
        <w:t>tegory as per the table below</w:t>
      </w:r>
      <w:r w:rsidR="00727A74">
        <w:t>:</w:t>
      </w:r>
    </w:p>
    <w:tbl>
      <w:tblPr>
        <w:tblStyle w:val="TableGrid"/>
        <w:tblW w:w="0" w:type="auto"/>
        <w:tblLook w:val="04A0" w:firstRow="1" w:lastRow="0" w:firstColumn="1" w:lastColumn="0" w:noHBand="0" w:noVBand="1"/>
      </w:tblPr>
      <w:tblGrid>
        <w:gridCol w:w="4530"/>
        <w:gridCol w:w="4530"/>
      </w:tblGrid>
      <w:tr w:rsidR="00727A74" w:rsidTr="0865EBD4" w14:paraId="2A3C3396" w14:textId="77777777">
        <w:trPr>
          <w:trHeight w:val="300"/>
        </w:trPr>
        <w:tc>
          <w:tcPr>
            <w:tcW w:w="4530" w:type="dxa"/>
          </w:tcPr>
          <w:p w:rsidR="00727A74" w:rsidRDefault="00727A74" w14:paraId="10E05DF8" w14:textId="77777777">
            <w:r>
              <w:t>Standards 1 to 4 (the person, organisation, care and services and environment)</w:t>
            </w:r>
          </w:p>
        </w:tc>
        <w:tc>
          <w:tcPr>
            <w:tcW w:w="4530" w:type="dxa"/>
          </w:tcPr>
          <w:p w:rsidR="00727A74" w:rsidRDefault="00B31A55" w14:paraId="76C7156D" w14:textId="1E136607">
            <w:r>
              <w:t>Applies</w:t>
            </w:r>
            <w:r w:rsidR="00727A74">
              <w:t xml:space="preserve"> to providers registered into the ‘personal and care support in the home or community’ registration category (category 4).</w:t>
            </w:r>
          </w:p>
          <w:p w:rsidR="00727A74" w:rsidP="00CC06FC" w:rsidRDefault="00901B6A" w14:paraId="0A81A24E" w14:textId="6C809F13">
            <w:pPr>
              <w:pStyle w:val="ListParagraph"/>
              <w:numPr>
                <w:ilvl w:val="0"/>
                <w:numId w:val="43"/>
              </w:numPr>
            </w:pPr>
            <w:r w:rsidRPr="00904869">
              <w:t>Outcome 5.1 (</w:t>
            </w:r>
            <w:r>
              <w:t>c</w:t>
            </w:r>
            <w:r w:rsidRPr="00904869">
              <w:t xml:space="preserve">linical </w:t>
            </w:r>
            <w:r>
              <w:t>g</w:t>
            </w:r>
            <w:r w:rsidRPr="00904869">
              <w:t>overnance)</w:t>
            </w:r>
            <w:r>
              <w:t xml:space="preserve"> also applies to p</w:t>
            </w:r>
            <w:r w:rsidRPr="00904869">
              <w:t xml:space="preserve">roviders registered in </w:t>
            </w:r>
            <w:r w:rsidR="00F36FEB">
              <w:t xml:space="preserve">registration </w:t>
            </w:r>
            <w:r w:rsidRPr="00904869">
              <w:t>category 4 who deliver care management and restorative care management service</w:t>
            </w:r>
            <w:r>
              <w:t xml:space="preserve"> types.</w:t>
            </w:r>
          </w:p>
        </w:tc>
      </w:tr>
      <w:tr w:rsidR="00727A74" w:rsidTr="0865EBD4" w14:paraId="3C13C494" w14:textId="77777777">
        <w:trPr>
          <w:trHeight w:val="300"/>
        </w:trPr>
        <w:tc>
          <w:tcPr>
            <w:tcW w:w="4530" w:type="dxa"/>
          </w:tcPr>
          <w:p w:rsidR="00727A74" w:rsidRDefault="00727A74" w14:paraId="71A00F93" w14:textId="77777777">
            <w:r w:rsidRPr="000461B3">
              <w:t xml:space="preserve">Standards 1 to 5 (the person, organisation, care and services, </w:t>
            </w:r>
            <w:r>
              <w:t>environment</w:t>
            </w:r>
            <w:r w:rsidRPr="000461B3">
              <w:t xml:space="preserve"> and </w:t>
            </w:r>
            <w:r w:rsidRPr="003B7CAD">
              <w:t>clinical care)</w:t>
            </w:r>
          </w:p>
        </w:tc>
        <w:tc>
          <w:tcPr>
            <w:tcW w:w="4530" w:type="dxa"/>
          </w:tcPr>
          <w:p w:rsidR="00727A74" w:rsidRDefault="00A21D65" w14:paraId="248276C9" w14:textId="4DC549E2">
            <w:r>
              <w:t>Applies</w:t>
            </w:r>
            <w:r w:rsidR="00727A74">
              <w:t xml:space="preserve"> to providers registered </w:t>
            </w:r>
            <w:r w:rsidR="00D611CF">
              <w:t xml:space="preserve">in </w:t>
            </w:r>
            <w:r w:rsidR="00727A74">
              <w:t xml:space="preserve">the ‘nursing and transition care’ registration </w:t>
            </w:r>
            <w:r w:rsidR="00D611CF">
              <w:t>(</w:t>
            </w:r>
            <w:r w:rsidR="00727A74">
              <w:t>category 5)</w:t>
            </w:r>
          </w:p>
        </w:tc>
      </w:tr>
      <w:tr w:rsidR="00727A74" w:rsidTr="0865EBD4" w14:paraId="4503DC6C" w14:textId="77777777">
        <w:trPr>
          <w:trHeight w:val="300"/>
        </w:trPr>
        <w:tc>
          <w:tcPr>
            <w:tcW w:w="4530" w:type="dxa"/>
          </w:tcPr>
          <w:p w:rsidR="00727A74" w:rsidRDefault="00727A74" w14:paraId="5D692726" w14:textId="4643EA53">
            <w:r>
              <w:t xml:space="preserve">Standards </w:t>
            </w:r>
            <w:r w:rsidR="000E1BAB">
              <w:t xml:space="preserve">1 to </w:t>
            </w:r>
            <w:r>
              <w:t>7 (</w:t>
            </w:r>
            <w:r w:rsidRPr="000461B3" w:rsidR="000E1BAB">
              <w:t xml:space="preserve">the person, organisation, care and services, </w:t>
            </w:r>
            <w:r w:rsidR="000E1BAB">
              <w:t>environment</w:t>
            </w:r>
            <w:r w:rsidRPr="000461B3" w:rsidR="000E1BAB">
              <w:t xml:space="preserve"> and </w:t>
            </w:r>
            <w:r w:rsidRPr="003B7CAD" w:rsidR="000E1BAB">
              <w:t>clinical care</w:t>
            </w:r>
            <w:r w:rsidR="000E1BAB">
              <w:t xml:space="preserve">, </w:t>
            </w:r>
            <w:r w:rsidR="008B4F49">
              <w:t xml:space="preserve">food and nutrition and </w:t>
            </w:r>
            <w:r>
              <w:t xml:space="preserve">the residential community) </w:t>
            </w:r>
          </w:p>
        </w:tc>
        <w:tc>
          <w:tcPr>
            <w:tcW w:w="4530" w:type="dxa"/>
          </w:tcPr>
          <w:p w:rsidR="00727A74" w:rsidRDefault="009612B0" w14:paraId="260FBE4A" w14:textId="01286922">
            <w:r>
              <w:rPr>
                <w:rFonts w:eastAsia="Segoe UI"/>
              </w:rPr>
              <w:t>A</w:t>
            </w:r>
            <w:r w:rsidR="00D21AA3">
              <w:rPr>
                <w:rFonts w:eastAsia="Segoe UI"/>
              </w:rPr>
              <w:t>ppl</w:t>
            </w:r>
            <w:r>
              <w:rPr>
                <w:rFonts w:eastAsia="Segoe UI"/>
              </w:rPr>
              <w:t>ies</w:t>
            </w:r>
            <w:r w:rsidR="00D21AA3">
              <w:rPr>
                <w:rFonts w:eastAsia="Segoe UI"/>
              </w:rPr>
              <w:t xml:space="preserve"> to residential aged care (category 6)</w:t>
            </w:r>
            <w:r w:rsidR="007E1769">
              <w:rPr>
                <w:rFonts w:eastAsia="Segoe UI"/>
              </w:rPr>
              <w:t>.</w:t>
            </w:r>
          </w:p>
        </w:tc>
      </w:tr>
    </w:tbl>
    <w:p w:rsidR="00645257" w:rsidP="00DE02E6" w:rsidRDefault="00645257" w14:paraId="05075673" w14:textId="77777777"/>
    <w:p w:rsidR="00DE02E6" w:rsidP="2C7FF375" w:rsidRDefault="7A76BB90" w14:paraId="6E103974" w14:textId="7A0E7380">
      <w:r>
        <w:t xml:space="preserve">The final draft of the strengthened Quality Standards was published in December 2023. As part of the legislative drafting process to translate them into law under the new Act, there are some small changes to this published version to ensure consistency with language in the new Act. </w:t>
      </w:r>
      <w:r w:rsidR="776D3A51">
        <w:t>Changes</w:t>
      </w:r>
      <w:r>
        <w:t xml:space="preserve"> </w:t>
      </w:r>
      <w:r w:rsidR="776D3A51">
        <w:t xml:space="preserve">also </w:t>
      </w:r>
      <w:r>
        <w:t>include adjustments to reflect a stronger emphasis on the role of workers in delivering safe and quality care and services for older people</w:t>
      </w:r>
      <w:r w:rsidR="16A6A930">
        <w:t xml:space="preserve"> in response to feedback </w:t>
      </w:r>
      <w:r w:rsidR="000413BF">
        <w:t>received</w:t>
      </w:r>
      <w:r w:rsidR="16A6A930">
        <w:t xml:space="preserve"> at the </w:t>
      </w:r>
      <w:r w:rsidRPr="0865EBD4" w:rsidR="16A6A930">
        <w:rPr>
          <w:rFonts w:eastAsia="Arial" w:cs="Arial"/>
        </w:rPr>
        <w:t xml:space="preserve"> </w:t>
      </w:r>
      <w:r w:rsidRPr="0865EBD4" w:rsidR="02D34B5E">
        <w:rPr>
          <w:rFonts w:eastAsia="Arial" w:cs="Arial"/>
        </w:rPr>
        <w:t>Senate Standing Committee on Community Affairs' Inquiry into</w:t>
      </w:r>
      <w:r w:rsidR="16A6A930">
        <w:t xml:space="preserve"> the Aged Care Bill 2024 in October 2024</w:t>
      </w:r>
      <w:r w:rsidR="07EBC1AA">
        <w:t>.</w:t>
      </w:r>
      <w:r>
        <w:t xml:space="preserve"> </w:t>
      </w:r>
      <w:r w:rsidR="0222E758">
        <w:t>Im</w:t>
      </w:r>
      <w:r>
        <w:t>portantly, the intent and expectations of the strengthened Quality Standards have not changed.</w:t>
      </w:r>
    </w:p>
    <w:p w:rsidR="00DE02E6" w:rsidP="6821004C" w:rsidRDefault="185E59A1" w14:paraId="21BBE266" w14:textId="11721F4B">
      <w:r>
        <w:t xml:space="preserve">See </w:t>
      </w:r>
      <w:r w:rsidRPr="14D541F5">
        <w:rPr>
          <w:i/>
          <w:iCs/>
        </w:rPr>
        <w:t xml:space="preserve">Appendix B </w:t>
      </w:r>
      <w:r>
        <w:t>for some of the changes between the Rules and the published version of the strengthened Quality Standards (December 2023).</w:t>
      </w:r>
    </w:p>
    <w:p w:rsidR="00DE02E6" w:rsidP="6821004C" w:rsidRDefault="185E59A1" w14:paraId="1923DB88" w14:textId="6D94EAEA" w14:noSpellErr="1">
      <w:r w:rsidR="56442785">
        <w:rPr/>
        <w:t xml:space="preserve">An updated consultation draft of the strengthened Quality Standards </w:t>
      </w:r>
      <w:r w:rsidR="78623B96">
        <w:rPr/>
        <w:t>will be</w:t>
      </w:r>
      <w:r w:rsidR="56442785">
        <w:rPr/>
        <w:t xml:space="preserve"> published on the </w:t>
      </w:r>
      <w:hyperlink r:id="R49c0d452c49c496f">
        <w:r w:rsidRPr="15B74840" w:rsidR="56442785">
          <w:rPr>
            <w:rStyle w:val="Hyperlink"/>
          </w:rPr>
          <w:t xml:space="preserve">department’s </w:t>
        </w:r>
        <w:r w:rsidRPr="15B74840" w:rsidR="56442785">
          <w:rPr>
            <w:rStyle w:val="Hyperlink"/>
          </w:rPr>
          <w:t>website</w:t>
        </w:r>
      </w:hyperlink>
      <w:r w:rsidR="56442785">
        <w:rPr/>
        <w:t xml:space="preserve"> to support consultation on these Rules.</w:t>
      </w:r>
    </w:p>
    <w:p w:rsidRPr="00733701" w:rsidR="00DE02E6" w:rsidP="00CC06FC" w:rsidRDefault="636EA77C" w14:paraId="05F29D05" w14:textId="3A4BE0A5">
      <w:pPr>
        <w:rPr>
          <w:rFonts w:eastAsia="Arial" w:cs="Arial"/>
        </w:rPr>
      </w:pPr>
      <w:r>
        <w:t xml:space="preserve">Further information on provider registration categories and the applicable Quality Standards and other obligations can be found on the </w:t>
      </w:r>
      <w:hyperlink w:history="1">
        <w:hyperlink w:history="1" w:anchor="new-universal-provider-registration" r:id="rId28">
          <w:r w:rsidRPr="0138AC72">
            <w:rPr>
              <w:rStyle w:val="Hyperlink"/>
            </w:rPr>
            <w:t>department’s website</w:t>
          </w:r>
        </w:hyperlink>
      </w:hyperlink>
      <w:r>
        <w:t>.</w:t>
      </w:r>
    </w:p>
    <w:p w:rsidR="00412D84" w:rsidP="005B28DA" w:rsidRDefault="00412D84" w14:paraId="1E3DD9AB" w14:textId="38D310BB">
      <w:pPr>
        <w:pStyle w:val="Heading3"/>
      </w:pPr>
      <w:r w:rsidRPr="005B28DA">
        <w:t>How do the</w:t>
      </w:r>
      <w:r w:rsidRPr="005B28DA" w:rsidR="006924DF">
        <w:t xml:space="preserve"> strengthened</w:t>
      </w:r>
      <w:r w:rsidRPr="005B28DA">
        <w:t xml:space="preserve"> Quality Standards interact with other </w:t>
      </w:r>
      <w:r w:rsidRPr="005B28DA" w:rsidR="00AC2598">
        <w:t>provider obligations?</w:t>
      </w:r>
    </w:p>
    <w:p w:rsidR="006A75D6" w:rsidP="001D5AA0" w:rsidRDefault="007C72B2" w14:paraId="601CECC5" w14:textId="378A698A">
      <w:r w:rsidRPr="007B7551">
        <w:t xml:space="preserve">Under </w:t>
      </w:r>
      <w:r w:rsidRPr="007B7551" w:rsidR="007B7551">
        <w:t>the new Act</w:t>
      </w:r>
      <w:r w:rsidR="0045248A">
        <w:t>, the str</w:t>
      </w:r>
      <w:r w:rsidR="003637A8">
        <w:t xml:space="preserve">engthened Quality Standards </w:t>
      </w:r>
      <w:r w:rsidR="000D541F">
        <w:t>is one of the conditions of registration that a registered provider</w:t>
      </w:r>
      <w:r w:rsidR="00410350">
        <w:t xml:space="preserve"> may</w:t>
      </w:r>
      <w:r w:rsidR="000D541F">
        <w:t xml:space="preserve"> need to </w:t>
      </w:r>
      <w:r w:rsidR="57EF63F8">
        <w:t>comply with</w:t>
      </w:r>
      <w:r w:rsidR="000D541F">
        <w:t xml:space="preserve">. </w:t>
      </w:r>
      <w:r w:rsidR="00B607B1">
        <w:t xml:space="preserve">As set out </w:t>
      </w:r>
      <w:r w:rsidR="00B8259D">
        <w:t xml:space="preserve">earlier in this paper, </w:t>
      </w:r>
      <w:r w:rsidR="00893966">
        <w:t xml:space="preserve">conditions of registration </w:t>
      </w:r>
      <w:r w:rsidR="006A75D6">
        <w:t xml:space="preserve">can apply to all providers or be applicable to a certain ‘kind’ of provider. </w:t>
      </w:r>
    </w:p>
    <w:p w:rsidR="00D07172" w:rsidP="00D07172" w:rsidRDefault="00D07172" w14:paraId="03E61615" w14:textId="6DB11812">
      <w:r>
        <w:t xml:space="preserve">One of the key differences for the Quality Standards compared with other conditions of registration and obligations is that registration (including renewal and variation) decisions will be informed by an audit against the applicable Quality Standards based on the services a provider offers. This is outlined in section 110 of the </w:t>
      </w:r>
      <w:r w:rsidR="00841587">
        <w:t>new</w:t>
      </w:r>
      <w:r>
        <w:t xml:space="preserve"> Act. However, a provider’s performance, including compliance with conditions and obligations, can also </w:t>
      </w:r>
      <w:r w:rsidR="00893FB5">
        <w:t>be</w:t>
      </w:r>
      <w:r>
        <w:t xml:space="preserve"> considered in registration requirements (as outlined in section 109).</w:t>
      </w:r>
    </w:p>
    <w:p w:rsidR="00D07172" w:rsidP="00D07172" w:rsidRDefault="00D07172" w14:paraId="2CE9D801" w14:textId="2C395E85">
      <w:r>
        <w:t>To ensure that providers are appropriately regulated, there are some conditions that apply to providers in registration categories where the Quality Standards do not apply. That is,</w:t>
      </w:r>
      <w:r w:rsidR="00FE1EDD">
        <w:t xml:space="preserve"> </w:t>
      </w:r>
      <w:r w:rsidR="000F5A3B">
        <w:t>for</w:t>
      </w:r>
      <w:r>
        <w:t xml:space="preserve"> registration categories 1, 2 and 3 </w:t>
      </w:r>
      <w:r w:rsidR="0012045C">
        <w:t>a condition may only apply to</w:t>
      </w:r>
      <w:r>
        <w:t xml:space="preserve"> reflect the same requirement </w:t>
      </w:r>
      <w:r w:rsidR="00554C53">
        <w:t xml:space="preserve">that </w:t>
      </w:r>
      <w:r>
        <w:t xml:space="preserve">is included in the Quality </w:t>
      </w:r>
      <w:r w:rsidR="009E2DB5">
        <w:t>Standards,</w:t>
      </w:r>
      <w:r>
        <w:t xml:space="preserve"> which applies to the other registration categories.</w:t>
      </w:r>
    </w:p>
    <w:p w:rsidR="00AC2598" w:rsidP="001D5AA0" w:rsidRDefault="006B33DE" w14:paraId="09C42206" w14:textId="6DE4D2C0">
      <w:r>
        <w:t>Some</w:t>
      </w:r>
      <w:r w:rsidR="00030B29">
        <w:t xml:space="preserve"> conditions of registration complement the requirements of the Quality Standards. For example, the </w:t>
      </w:r>
      <w:r w:rsidR="00872F8E">
        <w:t>condition of registration on complaints</w:t>
      </w:r>
      <w:r>
        <w:t xml:space="preserve">, feedback and whistleblowers </w:t>
      </w:r>
      <w:r w:rsidR="00331903">
        <w:t>applies to all registered providers</w:t>
      </w:r>
      <w:r w:rsidR="00FA59C2">
        <w:t xml:space="preserve">, and </w:t>
      </w:r>
      <w:r w:rsidR="00621E25">
        <w:t>prescribes further details than what is in the Quality Standards</w:t>
      </w:r>
      <w:r w:rsidR="00D81D99">
        <w:t xml:space="preserve">. </w:t>
      </w:r>
      <w:r w:rsidR="004730C8">
        <w:t xml:space="preserve">A provider </w:t>
      </w:r>
      <w:r w:rsidR="002E7E79">
        <w:t>should</w:t>
      </w:r>
      <w:r w:rsidR="008809B7">
        <w:t xml:space="preserve"> reflect both requirements in a single complaints</w:t>
      </w:r>
      <w:r w:rsidR="004E432A">
        <w:t xml:space="preserve"> and feedback procedure</w:t>
      </w:r>
      <w:r w:rsidR="66AD9F2F">
        <w:t xml:space="preserve"> to meet </w:t>
      </w:r>
      <w:r w:rsidR="004128C4">
        <w:t>conditions of registration.</w:t>
      </w:r>
    </w:p>
    <w:p w:rsidR="00283EEF" w:rsidP="00283EEF" w:rsidRDefault="00283EEF" w14:paraId="5E57FBEB" w14:textId="20E0B365">
      <w:pPr>
        <w:pStyle w:val="Heading3"/>
      </w:pPr>
      <w:r>
        <w:t>Commonwealth Home Support Program (CHSP) and National Aboriginal and Torres Strait Islander Flexible Aged Care</w:t>
      </w:r>
      <w:r w:rsidR="001F1720">
        <w:t xml:space="preserve"> Program</w:t>
      </w:r>
      <w:r>
        <w:t xml:space="preserve"> (NATSIFAC</w:t>
      </w:r>
      <w:r w:rsidR="001F1720">
        <w:t>P</w:t>
      </w:r>
      <w:r>
        <w:t>)</w:t>
      </w:r>
    </w:p>
    <w:p w:rsidR="00C81B1D" w:rsidP="00283EEF" w:rsidRDefault="008D6659" w14:paraId="0BFBE454" w14:textId="200D949F">
      <w:r w:rsidRPr="008D6659">
        <w:t>CHSP</w:t>
      </w:r>
      <w:r w:rsidR="005332BF">
        <w:t xml:space="preserve"> and NATSIFACP</w:t>
      </w:r>
      <w:r w:rsidRPr="008D6659">
        <w:t xml:space="preserve"> providers will </w:t>
      </w:r>
      <w:r w:rsidR="002C1238">
        <w:t xml:space="preserve">need to </w:t>
      </w:r>
      <w:r w:rsidRPr="008D6659">
        <w:t xml:space="preserve">be registered providers under the new </w:t>
      </w:r>
      <w:r w:rsidR="00612CED">
        <w:t>Act</w:t>
      </w:r>
      <w:r w:rsidR="005332BF">
        <w:t xml:space="preserve">. </w:t>
      </w:r>
      <w:r w:rsidRPr="00C81B1D" w:rsidR="00C81B1D">
        <w:t>This means that NATS</w:t>
      </w:r>
      <w:r w:rsidR="004969D9">
        <w:t>I</w:t>
      </w:r>
      <w:r w:rsidRPr="00C81B1D" w:rsidR="00C81B1D">
        <w:t>FAC</w:t>
      </w:r>
      <w:r w:rsidR="00F340C8">
        <w:t>P</w:t>
      </w:r>
      <w:r w:rsidRPr="00C81B1D" w:rsidR="00C81B1D">
        <w:t xml:space="preserve"> and CHSP providers will need to comply with any conditions </w:t>
      </w:r>
      <w:r w:rsidR="00063CAD">
        <w:t>of registration</w:t>
      </w:r>
      <w:r w:rsidRPr="00C81B1D" w:rsidR="00C81B1D">
        <w:t xml:space="preserve"> and obligations </w:t>
      </w:r>
      <w:r w:rsidR="00E31847">
        <w:t xml:space="preserve">that </w:t>
      </w:r>
      <w:r w:rsidR="00063CAD">
        <w:t>apply to them</w:t>
      </w:r>
      <w:r w:rsidR="002C1238">
        <w:t>. This is in addition to</w:t>
      </w:r>
      <w:r w:rsidRPr="00C81B1D" w:rsidR="00C81B1D">
        <w:t xml:space="preserve"> any other terms and conditions that are set out in their grant agreement.</w:t>
      </w:r>
      <w:r w:rsidR="60F00165">
        <w:t xml:space="preserve"> For example, the Aged Care Code of Conduct is a condition of registration that will apply to all providers under the new Act, including </w:t>
      </w:r>
      <w:r w:rsidR="3F1464BD">
        <w:t>providers delivering CHSP and NASTIFACP</w:t>
      </w:r>
      <w:r w:rsidR="008E44EC">
        <w:t>.</w:t>
      </w:r>
      <w:r w:rsidR="60F00165">
        <w:t xml:space="preserve"> </w:t>
      </w:r>
    </w:p>
    <w:p w:rsidR="001F1720" w:rsidP="00283EEF" w:rsidRDefault="001F1720" w14:paraId="1F062333" w14:textId="2604F46E">
      <w:r>
        <w:t xml:space="preserve">Currently the </w:t>
      </w:r>
      <w:r w:rsidR="00576187">
        <w:t>obligations</w:t>
      </w:r>
      <w:r>
        <w:t xml:space="preserve"> for CHSP and NA</w:t>
      </w:r>
      <w:r w:rsidR="001E187A">
        <w:t>TSIFACP providers are set out in individual agreements between the department and the provider</w:t>
      </w:r>
      <w:r w:rsidR="008E44EC">
        <w:t xml:space="preserve"> and explained in the program manuals</w:t>
      </w:r>
      <w:r w:rsidR="001E187A">
        <w:t xml:space="preserve">. </w:t>
      </w:r>
      <w:r w:rsidRPr="00A161EF" w:rsidR="00AB3206">
        <w:t>Under the new Act,</w:t>
      </w:r>
      <w:r w:rsidR="00AB3206">
        <w:t xml:space="preserve"> t</w:t>
      </w:r>
      <w:r w:rsidR="00E840B6">
        <w:t>hese requirements will be set out in the Rules</w:t>
      </w:r>
      <w:r w:rsidR="008E44EC">
        <w:t xml:space="preserve"> as well as continue to be reflected in the program manuals</w:t>
      </w:r>
      <w:r w:rsidR="00AB3206">
        <w:t>.</w:t>
      </w:r>
      <w:r w:rsidR="00407025">
        <w:t xml:space="preserve"> </w:t>
      </w:r>
    </w:p>
    <w:p w:rsidR="00D54D5F" w:rsidP="007C6EA1" w:rsidRDefault="007C6EA1" w14:paraId="36D59A36" w14:textId="0F18644B">
      <w:pPr>
        <w:pStyle w:val="Heading3"/>
      </w:pPr>
      <w:r w:rsidRPr="007C6EA1">
        <w:t>Workforce and aged care worker requirements (aged care worker screening)</w:t>
      </w:r>
    </w:p>
    <w:p w:rsidR="008762D3" w:rsidP="008762D3" w:rsidRDefault="008762D3" w14:paraId="5347ECD4" w14:textId="77777777">
      <w:pPr>
        <w:spacing w:before="0"/>
        <w:rPr>
          <w:rFonts w:eastAsia="Arial" w:cs="Arial"/>
        </w:rPr>
      </w:pPr>
      <w:r w:rsidRPr="7FDAE087">
        <w:rPr>
          <w:rFonts w:eastAsia="Arial" w:cs="Arial"/>
        </w:rPr>
        <w:t xml:space="preserve">Section 152 of the new Act provides that </w:t>
      </w:r>
      <w:r w:rsidRPr="02FD202E">
        <w:rPr>
          <w:rFonts w:eastAsia="Arial" w:cs="Arial"/>
        </w:rPr>
        <w:t xml:space="preserve">it is a condition of registration </w:t>
      </w:r>
      <w:r w:rsidRPr="49C5F3B8">
        <w:rPr>
          <w:rFonts w:eastAsia="Arial" w:cs="Arial"/>
        </w:rPr>
        <w:t xml:space="preserve">that </w:t>
      </w:r>
      <w:r w:rsidRPr="3ADD232C">
        <w:rPr>
          <w:rFonts w:eastAsia="Arial" w:cs="Arial"/>
        </w:rPr>
        <w:t xml:space="preserve">a </w:t>
      </w:r>
      <w:r w:rsidRPr="0A283D03">
        <w:rPr>
          <w:rFonts w:eastAsia="Arial" w:cs="Arial"/>
        </w:rPr>
        <w:t xml:space="preserve">registered provider of a kind prescribed by the Rules must </w:t>
      </w:r>
      <w:r w:rsidRPr="151BA3EC">
        <w:rPr>
          <w:rFonts w:eastAsia="Arial" w:cs="Arial"/>
        </w:rPr>
        <w:t>comply with a number of requirements relating</w:t>
      </w:r>
      <w:r w:rsidRPr="3203EF28">
        <w:rPr>
          <w:rFonts w:eastAsia="Arial" w:cs="Arial"/>
        </w:rPr>
        <w:t xml:space="preserve"> to the screening, </w:t>
      </w:r>
      <w:r w:rsidRPr="49C5F3B8">
        <w:rPr>
          <w:rFonts w:eastAsia="Arial" w:cs="Arial"/>
        </w:rPr>
        <w:t>qualifications</w:t>
      </w:r>
      <w:r w:rsidRPr="79C2ABE8">
        <w:rPr>
          <w:rFonts w:eastAsia="Arial" w:cs="Arial"/>
        </w:rPr>
        <w:t>, training</w:t>
      </w:r>
      <w:r w:rsidRPr="74E6FA71">
        <w:rPr>
          <w:rFonts w:eastAsia="Arial" w:cs="Arial"/>
        </w:rPr>
        <w:t xml:space="preserve"> and</w:t>
      </w:r>
      <w:r w:rsidRPr="79C2ABE8">
        <w:rPr>
          <w:rFonts w:eastAsia="Arial" w:cs="Arial"/>
        </w:rPr>
        <w:t xml:space="preserve"> capability development</w:t>
      </w:r>
      <w:r w:rsidRPr="74E6FA71">
        <w:rPr>
          <w:rFonts w:eastAsia="Arial" w:cs="Arial"/>
        </w:rPr>
        <w:t xml:space="preserve"> </w:t>
      </w:r>
      <w:r w:rsidRPr="4AD8CCAD">
        <w:rPr>
          <w:rFonts w:eastAsia="Arial" w:cs="Arial"/>
        </w:rPr>
        <w:t xml:space="preserve">of </w:t>
      </w:r>
      <w:r w:rsidRPr="49C5F3B8">
        <w:rPr>
          <w:rFonts w:eastAsia="Arial" w:cs="Arial"/>
        </w:rPr>
        <w:t xml:space="preserve">their </w:t>
      </w:r>
      <w:r w:rsidRPr="4AD8CCAD">
        <w:rPr>
          <w:rFonts w:eastAsia="Arial" w:cs="Arial"/>
        </w:rPr>
        <w:t xml:space="preserve">aged care workers. </w:t>
      </w:r>
    </w:p>
    <w:p w:rsidRPr="00BD7630" w:rsidR="008762D3" w:rsidP="008762D3" w:rsidRDefault="008762D3" w14:paraId="09555829" w14:textId="77777777">
      <w:pPr>
        <w:spacing w:before="0"/>
        <w:rPr>
          <w:rFonts w:eastAsia="Arial" w:cs="Arial"/>
        </w:rPr>
      </w:pPr>
      <w:r w:rsidRPr="4625D380">
        <w:rPr>
          <w:rFonts w:eastAsia="Arial" w:cs="Arial"/>
        </w:rPr>
        <w:t>The Australian Government is working closely with the states and territories to expand National Disability Insurance Scheme (NDIS) worker screening checks to the aged care sector</w:t>
      </w:r>
      <w:r w:rsidRPr="5FA1F7AB">
        <w:rPr>
          <w:rFonts w:eastAsia="Arial" w:cs="Arial"/>
        </w:rPr>
        <w:t xml:space="preserve"> in the future.</w:t>
      </w:r>
      <w:r w:rsidRPr="4625D380">
        <w:rPr>
          <w:rFonts w:eastAsia="Arial" w:cs="Arial"/>
        </w:rPr>
        <w:t xml:space="preserve"> This will provide a more rigorous criminal screening check and additional information to assess if someone poses a risk of harm in working, or seeking to work, in aged care. Alignment across the NDIS and aged care sectors will make it easier for workers to move between the sectors. Before this change can happen, an intergovernmental agreement must be finalised between the Australian Government and the states and territories. </w:t>
      </w:r>
      <w:r w:rsidRPr="0865EBD4">
        <w:rPr>
          <w:rFonts w:eastAsia="Arial" w:cs="Arial"/>
        </w:rPr>
        <w:t>New</w:t>
      </w:r>
      <w:r w:rsidRPr="4625D380">
        <w:rPr>
          <w:rFonts w:eastAsia="Arial" w:cs="Arial"/>
        </w:rPr>
        <w:t xml:space="preserve"> state and territory legislation is also needed. </w:t>
      </w:r>
    </w:p>
    <w:p w:rsidR="008762D3" w:rsidP="008762D3" w:rsidRDefault="008762D3" w14:paraId="2A23D9E3" w14:textId="77777777">
      <w:pPr>
        <w:rPr>
          <w:rFonts w:eastAsia="Arial" w:cs="Arial"/>
        </w:rPr>
      </w:pPr>
      <w:r w:rsidRPr="601527F1">
        <w:rPr>
          <w:rFonts w:eastAsia="Arial" w:cs="Arial"/>
        </w:rPr>
        <w:t xml:space="preserve">Until this occurs, registered providers will have a requirement to ensure their aged care workers and responsible persons have </w:t>
      </w:r>
      <w:r w:rsidRPr="4625D380">
        <w:rPr>
          <w:rFonts w:eastAsia="Arial" w:cs="Arial"/>
        </w:rPr>
        <w:t xml:space="preserve">either: </w:t>
      </w:r>
    </w:p>
    <w:p w:rsidR="008762D3" w:rsidP="008762D3" w:rsidRDefault="008762D3" w14:paraId="3C6AADC2" w14:textId="77777777">
      <w:pPr>
        <w:pStyle w:val="ListParagraph"/>
        <w:numPr>
          <w:ilvl w:val="0"/>
          <w:numId w:val="40"/>
        </w:numPr>
        <w:rPr>
          <w:rFonts w:eastAsia="Arial" w:cs="Arial"/>
        </w:rPr>
      </w:pPr>
      <w:r w:rsidRPr="601527F1">
        <w:rPr>
          <w:rFonts w:eastAsia="Arial" w:cs="Arial"/>
        </w:rPr>
        <w:t xml:space="preserve">a police certificate or </w:t>
      </w:r>
    </w:p>
    <w:p w:rsidR="008762D3" w:rsidP="008762D3" w:rsidRDefault="008762D3" w14:paraId="6398D293" w14:textId="77777777">
      <w:pPr>
        <w:pStyle w:val="ListParagraph"/>
        <w:numPr>
          <w:ilvl w:val="0"/>
          <w:numId w:val="40"/>
        </w:numPr>
        <w:rPr>
          <w:rFonts w:eastAsia="Arial" w:cs="Arial"/>
        </w:rPr>
      </w:pPr>
      <w:r w:rsidRPr="0865EBD4">
        <w:rPr>
          <w:rFonts w:eastAsia="Arial" w:cs="Arial"/>
        </w:rPr>
        <w:t xml:space="preserve">an NDIS worker screening clearance. </w:t>
      </w:r>
    </w:p>
    <w:p w:rsidR="008762D3" w:rsidP="008762D3" w:rsidRDefault="008762D3" w14:paraId="78D34F34" w14:textId="77777777">
      <w:pPr>
        <w:rPr>
          <w:rFonts w:eastAsia="Arial" w:cs="Arial"/>
        </w:rPr>
      </w:pPr>
      <w:r w:rsidRPr="6D5B2355">
        <w:rPr>
          <w:rFonts w:eastAsia="Arial" w:cs="Arial"/>
        </w:rPr>
        <w:t xml:space="preserve">The registered provider must check a person’s police certificate for certain convictions that </w:t>
      </w:r>
      <w:r w:rsidRPr="783F1E29">
        <w:rPr>
          <w:rFonts w:eastAsia="Arial" w:cs="Arial"/>
        </w:rPr>
        <w:t xml:space="preserve">would </w:t>
      </w:r>
      <w:r w:rsidRPr="3CE407DC">
        <w:rPr>
          <w:rFonts w:eastAsia="Arial" w:cs="Arial"/>
        </w:rPr>
        <w:t>preclude</w:t>
      </w:r>
      <w:r w:rsidRPr="783F1E29">
        <w:rPr>
          <w:rFonts w:eastAsia="Arial" w:cs="Arial"/>
        </w:rPr>
        <w:t xml:space="preserve"> </w:t>
      </w:r>
      <w:r w:rsidRPr="601527F1">
        <w:rPr>
          <w:rFonts w:eastAsia="Arial" w:cs="Arial"/>
        </w:rPr>
        <w:t>a person from working in aged care</w:t>
      </w:r>
      <w:r>
        <w:rPr>
          <w:rFonts w:eastAsia="Arial" w:cs="Arial"/>
        </w:rPr>
        <w:t>.</w:t>
      </w:r>
    </w:p>
    <w:p w:rsidR="008762D3" w:rsidP="008762D3" w:rsidRDefault="008762D3" w14:paraId="57D6D238" w14:textId="5298F0EB">
      <w:pPr>
        <w:rPr>
          <w:rFonts w:eastAsia="Arial" w:cs="Arial"/>
        </w:rPr>
      </w:pPr>
      <w:r>
        <w:rPr>
          <w:rFonts w:eastAsia="Arial" w:cs="Arial"/>
        </w:rPr>
        <w:t xml:space="preserve">NATSIFACP and CHSP providers are currently required to comply with the current requirements under the provider manuals. </w:t>
      </w:r>
      <w:r w:rsidRPr="00007144">
        <w:rPr>
          <w:rFonts w:eastAsia="Arial" w:cs="Arial"/>
        </w:rPr>
        <w:t xml:space="preserve">The obligation is on providers to check a person’s police certificate for these precluding offences. </w:t>
      </w:r>
    </w:p>
    <w:p w:rsidRPr="00B37B4E" w:rsidR="008762D3" w:rsidP="008762D3" w:rsidRDefault="008762D3" w14:paraId="674BA4E1" w14:textId="26242621">
      <w:pPr>
        <w:rPr>
          <w:rFonts w:eastAsia="Arial" w:cs="Arial"/>
        </w:rPr>
      </w:pPr>
      <w:r w:rsidRPr="00911EB5">
        <w:rPr>
          <w:rFonts w:eastAsia="Arial" w:cs="Arial"/>
        </w:rPr>
        <w:t xml:space="preserve">For consistency across </w:t>
      </w:r>
      <w:r>
        <w:rPr>
          <w:rFonts w:eastAsia="Arial" w:cs="Arial"/>
        </w:rPr>
        <w:t>g</w:t>
      </w:r>
      <w:r w:rsidRPr="00911EB5">
        <w:rPr>
          <w:rFonts w:eastAsia="Arial" w:cs="Arial"/>
        </w:rPr>
        <w:t xml:space="preserve">rant </w:t>
      </w:r>
      <w:r>
        <w:rPr>
          <w:rFonts w:eastAsia="Arial" w:cs="Arial"/>
        </w:rPr>
        <w:t>f</w:t>
      </w:r>
      <w:r w:rsidRPr="00911EB5">
        <w:rPr>
          <w:rFonts w:eastAsia="Arial" w:cs="Arial"/>
        </w:rPr>
        <w:t xml:space="preserve">unded Aged </w:t>
      </w:r>
      <w:r>
        <w:rPr>
          <w:rFonts w:eastAsia="Arial" w:cs="Arial"/>
        </w:rPr>
        <w:t>C</w:t>
      </w:r>
      <w:r w:rsidRPr="00911EB5">
        <w:rPr>
          <w:rFonts w:eastAsia="Arial" w:cs="Arial"/>
        </w:rPr>
        <w:t>are Programs</w:t>
      </w:r>
      <w:r>
        <w:rPr>
          <w:rFonts w:eastAsia="Arial" w:cs="Arial"/>
        </w:rPr>
        <w:t>, from 1 July 2025 until</w:t>
      </w:r>
      <w:r w:rsidRPr="008F770F">
        <w:rPr>
          <w:rFonts w:eastAsia="Arial" w:cs="Arial"/>
        </w:rPr>
        <w:t xml:space="preserve"> the NDIS worker screening checks </w:t>
      </w:r>
      <w:r>
        <w:rPr>
          <w:rFonts w:eastAsia="Arial" w:cs="Arial"/>
        </w:rPr>
        <w:t>commence (expected to be during 2026), both CHSP and NATSIFACP providers will be required to ensure that their staff do not have a police certificate that records convictions or offences involving</w:t>
      </w:r>
      <w:r w:rsidRPr="00B37B4E">
        <w:rPr>
          <w:rFonts w:eastAsia="Arial" w:cs="Arial"/>
        </w:rPr>
        <w:t>:</w:t>
      </w:r>
    </w:p>
    <w:p w:rsidRPr="00B37B4E" w:rsidR="008762D3" w:rsidP="00A02B85" w:rsidRDefault="008762D3" w14:paraId="5C013336" w14:textId="53D779FB">
      <w:pPr>
        <w:pStyle w:val="ListParagraph"/>
        <w:numPr>
          <w:ilvl w:val="0"/>
          <w:numId w:val="40"/>
        </w:numPr>
        <w:rPr>
          <w:rFonts w:eastAsia="Arial" w:cs="Arial"/>
        </w:rPr>
      </w:pPr>
      <w:r w:rsidRPr="00B37B4E">
        <w:rPr>
          <w:rFonts w:eastAsia="Arial" w:cs="Arial"/>
        </w:rPr>
        <w:t>the death of a person</w:t>
      </w:r>
    </w:p>
    <w:p w:rsidRPr="00B37B4E" w:rsidR="008762D3" w:rsidP="00A02B85" w:rsidRDefault="008762D3" w14:paraId="3EF49A2E" w14:textId="0412237C">
      <w:pPr>
        <w:pStyle w:val="ListParagraph"/>
        <w:numPr>
          <w:ilvl w:val="0"/>
          <w:numId w:val="40"/>
        </w:numPr>
        <w:rPr>
          <w:rFonts w:eastAsia="Arial" w:cs="Arial"/>
        </w:rPr>
      </w:pPr>
      <w:r>
        <w:rPr>
          <w:rFonts w:eastAsia="Arial" w:cs="Arial"/>
        </w:rPr>
        <w:t xml:space="preserve">sexual offences including sexual assault (whether against an adult or child), </w:t>
      </w:r>
      <w:r w:rsidRPr="00B37B4E">
        <w:rPr>
          <w:rFonts w:eastAsia="Arial" w:cs="Arial"/>
        </w:rPr>
        <w:t>child pornography, or an indecent act involving a child</w:t>
      </w:r>
      <w:r>
        <w:rPr>
          <w:rFonts w:eastAsia="Arial" w:cs="Arial"/>
        </w:rPr>
        <w:t>; where there was a conviction in the last five years and a sentence of imprisonment for one year or longer, or</w:t>
      </w:r>
    </w:p>
    <w:p w:rsidRPr="008F770F" w:rsidR="008762D3" w:rsidP="00A02B85" w:rsidRDefault="008762D3" w14:paraId="48CB9C65" w14:textId="46E7EE2D">
      <w:pPr>
        <w:pStyle w:val="ListParagraph"/>
        <w:numPr>
          <w:ilvl w:val="0"/>
          <w:numId w:val="40"/>
        </w:numPr>
        <w:rPr>
          <w:rFonts w:eastAsia="Arial" w:cs="Arial"/>
        </w:rPr>
      </w:pPr>
      <w:r w:rsidRPr="008762D3">
        <w:rPr>
          <w:rFonts w:eastAsia="Arial" w:cs="Arial"/>
        </w:rPr>
        <w:t>matters relating to dishonesty that are not minor</w:t>
      </w:r>
      <w:r>
        <w:rPr>
          <w:rFonts w:eastAsia="Arial" w:cs="Arial"/>
        </w:rPr>
        <w:t xml:space="preserve">, </w:t>
      </w:r>
      <w:r w:rsidRPr="008762D3">
        <w:rPr>
          <w:rFonts w:eastAsia="Arial" w:cs="Arial"/>
        </w:rPr>
        <w:t>where there was a conviction in the last five years and a sentence of imprisonment for one year or longer</w:t>
      </w:r>
      <w:r>
        <w:rPr>
          <w:rFonts w:eastAsia="Arial" w:cs="Arial"/>
        </w:rPr>
        <w:t>.</w:t>
      </w:r>
    </w:p>
    <w:p w:rsidR="008762D3" w:rsidP="008762D3" w:rsidRDefault="008762D3" w14:paraId="463BA5AF" w14:textId="6A4CF6B4">
      <w:pPr>
        <w:spacing w:line="240" w:lineRule="auto"/>
      </w:pPr>
      <w:r>
        <w:t xml:space="preserve">CHSP and NATSIFACP providers must also not allow a person to continue to provide aged care services if they are convicted of one of these offences. </w:t>
      </w:r>
    </w:p>
    <w:p w:rsidR="008762D3" w:rsidP="008762D3" w:rsidRDefault="008762D3" w14:paraId="794FFFFD" w14:textId="77777777">
      <w:pPr>
        <w:spacing w:line="240" w:lineRule="auto"/>
      </w:pPr>
      <w:r>
        <w:t>For CHSP providers, this is a change to current requirements where p</w:t>
      </w:r>
      <w:r w:rsidRPr="00911EB5">
        <w:t>roviders may use discretion when assessing a person’s criminal his</w:t>
      </w:r>
      <w:r>
        <w:t>to</w:t>
      </w:r>
      <w:r w:rsidRPr="00911EB5">
        <w:t>ry to determine whether recorded offences are relevant to the job.</w:t>
      </w:r>
    </w:p>
    <w:p w:rsidRPr="00911EB5" w:rsidR="008762D3" w:rsidP="008762D3" w:rsidRDefault="008762D3" w14:paraId="0D1C8FD0" w14:textId="77777777">
      <w:pPr>
        <w:spacing w:line="240" w:lineRule="auto"/>
      </w:pPr>
      <w:r>
        <w:t xml:space="preserve">For NATSIFACP providers, this is a change to current requirements because it does not include the reference to </w:t>
      </w:r>
      <w:r w:rsidRPr="00A02B85">
        <w:t>offences such as fraud, money laundering, insider dealing or any other financial offence/crime including those relating to companies, banking insurance or other financial services</w:t>
      </w:r>
      <w:r>
        <w:t xml:space="preserve">. </w:t>
      </w:r>
      <w:r w:rsidRPr="001D2A7C">
        <w:t>This has been amended because the fraud-related offences were directed to the executive decision makers and those roles are now responsible persons who are regulated under enhanced suitability matter requirements in the new Act.</w:t>
      </w:r>
    </w:p>
    <w:p w:rsidR="008762D3" w:rsidP="008762D3" w:rsidRDefault="008762D3" w14:paraId="1BC5DEA1" w14:textId="77777777">
      <w:pPr>
        <w:spacing w:before="0" w:after="0" w:line="240" w:lineRule="auto"/>
      </w:pPr>
      <w:r>
        <w:t>C</w:t>
      </w:r>
      <w:r w:rsidRPr="00BA71C0">
        <w:t>onsultation on</w:t>
      </w:r>
      <w:r w:rsidRPr="00050555">
        <w:t xml:space="preserve"> a national registration scheme</w:t>
      </w:r>
      <w:r>
        <w:t xml:space="preserve"> for aged care workers</w:t>
      </w:r>
      <w:r w:rsidRPr="00050555">
        <w:t xml:space="preserve">, with new training and skills requirements, </w:t>
      </w:r>
      <w:r>
        <w:t xml:space="preserve">will occur separately to this consultation on the Rules. </w:t>
      </w:r>
      <w:r>
        <w:br w:type="page"/>
      </w:r>
    </w:p>
    <w:p w:rsidR="00963594" w:rsidP="004D4794" w:rsidRDefault="004D4794" w14:paraId="75B97164" w14:textId="117D0626">
      <w:pPr>
        <w:pStyle w:val="Heading1"/>
      </w:pPr>
      <w:r>
        <w:t xml:space="preserve">Appendix </w:t>
      </w:r>
      <w:r w:rsidR="00271246">
        <w:t>A</w:t>
      </w:r>
      <w:r>
        <w:t>: Release 3 Topics</w:t>
      </w:r>
    </w:p>
    <w:p w:rsidRPr="00E129D5" w:rsidR="00E129D5" w:rsidP="00E129D5" w:rsidRDefault="00D07AB1" w14:paraId="315DCFA8" w14:textId="3238B85B">
      <w:pPr>
        <w:pStyle w:val="Heading3"/>
      </w:pPr>
      <w:r w:rsidRPr="00D07AB1">
        <w:t>Rules that exist now in aged care</w:t>
      </w:r>
    </w:p>
    <w:tbl>
      <w:tblPr>
        <w:tblStyle w:val="TableGrid"/>
        <w:tblW w:w="0" w:type="auto"/>
        <w:tblLook w:val="04A0" w:firstRow="1" w:lastRow="0" w:firstColumn="1" w:lastColumn="0" w:noHBand="0" w:noVBand="1"/>
      </w:tblPr>
      <w:tblGrid>
        <w:gridCol w:w="9060"/>
      </w:tblGrid>
      <w:tr w:rsidR="006A3D29" w:rsidTr="00F8503D" w14:paraId="3841902B" w14:textId="77777777">
        <w:tc>
          <w:tcPr>
            <w:tcW w:w="9060" w:type="dxa"/>
          </w:tcPr>
          <w:p w:rsidRPr="006A3D29" w:rsidR="006A3D29" w:rsidP="006A3D29" w:rsidRDefault="006A3D29" w14:paraId="32DBD43B" w14:textId="4E6FF297">
            <w:pPr>
              <w:rPr>
                <w:b/>
                <w:bCs/>
              </w:rPr>
            </w:pPr>
            <w:r w:rsidRPr="006A3D29">
              <w:rPr>
                <w:b/>
                <w:bCs/>
              </w:rPr>
              <w:t>Aged Care Code of Conduct (section 14)</w:t>
            </w:r>
          </w:p>
          <w:p w:rsidR="006A3D29" w:rsidP="00CF1BC3" w:rsidRDefault="64F559EA" w14:paraId="2A592086" w14:textId="72C2DDF7">
            <w:r>
              <w:t xml:space="preserve">Maintains </w:t>
            </w:r>
            <w:r w:rsidR="006A3D29">
              <w:t>the current Aged Care Code of Conduct, which sets out expectations for aged care workers and responsible person for how they behave and treat people receiving aged care.</w:t>
            </w:r>
          </w:p>
        </w:tc>
      </w:tr>
      <w:tr w:rsidR="006A3D29" w:rsidTr="00F8503D" w14:paraId="4FCDBDE5" w14:textId="77777777">
        <w:tc>
          <w:tcPr>
            <w:tcW w:w="9060" w:type="dxa"/>
          </w:tcPr>
          <w:p w:rsidRPr="006A3D29" w:rsidR="006A3D29" w:rsidP="006A3D29" w:rsidRDefault="006A3D29" w14:paraId="654A06F5" w14:textId="77777777">
            <w:pPr>
              <w:rPr>
                <w:b/>
                <w:bCs/>
              </w:rPr>
            </w:pPr>
            <w:r w:rsidRPr="006A3D29">
              <w:rPr>
                <w:b/>
                <w:bCs/>
              </w:rPr>
              <w:t>Continuous improvement (section 147)</w:t>
            </w:r>
          </w:p>
          <w:p w:rsidR="006A3D29" w:rsidP="00CF1BC3" w:rsidRDefault="0CAFCCBA" w14:paraId="46449325" w14:textId="0CCAEE1F">
            <w:r>
              <w:t xml:space="preserve">The Rules provide </w:t>
            </w:r>
            <w:r w:rsidR="000B6CF9">
              <w:t xml:space="preserve">which </w:t>
            </w:r>
            <w:r>
              <w:t>registered providers must comply with the requirement to have a continuous improvement plan.</w:t>
            </w:r>
          </w:p>
        </w:tc>
      </w:tr>
      <w:tr w:rsidR="006A3D29" w:rsidTr="00F8503D" w14:paraId="0B23AE67" w14:textId="77777777">
        <w:tc>
          <w:tcPr>
            <w:tcW w:w="9060" w:type="dxa"/>
          </w:tcPr>
          <w:p w:rsidRPr="006A3D29" w:rsidR="006A3D29" w:rsidP="006A3D29" w:rsidRDefault="006A3D29" w14:paraId="08140C7F" w14:textId="38CA4A03">
            <w:pPr>
              <w:rPr>
                <w:b/>
                <w:bCs/>
              </w:rPr>
            </w:pPr>
            <w:r w:rsidRPr="006A3D29">
              <w:rPr>
                <w:b/>
                <w:bCs/>
              </w:rPr>
              <w:t xml:space="preserve">Incident </w:t>
            </w:r>
            <w:r w:rsidR="006B33DE">
              <w:rPr>
                <w:b/>
                <w:bCs/>
              </w:rPr>
              <w:t>m</w:t>
            </w:r>
            <w:r w:rsidRPr="006A3D29">
              <w:rPr>
                <w:b/>
                <w:bCs/>
              </w:rPr>
              <w:t>anagement (section 164)</w:t>
            </w:r>
          </w:p>
          <w:p w:rsidR="006A3D29" w:rsidP="006A3D29" w:rsidRDefault="006A3D29" w14:paraId="22FAD0A9" w14:textId="04301811">
            <w:r>
              <w:t>The Rules provide further details as to the requirements of registered providers’ incident management systems that they must implement and maintain, as well as how incidents must be managed and prevented.</w:t>
            </w:r>
          </w:p>
        </w:tc>
      </w:tr>
      <w:tr w:rsidR="003D7AB7" w:rsidTr="00F8503D" w14:paraId="0F5AB622" w14:textId="77777777">
        <w:tc>
          <w:tcPr>
            <w:tcW w:w="9060" w:type="dxa"/>
          </w:tcPr>
          <w:p w:rsidRPr="00C66306" w:rsidR="00C66306" w:rsidP="00C66306" w:rsidRDefault="00C66306" w14:paraId="6ED975B7" w14:textId="4D66B405">
            <w:pPr>
              <w:rPr>
                <w:b/>
                <w:bCs/>
              </w:rPr>
            </w:pPr>
            <w:r w:rsidRPr="00C66306">
              <w:rPr>
                <w:b/>
                <w:bCs/>
              </w:rPr>
              <w:t>Restrictive practices (section 162)</w:t>
            </w:r>
          </w:p>
          <w:p w:rsidRPr="00C66306" w:rsidR="003D7AB7" w:rsidP="00C66306" w:rsidRDefault="00C66306" w14:paraId="4C345982" w14:textId="11B0B213">
            <w:r w:rsidRPr="00C66306">
              <w:t>The Rules set out conditions for providers around the use of restrictive practices in relation to an individual to whom the provider is delivering funded aged care services.</w:t>
            </w:r>
          </w:p>
        </w:tc>
      </w:tr>
      <w:tr w:rsidR="003D7AB7" w:rsidTr="00F8503D" w14:paraId="02D14695" w14:textId="77777777">
        <w:tc>
          <w:tcPr>
            <w:tcW w:w="9060" w:type="dxa"/>
          </w:tcPr>
          <w:p w:rsidRPr="003E782C" w:rsidR="003E782C" w:rsidP="003E782C" w:rsidRDefault="003E782C" w14:paraId="302096D1" w14:textId="4386238A">
            <w:pPr>
              <w:rPr>
                <w:b/>
                <w:bCs/>
              </w:rPr>
            </w:pPr>
            <w:r w:rsidRPr="003E782C">
              <w:rPr>
                <w:b/>
                <w:bCs/>
              </w:rPr>
              <w:t xml:space="preserve">Reporting and </w:t>
            </w:r>
            <w:r w:rsidR="006B33DE">
              <w:rPr>
                <w:b/>
                <w:bCs/>
              </w:rPr>
              <w:t>r</w:t>
            </w:r>
            <w:r w:rsidRPr="003E782C">
              <w:rPr>
                <w:b/>
                <w:bCs/>
              </w:rPr>
              <w:t xml:space="preserve">ecordkeeping requirements - </w:t>
            </w:r>
            <w:r>
              <w:rPr>
                <w:b/>
                <w:bCs/>
              </w:rPr>
              <w:t>SIRS</w:t>
            </w:r>
            <w:r w:rsidRPr="003E782C">
              <w:rPr>
                <w:b/>
                <w:bCs/>
              </w:rPr>
              <w:t xml:space="preserve"> (section 154 and 166)</w:t>
            </w:r>
          </w:p>
          <w:p w:rsidRPr="003E782C" w:rsidR="003D7AB7" w:rsidP="003E782C" w:rsidRDefault="003E782C" w14:paraId="658A399E" w14:textId="269AE571">
            <w:r w:rsidRPr="003E782C">
              <w:t>The Rules prescribe the way in which registered providers must report on and keep records in relation to serious incidents</w:t>
            </w:r>
            <w:r w:rsidR="00070388">
              <w:t>, including details for reporting incidents to the Aged Care Quality and Safety Commission</w:t>
            </w:r>
            <w:r w:rsidRPr="003E782C">
              <w:t>.</w:t>
            </w:r>
          </w:p>
        </w:tc>
      </w:tr>
    </w:tbl>
    <w:p w:rsidR="006A3D29" w:rsidP="003F580D" w:rsidRDefault="003F580D" w14:paraId="5C5EAA3B" w14:textId="1E5C2D7F">
      <w:pPr>
        <w:pStyle w:val="Heading3"/>
      </w:pPr>
      <w:r>
        <w:t>Rules that mostly exist now in aged care</w:t>
      </w:r>
    </w:p>
    <w:tbl>
      <w:tblPr>
        <w:tblStyle w:val="TableGrid"/>
        <w:tblW w:w="0" w:type="auto"/>
        <w:tblLook w:val="04A0" w:firstRow="1" w:lastRow="0" w:firstColumn="1" w:lastColumn="0" w:noHBand="0" w:noVBand="1"/>
      </w:tblPr>
      <w:tblGrid>
        <w:gridCol w:w="9060"/>
      </w:tblGrid>
      <w:tr w:rsidR="00CC6BF2" w:rsidTr="00F8503D" w14:paraId="2D9C8659" w14:textId="77777777">
        <w:tc>
          <w:tcPr>
            <w:tcW w:w="9060" w:type="dxa"/>
          </w:tcPr>
          <w:p w:rsidRPr="00857478" w:rsidR="008563EC" w:rsidP="008563EC" w:rsidRDefault="008563EC" w14:paraId="5B4B6E2E" w14:textId="17D18583">
            <w:pPr>
              <w:rPr>
                <w:b/>
                <w:bCs/>
              </w:rPr>
            </w:pPr>
            <w:r w:rsidRPr="00857478">
              <w:rPr>
                <w:b/>
                <w:bCs/>
              </w:rPr>
              <w:t>Advisory body requirements (section 158)</w:t>
            </w:r>
          </w:p>
          <w:p w:rsidR="00CC6BF2" w:rsidP="008563EC" w:rsidRDefault="008563EC" w14:paraId="168CAB83" w14:textId="42187590">
            <w:r>
              <w:t xml:space="preserve">The Rules set out the membership, terms and conditions, and reporting requirements for advisory bodies. </w:t>
            </w:r>
            <w:r w:rsidR="007854CF">
              <w:t>Following the implementation of provider registration categories, t</w:t>
            </w:r>
            <w:r>
              <w:t xml:space="preserve">he Rules </w:t>
            </w:r>
            <w:r w:rsidR="007854CF">
              <w:t>now</w:t>
            </w:r>
            <w:r>
              <w:t xml:space="preserve"> </w:t>
            </w:r>
            <w:r w:rsidR="00E82778">
              <w:t>clarify which registered providers must comply</w:t>
            </w:r>
            <w:r w:rsidR="009D53D1">
              <w:t xml:space="preserve"> with these requirements.</w:t>
            </w:r>
          </w:p>
        </w:tc>
      </w:tr>
      <w:tr w:rsidR="00CC6BF2" w:rsidTr="00F8503D" w14:paraId="3028288B" w14:textId="77777777">
        <w:tc>
          <w:tcPr>
            <w:tcW w:w="9060" w:type="dxa"/>
          </w:tcPr>
          <w:p w:rsidRPr="00653D2C" w:rsidR="00653D2C" w:rsidP="00653D2C" w:rsidRDefault="00653D2C" w14:paraId="30775864" w14:textId="5FD6E980">
            <w:pPr>
              <w:rPr>
                <w:b/>
                <w:bCs/>
              </w:rPr>
            </w:pPr>
            <w:r w:rsidRPr="00653D2C">
              <w:rPr>
                <w:b/>
                <w:bCs/>
              </w:rPr>
              <w:t>Aged Care Quality Standards (section 15)</w:t>
            </w:r>
          </w:p>
          <w:p w:rsidR="00CC6BF2" w:rsidP="00653D2C" w:rsidRDefault="00653D2C" w14:paraId="68DAE24A" w14:textId="6D86AFD2">
            <w:r>
              <w:t>Establishes the strengthened Aged Care Quality Standards.</w:t>
            </w:r>
          </w:p>
        </w:tc>
      </w:tr>
      <w:tr w:rsidR="00CC6BF2" w:rsidTr="00F8503D" w14:paraId="43AF2D9D" w14:textId="77777777">
        <w:tc>
          <w:tcPr>
            <w:tcW w:w="9060" w:type="dxa"/>
          </w:tcPr>
          <w:p w:rsidRPr="00022C56" w:rsidR="00022C56" w:rsidP="00022C56" w:rsidRDefault="00022C56" w14:paraId="51ED94AD" w14:textId="0FF7449C">
            <w:pPr>
              <w:rPr>
                <w:b/>
                <w:bCs/>
              </w:rPr>
            </w:pPr>
            <w:r w:rsidRPr="00022C56">
              <w:rPr>
                <w:b/>
                <w:bCs/>
              </w:rPr>
              <w:t>Compliance with Aged Care Quality Standards (section 146)</w:t>
            </w:r>
          </w:p>
          <w:p w:rsidR="00CC6BF2" w:rsidP="00022C56" w:rsidRDefault="00022C56" w14:paraId="0FA83969" w14:textId="5537C1F1">
            <w:r>
              <w:t xml:space="preserve">The Rules provide that providers registered in registration categories 4 to 6 (inclusive) are required to comply with some or </w:t>
            </w:r>
            <w:r w:rsidR="00A91C25">
              <w:t>all</w:t>
            </w:r>
            <w:r>
              <w:t xml:space="preserve"> the strengthened Aged Care Quality Standards.</w:t>
            </w:r>
          </w:p>
        </w:tc>
      </w:tr>
      <w:tr w:rsidR="00CC6BF2" w:rsidTr="00F8503D" w14:paraId="40D221C9" w14:textId="77777777">
        <w:tc>
          <w:tcPr>
            <w:tcW w:w="9060" w:type="dxa"/>
          </w:tcPr>
          <w:p w:rsidRPr="00CC796A" w:rsidR="00CC796A" w:rsidP="00CC796A" w:rsidRDefault="00CC796A" w14:paraId="08F4577E" w14:textId="7D51A55C">
            <w:pPr>
              <w:rPr>
                <w:b/>
                <w:bCs/>
              </w:rPr>
            </w:pPr>
            <w:r w:rsidRPr="00CC796A">
              <w:rPr>
                <w:b/>
                <w:bCs/>
              </w:rPr>
              <w:t>Membership of governing bodies (section 157)</w:t>
            </w:r>
          </w:p>
          <w:p w:rsidR="00CC6BF2" w:rsidP="00CC796A" w:rsidRDefault="00CC796A" w14:paraId="2C07C30A" w14:textId="4D1C138C">
            <w:r>
              <w:t>The Rules set out which providers have to comply with the membership requirements for governing bodies and exempt some types of providers from some or all of these requirements (such as cooperatives and Aboriginal and Torres Strait Islander Community Controlled Organisations, etc.).</w:t>
            </w:r>
            <w:r w:rsidR="00781AAC">
              <w:t xml:space="preserve"> </w:t>
            </w:r>
            <w:r w:rsidR="00A8396C">
              <w:t>Following the implementation of provider registration categories, the Rules now clarify which registered providers must comply with these requirements.</w:t>
            </w:r>
          </w:p>
        </w:tc>
      </w:tr>
      <w:tr w:rsidR="00CC6BF2" w:rsidTr="00F8503D" w14:paraId="2DE9AC2A" w14:textId="77777777">
        <w:tc>
          <w:tcPr>
            <w:tcW w:w="9060" w:type="dxa"/>
          </w:tcPr>
          <w:p w:rsidRPr="00371F4D" w:rsidR="00CC3E02" w:rsidP="00CC3E02" w:rsidRDefault="00CC3E02" w14:paraId="0C1BF423" w14:textId="5CD460F9">
            <w:pPr>
              <w:rPr>
                <w:b/>
                <w:bCs/>
              </w:rPr>
            </w:pPr>
            <w:r w:rsidRPr="00371F4D">
              <w:rPr>
                <w:b/>
                <w:bCs/>
              </w:rPr>
              <w:t>Reporting and Recordkeeping requirements - Provider Complaints Reporting (section 154 and 166)</w:t>
            </w:r>
          </w:p>
          <w:p w:rsidR="00CC6BF2" w:rsidP="00CC3E02" w:rsidRDefault="00CC3E02" w14:paraId="69744E38" w14:textId="56090C51">
            <w:r>
              <w:t>Prescribes that registered providers must report on and keep records in relation to complaints and feedback received by a registered provider i.e. number of complaints and feedback, action taken and subsequent evaluation of the effectiveness of the action taken.</w:t>
            </w:r>
            <w:r w:rsidR="00276F5A">
              <w:t xml:space="preserve"> </w:t>
            </w:r>
          </w:p>
        </w:tc>
      </w:tr>
      <w:tr w:rsidR="00371F4D" w:rsidTr="00F8503D" w14:paraId="2EA9B7C9" w14:textId="77777777">
        <w:tc>
          <w:tcPr>
            <w:tcW w:w="9060" w:type="dxa"/>
          </w:tcPr>
          <w:p w:rsidRPr="00FB07AD" w:rsidR="00FB07AD" w:rsidP="00FB07AD" w:rsidRDefault="00FB07AD" w14:paraId="75E65137" w14:textId="304ACBCA">
            <w:pPr>
              <w:rPr>
                <w:b/>
                <w:bCs/>
              </w:rPr>
            </w:pPr>
            <w:r w:rsidRPr="00FB07AD">
              <w:rPr>
                <w:b/>
                <w:bCs/>
              </w:rPr>
              <w:t>Reporting and Recordkeeping requirements - Provider Governance and Operations Reporting (section 154 and 166)</w:t>
            </w:r>
          </w:p>
          <w:p w:rsidRPr="00FB07AD" w:rsidR="00371F4D" w:rsidP="00FB07AD" w:rsidRDefault="00FB07AD" w14:paraId="4DAADB3E" w14:textId="25297A9E">
            <w:r w:rsidRPr="00FB07AD">
              <w:t xml:space="preserve">The </w:t>
            </w:r>
            <w:r>
              <w:t>R</w:t>
            </w:r>
            <w:r w:rsidRPr="00FB07AD">
              <w:t xml:space="preserve">ules set out the information to be reported by providers to the </w:t>
            </w:r>
            <w:r>
              <w:t>d</w:t>
            </w:r>
            <w:r w:rsidRPr="00FB07AD">
              <w:t>epartment as part of the provider operations reporting requirements, including providing a governing body statement on compliance, as well as reporting on: governing body membership; diversity and inclusion; common kinds of feedback and complaints received; and key improvements made to service quality.</w:t>
            </w:r>
            <w:r w:rsidR="008B66C9">
              <w:t xml:space="preserve"> </w:t>
            </w:r>
            <w:r w:rsidR="00AD0234">
              <w:t>Following the implementation of provider registration categories, the Rules now clarify which registered providers must comply with these requirements.</w:t>
            </w:r>
          </w:p>
        </w:tc>
      </w:tr>
      <w:tr w:rsidR="00371F4D" w:rsidTr="00F8503D" w14:paraId="47DBE061" w14:textId="77777777">
        <w:tc>
          <w:tcPr>
            <w:tcW w:w="9060" w:type="dxa"/>
          </w:tcPr>
          <w:p w:rsidRPr="008E0B90" w:rsidR="008E0B90" w:rsidP="008E0B90" w:rsidRDefault="008E0B90" w14:paraId="3313EC71" w14:textId="54F344EE">
            <w:pPr>
              <w:rPr>
                <w:b/>
                <w:bCs/>
              </w:rPr>
            </w:pPr>
            <w:r w:rsidRPr="008E0B90">
              <w:rPr>
                <w:b/>
                <w:bCs/>
              </w:rPr>
              <w:t>Reporting and Recordkeeping requirements - Vaccination Reporting Requirements (section 154 and 166)</w:t>
            </w:r>
          </w:p>
          <w:p w:rsidRPr="008E0B90" w:rsidR="00371F4D" w:rsidP="008E0B90" w:rsidRDefault="008E0B90" w14:paraId="501B7171" w14:textId="635169AB">
            <w:r w:rsidRPr="008E0B90">
              <w:t>Sets out vaccination reporting requirements</w:t>
            </w:r>
            <w:r w:rsidR="000009A8">
              <w:t xml:space="preserve"> for registered providers </w:t>
            </w:r>
            <w:r w:rsidR="00044E17">
              <w:t>registered to deliver residential care</w:t>
            </w:r>
            <w:r w:rsidR="000009A8">
              <w:t xml:space="preserve"> </w:t>
            </w:r>
            <w:r w:rsidR="00044E17">
              <w:t>(</w:t>
            </w:r>
            <w:r w:rsidR="000009A8">
              <w:t>category 6</w:t>
            </w:r>
            <w:r w:rsidR="00044E17">
              <w:t>)</w:t>
            </w:r>
            <w:r w:rsidR="000009A8">
              <w:t xml:space="preserve">, including MPS and NATSIFAC providers delivering </w:t>
            </w:r>
            <w:r w:rsidR="00880081">
              <w:t>residential care</w:t>
            </w:r>
            <w:r w:rsidR="00290246">
              <w:t xml:space="preserve"> to</w:t>
            </w:r>
            <w:r w:rsidRPr="008E0B90">
              <w:t xml:space="preserve"> older people</w:t>
            </w:r>
            <w:r w:rsidR="0088464C">
              <w:t xml:space="preserve"> and </w:t>
            </w:r>
            <w:r w:rsidR="00664D78">
              <w:t xml:space="preserve">their </w:t>
            </w:r>
            <w:r w:rsidR="0088464C">
              <w:t>aged care workers</w:t>
            </w:r>
            <w:r w:rsidRPr="008E0B90">
              <w:t xml:space="preserve"> as well as related record keeping requirements for aged care workers and older people in the new aged care system.</w:t>
            </w:r>
          </w:p>
        </w:tc>
      </w:tr>
      <w:tr w:rsidR="0010479C" w:rsidTr="00F8503D" w14:paraId="292147DB" w14:textId="77777777">
        <w:tc>
          <w:tcPr>
            <w:tcW w:w="9060" w:type="dxa"/>
          </w:tcPr>
          <w:p w:rsidRPr="00B54C95" w:rsidR="0010479C" w:rsidP="0010479C" w:rsidRDefault="0010479C" w14:paraId="7CCE7738" w14:textId="77777777">
            <w:pPr>
              <w:rPr>
                <w:b/>
                <w:bCs/>
              </w:rPr>
            </w:pPr>
            <w:r w:rsidRPr="00B54C95">
              <w:rPr>
                <w:b/>
                <w:bCs/>
              </w:rPr>
              <w:t>Vaccination (section 153)</w:t>
            </w:r>
          </w:p>
          <w:p w:rsidRPr="7CF21928" w:rsidR="0010479C" w:rsidP="0010479C" w:rsidRDefault="0010479C" w14:paraId="15B3ADDA" w14:textId="17C0974F">
            <w:pPr>
              <w:rPr>
                <w:b/>
                <w:bCs/>
              </w:rPr>
            </w:pPr>
            <w:r>
              <w:t>Prescribes that registered providers registered to deliver residential care (category 6)   must ensure access to influenza and COVID-19 vaccinations for aged care service staff and people receiving residential aged care in line with appropriate clinical recommendations as outlined in the Australian Immunisation Handbook (AIH).</w:t>
            </w:r>
          </w:p>
        </w:tc>
      </w:tr>
    </w:tbl>
    <w:p w:rsidR="003F580D" w:rsidP="008E0B90" w:rsidRDefault="008E0B90" w14:paraId="24A91E51" w14:textId="6AB7863A">
      <w:pPr>
        <w:pStyle w:val="Heading3"/>
      </w:pPr>
      <w:r w:rsidRPr="008E0B90">
        <w:t>Rules that partially exist now in aged care</w:t>
      </w:r>
    </w:p>
    <w:tbl>
      <w:tblPr>
        <w:tblStyle w:val="TableGrid"/>
        <w:tblW w:w="0" w:type="auto"/>
        <w:tblLook w:val="04A0" w:firstRow="1" w:lastRow="0" w:firstColumn="1" w:lastColumn="0" w:noHBand="0" w:noVBand="1"/>
      </w:tblPr>
      <w:tblGrid>
        <w:gridCol w:w="9060"/>
      </w:tblGrid>
      <w:tr w:rsidR="008E0B90" w:rsidTr="00F8503D" w14:paraId="62CD928A" w14:textId="77777777">
        <w:tc>
          <w:tcPr>
            <w:tcW w:w="9060" w:type="dxa"/>
          </w:tcPr>
          <w:p w:rsidRPr="00F92269" w:rsidR="00F92269" w:rsidP="00F92269" w:rsidRDefault="7FFB30B5" w14:paraId="48355739" w14:textId="454FAE18">
            <w:pPr>
              <w:rPr>
                <w:b/>
                <w:bCs/>
              </w:rPr>
            </w:pPr>
            <w:r w:rsidRPr="7CF21928">
              <w:rPr>
                <w:b/>
                <w:bCs/>
              </w:rPr>
              <w:t>Access by supporters</w:t>
            </w:r>
            <w:r w:rsidRPr="7CF21928" w:rsidR="75DF8729">
              <w:rPr>
                <w:b/>
                <w:bCs/>
              </w:rPr>
              <w:t xml:space="preserve"> and</w:t>
            </w:r>
            <w:r w:rsidRPr="7CF21928">
              <w:rPr>
                <w:b/>
                <w:bCs/>
              </w:rPr>
              <w:t xml:space="preserve"> independent aged care advocates etc. (section 156)</w:t>
            </w:r>
          </w:p>
          <w:p w:rsidR="008E0B90" w:rsidP="00F92269" w:rsidRDefault="7FFB30B5" w14:paraId="376618AE" w14:textId="5FB8072D">
            <w:r>
              <w:t xml:space="preserve">Sets out further details regarding the condition of registration for registered providers to facilitate access for </w:t>
            </w:r>
            <w:r w:rsidR="00881C32">
              <w:t xml:space="preserve">supporters, legal representatives and </w:t>
            </w:r>
            <w:r>
              <w:t>both an aged care volunteer visitor or an aged care independent advocate.</w:t>
            </w:r>
          </w:p>
        </w:tc>
      </w:tr>
      <w:tr w:rsidR="008E0B90" w:rsidTr="00F8503D" w14:paraId="3BE89216" w14:textId="77777777">
        <w:tc>
          <w:tcPr>
            <w:tcW w:w="9060" w:type="dxa"/>
          </w:tcPr>
          <w:p w:rsidRPr="00F92269" w:rsidR="00F92269" w:rsidP="00F92269" w:rsidRDefault="00F92269" w14:paraId="34E8A02C" w14:textId="29CF999E">
            <w:pPr>
              <w:rPr>
                <w:b/>
                <w:bCs/>
              </w:rPr>
            </w:pPr>
            <w:r w:rsidRPr="00F92269">
              <w:rPr>
                <w:b/>
                <w:bCs/>
              </w:rPr>
              <w:t>Complaints, feedback and whistleblowers (section 165)</w:t>
            </w:r>
          </w:p>
          <w:p w:rsidR="008E0B90" w:rsidP="00F92269" w:rsidRDefault="00F92269" w14:paraId="037BB558" w14:textId="04DEC9CC">
            <w:r>
              <w:t xml:space="preserve">Sets out as a condition of registration that registered providers must have an internal complaints and feedback management system, an internal whistleblower policy as well as requirements regarding managing disclosures that </w:t>
            </w:r>
            <w:r w:rsidR="491C9F71">
              <w:t>quali</w:t>
            </w:r>
            <w:r w:rsidR="078267DD">
              <w:t>f</w:t>
            </w:r>
            <w:r w:rsidR="491C9F71">
              <w:t>y</w:t>
            </w:r>
            <w:r>
              <w:t xml:space="preserve"> for protection.</w:t>
            </w:r>
          </w:p>
        </w:tc>
      </w:tr>
      <w:tr w:rsidR="7262C355" w:rsidTr="7262C355" w14:paraId="25539594" w14:textId="77777777">
        <w:trPr>
          <w:trHeight w:val="300"/>
        </w:trPr>
        <w:tc>
          <w:tcPr>
            <w:tcW w:w="9060" w:type="dxa"/>
          </w:tcPr>
          <w:p w:rsidR="06AF3315" w:rsidP="768F843D" w:rsidRDefault="06AF3315" w14:paraId="2C4CBCFC" w14:textId="4F3F8A3D">
            <w:pPr>
              <w:rPr>
                <w:b/>
              </w:rPr>
            </w:pPr>
            <w:r w:rsidRPr="4F6B47D9">
              <w:rPr>
                <w:rFonts w:eastAsia="Aptos"/>
                <w:b/>
              </w:rPr>
              <w:t>Delivery of Direct Care (section 176)</w:t>
            </w:r>
          </w:p>
          <w:p w:rsidR="7262C355" w:rsidP="7262C355" w:rsidRDefault="06AF3315" w14:paraId="4E3CDD6E" w14:textId="23D9A58A">
            <w:r w:rsidRPr="4F6B47D9">
              <w:rPr>
                <w:rFonts w:eastAsia="Aptos"/>
              </w:rPr>
              <w:t>Sets out as a condition of registration that registered providers in category 6 must meet in relation to care minutes.</w:t>
            </w:r>
          </w:p>
        </w:tc>
      </w:tr>
      <w:tr w:rsidR="008E0B90" w:rsidTr="00F8503D" w14:paraId="06A4F21C" w14:textId="77777777">
        <w:tc>
          <w:tcPr>
            <w:tcW w:w="9060" w:type="dxa"/>
          </w:tcPr>
          <w:p w:rsidRPr="003E0ED7" w:rsidR="003E0ED7" w:rsidP="003E0ED7" w:rsidRDefault="003E0ED7" w14:paraId="41E88F4F" w14:textId="22B95197">
            <w:pPr>
              <w:rPr>
                <w:b/>
                <w:bCs/>
              </w:rPr>
            </w:pPr>
            <w:r w:rsidRPr="003E0ED7">
              <w:rPr>
                <w:b/>
                <w:bCs/>
              </w:rPr>
              <w:t xml:space="preserve">Reporting and </w:t>
            </w:r>
            <w:r w:rsidR="005E4EA8">
              <w:rPr>
                <w:b/>
                <w:bCs/>
              </w:rPr>
              <w:t>r</w:t>
            </w:r>
            <w:r w:rsidRPr="003E0ED7">
              <w:rPr>
                <w:b/>
                <w:bCs/>
              </w:rPr>
              <w:t>ecordkeeping requirements - CHSP and NATSIFACP Reporting (section 154 and 166)</w:t>
            </w:r>
          </w:p>
          <w:p w:rsidR="008E0B90" w:rsidP="003E0ED7" w:rsidRDefault="003E0ED7" w14:paraId="607BC0EB" w14:textId="3A7BE140">
            <w:r>
              <w:t xml:space="preserve">Sets out relevant reporting and record keeping requirements for CHSP and NATSIFACP providers, such as </w:t>
            </w:r>
            <w:r w:rsidR="4D54BEEC">
              <w:t>financial reporting, performance reporting, annual wellness and reablement reporting and service activity reporting.</w:t>
            </w:r>
          </w:p>
        </w:tc>
      </w:tr>
      <w:tr w:rsidR="008E0B90" w:rsidTr="00F8503D" w14:paraId="7BBB4445" w14:textId="77777777">
        <w:tc>
          <w:tcPr>
            <w:tcW w:w="9060" w:type="dxa"/>
          </w:tcPr>
          <w:p w:rsidRPr="00542A83" w:rsidR="00542A83" w:rsidP="00542A83" w:rsidRDefault="00542A83" w14:paraId="12FAC1A3" w14:textId="3D7D3475">
            <w:pPr>
              <w:rPr>
                <w:b/>
                <w:bCs/>
              </w:rPr>
            </w:pPr>
            <w:r w:rsidRPr="00542A83">
              <w:rPr>
                <w:b/>
                <w:bCs/>
              </w:rPr>
              <w:t xml:space="preserve">Reporting and </w:t>
            </w:r>
            <w:r w:rsidR="005E4EA8">
              <w:rPr>
                <w:b/>
                <w:bCs/>
              </w:rPr>
              <w:t>r</w:t>
            </w:r>
            <w:r w:rsidRPr="00542A83">
              <w:rPr>
                <w:b/>
                <w:bCs/>
              </w:rPr>
              <w:t>ecordkeeping requirements - Prudential and financial (section 154 and 166)</w:t>
            </w:r>
          </w:p>
          <w:p w:rsidR="008E0B90" w:rsidP="00542A83" w:rsidRDefault="00542A83" w14:paraId="00E8BD85" w14:textId="04B57B90">
            <w:r>
              <w:t xml:space="preserve">Sets out relevant reporting and record keeping requirements in relation to registered providers’ Financial and Prudential obligations </w:t>
            </w:r>
            <w:r w:rsidR="0922E6D3">
              <w:t>i.e. Aged Care Financial Report &amp; Quarterly Financial Reports.</w:t>
            </w:r>
          </w:p>
        </w:tc>
      </w:tr>
    </w:tbl>
    <w:p w:rsidR="008E0B90" w:rsidP="00A538B2" w:rsidRDefault="00A538B2" w14:paraId="69821126" w14:textId="595AACDE">
      <w:pPr>
        <w:pStyle w:val="Heading3"/>
      </w:pPr>
      <w:r>
        <w:t>Rules that will mostly be new to aged care</w:t>
      </w:r>
    </w:p>
    <w:tbl>
      <w:tblPr>
        <w:tblStyle w:val="TableGrid"/>
        <w:tblW w:w="0" w:type="auto"/>
        <w:tblLook w:val="04A0" w:firstRow="1" w:lastRow="0" w:firstColumn="1" w:lastColumn="0" w:noHBand="0" w:noVBand="1"/>
      </w:tblPr>
      <w:tblGrid>
        <w:gridCol w:w="9060"/>
      </w:tblGrid>
      <w:tr w:rsidR="00A538B2" w:rsidTr="00A538B2" w14:paraId="73454EE1" w14:textId="77777777">
        <w:tc>
          <w:tcPr>
            <w:tcW w:w="9060" w:type="dxa"/>
          </w:tcPr>
          <w:p w:rsidRPr="00B42205" w:rsidR="00B42205" w:rsidP="00B42205" w:rsidRDefault="00B42205" w14:paraId="486216F0" w14:textId="1C88DFF8">
            <w:pPr>
              <w:rPr>
                <w:b/>
                <w:bCs/>
              </w:rPr>
            </w:pPr>
            <w:r w:rsidRPr="00B42205">
              <w:rPr>
                <w:b/>
                <w:bCs/>
              </w:rPr>
              <w:t>Rights and principles (section 144)</w:t>
            </w:r>
          </w:p>
          <w:p w:rsidR="00A538B2" w:rsidP="00B42205" w:rsidRDefault="00B42205" w14:paraId="2F9E9EF8" w14:textId="7616D2D8">
            <w:r>
              <w:t>The Rules will provide that all registered providers are required to comply with section 144, noting that the strengthened Aged Care Quality Standard 1 will apply to providers in registration categories 4 to 6.</w:t>
            </w:r>
          </w:p>
        </w:tc>
      </w:tr>
      <w:tr w:rsidR="00A538B2" w:rsidTr="00A538B2" w14:paraId="498FDA12" w14:textId="77777777">
        <w:tc>
          <w:tcPr>
            <w:tcW w:w="9060" w:type="dxa"/>
          </w:tcPr>
          <w:p w:rsidRPr="00B42205" w:rsidR="00B42205" w:rsidP="00B42205" w:rsidRDefault="00B42205" w14:paraId="2B8D6F10" w14:textId="3739227B">
            <w:pPr>
              <w:rPr>
                <w:b/>
                <w:bCs/>
              </w:rPr>
            </w:pPr>
            <w:r w:rsidRPr="00B42205">
              <w:rPr>
                <w:b/>
                <w:bCs/>
              </w:rPr>
              <w:t>Workforce and aged care worker requirements (section 152(a) and 152(b))</w:t>
            </w:r>
          </w:p>
          <w:p w:rsidR="00A538B2" w:rsidP="00B42205" w:rsidRDefault="189092E2" w14:paraId="44F0162F" w14:textId="34208975">
            <w:pPr>
              <w:rPr>
                <w:rFonts w:eastAsia="Arial"/>
              </w:rPr>
            </w:pPr>
            <w:r>
              <w:t>Sets out requirements on criminal history screening checks for aged care workers and responsible persons</w:t>
            </w:r>
            <w:r w:rsidR="04863493">
              <w:t>.</w:t>
            </w:r>
          </w:p>
        </w:tc>
      </w:tr>
    </w:tbl>
    <w:p w:rsidR="0010479C" w:rsidP="009B74B2" w:rsidRDefault="0010479C" w14:paraId="50EEA9C3" w14:textId="77777777">
      <w:pPr>
        <w:pStyle w:val="Heading1"/>
      </w:pPr>
    </w:p>
    <w:p w:rsidR="0010479C" w:rsidRDefault="0010479C" w14:paraId="0DC19A32" w14:textId="77777777">
      <w:pPr>
        <w:spacing w:before="0" w:after="0" w:line="240" w:lineRule="auto"/>
        <w:rPr>
          <w:rFonts w:cs="Arial"/>
          <w:b/>
          <w:bCs/>
          <w:color w:val="3F4A75"/>
          <w:kern w:val="28"/>
          <w:sz w:val="44"/>
          <w:szCs w:val="36"/>
        </w:rPr>
      </w:pPr>
      <w:r>
        <w:br w:type="page"/>
      </w:r>
    </w:p>
    <w:p w:rsidR="00B42205" w:rsidP="009B74B2" w:rsidRDefault="009B74B2" w14:paraId="1596E3FE" w14:textId="3151DAD5">
      <w:pPr>
        <w:pStyle w:val="Heading1"/>
      </w:pPr>
      <w:r>
        <w:t xml:space="preserve">Appendix </w:t>
      </w:r>
      <w:r w:rsidR="00271246">
        <w:t>B</w:t>
      </w:r>
      <w:r w:rsidR="008927A8">
        <w:t xml:space="preserve">: </w:t>
      </w:r>
      <w:r w:rsidR="00A94973">
        <w:t xml:space="preserve">changes between the Rules and the published </w:t>
      </w:r>
      <w:r w:rsidR="00FF4A5B">
        <w:t xml:space="preserve">strengthened </w:t>
      </w:r>
      <w:r w:rsidR="00A94973">
        <w:t>Quality Standards</w:t>
      </w:r>
    </w:p>
    <w:p w:rsidR="009B74B2" w:rsidP="009B74B2" w:rsidRDefault="009B74B2" w14:paraId="7C51F421" w14:textId="77777777">
      <w:r>
        <w:t>Some of the changes between the Rules and the published version of the strengthened Quality Standards (December 2023) include:</w:t>
      </w:r>
    </w:p>
    <w:p w:rsidR="009B74B2" w:rsidP="009B74B2" w:rsidRDefault="3CA692D6" w14:paraId="6F0FA386" w14:textId="05E15FFC">
      <w:pPr>
        <w:pStyle w:val="ListParagraph"/>
        <w:numPr>
          <w:ilvl w:val="0"/>
          <w:numId w:val="28"/>
        </w:numPr>
      </w:pPr>
      <w:r w:rsidRPr="00CC06FC">
        <w:t xml:space="preserve">Changes to ensure the language used in the strengthened </w:t>
      </w:r>
      <w:r w:rsidR="47C370D2">
        <w:t xml:space="preserve">Quality </w:t>
      </w:r>
      <w:r w:rsidRPr="00CC06FC">
        <w:t>Standards is</w:t>
      </w:r>
      <w:r w:rsidRPr="352A3073">
        <w:rPr>
          <w:b/>
          <w:bCs/>
        </w:rPr>
        <w:t xml:space="preserve"> consistent with</w:t>
      </w:r>
      <w:r w:rsidRPr="00144535" w:rsidR="009B74B2">
        <w:t xml:space="preserve"> </w:t>
      </w:r>
      <w:r w:rsidRPr="00CC06FC" w:rsidR="009B74B2">
        <w:rPr>
          <w:b/>
        </w:rPr>
        <w:t>the new Act</w:t>
      </w:r>
      <w:r w:rsidR="009B74B2">
        <w:t>, including:</w:t>
      </w:r>
    </w:p>
    <w:tbl>
      <w:tblPr>
        <w:tblStyle w:val="TableGrid"/>
        <w:tblW w:w="0" w:type="auto"/>
        <w:tblInd w:w="704" w:type="dxa"/>
        <w:tblLook w:val="04A0" w:firstRow="1" w:lastRow="0" w:firstColumn="1" w:lastColumn="0" w:noHBand="0" w:noVBand="1"/>
      </w:tblPr>
      <w:tblGrid>
        <w:gridCol w:w="4111"/>
        <w:gridCol w:w="4111"/>
      </w:tblGrid>
      <w:tr w:rsidRPr="00E00DBC" w:rsidR="009B74B2" w14:paraId="7E8D8068" w14:textId="77777777">
        <w:tc>
          <w:tcPr>
            <w:tcW w:w="4111" w:type="dxa"/>
            <w:shd w:val="clear" w:color="auto" w:fill="E9EBF3" w:themeFill="text2" w:themeFillTint="1A"/>
          </w:tcPr>
          <w:p w:rsidRPr="005F7EFA" w:rsidR="009B74B2" w:rsidRDefault="009B74B2" w14:paraId="46015087" w14:textId="77777777">
            <w:pPr>
              <w:rPr>
                <w:rFonts w:cs="Arial"/>
                <w:b/>
              </w:rPr>
            </w:pPr>
            <w:r w:rsidRPr="005F7EFA">
              <w:rPr>
                <w:rFonts w:cs="Arial"/>
                <w:b/>
              </w:rPr>
              <w:t>Term used in the strengthened Quality Standards</w:t>
            </w:r>
            <w:r>
              <w:rPr>
                <w:rFonts w:cs="Arial"/>
                <w:b/>
              </w:rPr>
              <w:t xml:space="preserve"> document</w:t>
            </w:r>
          </w:p>
        </w:tc>
        <w:tc>
          <w:tcPr>
            <w:tcW w:w="4111" w:type="dxa"/>
            <w:shd w:val="clear" w:color="auto" w:fill="E9EBF3" w:themeFill="text2" w:themeFillTint="1A"/>
          </w:tcPr>
          <w:p w:rsidRPr="005F7EFA" w:rsidR="009B74B2" w:rsidRDefault="009B74B2" w14:paraId="3B7B26D5" w14:textId="77777777">
            <w:pPr>
              <w:rPr>
                <w:rFonts w:cs="Arial"/>
                <w:b/>
              </w:rPr>
            </w:pPr>
            <w:r w:rsidRPr="005F7EFA">
              <w:rPr>
                <w:rFonts w:cs="Arial"/>
                <w:b/>
              </w:rPr>
              <w:t xml:space="preserve">Term used in the </w:t>
            </w:r>
            <w:r w:rsidRPr="005F7EFA">
              <w:rPr>
                <w:rFonts w:cs="Arial"/>
                <w:b/>
                <w:bCs/>
              </w:rPr>
              <w:t>new</w:t>
            </w:r>
            <w:r w:rsidRPr="005F7EFA">
              <w:rPr>
                <w:rFonts w:cs="Arial"/>
                <w:b/>
              </w:rPr>
              <w:t xml:space="preserve"> Act and Rules</w:t>
            </w:r>
          </w:p>
        </w:tc>
      </w:tr>
      <w:tr w:rsidRPr="00E00DBC" w:rsidR="009B74B2" w14:paraId="254D18AC" w14:textId="77777777">
        <w:tc>
          <w:tcPr>
            <w:tcW w:w="4111" w:type="dxa"/>
          </w:tcPr>
          <w:p w:rsidRPr="005F7EFA" w:rsidR="009B74B2" w:rsidRDefault="009B74B2" w14:paraId="15841D7B" w14:textId="77777777">
            <w:pPr>
              <w:rPr>
                <w:rFonts w:cs="Arial"/>
              </w:rPr>
            </w:pPr>
            <w:r w:rsidRPr="005F7EFA">
              <w:rPr>
                <w:rFonts w:cs="Arial"/>
              </w:rPr>
              <w:t>Family and/or family and carers</w:t>
            </w:r>
          </w:p>
        </w:tc>
        <w:tc>
          <w:tcPr>
            <w:tcW w:w="4111" w:type="dxa"/>
          </w:tcPr>
          <w:p w:rsidRPr="005F7EFA" w:rsidR="009B74B2" w:rsidRDefault="009B74B2" w14:paraId="086BA95D" w14:textId="77777777">
            <w:pPr>
              <w:rPr>
                <w:rFonts w:cs="Arial"/>
              </w:rPr>
            </w:pPr>
            <w:r w:rsidRPr="005F7EFA">
              <w:rPr>
                <w:rFonts w:cs="Arial"/>
              </w:rPr>
              <w:t>Supporter/s</w:t>
            </w:r>
          </w:p>
        </w:tc>
      </w:tr>
      <w:tr w:rsidRPr="00E00DBC" w:rsidR="009B74B2" w14:paraId="04A45952" w14:textId="77777777">
        <w:tc>
          <w:tcPr>
            <w:tcW w:w="4111" w:type="dxa"/>
          </w:tcPr>
          <w:p w:rsidRPr="005F7EFA" w:rsidR="009B74B2" w:rsidRDefault="009B74B2" w14:paraId="19B847B1" w14:textId="77777777">
            <w:pPr>
              <w:rPr>
                <w:rFonts w:cs="Arial"/>
              </w:rPr>
            </w:pPr>
            <w:r w:rsidRPr="005F7EFA">
              <w:rPr>
                <w:rFonts w:cs="Arial"/>
              </w:rPr>
              <w:t>Older people/person</w:t>
            </w:r>
          </w:p>
        </w:tc>
        <w:tc>
          <w:tcPr>
            <w:tcW w:w="4111" w:type="dxa"/>
          </w:tcPr>
          <w:p w:rsidRPr="005F7EFA" w:rsidR="009B74B2" w:rsidRDefault="009B74B2" w14:paraId="4DA31689" w14:textId="77777777">
            <w:pPr>
              <w:rPr>
                <w:rFonts w:cs="Arial"/>
              </w:rPr>
            </w:pPr>
            <w:r w:rsidRPr="005F7EFA">
              <w:rPr>
                <w:rFonts w:cs="Arial"/>
              </w:rPr>
              <w:t>Individual/s</w:t>
            </w:r>
          </w:p>
        </w:tc>
      </w:tr>
      <w:tr w:rsidRPr="00E00DBC" w:rsidR="009B74B2" w14:paraId="609EA89D" w14:textId="77777777">
        <w:tc>
          <w:tcPr>
            <w:tcW w:w="4111" w:type="dxa"/>
          </w:tcPr>
          <w:p w:rsidRPr="005F7EFA" w:rsidR="009B74B2" w:rsidRDefault="009B74B2" w14:paraId="30034035" w14:textId="77777777">
            <w:pPr>
              <w:rPr>
                <w:rFonts w:cs="Arial"/>
              </w:rPr>
            </w:pPr>
            <w:r w:rsidRPr="005F7EFA">
              <w:rPr>
                <w:rFonts w:cs="Arial"/>
              </w:rPr>
              <w:t>Care and services</w:t>
            </w:r>
          </w:p>
        </w:tc>
        <w:tc>
          <w:tcPr>
            <w:tcW w:w="4111" w:type="dxa"/>
          </w:tcPr>
          <w:p w:rsidRPr="005F7EFA" w:rsidR="009B74B2" w:rsidRDefault="009B74B2" w14:paraId="07C30B8C" w14:textId="77777777">
            <w:pPr>
              <w:rPr>
                <w:rFonts w:cs="Arial"/>
              </w:rPr>
            </w:pPr>
            <w:r w:rsidRPr="005F7EFA">
              <w:rPr>
                <w:rFonts w:cs="Arial"/>
              </w:rPr>
              <w:t>Funded aged care services</w:t>
            </w:r>
          </w:p>
        </w:tc>
      </w:tr>
      <w:tr w:rsidRPr="00E00DBC" w:rsidR="009B74B2" w14:paraId="46CC1181" w14:textId="77777777">
        <w:tc>
          <w:tcPr>
            <w:tcW w:w="4111" w:type="dxa"/>
          </w:tcPr>
          <w:p w:rsidRPr="005F7EFA" w:rsidR="009B74B2" w:rsidRDefault="009B74B2" w14:paraId="41B77610" w14:textId="77777777">
            <w:pPr>
              <w:rPr>
                <w:rFonts w:cs="Arial"/>
              </w:rPr>
            </w:pPr>
            <w:r w:rsidRPr="005F7EFA">
              <w:rPr>
                <w:rFonts w:cs="Arial"/>
              </w:rPr>
              <w:t>Provider/s</w:t>
            </w:r>
          </w:p>
        </w:tc>
        <w:tc>
          <w:tcPr>
            <w:tcW w:w="4111" w:type="dxa"/>
          </w:tcPr>
          <w:p w:rsidRPr="005F7EFA" w:rsidR="009B74B2" w:rsidRDefault="009B74B2" w14:paraId="36391449" w14:textId="77777777">
            <w:pPr>
              <w:rPr>
                <w:rFonts w:cs="Arial"/>
              </w:rPr>
            </w:pPr>
            <w:r w:rsidRPr="005F7EFA">
              <w:rPr>
                <w:rFonts w:cs="Arial"/>
              </w:rPr>
              <w:t>Registered provider/s</w:t>
            </w:r>
          </w:p>
        </w:tc>
      </w:tr>
      <w:tr w:rsidRPr="00E00DBC" w:rsidR="009B74B2" w14:paraId="53BA8BEA" w14:textId="77777777">
        <w:tc>
          <w:tcPr>
            <w:tcW w:w="4111" w:type="dxa"/>
          </w:tcPr>
          <w:p w:rsidRPr="005F7EFA" w:rsidR="009B74B2" w:rsidRDefault="009B74B2" w14:paraId="1DC86BAA" w14:textId="77777777">
            <w:pPr>
              <w:rPr>
                <w:rFonts w:cs="Arial"/>
              </w:rPr>
            </w:pPr>
            <w:r w:rsidRPr="005F7EFA">
              <w:rPr>
                <w:rFonts w:cs="Arial"/>
              </w:rPr>
              <w:t>Worker/s</w:t>
            </w:r>
          </w:p>
        </w:tc>
        <w:tc>
          <w:tcPr>
            <w:tcW w:w="4111" w:type="dxa"/>
          </w:tcPr>
          <w:p w:rsidRPr="005F7EFA" w:rsidR="009B74B2" w:rsidRDefault="009B74B2" w14:paraId="2CD71E84" w14:textId="77777777">
            <w:pPr>
              <w:rPr>
                <w:rFonts w:cs="Arial"/>
              </w:rPr>
            </w:pPr>
            <w:r w:rsidRPr="005F7EFA">
              <w:rPr>
                <w:rFonts w:cs="Arial"/>
              </w:rPr>
              <w:t>Aged care worker/s</w:t>
            </w:r>
          </w:p>
        </w:tc>
      </w:tr>
    </w:tbl>
    <w:p w:rsidR="009B74B2" w:rsidP="009B74B2" w:rsidRDefault="009B74B2" w14:paraId="3696614E" w14:textId="77777777">
      <w:pPr>
        <w:pStyle w:val="ListParagraph"/>
        <w:numPr>
          <w:ilvl w:val="0"/>
          <w:numId w:val="28"/>
        </w:numPr>
      </w:pPr>
      <w:r>
        <w:t xml:space="preserve">Minor wording changes to </w:t>
      </w:r>
      <w:r w:rsidRPr="00C405CC">
        <w:rPr>
          <w:b/>
          <w:bCs/>
        </w:rPr>
        <w:t>make requirements for providers clearer</w:t>
      </w:r>
      <w:r w:rsidRPr="00E30DF4">
        <w:t xml:space="preserve"> in the </w:t>
      </w:r>
      <w:r>
        <w:t>R</w:t>
      </w:r>
      <w:r w:rsidRPr="00E30DF4">
        <w:t>ules</w:t>
      </w:r>
      <w:r>
        <w:t>. For example:</w:t>
      </w:r>
    </w:p>
    <w:tbl>
      <w:tblPr>
        <w:tblStyle w:val="TableGrid"/>
        <w:tblW w:w="0" w:type="auto"/>
        <w:tblInd w:w="704" w:type="dxa"/>
        <w:tblLook w:val="04A0" w:firstRow="1" w:lastRow="0" w:firstColumn="1" w:lastColumn="0" w:noHBand="0" w:noVBand="1"/>
      </w:tblPr>
      <w:tblGrid>
        <w:gridCol w:w="3686"/>
        <w:gridCol w:w="4536"/>
      </w:tblGrid>
      <w:tr w:rsidRPr="00E43433" w:rsidR="009B74B2" w:rsidTr="524E9A87" w14:paraId="5BAE1DB9" w14:textId="77777777">
        <w:tc>
          <w:tcPr>
            <w:tcW w:w="3686" w:type="dxa"/>
            <w:shd w:val="clear" w:color="auto" w:fill="E9EBF3"/>
          </w:tcPr>
          <w:p w:rsidRPr="005F7EFA" w:rsidR="009B74B2" w:rsidRDefault="009B74B2" w14:paraId="421FCA3F" w14:textId="77777777">
            <w:pPr>
              <w:rPr>
                <w:rFonts w:cs="Arial"/>
                <w:b/>
              </w:rPr>
            </w:pPr>
            <w:r w:rsidRPr="005F7EFA">
              <w:rPr>
                <w:rFonts w:cs="Arial"/>
                <w:b/>
              </w:rPr>
              <w:t>Wording of the Outcomes in the strengthened Quality Standards</w:t>
            </w:r>
            <w:r>
              <w:rPr>
                <w:rFonts w:cs="Arial"/>
                <w:b/>
              </w:rPr>
              <w:t xml:space="preserve"> document</w:t>
            </w:r>
          </w:p>
        </w:tc>
        <w:tc>
          <w:tcPr>
            <w:tcW w:w="4536" w:type="dxa"/>
            <w:shd w:val="clear" w:color="auto" w:fill="E9EBF3"/>
          </w:tcPr>
          <w:p w:rsidRPr="005F7EFA" w:rsidR="009B74B2" w:rsidRDefault="009B74B2" w14:paraId="589EB5B7" w14:textId="77777777">
            <w:pPr>
              <w:rPr>
                <w:rFonts w:cs="Arial"/>
                <w:b/>
              </w:rPr>
            </w:pPr>
            <w:r w:rsidRPr="005F7EFA">
              <w:rPr>
                <w:rFonts w:cs="Arial"/>
                <w:b/>
              </w:rPr>
              <w:t xml:space="preserve">Wording of the Outcomes in the </w:t>
            </w:r>
            <w:r>
              <w:rPr>
                <w:rFonts w:cs="Arial"/>
                <w:b/>
                <w:bCs/>
              </w:rPr>
              <w:t>new</w:t>
            </w:r>
            <w:r w:rsidRPr="005F7EFA">
              <w:rPr>
                <w:rFonts w:cs="Arial"/>
                <w:b/>
              </w:rPr>
              <w:t xml:space="preserve"> Act and Rules</w:t>
            </w:r>
          </w:p>
        </w:tc>
      </w:tr>
      <w:tr w:rsidRPr="008B2DA1" w:rsidR="009B74B2" w14:paraId="7F75D1F8" w14:textId="77777777">
        <w:tc>
          <w:tcPr>
            <w:tcW w:w="3686" w:type="dxa"/>
          </w:tcPr>
          <w:p w:rsidRPr="005F7EFA" w:rsidR="009B74B2" w:rsidRDefault="009B74B2" w14:paraId="41B71FCB" w14:textId="77777777">
            <w:pPr>
              <w:rPr>
                <w:rFonts w:cs="Arial"/>
                <w:b/>
              </w:rPr>
            </w:pPr>
            <w:r w:rsidRPr="005F7EFA">
              <w:rPr>
                <w:rFonts w:cs="Arial"/>
                <w:b/>
              </w:rPr>
              <w:t>Outcome 1.1</w:t>
            </w:r>
          </w:p>
          <w:p w:rsidRPr="005F7EFA" w:rsidR="009B74B2" w:rsidRDefault="009B74B2" w14:paraId="294B8391" w14:textId="77777777">
            <w:pPr>
              <w:rPr>
                <w:rFonts w:cs="Arial"/>
              </w:rPr>
            </w:pPr>
            <w:r w:rsidRPr="005F7EFA">
              <w:rPr>
                <w:rFonts w:cs="Arial"/>
              </w:rPr>
              <w:t>The provider understands that the safety, health, wellbeing and quality of life of older people is the primary consideration in the delivery of care and services.</w:t>
            </w:r>
          </w:p>
        </w:tc>
        <w:tc>
          <w:tcPr>
            <w:tcW w:w="4536" w:type="dxa"/>
          </w:tcPr>
          <w:p w:rsidRPr="0093367A" w:rsidR="009B74B2" w:rsidRDefault="009B74B2" w14:paraId="51031CD4" w14:textId="57FECE90">
            <w:pPr>
              <w:spacing w:before="0" w:after="0" w:line="240" w:lineRule="auto"/>
              <w:rPr>
                <w:rFonts w:cs="Arial"/>
              </w:rPr>
            </w:pPr>
            <w:r w:rsidRPr="00C405CC">
              <w:rPr>
                <w:rFonts w:cs="Arial"/>
                <w:color w:val="auto"/>
              </w:rPr>
              <w:t xml:space="preserve">The provider </w:t>
            </w:r>
            <w:r w:rsidRPr="0093367A">
              <w:rPr>
                <w:rFonts w:cs="Arial"/>
                <w:color w:val="FF0000"/>
              </w:rPr>
              <w:t xml:space="preserve">demonstrates </w:t>
            </w:r>
            <w:r w:rsidRPr="2A10EABC" w:rsidR="14F8F44D">
              <w:rPr>
                <w:rFonts w:cs="Arial"/>
                <w:color w:val="FF0000"/>
              </w:rPr>
              <w:t>that the provider</w:t>
            </w:r>
            <w:r w:rsidRPr="0093367A">
              <w:rPr>
                <w:rFonts w:cs="Arial"/>
                <w:color w:val="FF0000"/>
              </w:rPr>
              <w:t xml:space="preserve"> </w:t>
            </w:r>
            <w:r w:rsidRPr="2321989D">
              <w:rPr>
                <w:rFonts w:cs="Arial"/>
                <w:color w:val="FF0000"/>
              </w:rPr>
              <w:t>understand</w:t>
            </w:r>
            <w:r w:rsidRPr="2321989D" w:rsidR="4DDD3923">
              <w:rPr>
                <w:rFonts w:cs="Arial"/>
                <w:color w:val="FF0000"/>
              </w:rPr>
              <w:t>s</w:t>
            </w:r>
            <w:r w:rsidRPr="0093367A">
              <w:rPr>
                <w:rFonts w:cs="Arial"/>
                <w:color w:val="FF0000"/>
              </w:rPr>
              <w:t xml:space="preserve"> </w:t>
            </w:r>
            <w:r w:rsidRPr="00C405CC">
              <w:rPr>
                <w:rFonts w:cs="Arial"/>
                <w:color w:val="auto"/>
              </w:rPr>
              <w:t>that the safety, health, wellbeing and quality of life of individuals is the primary consideration in the delivery of funded aged care services.</w:t>
            </w:r>
          </w:p>
        </w:tc>
      </w:tr>
      <w:tr w:rsidR="009B74B2" w14:paraId="48F35E70" w14:textId="77777777">
        <w:tc>
          <w:tcPr>
            <w:tcW w:w="3686" w:type="dxa"/>
          </w:tcPr>
          <w:p w:rsidRPr="005F7EFA" w:rsidR="009B74B2" w:rsidRDefault="009B74B2" w14:paraId="660518F1" w14:textId="77777777">
            <w:pPr>
              <w:rPr>
                <w:rFonts w:cs="Arial"/>
                <w:b/>
              </w:rPr>
            </w:pPr>
            <w:r w:rsidRPr="005F7EFA">
              <w:rPr>
                <w:rFonts w:cs="Arial"/>
                <w:b/>
              </w:rPr>
              <w:t>Outcome 4.1a</w:t>
            </w:r>
          </w:p>
          <w:p w:rsidRPr="005F7EFA" w:rsidR="009B74B2" w:rsidRDefault="009B74B2" w14:paraId="6C9ACD82" w14:textId="77777777">
            <w:pPr>
              <w:rPr>
                <w:rFonts w:cs="Arial"/>
              </w:rPr>
            </w:pPr>
            <w:r w:rsidRPr="005F7EFA">
              <w:rPr>
                <w:rFonts w:cs="Arial"/>
              </w:rPr>
              <w:t>Providers support older people to mitigate environmental risks relevant to their care and services.</w:t>
            </w:r>
          </w:p>
        </w:tc>
        <w:tc>
          <w:tcPr>
            <w:tcW w:w="4536" w:type="dxa"/>
          </w:tcPr>
          <w:p w:rsidRPr="0093367A" w:rsidR="009B74B2" w:rsidRDefault="009B74B2" w14:paraId="09CAED04" w14:textId="4E09EB8F">
            <w:pPr>
              <w:spacing w:line="240" w:lineRule="auto"/>
              <w:rPr>
                <w:rFonts w:cs="Arial"/>
              </w:rPr>
            </w:pPr>
            <w:r w:rsidRPr="0093367A">
              <w:rPr>
                <w:rFonts w:cs="Arial"/>
                <w:color w:val="FF0000"/>
              </w:rPr>
              <w:t>When delivering funded aged care services to individuals in their homes</w:t>
            </w:r>
            <w:r w:rsidRPr="0093367A">
              <w:rPr>
                <w:rFonts w:cs="Arial"/>
              </w:rPr>
              <w:t xml:space="preserve">, the provider </w:t>
            </w:r>
            <w:r w:rsidRPr="00CC06FC" w:rsidR="16B50F2D">
              <w:rPr>
                <w:rFonts w:cs="Arial"/>
                <w:color w:val="FF0000"/>
              </w:rPr>
              <w:t>must</w:t>
            </w:r>
            <w:r w:rsidRPr="524E9A87" w:rsidR="16B50F2D">
              <w:rPr>
                <w:rFonts w:cs="Arial"/>
              </w:rPr>
              <w:t xml:space="preserve"> </w:t>
            </w:r>
            <w:r w:rsidRPr="0093367A">
              <w:rPr>
                <w:rFonts w:cs="Arial"/>
              </w:rPr>
              <w:t>supports the individuals to mitigate environmental risks relevant to the services.</w:t>
            </w:r>
          </w:p>
        </w:tc>
      </w:tr>
    </w:tbl>
    <w:p w:rsidR="009B74B2" w:rsidP="009B74B2" w:rsidRDefault="009B74B2" w14:paraId="3B7ABA11" w14:textId="77777777">
      <w:pPr>
        <w:pStyle w:val="ListParagraph"/>
        <w:numPr>
          <w:ilvl w:val="0"/>
          <w:numId w:val="28"/>
        </w:numPr>
        <w:ind w:left="714" w:hanging="357"/>
        <w:contextualSpacing w:val="0"/>
      </w:pPr>
      <w:r w:rsidRPr="00C405CC">
        <w:rPr>
          <w:b/>
          <w:bCs/>
        </w:rPr>
        <w:t>Removing duplication</w:t>
      </w:r>
      <w:r w:rsidRPr="001314C5">
        <w:t xml:space="preserve"> by ensuring there are clear references between the strengthened </w:t>
      </w:r>
      <w:r>
        <w:t xml:space="preserve">Quality </w:t>
      </w:r>
      <w:r w:rsidRPr="001314C5">
        <w:t xml:space="preserve">Standards </w:t>
      </w:r>
      <w:r>
        <w:t xml:space="preserve">Rules </w:t>
      </w:r>
      <w:r w:rsidRPr="001314C5">
        <w:t xml:space="preserve">and other obligations and conditions of registration that apply to </w:t>
      </w:r>
      <w:r>
        <w:t xml:space="preserve">registered </w:t>
      </w:r>
      <w:r w:rsidRPr="001314C5">
        <w:t xml:space="preserve">providers in the </w:t>
      </w:r>
      <w:r>
        <w:t>new</w:t>
      </w:r>
      <w:r w:rsidRPr="001314C5">
        <w:t xml:space="preserve"> Act (for example incident reporting, feedback and complaints</w:t>
      </w:r>
      <w:r>
        <w:t>).</w:t>
      </w:r>
    </w:p>
    <w:p w:rsidR="009B74B2" w:rsidP="009B74B2" w:rsidRDefault="009B74B2" w14:paraId="6E40EDAC" w14:textId="77777777">
      <w:pPr>
        <w:pStyle w:val="ListParagraph"/>
        <w:numPr>
          <w:ilvl w:val="0"/>
          <w:numId w:val="28"/>
        </w:numPr>
        <w:ind w:left="714" w:hanging="357"/>
        <w:contextualSpacing w:val="0"/>
      </w:pPr>
      <w:r w:rsidRPr="00F532A1">
        <w:t xml:space="preserve">The </w:t>
      </w:r>
      <w:r w:rsidRPr="00C405CC">
        <w:rPr>
          <w:b/>
          <w:bCs/>
        </w:rPr>
        <w:t>numbering</w:t>
      </w:r>
      <w:r w:rsidRPr="00F532A1">
        <w:t xml:space="preserve"> of the </w:t>
      </w:r>
      <w:r>
        <w:t>O</w:t>
      </w:r>
      <w:r w:rsidRPr="00F532A1">
        <w:t xml:space="preserve">utcomes in the </w:t>
      </w:r>
      <w:r>
        <w:t>R</w:t>
      </w:r>
      <w:r w:rsidRPr="00F532A1">
        <w:t xml:space="preserve">ules is different, so that each sentence </w:t>
      </w:r>
      <w:r>
        <w:t xml:space="preserve">in an Outcome statement </w:t>
      </w:r>
      <w:r w:rsidRPr="00F532A1">
        <w:t>is its own number</w:t>
      </w:r>
      <w:r>
        <w:t>ed</w:t>
      </w:r>
      <w:r w:rsidRPr="00F532A1">
        <w:t xml:space="preserve"> provision in the </w:t>
      </w:r>
      <w:r>
        <w:t>R</w:t>
      </w:r>
      <w:r w:rsidRPr="00F532A1">
        <w:t>ules</w:t>
      </w:r>
      <w:r>
        <w:t>. F</w:t>
      </w:r>
      <w:r w:rsidRPr="00F532A1">
        <w:t>or example</w:t>
      </w:r>
      <w:r>
        <w:t>:</w:t>
      </w:r>
    </w:p>
    <w:tbl>
      <w:tblPr>
        <w:tblStyle w:val="TableGrid"/>
        <w:tblW w:w="0" w:type="auto"/>
        <w:tblInd w:w="704" w:type="dxa"/>
        <w:tblLook w:val="04A0" w:firstRow="1" w:lastRow="0" w:firstColumn="1" w:lastColumn="0" w:noHBand="0" w:noVBand="1"/>
      </w:tblPr>
      <w:tblGrid>
        <w:gridCol w:w="3402"/>
        <w:gridCol w:w="4820"/>
      </w:tblGrid>
      <w:tr w:rsidRPr="00E43433" w:rsidR="009B74B2" w:rsidTr="3FF0D96E" w14:paraId="135DF7B3" w14:textId="77777777">
        <w:tc>
          <w:tcPr>
            <w:tcW w:w="3402" w:type="dxa"/>
            <w:shd w:val="clear" w:color="auto" w:fill="E9EBF3"/>
          </w:tcPr>
          <w:p w:rsidRPr="005F7EFA" w:rsidR="009B74B2" w:rsidRDefault="009B74B2" w14:paraId="4BEAD4F9" w14:textId="77777777">
            <w:pPr>
              <w:rPr>
                <w:rFonts w:cs="Arial"/>
                <w:b/>
              </w:rPr>
            </w:pPr>
            <w:r w:rsidRPr="005F7EFA">
              <w:rPr>
                <w:rFonts w:cs="Arial"/>
                <w:b/>
              </w:rPr>
              <w:t>Outcome statement in the strengthened Quality Standards</w:t>
            </w:r>
            <w:r>
              <w:rPr>
                <w:rFonts w:cs="Arial"/>
                <w:b/>
              </w:rPr>
              <w:t xml:space="preserve"> document</w:t>
            </w:r>
          </w:p>
        </w:tc>
        <w:tc>
          <w:tcPr>
            <w:tcW w:w="4820" w:type="dxa"/>
            <w:shd w:val="clear" w:color="auto" w:fill="E9EBF3"/>
          </w:tcPr>
          <w:p w:rsidRPr="005F7EFA" w:rsidR="009B74B2" w:rsidRDefault="009B74B2" w14:paraId="0AF9271B" w14:textId="77777777">
            <w:pPr>
              <w:rPr>
                <w:rFonts w:cs="Arial"/>
                <w:b/>
              </w:rPr>
            </w:pPr>
            <w:r w:rsidRPr="005F7EFA">
              <w:rPr>
                <w:rFonts w:cs="Arial"/>
                <w:b/>
              </w:rPr>
              <w:t>Outcomes in the Aged Care Act and Rules</w:t>
            </w:r>
          </w:p>
        </w:tc>
      </w:tr>
      <w:tr w:rsidR="009B74B2" w14:paraId="517B26B1" w14:textId="77777777">
        <w:tc>
          <w:tcPr>
            <w:tcW w:w="3402" w:type="dxa"/>
          </w:tcPr>
          <w:p w:rsidRPr="005F7EFA" w:rsidR="009B74B2" w:rsidRDefault="009B74B2" w14:paraId="16F44D0B" w14:textId="77777777">
            <w:pPr>
              <w:rPr>
                <w:rFonts w:cs="Arial"/>
                <w:b/>
              </w:rPr>
            </w:pPr>
            <w:r w:rsidRPr="005F7EFA">
              <w:rPr>
                <w:rFonts w:cs="Arial"/>
                <w:b/>
              </w:rPr>
              <w:t>Outcome 3.3</w:t>
            </w:r>
          </w:p>
          <w:p w:rsidRPr="00CC06FC" w:rsidR="009B74B2" w:rsidRDefault="009B74B2" w14:paraId="353C6F9F" w14:textId="77777777">
            <w:pPr>
              <w:rPr>
                <w:rFonts w:cs="Arial"/>
                <w:color w:val="auto"/>
              </w:rPr>
            </w:pPr>
            <w:r w:rsidRPr="00CC06FC">
              <w:rPr>
                <w:rFonts w:cs="Arial"/>
                <w:color w:val="auto"/>
              </w:rPr>
              <w:t>Critical information relevant to the older person’s care and services is communicated effectively with the older person, between workers and with family, carers and health professionals involved in the older person’s care.</w:t>
            </w:r>
          </w:p>
          <w:p w:rsidRPr="005F7EFA" w:rsidR="009B74B2" w:rsidRDefault="009B74B2" w14:paraId="6A92EB52" w14:textId="77777777">
            <w:pPr>
              <w:rPr>
                <w:rFonts w:cs="Arial"/>
              </w:rPr>
            </w:pPr>
            <w:r w:rsidRPr="00CC06FC">
              <w:rPr>
                <w:rFonts w:cs="Arial"/>
                <w:color w:val="auto"/>
              </w:rPr>
              <w:t>Risks, changes and deterioration in an older person’s condition are escalated and communicated as appropriate.</w:t>
            </w:r>
          </w:p>
        </w:tc>
        <w:tc>
          <w:tcPr>
            <w:tcW w:w="4820" w:type="dxa"/>
          </w:tcPr>
          <w:p w:rsidRPr="005F7EFA" w:rsidR="009B74B2" w:rsidRDefault="3C81E04C" w14:paraId="297A3ED7" w14:textId="65473DC8">
            <w:pPr>
              <w:pStyle w:val="ListParagraph"/>
              <w:numPr>
                <w:ilvl w:val="0"/>
                <w:numId w:val="32"/>
              </w:numPr>
              <w:spacing w:before="0" w:after="0" w:line="240" w:lineRule="auto"/>
              <w:rPr>
                <w:rFonts w:cs="Arial"/>
              </w:rPr>
            </w:pPr>
            <w:r w:rsidRPr="3FF0D96E">
              <w:rPr>
                <w:rFonts w:cs="Arial"/>
              </w:rPr>
              <w:t>The provider must ensure that c</w:t>
            </w:r>
            <w:r w:rsidRPr="005F7EFA" w:rsidR="009B74B2">
              <w:rPr>
                <w:rFonts w:cs="Arial"/>
              </w:rPr>
              <w:t xml:space="preserve">ritical information relevant to the delivery of </w:t>
            </w:r>
            <w:r w:rsidRPr="005F7EFA" w:rsidR="009B74B2">
              <w:rPr>
                <w:rFonts w:cs="Arial"/>
                <w:color w:val="FF0000"/>
              </w:rPr>
              <w:t xml:space="preserve">funded aged care services </w:t>
            </w:r>
            <w:r w:rsidRPr="005F7EFA" w:rsidR="009B74B2">
              <w:rPr>
                <w:rFonts w:cs="Arial"/>
              </w:rPr>
              <w:t xml:space="preserve">to </w:t>
            </w:r>
            <w:r w:rsidRPr="005F7EFA" w:rsidR="009B74B2">
              <w:rPr>
                <w:rFonts w:cs="Arial"/>
                <w:color w:val="FF0000"/>
              </w:rPr>
              <w:t>individuals</w:t>
            </w:r>
            <w:r w:rsidRPr="005F7EFA" w:rsidR="009B74B2">
              <w:rPr>
                <w:rFonts w:cs="Arial"/>
              </w:rPr>
              <w:t xml:space="preserve"> is communicated effectively:</w:t>
            </w:r>
          </w:p>
          <w:p w:rsidRPr="005F7EFA" w:rsidR="009B74B2" w:rsidRDefault="009B74B2" w14:paraId="51C99506" w14:textId="77777777">
            <w:pPr>
              <w:pStyle w:val="ListParagraph"/>
              <w:numPr>
                <w:ilvl w:val="0"/>
                <w:numId w:val="31"/>
              </w:numPr>
              <w:spacing w:before="0" w:after="0" w:line="240" w:lineRule="auto"/>
              <w:ind w:left="736"/>
              <w:rPr>
                <w:rFonts w:cs="Arial"/>
              </w:rPr>
            </w:pPr>
            <w:r w:rsidRPr="005F7EFA">
              <w:rPr>
                <w:rFonts w:cs="Arial"/>
              </w:rPr>
              <w:t xml:space="preserve">to the </w:t>
            </w:r>
            <w:r w:rsidRPr="00CC06FC">
              <w:rPr>
                <w:rFonts w:cs="Arial"/>
                <w:color w:val="FF0000"/>
              </w:rPr>
              <w:t>individuals</w:t>
            </w:r>
            <w:r w:rsidRPr="005F7EFA">
              <w:rPr>
                <w:rFonts w:cs="Arial"/>
              </w:rPr>
              <w:t>; and</w:t>
            </w:r>
          </w:p>
          <w:p w:rsidRPr="005F7EFA" w:rsidR="009B74B2" w:rsidRDefault="009B74B2" w14:paraId="3D66D5A1" w14:textId="77777777">
            <w:pPr>
              <w:pStyle w:val="ListParagraph"/>
              <w:numPr>
                <w:ilvl w:val="0"/>
                <w:numId w:val="31"/>
              </w:numPr>
              <w:spacing w:before="0" w:after="0" w:line="240" w:lineRule="auto"/>
              <w:ind w:left="736"/>
              <w:rPr>
                <w:rFonts w:cs="Arial"/>
              </w:rPr>
            </w:pPr>
            <w:r w:rsidRPr="005F7EFA">
              <w:rPr>
                <w:rFonts w:cs="Arial"/>
              </w:rPr>
              <w:t xml:space="preserve">between </w:t>
            </w:r>
            <w:r w:rsidRPr="005F7EFA">
              <w:rPr>
                <w:rFonts w:cs="Arial"/>
                <w:color w:val="FF0000"/>
              </w:rPr>
              <w:t xml:space="preserve">aged care workers </w:t>
            </w:r>
            <w:r w:rsidRPr="005F7EFA">
              <w:rPr>
                <w:rFonts w:cs="Arial"/>
              </w:rPr>
              <w:t>delivering the services; and</w:t>
            </w:r>
          </w:p>
          <w:p w:rsidRPr="005F7EFA" w:rsidR="009B74B2" w:rsidRDefault="009B74B2" w14:paraId="2D1E6226" w14:textId="77777777">
            <w:pPr>
              <w:pStyle w:val="ListParagraph"/>
              <w:numPr>
                <w:ilvl w:val="0"/>
                <w:numId w:val="31"/>
              </w:numPr>
              <w:spacing w:before="0" w:after="0" w:line="240" w:lineRule="auto"/>
              <w:ind w:left="736"/>
              <w:rPr>
                <w:rFonts w:cs="Arial"/>
              </w:rPr>
            </w:pPr>
            <w:r w:rsidRPr="005F7EFA">
              <w:rPr>
                <w:rFonts w:cs="Arial"/>
              </w:rPr>
              <w:t xml:space="preserve">with </w:t>
            </w:r>
            <w:r w:rsidRPr="005F7EFA">
              <w:rPr>
                <w:rFonts w:cs="Arial"/>
                <w:color w:val="FF0000"/>
              </w:rPr>
              <w:t>supporters</w:t>
            </w:r>
            <w:r w:rsidRPr="005F7EFA">
              <w:rPr>
                <w:rFonts w:cs="Arial"/>
              </w:rPr>
              <w:t xml:space="preserve"> of the individuals and other persons supporting the </w:t>
            </w:r>
            <w:r w:rsidRPr="00CC06FC">
              <w:rPr>
                <w:rFonts w:cs="Arial"/>
                <w:color w:val="FF0000"/>
              </w:rPr>
              <w:t>individuals</w:t>
            </w:r>
            <w:r w:rsidRPr="005F7EFA">
              <w:rPr>
                <w:rFonts w:cs="Arial"/>
              </w:rPr>
              <w:t>; and</w:t>
            </w:r>
          </w:p>
          <w:p w:rsidRPr="005F7EFA" w:rsidR="009B74B2" w:rsidRDefault="009B74B2" w14:paraId="01A80B6C" w14:textId="791A08D4">
            <w:pPr>
              <w:pStyle w:val="ListParagraph"/>
              <w:numPr>
                <w:ilvl w:val="0"/>
                <w:numId w:val="31"/>
              </w:numPr>
              <w:spacing w:before="0" w:after="0" w:line="240" w:lineRule="auto"/>
              <w:ind w:left="736"/>
              <w:rPr>
                <w:rFonts w:cs="Arial"/>
              </w:rPr>
            </w:pPr>
            <w:r w:rsidRPr="005F7EFA">
              <w:rPr>
                <w:rFonts w:cs="Arial"/>
              </w:rPr>
              <w:t xml:space="preserve">with health professionals involved </w:t>
            </w:r>
            <w:r w:rsidRPr="3FF0D96E" w:rsidR="0DD34E75">
              <w:rPr>
                <w:rFonts w:cs="Arial"/>
              </w:rPr>
              <w:t xml:space="preserve">with the </w:t>
            </w:r>
            <w:r w:rsidRPr="00CC06FC" w:rsidR="0DD34E75">
              <w:rPr>
                <w:rFonts w:cs="Arial"/>
                <w:color w:val="FF0000"/>
              </w:rPr>
              <w:t>individual’s</w:t>
            </w:r>
            <w:r w:rsidRPr="3FF0D96E" w:rsidR="0DD34E75">
              <w:rPr>
                <w:rFonts w:cs="Arial"/>
              </w:rPr>
              <w:t xml:space="preserve"> care</w:t>
            </w:r>
            <w:r w:rsidRPr="005F7EFA">
              <w:rPr>
                <w:rFonts w:cs="Arial"/>
              </w:rPr>
              <w:t>.</w:t>
            </w:r>
          </w:p>
          <w:p w:rsidRPr="005F7EFA" w:rsidR="009B74B2" w:rsidRDefault="00D03B8B" w14:paraId="26CAE9E1" w14:textId="76D1B1C9">
            <w:pPr>
              <w:pStyle w:val="ListParagraph"/>
              <w:numPr>
                <w:ilvl w:val="0"/>
                <w:numId w:val="32"/>
              </w:numPr>
              <w:spacing w:line="240" w:lineRule="auto"/>
              <w:ind w:left="357" w:hanging="357"/>
              <w:contextualSpacing w:val="0"/>
              <w:rPr>
                <w:rFonts w:cs="Arial"/>
              </w:rPr>
            </w:pPr>
            <w:r>
              <w:rPr>
                <w:rFonts w:cs="Arial"/>
              </w:rPr>
              <w:t>The provider must ensure</w:t>
            </w:r>
            <w:r w:rsidR="00215A87">
              <w:rPr>
                <w:rFonts w:cs="Arial"/>
              </w:rPr>
              <w:t xml:space="preserve"> that r</w:t>
            </w:r>
            <w:r w:rsidRPr="005F7EFA" w:rsidR="009B74B2">
              <w:rPr>
                <w:rFonts w:cs="Arial"/>
              </w:rPr>
              <w:t xml:space="preserve">isks to </w:t>
            </w:r>
            <w:r w:rsidRPr="00C405CC" w:rsidR="009B74B2">
              <w:rPr>
                <w:rFonts w:cs="Arial"/>
                <w:color w:val="FF0000"/>
              </w:rPr>
              <w:t>individuals</w:t>
            </w:r>
            <w:r w:rsidRPr="005F7EFA" w:rsidR="009B74B2">
              <w:rPr>
                <w:rFonts w:cs="Arial"/>
              </w:rPr>
              <w:t xml:space="preserve">, and changes and deterioration in the condition of </w:t>
            </w:r>
            <w:r w:rsidRPr="00C405CC" w:rsidR="009B74B2">
              <w:rPr>
                <w:rFonts w:cs="Arial"/>
                <w:color w:val="FF0000"/>
              </w:rPr>
              <w:t>individuals</w:t>
            </w:r>
            <w:r w:rsidRPr="005F7EFA" w:rsidR="009B74B2">
              <w:rPr>
                <w:rFonts w:cs="Arial"/>
              </w:rPr>
              <w:t>, are escalated and communicated as appropriate.</w:t>
            </w:r>
          </w:p>
        </w:tc>
      </w:tr>
    </w:tbl>
    <w:p w:rsidR="009B74B2" w:rsidP="009B74B2" w:rsidRDefault="009B74B2" w14:paraId="7C88445A" w14:textId="03CDFCD2">
      <w:pPr>
        <w:pStyle w:val="ListParagraph"/>
        <w:numPr>
          <w:ilvl w:val="0"/>
          <w:numId w:val="28"/>
        </w:numPr>
        <w:ind w:left="714" w:hanging="357"/>
        <w:contextualSpacing w:val="0"/>
      </w:pPr>
      <w:r>
        <w:t>A stronger emphasis on t</w:t>
      </w:r>
      <w:r w:rsidRPr="00EB7123">
        <w:t xml:space="preserve">he </w:t>
      </w:r>
      <w:r w:rsidRPr="00C405CC">
        <w:rPr>
          <w:b/>
          <w:bCs/>
        </w:rPr>
        <w:t>role of workers</w:t>
      </w:r>
      <w:r w:rsidRPr="00EB7123">
        <w:t xml:space="preserve"> in </w:t>
      </w:r>
      <w:r w:rsidR="00145AB6">
        <w:t xml:space="preserve">delivering </w:t>
      </w:r>
      <w:r w:rsidRPr="00EB7123" w:rsidR="00145AB6">
        <w:t>safe and quality care and services f</w:t>
      </w:r>
      <w:r w:rsidR="00145AB6">
        <w:t>or</w:t>
      </w:r>
      <w:r w:rsidRPr="00EB7123" w:rsidR="00145AB6">
        <w:t xml:space="preserve"> </w:t>
      </w:r>
      <w:r w:rsidR="007F39F7">
        <w:t>individuals</w:t>
      </w:r>
      <w:r w:rsidR="00522D35">
        <w:t xml:space="preserve"> in Standard 2 – The Organisation</w:t>
      </w:r>
      <w:r w:rsidRPr="00EB7123" w:rsidR="00145AB6">
        <w:t>. This responds to feedback</w:t>
      </w:r>
      <w:r w:rsidR="00145AB6">
        <w:t xml:space="preserve"> heard</w:t>
      </w:r>
      <w:r w:rsidRPr="00EB7123" w:rsidR="00145AB6">
        <w:t xml:space="preserve"> as part of </w:t>
      </w:r>
      <w:r w:rsidR="00145AB6">
        <w:t xml:space="preserve">the </w:t>
      </w:r>
      <w:r w:rsidRPr="00F35CA5" w:rsidR="00CD4476">
        <w:t>Senate Standing Committee on Community Affairs' Inquiry into</w:t>
      </w:r>
      <w:r w:rsidDel="00CD4476" w:rsidR="00CD4476">
        <w:t xml:space="preserve"> </w:t>
      </w:r>
      <w:r w:rsidR="00145AB6">
        <w:t xml:space="preserve">the </w:t>
      </w:r>
      <w:r w:rsidRPr="00EB7123" w:rsidR="00145AB6">
        <w:t xml:space="preserve">Aged Care Bill 2024 </w:t>
      </w:r>
      <w:r w:rsidR="00145AB6">
        <w:t>in October 2024</w:t>
      </w:r>
      <w:r w:rsidRPr="00EB7123" w:rsidR="00145AB6">
        <w:t xml:space="preserve"> as belo</w:t>
      </w:r>
      <w:r w:rsidR="00F718C9">
        <w:t>w.</w:t>
      </w:r>
    </w:p>
    <w:p w:rsidR="00F718C9" w:rsidP="00F718C9" w:rsidRDefault="00F718C9" w14:paraId="11A6E471" w14:textId="1BB51382">
      <w:pPr>
        <w:pStyle w:val="ListParagraph"/>
        <w:numPr>
          <w:ilvl w:val="0"/>
          <w:numId w:val="28"/>
        </w:numPr>
        <w:ind w:left="714" w:hanging="357"/>
        <w:contextualSpacing w:val="0"/>
      </w:pPr>
      <w:r w:rsidRPr="002D7280">
        <w:t>Th</w:t>
      </w:r>
      <w:r>
        <w:t xml:space="preserve">ese </w:t>
      </w:r>
      <w:r w:rsidRPr="002D7280">
        <w:t>change</w:t>
      </w:r>
      <w:r>
        <w:t>s</w:t>
      </w:r>
      <w:r w:rsidRPr="002D7280">
        <w:t xml:space="preserve"> do</w:t>
      </w:r>
      <w:r>
        <w:t xml:space="preserve"> not </w:t>
      </w:r>
      <w:r w:rsidRPr="002D7280">
        <w:t>introduce new obligation</w:t>
      </w:r>
      <w:r>
        <w:t>s for providers. I</w:t>
      </w:r>
      <w:r w:rsidRPr="002D7280">
        <w:t xml:space="preserve">nstead, </w:t>
      </w:r>
      <w:r>
        <w:t xml:space="preserve">it </w:t>
      </w:r>
      <w:r w:rsidRPr="002D7280">
        <w:t xml:space="preserve">highlights the importance of the provider supporting </w:t>
      </w:r>
      <w:r w:rsidR="00610797">
        <w:t>aged care</w:t>
      </w:r>
      <w:r w:rsidRPr="002D7280">
        <w:t xml:space="preserve"> worker</w:t>
      </w:r>
      <w:r w:rsidR="00610797">
        <w:t>s</w:t>
      </w:r>
      <w:r w:rsidRPr="002D7280">
        <w:t xml:space="preserve"> to deliver safe and quality care for </w:t>
      </w:r>
      <w:r w:rsidR="007F39F7">
        <w:t>individuals</w:t>
      </w:r>
      <w:r w:rsidRPr="002D7280">
        <w:t>.</w:t>
      </w:r>
    </w:p>
    <w:p w:rsidR="00F718C9" w:rsidP="00F718C9" w:rsidRDefault="00F718C9" w14:paraId="4A967E8B" w14:textId="77777777">
      <w:pPr>
        <w:pStyle w:val="ListParagraph"/>
        <w:numPr>
          <w:ilvl w:val="0"/>
          <w:numId w:val="28"/>
        </w:numPr>
      </w:pPr>
      <w:r>
        <w:t>Proposed changes to Standard 2 – The Organisation include:</w:t>
      </w:r>
    </w:p>
    <w:p w:rsidR="00F718C9" w:rsidP="00F718C9" w:rsidRDefault="00796EF0" w14:paraId="0A817CE1" w14:textId="7C9FE22B">
      <w:pPr>
        <w:pStyle w:val="ListParagraph"/>
        <w:numPr>
          <w:ilvl w:val="1"/>
          <w:numId w:val="28"/>
        </w:numPr>
      </w:pPr>
      <w:r>
        <w:t>Splitting</w:t>
      </w:r>
      <w:r w:rsidR="00F718C9">
        <w:t xml:space="preserve"> Outcome 2.2 </w:t>
      </w:r>
      <w:r w:rsidR="00586E76">
        <w:t>–</w:t>
      </w:r>
      <w:r w:rsidR="00F718C9">
        <w:t xml:space="preserve"> Quality</w:t>
      </w:r>
      <w:r w:rsidR="00586E76">
        <w:t>,</w:t>
      </w:r>
      <w:r w:rsidR="00F718C9">
        <w:t xml:space="preserve"> Safety </w:t>
      </w:r>
      <w:r w:rsidR="00586E76">
        <w:t xml:space="preserve">and Inclusion </w:t>
      </w:r>
      <w:r w:rsidR="00F718C9">
        <w:t xml:space="preserve">Culture, </w:t>
      </w:r>
      <w:r>
        <w:t>into 2</w:t>
      </w:r>
      <w:r w:rsidR="00F718C9">
        <w:t xml:space="preserve"> separate outcomes</w:t>
      </w:r>
      <w:r>
        <w:t>, one</w:t>
      </w:r>
      <w:r w:rsidR="00F718C9">
        <w:t xml:space="preserve"> for </w:t>
      </w:r>
      <w:r w:rsidR="000E1DE4">
        <w:t xml:space="preserve">aged care </w:t>
      </w:r>
      <w:r w:rsidR="00F718C9">
        <w:t xml:space="preserve">workers and </w:t>
      </w:r>
      <w:r w:rsidR="000E1DE4">
        <w:t>the other for individuals</w:t>
      </w:r>
      <w:r w:rsidR="00F718C9">
        <w:t xml:space="preserve">. </w:t>
      </w:r>
    </w:p>
    <w:p w:rsidR="00F718C9" w:rsidP="00F718C9" w:rsidRDefault="000E1DE4" w14:paraId="24A08A2C" w14:textId="705443E8">
      <w:pPr>
        <w:pStyle w:val="ListParagraph"/>
        <w:numPr>
          <w:ilvl w:val="1"/>
          <w:numId w:val="28"/>
        </w:numPr>
      </w:pPr>
      <w:r>
        <w:t>Splitting</w:t>
      </w:r>
      <w:r w:rsidR="00F718C9">
        <w:t xml:space="preserve"> Outcome 2.6 </w:t>
      </w:r>
      <w:r w:rsidR="00454B2F">
        <w:t>–</w:t>
      </w:r>
      <w:r w:rsidR="00F718C9">
        <w:t xml:space="preserve"> </w:t>
      </w:r>
      <w:r w:rsidR="00454B2F">
        <w:t>Complaints and</w:t>
      </w:r>
      <w:r w:rsidR="00F718C9">
        <w:t xml:space="preserve"> Feedback Management, </w:t>
      </w:r>
      <w:r>
        <w:t>into 2</w:t>
      </w:r>
      <w:r w:rsidR="00F718C9">
        <w:t xml:space="preserve"> separate outcomes</w:t>
      </w:r>
      <w:r>
        <w:t>, one</w:t>
      </w:r>
      <w:r w:rsidR="00F718C9">
        <w:t xml:space="preserve"> for </w:t>
      </w:r>
      <w:r>
        <w:t>aged care</w:t>
      </w:r>
      <w:r w:rsidR="00F718C9">
        <w:t xml:space="preserve"> workers and </w:t>
      </w:r>
      <w:r>
        <w:t>the other for individuals</w:t>
      </w:r>
      <w:r w:rsidR="00F718C9">
        <w:t>.</w:t>
      </w:r>
    </w:p>
    <w:p w:rsidR="00F718C9" w:rsidP="00F718C9" w:rsidRDefault="00F718C9" w14:paraId="3DE189EF" w14:textId="77777777">
      <w:pPr>
        <w:pStyle w:val="ListParagraph"/>
        <w:numPr>
          <w:ilvl w:val="1"/>
          <w:numId w:val="28"/>
        </w:numPr>
      </w:pPr>
      <w:r>
        <w:t xml:space="preserve">These changes are reflected in the table below. </w:t>
      </w:r>
    </w:p>
    <w:p w:rsidR="00F718C9" w:rsidP="00F718C9" w:rsidRDefault="00F718C9" w14:paraId="10756866" w14:textId="6FCF08BC">
      <w:pPr>
        <w:pStyle w:val="ListParagraph"/>
        <w:numPr>
          <w:ilvl w:val="1"/>
          <w:numId w:val="28"/>
        </w:numPr>
      </w:pPr>
      <w:r>
        <w:t>Actions under Standard 2 have also been updated to give p</w:t>
      </w:r>
      <w:r w:rsidRPr="002D7280">
        <w:t>rovide</w:t>
      </w:r>
      <w:r>
        <w:t xml:space="preserve">rs </w:t>
      </w:r>
      <w:r w:rsidR="000E1DE4">
        <w:t>further</w:t>
      </w:r>
      <w:r w:rsidRPr="002D7280">
        <w:t xml:space="preserve"> example</w:t>
      </w:r>
      <w:r>
        <w:t>s</w:t>
      </w:r>
      <w:r w:rsidRPr="002D7280">
        <w:t xml:space="preserve"> of how it can support </w:t>
      </w:r>
      <w:r w:rsidR="000E1DE4">
        <w:t xml:space="preserve">aged care </w:t>
      </w:r>
      <w:r w:rsidRPr="002D7280">
        <w:t xml:space="preserve">workers to deliver safe and quality care for </w:t>
      </w:r>
      <w:r w:rsidR="00035C09">
        <w:t>individuals</w:t>
      </w:r>
      <w:r w:rsidRPr="002D7280">
        <w:t>.</w:t>
      </w:r>
      <w:r>
        <w:t xml:space="preserve"> They do not i</w:t>
      </w:r>
      <w:r w:rsidRPr="002D7280">
        <w:t>ntroduce new obligations</w:t>
      </w:r>
      <w:r>
        <w:t xml:space="preserve"> on providers. </w:t>
      </w:r>
    </w:p>
    <w:p w:rsidR="00F718C9" w:rsidP="00F718C9" w:rsidRDefault="00F718C9" w14:paraId="0332CAFA" w14:textId="77777777">
      <w:pPr>
        <w:pStyle w:val="ListParagraph"/>
        <w:numPr>
          <w:ilvl w:val="2"/>
          <w:numId w:val="28"/>
        </w:numPr>
      </w:pPr>
      <w:r>
        <w:t xml:space="preserve">This includes communicating the importance of worker safety, engagement with workers, feedback and complaints processes and workforce planning where this supports improved delivery of care and services. </w:t>
      </w:r>
    </w:p>
    <w:p w:rsidR="00F718C9" w:rsidP="00CC06FC" w:rsidRDefault="00F718C9" w14:paraId="5B47044C" w14:textId="31E3407D">
      <w:pPr>
        <w:pStyle w:val="ListParagraph"/>
        <w:numPr>
          <w:ilvl w:val="1"/>
          <w:numId w:val="28"/>
        </w:numPr>
      </w:pPr>
      <w:r>
        <w:t>Please note: the Actions are not included in the Rules, as they are examples of how the provider can demonstrate conformance with the legally enforceable Outcomes of the strengthened Quality Standards contained in the Rules.</w:t>
      </w:r>
    </w:p>
    <w:tbl>
      <w:tblPr>
        <w:tblStyle w:val="TableGrid"/>
        <w:tblW w:w="0" w:type="auto"/>
        <w:tblInd w:w="704" w:type="dxa"/>
        <w:tblLook w:val="04A0" w:firstRow="1" w:lastRow="0" w:firstColumn="1" w:lastColumn="0" w:noHBand="0" w:noVBand="1"/>
      </w:tblPr>
      <w:tblGrid>
        <w:gridCol w:w="3402"/>
        <w:gridCol w:w="4820"/>
      </w:tblGrid>
      <w:tr w:rsidRPr="00E43433" w:rsidR="009B74B2" w14:paraId="3B4DF17B" w14:textId="77777777">
        <w:tc>
          <w:tcPr>
            <w:tcW w:w="3402" w:type="dxa"/>
            <w:shd w:val="clear" w:color="auto" w:fill="E9EBF3" w:themeFill="text2" w:themeFillTint="1A"/>
          </w:tcPr>
          <w:p w:rsidRPr="000731D1" w:rsidR="009B74B2" w:rsidRDefault="009B74B2" w14:paraId="12B3365F" w14:textId="77777777">
            <w:pPr>
              <w:rPr>
                <w:rFonts w:cs="Arial"/>
                <w:b/>
              </w:rPr>
            </w:pPr>
            <w:r w:rsidRPr="000731D1">
              <w:rPr>
                <w:rFonts w:cs="Arial"/>
                <w:b/>
              </w:rPr>
              <w:t>Outcomes in the strengthened Quality Standards</w:t>
            </w:r>
          </w:p>
        </w:tc>
        <w:tc>
          <w:tcPr>
            <w:tcW w:w="4820" w:type="dxa"/>
            <w:shd w:val="clear" w:color="auto" w:fill="E9EBF3" w:themeFill="text2" w:themeFillTint="1A"/>
          </w:tcPr>
          <w:p w:rsidRPr="000731D1" w:rsidR="009B74B2" w:rsidRDefault="009B74B2" w14:paraId="00398FCA" w14:textId="77777777">
            <w:pPr>
              <w:rPr>
                <w:rFonts w:cs="Arial"/>
                <w:b/>
              </w:rPr>
            </w:pPr>
            <w:r w:rsidRPr="000731D1">
              <w:rPr>
                <w:rFonts w:cs="Arial"/>
                <w:b/>
              </w:rPr>
              <w:t xml:space="preserve">Outcomes in the </w:t>
            </w:r>
            <w:r>
              <w:rPr>
                <w:rFonts w:cs="Arial"/>
                <w:b/>
                <w:bCs/>
              </w:rPr>
              <w:t xml:space="preserve">new </w:t>
            </w:r>
            <w:r w:rsidRPr="000731D1">
              <w:rPr>
                <w:rFonts w:cs="Arial"/>
                <w:b/>
              </w:rPr>
              <w:t>Act and Rules</w:t>
            </w:r>
          </w:p>
        </w:tc>
      </w:tr>
      <w:tr w:rsidRPr="008969ED" w:rsidR="009B74B2" w14:paraId="64A3F419" w14:textId="77777777">
        <w:tc>
          <w:tcPr>
            <w:tcW w:w="3402" w:type="dxa"/>
            <w:shd w:val="clear" w:color="auto" w:fill="auto"/>
          </w:tcPr>
          <w:p w:rsidRPr="00C405CC" w:rsidR="009B74B2" w:rsidRDefault="009B74B2" w14:paraId="3835BEE6" w14:textId="77777777">
            <w:pPr>
              <w:rPr>
                <w:rFonts w:cs="Arial"/>
                <w:b/>
              </w:rPr>
            </w:pPr>
            <w:r w:rsidRPr="00C405CC">
              <w:rPr>
                <w:rFonts w:cs="Arial"/>
                <w:b/>
              </w:rPr>
              <w:t xml:space="preserve">Outcome 2.2 Quality and Safety Culture </w:t>
            </w:r>
          </w:p>
          <w:p w:rsidRPr="00C405CC" w:rsidR="009B74B2" w:rsidRDefault="009B74B2" w14:paraId="00E93CCC" w14:textId="77777777">
            <w:pPr>
              <w:rPr>
                <w:rFonts w:cs="Arial"/>
              </w:rPr>
            </w:pPr>
            <w:r w:rsidRPr="000731D1">
              <w:rPr>
                <w:rFonts w:cs="Arial"/>
              </w:rPr>
              <w:t>The governing body leads a culture of safety, inclusion and quality that focuses on continuous improvement, embraces diversity and prioritises the safety, health and wellbeing of older people and the workforce.</w:t>
            </w:r>
          </w:p>
        </w:tc>
        <w:tc>
          <w:tcPr>
            <w:tcW w:w="4820" w:type="dxa"/>
            <w:shd w:val="clear" w:color="auto" w:fill="auto"/>
          </w:tcPr>
          <w:p w:rsidRPr="000731D1" w:rsidR="009B74B2" w:rsidRDefault="009B74B2" w14:paraId="0ECE1D47" w14:textId="77777777">
            <w:pPr>
              <w:rPr>
                <w:rFonts w:cs="Arial"/>
                <w:b/>
              </w:rPr>
            </w:pPr>
            <w:r w:rsidRPr="000731D1">
              <w:rPr>
                <w:rFonts w:cs="Arial"/>
                <w:b/>
              </w:rPr>
              <w:t xml:space="preserve">Outcome 2.2a Quality, safety </w:t>
            </w:r>
            <w:r w:rsidRPr="00CC06FC">
              <w:rPr>
                <w:rFonts w:cs="Arial"/>
                <w:b/>
                <w:color w:val="FF0000"/>
              </w:rPr>
              <w:t xml:space="preserve">and inclusion </w:t>
            </w:r>
            <w:r w:rsidRPr="000731D1">
              <w:rPr>
                <w:rFonts w:cs="Arial"/>
                <w:b/>
              </w:rPr>
              <w:t xml:space="preserve">culture </w:t>
            </w:r>
            <w:r w:rsidRPr="000731D1">
              <w:rPr>
                <w:rFonts w:cs="Arial"/>
                <w:b/>
                <w:color w:val="FF0000"/>
              </w:rPr>
              <w:t>to support workers to deliver quality care </w:t>
            </w:r>
          </w:p>
          <w:p w:rsidRPr="000731D1" w:rsidR="009B74B2" w:rsidRDefault="009B74B2" w14:paraId="1445E4FE" w14:textId="2E40849D">
            <w:pPr>
              <w:rPr>
                <w:rFonts w:cs="Arial"/>
              </w:rPr>
            </w:pPr>
            <w:r w:rsidRPr="000731D1">
              <w:rPr>
                <w:rFonts w:cs="Arial"/>
              </w:rPr>
              <w:t xml:space="preserve">The governing body </w:t>
            </w:r>
            <w:r w:rsidR="00F36C8D">
              <w:rPr>
                <w:rFonts w:cs="Arial"/>
              </w:rPr>
              <w:t xml:space="preserve">must </w:t>
            </w:r>
            <w:r w:rsidRPr="000731D1">
              <w:rPr>
                <w:rFonts w:cs="Arial"/>
              </w:rPr>
              <w:t xml:space="preserve">lead a culture of </w:t>
            </w:r>
            <w:r w:rsidR="0022532B">
              <w:rPr>
                <w:rFonts w:cs="Arial"/>
              </w:rPr>
              <w:t xml:space="preserve">quality, </w:t>
            </w:r>
            <w:r w:rsidRPr="000731D1">
              <w:rPr>
                <w:rFonts w:cs="Arial"/>
              </w:rPr>
              <w:t>safety</w:t>
            </w:r>
            <w:r w:rsidR="0022532B">
              <w:rPr>
                <w:rFonts w:cs="Arial"/>
              </w:rPr>
              <w:t xml:space="preserve"> and</w:t>
            </w:r>
            <w:r w:rsidRPr="000731D1">
              <w:rPr>
                <w:rFonts w:cs="Arial"/>
              </w:rPr>
              <w:t xml:space="preserve"> inclusion that</w:t>
            </w:r>
            <w:r w:rsidR="00A23CCA">
              <w:rPr>
                <w:rFonts w:cs="Arial"/>
              </w:rPr>
              <w:t xml:space="preserve"> supports aged care workers to provide quality funded aged care services by</w:t>
            </w:r>
            <w:r w:rsidRPr="000731D1">
              <w:rPr>
                <w:rFonts w:cs="Arial"/>
              </w:rPr>
              <w:t>: </w:t>
            </w:r>
          </w:p>
          <w:p w:rsidRPr="000731D1" w:rsidR="009B74B2" w:rsidRDefault="009B74B2" w14:paraId="586EAC17" w14:textId="7C2C431D">
            <w:pPr>
              <w:pStyle w:val="ListParagraph"/>
              <w:numPr>
                <w:ilvl w:val="0"/>
                <w:numId w:val="36"/>
              </w:numPr>
              <w:spacing w:before="0" w:after="0" w:line="240" w:lineRule="auto"/>
              <w:rPr>
                <w:rFonts w:cs="Arial"/>
              </w:rPr>
            </w:pPr>
            <w:r w:rsidRPr="000731D1">
              <w:rPr>
                <w:rFonts w:cs="Arial"/>
              </w:rPr>
              <w:t>focus</w:t>
            </w:r>
            <w:r w:rsidR="00CC1F82">
              <w:rPr>
                <w:rFonts w:cs="Arial"/>
              </w:rPr>
              <w:t>sing</w:t>
            </w:r>
            <w:r w:rsidRPr="000731D1">
              <w:rPr>
                <w:rFonts w:cs="Arial"/>
              </w:rPr>
              <w:t xml:space="preserve"> on continuous improvement; and </w:t>
            </w:r>
          </w:p>
          <w:p w:rsidRPr="000731D1" w:rsidR="009B74B2" w:rsidRDefault="009B74B2" w14:paraId="28CCDF50" w14:textId="4917A5B2">
            <w:pPr>
              <w:pStyle w:val="ListParagraph"/>
              <w:numPr>
                <w:ilvl w:val="0"/>
                <w:numId w:val="36"/>
              </w:numPr>
              <w:spacing w:before="0" w:after="0" w:line="240" w:lineRule="auto"/>
              <w:rPr>
                <w:rFonts w:cs="Arial"/>
              </w:rPr>
            </w:pPr>
            <w:r w:rsidRPr="000731D1">
              <w:rPr>
                <w:rFonts w:cs="Arial"/>
              </w:rPr>
              <w:t>embrac</w:t>
            </w:r>
            <w:r w:rsidR="00CC1F82">
              <w:rPr>
                <w:rFonts w:cs="Arial"/>
              </w:rPr>
              <w:t>ing</w:t>
            </w:r>
            <w:r w:rsidRPr="000731D1">
              <w:rPr>
                <w:rFonts w:cs="Arial"/>
              </w:rPr>
              <w:t xml:space="preserve"> diversity; and  </w:t>
            </w:r>
          </w:p>
          <w:p w:rsidRPr="000731D1" w:rsidR="009B74B2" w:rsidRDefault="009B74B2" w14:paraId="569FBFE6" w14:textId="2B3C88BD">
            <w:pPr>
              <w:pStyle w:val="ListParagraph"/>
              <w:numPr>
                <w:ilvl w:val="0"/>
                <w:numId w:val="36"/>
              </w:numPr>
              <w:spacing w:before="0" w:after="0" w:line="240" w:lineRule="auto"/>
              <w:rPr>
                <w:rFonts w:cs="Arial"/>
              </w:rPr>
            </w:pPr>
            <w:r w:rsidRPr="000731D1">
              <w:rPr>
                <w:rFonts w:cs="Arial"/>
              </w:rPr>
              <w:t>prioritis</w:t>
            </w:r>
            <w:r w:rsidR="00CC1F82">
              <w:rPr>
                <w:rFonts w:cs="Arial"/>
              </w:rPr>
              <w:t>ing</w:t>
            </w:r>
            <w:r w:rsidRPr="000731D1">
              <w:rPr>
                <w:rFonts w:cs="Arial"/>
              </w:rPr>
              <w:t xml:space="preserve"> the safety, health and wellbeing </w:t>
            </w:r>
            <w:r w:rsidRPr="000731D1">
              <w:rPr>
                <w:rFonts w:cs="Arial"/>
                <w:color w:val="FF0000"/>
              </w:rPr>
              <w:t>of aged care workers</w:t>
            </w:r>
            <w:r w:rsidRPr="000731D1">
              <w:rPr>
                <w:rFonts w:cs="Arial"/>
              </w:rPr>
              <w:t>.  </w:t>
            </w:r>
          </w:p>
          <w:p w:rsidRPr="000731D1" w:rsidR="009B74B2" w:rsidRDefault="009B74B2" w14:paraId="4991D177" w14:textId="4C5683CA">
            <w:pPr>
              <w:rPr>
                <w:rFonts w:cs="Arial"/>
                <w:b/>
              </w:rPr>
            </w:pPr>
            <w:r w:rsidRPr="000731D1">
              <w:rPr>
                <w:rFonts w:cs="Arial"/>
                <w:b/>
              </w:rPr>
              <w:t xml:space="preserve">Outcome 2.2b Quality, safety </w:t>
            </w:r>
            <w:r w:rsidRPr="00CC06FC">
              <w:rPr>
                <w:rFonts w:cs="Arial"/>
                <w:b/>
                <w:color w:val="FF0000"/>
              </w:rPr>
              <w:t xml:space="preserve">and inclusion </w:t>
            </w:r>
            <w:r w:rsidRPr="000731D1">
              <w:rPr>
                <w:rFonts w:cs="Arial"/>
                <w:b/>
              </w:rPr>
              <w:t xml:space="preserve">culture </w:t>
            </w:r>
            <w:r w:rsidRPr="000731D1">
              <w:rPr>
                <w:rFonts w:cs="Arial"/>
                <w:b/>
                <w:color w:val="FF0000"/>
              </w:rPr>
              <w:t xml:space="preserve">to support </w:t>
            </w:r>
            <w:r w:rsidR="003A7C41">
              <w:rPr>
                <w:rFonts w:cs="Arial"/>
                <w:b/>
                <w:color w:val="FF0000"/>
              </w:rPr>
              <w:t>individuals</w:t>
            </w:r>
            <w:r w:rsidRPr="000731D1">
              <w:rPr>
                <w:rFonts w:cs="Arial"/>
                <w:b/>
              </w:rPr>
              <w:t> </w:t>
            </w:r>
          </w:p>
          <w:p w:rsidR="009B74B2" w:rsidRDefault="009B74B2" w14:paraId="7A1DA62E" w14:textId="7DE844E1">
            <w:pPr>
              <w:rPr>
                <w:rFonts w:cs="Arial"/>
              </w:rPr>
            </w:pPr>
            <w:r w:rsidRPr="000731D1">
              <w:rPr>
                <w:rFonts w:cs="Arial"/>
              </w:rPr>
              <w:t xml:space="preserve">The governing body </w:t>
            </w:r>
            <w:r w:rsidR="00EA020B">
              <w:rPr>
                <w:rFonts w:cs="Arial"/>
              </w:rPr>
              <w:t>must</w:t>
            </w:r>
            <w:r w:rsidRPr="000731D1">
              <w:rPr>
                <w:rFonts w:cs="Arial"/>
              </w:rPr>
              <w:t xml:space="preserve"> lead a culture of </w:t>
            </w:r>
            <w:r w:rsidR="00EA020B">
              <w:rPr>
                <w:rFonts w:cs="Arial"/>
              </w:rPr>
              <w:t xml:space="preserve">quality, </w:t>
            </w:r>
            <w:r w:rsidRPr="000731D1">
              <w:rPr>
                <w:rFonts w:cs="Arial"/>
              </w:rPr>
              <w:t>safety</w:t>
            </w:r>
            <w:r w:rsidR="00EA020B">
              <w:rPr>
                <w:rFonts w:cs="Arial"/>
              </w:rPr>
              <w:t xml:space="preserve"> and</w:t>
            </w:r>
            <w:r w:rsidRPr="000731D1">
              <w:rPr>
                <w:rFonts w:cs="Arial"/>
              </w:rPr>
              <w:t xml:space="preserve"> inclusion that</w:t>
            </w:r>
            <w:r w:rsidR="003A7C41">
              <w:rPr>
                <w:rFonts w:cs="Arial"/>
              </w:rPr>
              <w:t xml:space="preserve"> supports individuals receiving quality funded aged care services by</w:t>
            </w:r>
            <w:r>
              <w:rPr>
                <w:rFonts w:cs="Arial"/>
              </w:rPr>
              <w:t>:</w:t>
            </w:r>
          </w:p>
          <w:p w:rsidRPr="00DC453A" w:rsidR="009B74B2" w:rsidRDefault="009B74B2" w14:paraId="5E7D3EC0" w14:textId="52A76FFC">
            <w:pPr>
              <w:pStyle w:val="ListParagraph"/>
              <w:numPr>
                <w:ilvl w:val="0"/>
                <w:numId w:val="37"/>
              </w:numPr>
              <w:rPr>
                <w:rFonts w:cs="Arial"/>
              </w:rPr>
            </w:pPr>
            <w:r w:rsidRPr="00DC453A">
              <w:rPr>
                <w:rFonts w:cs="Arial"/>
              </w:rPr>
              <w:t>focus</w:t>
            </w:r>
            <w:r w:rsidR="003A7C41">
              <w:rPr>
                <w:rFonts w:cs="Arial"/>
              </w:rPr>
              <w:t>sing</w:t>
            </w:r>
            <w:r w:rsidRPr="00DC453A">
              <w:rPr>
                <w:rFonts w:cs="Arial"/>
              </w:rPr>
              <w:t xml:space="preserve"> on continuous improvement</w:t>
            </w:r>
            <w:r>
              <w:rPr>
                <w:rFonts w:cs="Arial"/>
              </w:rPr>
              <w:t>; and</w:t>
            </w:r>
          </w:p>
          <w:p w:rsidR="009B74B2" w:rsidRDefault="009B74B2" w14:paraId="05DD3853" w14:textId="7C800750">
            <w:pPr>
              <w:pStyle w:val="ListParagraph"/>
              <w:numPr>
                <w:ilvl w:val="0"/>
                <w:numId w:val="37"/>
              </w:numPr>
              <w:rPr>
                <w:rFonts w:cs="Arial"/>
              </w:rPr>
            </w:pPr>
            <w:r w:rsidRPr="00DC453A">
              <w:rPr>
                <w:rFonts w:cs="Arial"/>
              </w:rPr>
              <w:t>embrac</w:t>
            </w:r>
            <w:r w:rsidR="003A7C41">
              <w:rPr>
                <w:rFonts w:cs="Arial"/>
              </w:rPr>
              <w:t>ing</w:t>
            </w:r>
            <w:r w:rsidRPr="00DC453A">
              <w:rPr>
                <w:rFonts w:cs="Arial"/>
              </w:rPr>
              <w:t xml:space="preserve"> diversity</w:t>
            </w:r>
            <w:r>
              <w:rPr>
                <w:rFonts w:cs="Arial"/>
              </w:rPr>
              <w:t>;</w:t>
            </w:r>
            <w:r w:rsidRPr="00DC453A">
              <w:rPr>
                <w:rFonts w:cs="Arial"/>
              </w:rPr>
              <w:t xml:space="preserve"> and</w:t>
            </w:r>
          </w:p>
          <w:p w:rsidRPr="00C405CC" w:rsidR="009B74B2" w:rsidRDefault="009B74B2" w14:paraId="12C68333" w14:textId="56A57010">
            <w:pPr>
              <w:pStyle w:val="ListParagraph"/>
              <w:numPr>
                <w:ilvl w:val="0"/>
                <w:numId w:val="37"/>
              </w:numPr>
              <w:rPr>
                <w:rFonts w:cs="Arial"/>
              </w:rPr>
            </w:pPr>
            <w:r w:rsidRPr="00DC453A">
              <w:rPr>
                <w:rFonts w:cs="Arial"/>
              </w:rPr>
              <w:t>prioritis</w:t>
            </w:r>
            <w:r w:rsidR="003A7C41">
              <w:rPr>
                <w:rFonts w:cs="Arial"/>
              </w:rPr>
              <w:t>ing</w:t>
            </w:r>
            <w:r w:rsidRPr="00DC453A">
              <w:rPr>
                <w:rFonts w:cs="Arial"/>
              </w:rPr>
              <w:t xml:space="preserve"> the safety, health and wellbeing </w:t>
            </w:r>
            <w:r w:rsidRPr="00DC453A">
              <w:rPr>
                <w:rFonts w:cs="Arial"/>
                <w:color w:val="FF0000"/>
              </w:rPr>
              <w:t>of individuals</w:t>
            </w:r>
            <w:r w:rsidRPr="00DC453A">
              <w:rPr>
                <w:rFonts w:cs="Arial"/>
              </w:rPr>
              <w:t>.</w:t>
            </w:r>
            <w:r w:rsidRPr="00DC453A">
              <w:rPr>
                <w:rFonts w:cs="Arial"/>
                <w:szCs w:val="22"/>
              </w:rPr>
              <w:t> </w:t>
            </w:r>
          </w:p>
        </w:tc>
      </w:tr>
      <w:tr w:rsidRPr="008969ED" w:rsidR="009B74B2" w14:paraId="71669E0D" w14:textId="77777777">
        <w:tc>
          <w:tcPr>
            <w:tcW w:w="3402" w:type="dxa"/>
            <w:shd w:val="clear" w:color="auto" w:fill="auto"/>
          </w:tcPr>
          <w:p w:rsidRPr="000731D1" w:rsidR="009B74B2" w:rsidRDefault="009B74B2" w14:paraId="00D8423F" w14:textId="77777777">
            <w:pPr>
              <w:rPr>
                <w:rFonts w:cs="Arial"/>
                <w:b/>
              </w:rPr>
            </w:pPr>
            <w:r w:rsidRPr="000731D1">
              <w:rPr>
                <w:rFonts w:cs="Arial"/>
                <w:b/>
              </w:rPr>
              <w:t>Outcome 2.6 Feedback and complaints management  </w:t>
            </w:r>
          </w:p>
          <w:p w:rsidRPr="000731D1" w:rsidR="009B74B2" w:rsidRDefault="009B74B2" w14:paraId="0372123A" w14:textId="77777777">
            <w:pPr>
              <w:rPr>
                <w:rFonts w:cs="Arial"/>
              </w:rPr>
            </w:pPr>
            <w:r w:rsidRPr="000731D1">
              <w:rPr>
                <w:rFonts w:cs="Arial"/>
              </w:rPr>
              <w:t>Older people, workers and others are encouraged and supported to provide feedback and make complaints about care and services, without reprisal.  </w:t>
            </w:r>
          </w:p>
          <w:p w:rsidRPr="000731D1" w:rsidR="009B74B2" w:rsidRDefault="009B74B2" w14:paraId="4A31FC69" w14:textId="77777777">
            <w:pPr>
              <w:rPr>
                <w:rFonts w:cs="Arial"/>
                <w:b/>
              </w:rPr>
            </w:pPr>
            <w:r w:rsidRPr="000731D1">
              <w:rPr>
                <w:rFonts w:cs="Arial"/>
              </w:rPr>
              <w:t>Feedback and complaints are acknowledged, managed transparently and contribute to the continuous improvement of care and services.</w:t>
            </w:r>
          </w:p>
        </w:tc>
        <w:tc>
          <w:tcPr>
            <w:tcW w:w="4820" w:type="dxa"/>
            <w:shd w:val="clear" w:color="auto" w:fill="auto"/>
          </w:tcPr>
          <w:p w:rsidRPr="000731D1" w:rsidR="009B74B2" w:rsidRDefault="009B74B2" w14:paraId="7AAD1619" w14:textId="23C8F426">
            <w:pPr>
              <w:pStyle w:val="ListParagraph"/>
              <w:ind w:left="0"/>
              <w:rPr>
                <w:rFonts w:cs="Arial"/>
                <w:szCs w:val="22"/>
              </w:rPr>
            </w:pPr>
            <w:r w:rsidRPr="000731D1">
              <w:rPr>
                <w:rFonts w:cs="Arial"/>
                <w:b/>
                <w:szCs w:val="22"/>
              </w:rPr>
              <w:t>Outcome 2.6a Complaints and feedback management </w:t>
            </w:r>
            <w:r w:rsidR="00E403D5">
              <w:rPr>
                <w:rFonts w:cs="Arial"/>
                <w:b/>
                <w:szCs w:val="22"/>
              </w:rPr>
              <w:t>-</w:t>
            </w:r>
            <w:r w:rsidRPr="000731D1">
              <w:rPr>
                <w:rFonts w:cs="Arial"/>
                <w:b/>
                <w:color w:val="FF0000"/>
                <w:szCs w:val="22"/>
              </w:rPr>
              <w:t xml:space="preserve"> workers</w:t>
            </w:r>
            <w:r w:rsidRPr="000731D1">
              <w:rPr>
                <w:rFonts w:cs="Arial"/>
                <w:color w:val="FF0000"/>
                <w:szCs w:val="22"/>
              </w:rPr>
              <w:t> </w:t>
            </w:r>
          </w:p>
          <w:p w:rsidRPr="000731D1" w:rsidR="009B74B2" w:rsidRDefault="00E403D5" w14:paraId="5D35C8BF" w14:textId="24DC2E1B">
            <w:pPr>
              <w:rPr>
                <w:rFonts w:cs="Arial"/>
              </w:rPr>
            </w:pPr>
            <w:r w:rsidRPr="00CC06FC">
              <w:rPr>
                <w:rFonts w:cs="Arial"/>
                <w:color w:val="auto"/>
              </w:rPr>
              <w:t xml:space="preserve">The provider must encourage and support </w:t>
            </w:r>
            <w:r w:rsidR="009E0D4A">
              <w:rPr>
                <w:rFonts w:cs="Arial"/>
                <w:color w:val="FF0000"/>
              </w:rPr>
              <w:t>a</w:t>
            </w:r>
            <w:r w:rsidRPr="000731D1" w:rsidR="009B74B2">
              <w:rPr>
                <w:rFonts w:cs="Arial"/>
                <w:color w:val="FF0000"/>
              </w:rPr>
              <w:t>ged care workers</w:t>
            </w:r>
            <w:r w:rsidRPr="000731D1" w:rsidR="009B74B2">
              <w:rPr>
                <w:rFonts w:cs="Arial"/>
              </w:rPr>
              <w:t xml:space="preserve"> to make complaints and give feedback about the provider’s delivery of funded aged care services without reprisal. </w:t>
            </w:r>
          </w:p>
          <w:p w:rsidRPr="000731D1" w:rsidR="009B74B2" w:rsidRDefault="00C54790" w14:paraId="73633767" w14:textId="5F167906">
            <w:pPr>
              <w:rPr>
                <w:rFonts w:cs="Arial"/>
              </w:rPr>
            </w:pPr>
            <w:r>
              <w:rPr>
                <w:rFonts w:cs="Arial"/>
              </w:rPr>
              <w:t>The provider must acknowledge</w:t>
            </w:r>
            <w:r w:rsidRPr="000731D1" w:rsidR="009B74B2">
              <w:rPr>
                <w:rFonts w:cs="Arial"/>
              </w:rPr>
              <w:t xml:space="preserve"> and </w:t>
            </w:r>
            <w:r w:rsidR="00085F69">
              <w:rPr>
                <w:rFonts w:cs="Arial"/>
              </w:rPr>
              <w:t xml:space="preserve">transparently manage </w:t>
            </w:r>
            <w:r w:rsidR="00F7423F">
              <w:rPr>
                <w:rFonts w:cs="Arial"/>
              </w:rPr>
              <w:t xml:space="preserve">all </w:t>
            </w:r>
            <w:r w:rsidRPr="000731D1" w:rsidR="009B74B2">
              <w:rPr>
                <w:rFonts w:cs="Arial"/>
              </w:rPr>
              <w:t xml:space="preserve">complaints </w:t>
            </w:r>
            <w:r w:rsidR="00085F69">
              <w:rPr>
                <w:rFonts w:cs="Arial"/>
              </w:rPr>
              <w:t>and f</w:t>
            </w:r>
            <w:r w:rsidRPr="000731D1" w:rsidR="009B74B2">
              <w:rPr>
                <w:rFonts w:cs="Arial"/>
              </w:rPr>
              <w:t xml:space="preserve">eedback and </w:t>
            </w:r>
            <w:r w:rsidR="00D36097">
              <w:rPr>
                <w:rFonts w:cs="Arial"/>
              </w:rPr>
              <w:t xml:space="preserve">uses </w:t>
            </w:r>
            <w:r w:rsidRPr="000731D1" w:rsidR="009B74B2">
              <w:rPr>
                <w:rFonts w:cs="Arial"/>
              </w:rPr>
              <w:t xml:space="preserve">complaints </w:t>
            </w:r>
            <w:r w:rsidR="00D36097">
              <w:rPr>
                <w:rFonts w:cs="Arial"/>
              </w:rPr>
              <w:t>and feedback to</w:t>
            </w:r>
            <w:r w:rsidRPr="000731D1" w:rsidR="009B74B2">
              <w:rPr>
                <w:rFonts w:cs="Arial"/>
              </w:rPr>
              <w:t xml:space="preserve"> contribute to the continuous improvement of </w:t>
            </w:r>
            <w:r w:rsidR="00D22E3B">
              <w:rPr>
                <w:rFonts w:cs="Arial"/>
              </w:rPr>
              <w:t xml:space="preserve">funded aged </w:t>
            </w:r>
            <w:r w:rsidRPr="000731D1" w:rsidR="009B74B2">
              <w:rPr>
                <w:rFonts w:cs="Arial"/>
              </w:rPr>
              <w:t>care services. </w:t>
            </w:r>
          </w:p>
          <w:p w:rsidRPr="000731D1" w:rsidR="009B74B2" w:rsidRDefault="009B74B2" w14:paraId="40515976" w14:textId="7C2DBDDB">
            <w:pPr>
              <w:rPr>
                <w:rFonts w:cs="Arial"/>
                <w:szCs w:val="22"/>
              </w:rPr>
            </w:pPr>
            <w:r w:rsidRPr="000731D1">
              <w:rPr>
                <w:rFonts w:cs="Arial"/>
                <w:b/>
                <w:szCs w:val="22"/>
              </w:rPr>
              <w:t>Outcome 2.6b Complaints and feedback management </w:t>
            </w:r>
            <w:r w:rsidR="00D22E3B">
              <w:rPr>
                <w:rFonts w:cs="Arial"/>
                <w:b/>
                <w:szCs w:val="22"/>
              </w:rPr>
              <w:t>-</w:t>
            </w:r>
            <w:r w:rsidRPr="000731D1">
              <w:rPr>
                <w:rFonts w:cs="Arial"/>
                <w:b/>
                <w:color w:val="FF0000"/>
                <w:szCs w:val="22"/>
              </w:rPr>
              <w:t xml:space="preserve"> individuals</w:t>
            </w:r>
            <w:r w:rsidRPr="000731D1">
              <w:rPr>
                <w:rFonts w:cs="Arial"/>
                <w:szCs w:val="22"/>
              </w:rPr>
              <w:t> </w:t>
            </w:r>
          </w:p>
          <w:p w:rsidRPr="000731D1" w:rsidR="009B74B2" w:rsidRDefault="00D22E3B" w14:paraId="0BE1E534" w14:textId="4EF70712">
            <w:pPr>
              <w:rPr>
                <w:rFonts w:cs="Arial"/>
                <w:szCs w:val="22"/>
              </w:rPr>
            </w:pPr>
            <w:r w:rsidRPr="00CC06FC">
              <w:rPr>
                <w:rFonts w:cs="Arial"/>
                <w:color w:val="auto"/>
                <w:szCs w:val="22"/>
              </w:rPr>
              <w:t>The provider must encourage</w:t>
            </w:r>
            <w:r w:rsidRPr="00CC06FC" w:rsidR="00AE6598">
              <w:rPr>
                <w:rFonts w:cs="Arial"/>
                <w:color w:val="auto"/>
                <w:szCs w:val="22"/>
              </w:rPr>
              <w:t xml:space="preserve"> and support</w:t>
            </w:r>
            <w:r w:rsidR="00AE6598">
              <w:rPr>
                <w:rFonts w:cs="Arial"/>
                <w:color w:val="FF0000"/>
                <w:szCs w:val="22"/>
              </w:rPr>
              <w:t xml:space="preserve"> i</w:t>
            </w:r>
            <w:r w:rsidRPr="000731D1" w:rsidR="009B74B2">
              <w:rPr>
                <w:rFonts w:cs="Arial"/>
                <w:color w:val="FF0000"/>
                <w:szCs w:val="22"/>
              </w:rPr>
              <w:t>ndividuals and others</w:t>
            </w:r>
            <w:r w:rsidRPr="000731D1" w:rsidR="009B74B2">
              <w:rPr>
                <w:rFonts w:cs="Arial"/>
                <w:szCs w:val="22"/>
              </w:rPr>
              <w:t xml:space="preserve"> </w:t>
            </w:r>
            <w:r w:rsidR="00AE6598">
              <w:rPr>
                <w:rFonts w:cs="Arial"/>
                <w:szCs w:val="22"/>
              </w:rPr>
              <w:t>to make</w:t>
            </w:r>
            <w:r w:rsidR="0062275F">
              <w:rPr>
                <w:rFonts w:cs="Arial"/>
                <w:szCs w:val="22"/>
              </w:rPr>
              <w:t xml:space="preserve"> complaints</w:t>
            </w:r>
            <w:r w:rsidR="0077347D">
              <w:rPr>
                <w:rFonts w:cs="Arial"/>
                <w:szCs w:val="22"/>
              </w:rPr>
              <w:t xml:space="preserve"> and give</w:t>
            </w:r>
            <w:r w:rsidRPr="000731D1" w:rsidR="009B74B2">
              <w:rPr>
                <w:rFonts w:cs="Arial"/>
                <w:szCs w:val="22"/>
              </w:rPr>
              <w:t xml:space="preserve"> feedback about </w:t>
            </w:r>
            <w:r w:rsidR="005442F9">
              <w:rPr>
                <w:rFonts w:cs="Arial"/>
                <w:szCs w:val="22"/>
              </w:rPr>
              <w:t>the provider’s delivery of funded aged</w:t>
            </w:r>
            <w:r w:rsidRPr="000731D1" w:rsidR="009B74B2">
              <w:rPr>
                <w:rFonts w:cs="Arial"/>
                <w:szCs w:val="22"/>
              </w:rPr>
              <w:t xml:space="preserve"> care services without reprisal.  </w:t>
            </w:r>
          </w:p>
          <w:p w:rsidRPr="000731D1" w:rsidR="009B74B2" w:rsidRDefault="00F7423F" w14:paraId="7422AD7E" w14:textId="16ABC2AE">
            <w:pPr>
              <w:rPr>
                <w:rFonts w:cs="Arial"/>
              </w:rPr>
            </w:pPr>
            <w:r>
              <w:rPr>
                <w:rFonts w:cs="Arial"/>
                <w:szCs w:val="22"/>
              </w:rPr>
              <w:t>The provider must acknowledge and transparently manage all c</w:t>
            </w:r>
            <w:r w:rsidRPr="000731D1" w:rsidR="009B74B2">
              <w:rPr>
                <w:rFonts w:cs="Arial"/>
                <w:szCs w:val="22"/>
              </w:rPr>
              <w:t xml:space="preserve">omplaints </w:t>
            </w:r>
            <w:r>
              <w:rPr>
                <w:rFonts w:cs="Arial"/>
                <w:szCs w:val="22"/>
              </w:rPr>
              <w:t>and feedback</w:t>
            </w:r>
            <w:r w:rsidR="001034C1">
              <w:rPr>
                <w:rFonts w:cs="Arial"/>
                <w:szCs w:val="22"/>
              </w:rPr>
              <w:t xml:space="preserve"> and uses complaints and feedback</w:t>
            </w:r>
            <w:r w:rsidR="00094C19">
              <w:rPr>
                <w:rFonts w:cs="Arial"/>
                <w:szCs w:val="22"/>
              </w:rPr>
              <w:t xml:space="preserve"> to</w:t>
            </w:r>
            <w:r w:rsidRPr="000731D1" w:rsidR="009B74B2">
              <w:rPr>
                <w:rFonts w:cs="Arial"/>
                <w:szCs w:val="22"/>
              </w:rPr>
              <w:t xml:space="preserve"> contribute to the continuous improvement of </w:t>
            </w:r>
            <w:r w:rsidR="00094C19">
              <w:rPr>
                <w:rFonts w:cs="Arial"/>
                <w:szCs w:val="22"/>
              </w:rPr>
              <w:t xml:space="preserve">funded aged </w:t>
            </w:r>
            <w:r w:rsidRPr="000731D1" w:rsidR="009B74B2">
              <w:rPr>
                <w:rFonts w:cs="Arial"/>
                <w:szCs w:val="22"/>
              </w:rPr>
              <w:t>care services.</w:t>
            </w:r>
          </w:p>
        </w:tc>
      </w:tr>
    </w:tbl>
    <w:p w:rsidRPr="002B113E" w:rsidR="009B74B2" w:rsidP="009B74B2" w:rsidRDefault="009B74B2" w14:paraId="17C504B3" w14:textId="77777777">
      <w:pPr>
        <w:rPr>
          <w:rFonts w:cs="Arial"/>
        </w:rPr>
      </w:pPr>
    </w:p>
    <w:p w:rsidRPr="003651F2" w:rsidR="542EA485" w:rsidP="003651F2" w:rsidRDefault="542EA485" w14:paraId="42D3694B" w14:textId="38EFE399">
      <w:pPr>
        <w:spacing w:before="0" w:after="0"/>
        <w:rPr>
          <w:rFonts w:eastAsia="Aptos" w:cs="Arial"/>
          <w:szCs w:val="22"/>
        </w:rPr>
      </w:pPr>
      <w:r w:rsidRPr="003651F2">
        <w:rPr>
          <w:rFonts w:eastAsia="Aptos" w:cs="Arial"/>
          <w:szCs w:val="22"/>
        </w:rPr>
        <w:t xml:space="preserve">The strengthened Quality Standards Rules also include the following provisions related to the Aged Care Act 2024: </w:t>
      </w:r>
    </w:p>
    <w:p w:rsidR="00BC172B" w:rsidP="00CC06FC" w:rsidRDefault="00BC172B" w14:paraId="2F9FBC8A" w14:textId="77777777">
      <w:pPr>
        <w:pStyle w:val="ListNumber2"/>
        <w:rPr>
          <w:rFonts w:ascii="Aptos" w:hAnsi="Aptos"/>
          <w:color w:val="auto"/>
        </w:rPr>
      </w:pPr>
      <w:r>
        <w:t xml:space="preserve">Clarify the application of provider </w:t>
      </w:r>
      <w:r>
        <w:rPr>
          <w:b/>
          <w:bCs/>
        </w:rPr>
        <w:t>registration categories</w:t>
      </w:r>
      <w:r>
        <w:t xml:space="preserve"> to the strengthened Quality Standards under the Aged Care Act 2024</w:t>
      </w:r>
    </w:p>
    <w:p w:rsidR="009B74B2" w:rsidP="00CC06FC" w:rsidRDefault="00BC172B" w14:paraId="31B362D2" w14:textId="7FAC13D8">
      <w:pPr>
        <w:pStyle w:val="ListNumber2"/>
        <w:rPr>
          <w:rFonts w:eastAsia="Arial"/>
        </w:rPr>
      </w:pPr>
      <w:r>
        <w:t xml:space="preserve">Identify the need to include a requirement to </w:t>
      </w:r>
      <w:r>
        <w:rPr>
          <w:b/>
          <w:bCs/>
        </w:rPr>
        <w:t>periodically review</w:t>
      </w:r>
      <w:r>
        <w:t xml:space="preserve"> of the strengthened Quality Standards </w:t>
      </w:r>
      <w:r w:rsidRPr="003A6149">
        <w:rPr>
          <w:b/>
          <w:bCs/>
        </w:rPr>
        <w:t>every 5 years</w:t>
      </w:r>
      <w:r>
        <w:t xml:space="preserve"> from their implementation, as recommended by the Royal Commission (Recommendation 20).</w:t>
      </w:r>
    </w:p>
    <w:sectPr w:rsidR="009B74B2" w:rsidSect="00B53987">
      <w:headerReference w:type="even" r:id="rId29"/>
      <w:headerReference w:type="default" r:id="rId30"/>
      <w:footerReference w:type="default" r:id="rId31"/>
      <w:headerReference w:type="first" r:id="rId32"/>
      <w:footerReference w:type="first" r:id="rId33"/>
      <w:type w:val="continuous"/>
      <w:pgSz w:w="11906" w:h="16838" w:orient="portrait"/>
      <w:pgMar w:top="1701" w:right="1418" w:bottom="1418" w:left="1418"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0FBC" w:rsidP="006B56BB" w:rsidRDefault="00330FBC" w14:paraId="57BDCE53" w14:textId="77777777">
      <w:r>
        <w:separator/>
      </w:r>
    </w:p>
    <w:p w:rsidR="00330FBC" w:rsidRDefault="00330FBC" w14:paraId="27A11953" w14:textId="77777777"/>
  </w:endnote>
  <w:endnote w:type="continuationSeparator" w:id="0">
    <w:p w:rsidR="00330FBC" w:rsidP="006B56BB" w:rsidRDefault="00330FBC" w14:paraId="65FC6108" w14:textId="77777777">
      <w:r>
        <w:continuationSeparator/>
      </w:r>
    </w:p>
    <w:p w:rsidR="00330FBC" w:rsidRDefault="00330FBC" w14:paraId="1E236984" w14:textId="77777777"/>
  </w:endnote>
  <w:endnote w:type="continuationNotice" w:id="1">
    <w:p w:rsidR="00330FBC" w:rsidRDefault="00330FBC" w14:paraId="721BD8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982" w:rsidRDefault="00FD5982" w14:paraId="7644FB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982" w:rsidRDefault="00FD5982" w14:paraId="4C1467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982" w:rsidRDefault="00FD5982" w14:paraId="6C930C4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3987" w:rsidP="00B53987" w:rsidRDefault="004C1BCD" w14:paraId="26178B17" w14:textId="3CE914D4">
    <w:pPr>
      <w:pStyle w:val="Footer"/>
    </w:pPr>
    <w:r>
      <w:t xml:space="preserve">Department of Health and Aged Care </w:t>
    </w:r>
    <w:r w:rsidR="00B53987">
      <w:t xml:space="preserve">– </w:t>
    </w:r>
    <w:r w:rsidR="00020F8A">
      <w:t xml:space="preserve">Aged Care Rules Release 3 Supporting </w:t>
    </w:r>
    <w:r w:rsidR="00B77CB2">
      <w:t>Information</w:t>
    </w:r>
    <w:sdt>
      <w:sdtPr>
        <w:id w:val="-183903453"/>
        <w:docPartObj>
          <w:docPartGallery w:val="Page Numbers (Bottom of Page)"/>
          <w:docPartUnique/>
        </w:docPartObj>
      </w:sdtPr>
      <w:sdtEndPr/>
      <w:sdtContent>
        <w:r w:rsidR="00B53987">
          <w:tab/>
        </w:r>
        <w:r w:rsidRPr="003D033A" w:rsidR="00B53987">
          <w:fldChar w:fldCharType="begin"/>
        </w:r>
        <w:r w:rsidRPr="003D033A" w:rsidR="00B53987">
          <w:instrText xml:space="preserve"> PAGE   \* MERGEFORMAT </w:instrText>
        </w:r>
        <w:r w:rsidRPr="003D033A" w:rsidR="00B53987">
          <w:fldChar w:fldCharType="separate"/>
        </w:r>
        <w:r w:rsidR="00B53987">
          <w:t>1</w:t>
        </w:r>
        <w:r w:rsidRPr="003D033A" w:rsidR="00B53987">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3987" w:rsidP="00B53987" w:rsidRDefault="00B77CB2" w14:paraId="3465BE43" w14:textId="79187C03">
    <w:pPr>
      <w:pStyle w:val="Footer"/>
    </w:pPr>
    <w:r>
      <w:t xml:space="preserve">Department of Health and Aged Care – Aged Care Rules Release 3 Supporting Information </w:t>
    </w:r>
    <w:sdt>
      <w:sdtPr>
        <w:id w:val="-178737789"/>
        <w:docPartObj>
          <w:docPartGallery w:val="Page Numbers (Bottom of Page)"/>
          <w:docPartUnique/>
        </w:docPartObj>
      </w:sdtPr>
      <w:sdtEndPr/>
      <w:sdtContent>
        <w:r w:rsidR="00B53987">
          <w:tab/>
        </w:r>
        <w:r w:rsidRPr="003D033A" w:rsidR="00B53987">
          <w:fldChar w:fldCharType="begin"/>
        </w:r>
        <w:r w:rsidRPr="003D033A" w:rsidR="00B53987">
          <w:instrText xml:space="preserve"> PAGE   \* MERGEFORMAT </w:instrText>
        </w:r>
        <w:r w:rsidRPr="003D033A" w:rsidR="00B53987">
          <w:fldChar w:fldCharType="separate"/>
        </w:r>
        <w:r w:rsidR="00B53987">
          <w:t>2</w:t>
        </w:r>
        <w:r w:rsidRPr="003D033A" w:rsidR="00B5398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0FBC" w:rsidP="006B56BB" w:rsidRDefault="00330FBC" w14:paraId="58B0E604" w14:textId="77777777">
      <w:r>
        <w:separator/>
      </w:r>
    </w:p>
    <w:p w:rsidR="00330FBC" w:rsidRDefault="00330FBC" w14:paraId="157501AB" w14:textId="77777777"/>
  </w:footnote>
  <w:footnote w:type="continuationSeparator" w:id="0">
    <w:p w:rsidR="00330FBC" w:rsidP="006B56BB" w:rsidRDefault="00330FBC" w14:paraId="25FC0137" w14:textId="77777777">
      <w:r>
        <w:continuationSeparator/>
      </w:r>
    </w:p>
    <w:p w:rsidR="00330FBC" w:rsidRDefault="00330FBC" w14:paraId="4FC76B14" w14:textId="77777777"/>
  </w:footnote>
  <w:footnote w:type="continuationNotice" w:id="1">
    <w:p w:rsidR="00330FBC" w:rsidRDefault="00330FBC" w14:paraId="7D9A89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982" w:rsidRDefault="00FD5982" w14:paraId="3F3DD9B5" w14:textId="6C18F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982" w:rsidRDefault="00FD5982" w14:paraId="1C3BB33C" w14:textId="15D73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B7EAA" w:rsidRDefault="003B7EAA" w14:paraId="71206BB0" w14:textId="74689B41">
    <w:pPr>
      <w:pStyle w:val="Header"/>
    </w:pPr>
    <w:r>
      <w:rPr>
        <w:noProof/>
        <w:lang w:eastAsia="en-AU"/>
      </w:rPr>
      <w:drawing>
        <wp:anchor distT="0" distB="0" distL="114300" distR="114300" simplePos="0" relativeHeight="251658240" behindDoc="1" locked="0" layoutInCell="1" allowOverlap="1" wp14:anchorId="4FC8D947" wp14:editId="674455A1">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5982" w:rsidRDefault="00FD5982" w14:paraId="53973CDE" w14:textId="33C6BF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BDD" w:rsidP="008E0C77" w:rsidRDefault="00CF0BDD" w14:paraId="0B813649" w14:textId="77777777">
    <w:pPr>
      <w:pStyle w:val="Headertext"/>
      <w:spacing w:after="180"/>
      <w:jc w:val="left"/>
      <w:rPr>
        <w:noProof/>
      </w:rPr>
    </w:pPr>
  </w:p>
  <w:p w:rsidR="008E0C77" w:rsidP="008E0C77" w:rsidRDefault="008E0C77" w14:paraId="6A239976" w14:textId="6AA92B14">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3987" w:rsidRDefault="00B53987" w14:paraId="0C98AE14" w14:textId="7CBB2D53">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63DA133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7"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557077"/>
    <w:multiLevelType w:val="hybridMultilevel"/>
    <w:tmpl w:val="67024F00"/>
    <w:lvl w:ilvl="0" w:tplc="4D4E3466">
      <w:start w:val="1"/>
      <w:numFmt w:val="bullet"/>
      <w:lvlText w:val=""/>
      <w:lvlJc w:val="left"/>
      <w:pPr>
        <w:ind w:left="1440" w:hanging="360"/>
      </w:pPr>
      <w:rPr>
        <w:rFonts w:ascii="Symbol" w:hAnsi="Symbol"/>
      </w:rPr>
    </w:lvl>
    <w:lvl w:ilvl="1" w:tplc="41301D98">
      <w:start w:val="1"/>
      <w:numFmt w:val="bullet"/>
      <w:lvlText w:val=""/>
      <w:lvlJc w:val="left"/>
      <w:pPr>
        <w:ind w:left="2160" w:hanging="360"/>
      </w:pPr>
      <w:rPr>
        <w:rFonts w:ascii="Symbol" w:hAnsi="Symbol"/>
      </w:rPr>
    </w:lvl>
    <w:lvl w:ilvl="2" w:tplc="E1C84C12">
      <w:start w:val="1"/>
      <w:numFmt w:val="bullet"/>
      <w:lvlText w:val=""/>
      <w:lvlJc w:val="left"/>
      <w:pPr>
        <w:ind w:left="1440" w:hanging="360"/>
      </w:pPr>
      <w:rPr>
        <w:rFonts w:ascii="Symbol" w:hAnsi="Symbol"/>
      </w:rPr>
    </w:lvl>
    <w:lvl w:ilvl="3" w:tplc="B1DA7CFE">
      <w:start w:val="1"/>
      <w:numFmt w:val="bullet"/>
      <w:lvlText w:val=""/>
      <w:lvlJc w:val="left"/>
      <w:pPr>
        <w:ind w:left="1440" w:hanging="360"/>
      </w:pPr>
      <w:rPr>
        <w:rFonts w:ascii="Symbol" w:hAnsi="Symbol"/>
      </w:rPr>
    </w:lvl>
    <w:lvl w:ilvl="4" w:tplc="79509468">
      <w:start w:val="1"/>
      <w:numFmt w:val="bullet"/>
      <w:lvlText w:val=""/>
      <w:lvlJc w:val="left"/>
      <w:pPr>
        <w:ind w:left="1440" w:hanging="360"/>
      </w:pPr>
      <w:rPr>
        <w:rFonts w:ascii="Symbol" w:hAnsi="Symbol"/>
      </w:rPr>
    </w:lvl>
    <w:lvl w:ilvl="5" w:tplc="081C7FB2">
      <w:start w:val="1"/>
      <w:numFmt w:val="bullet"/>
      <w:lvlText w:val=""/>
      <w:lvlJc w:val="left"/>
      <w:pPr>
        <w:ind w:left="1440" w:hanging="360"/>
      </w:pPr>
      <w:rPr>
        <w:rFonts w:ascii="Symbol" w:hAnsi="Symbol"/>
      </w:rPr>
    </w:lvl>
    <w:lvl w:ilvl="6" w:tplc="3BC8D5D8">
      <w:start w:val="1"/>
      <w:numFmt w:val="bullet"/>
      <w:lvlText w:val=""/>
      <w:lvlJc w:val="left"/>
      <w:pPr>
        <w:ind w:left="1440" w:hanging="360"/>
      </w:pPr>
      <w:rPr>
        <w:rFonts w:ascii="Symbol" w:hAnsi="Symbol"/>
      </w:rPr>
    </w:lvl>
    <w:lvl w:ilvl="7" w:tplc="479EE5DE">
      <w:start w:val="1"/>
      <w:numFmt w:val="bullet"/>
      <w:lvlText w:val=""/>
      <w:lvlJc w:val="left"/>
      <w:pPr>
        <w:ind w:left="1440" w:hanging="360"/>
      </w:pPr>
      <w:rPr>
        <w:rFonts w:ascii="Symbol" w:hAnsi="Symbol"/>
      </w:rPr>
    </w:lvl>
    <w:lvl w:ilvl="8" w:tplc="F5C2AEC6">
      <w:start w:val="1"/>
      <w:numFmt w:val="bullet"/>
      <w:lvlText w:val=""/>
      <w:lvlJc w:val="left"/>
      <w:pPr>
        <w:ind w:left="1440" w:hanging="360"/>
      </w:pPr>
      <w:rPr>
        <w:rFonts w:ascii="Symbol" w:hAnsi="Symbol"/>
      </w:rPr>
    </w:lvl>
  </w:abstractNum>
  <w:abstractNum w:abstractNumId="11" w15:restartNumberingAfterBreak="0">
    <w:nsid w:val="04A4D1FD"/>
    <w:multiLevelType w:val="hybridMultilevel"/>
    <w:tmpl w:val="FFFFFFFF"/>
    <w:lvl w:ilvl="0" w:tplc="679A02EA">
      <w:start w:val="1"/>
      <w:numFmt w:val="bullet"/>
      <w:lvlText w:val=""/>
      <w:lvlJc w:val="left"/>
      <w:pPr>
        <w:ind w:left="720" w:hanging="360"/>
      </w:pPr>
      <w:rPr>
        <w:rFonts w:hint="default" w:ascii="Symbol" w:hAnsi="Symbol"/>
      </w:rPr>
    </w:lvl>
    <w:lvl w:ilvl="1" w:tplc="4440B984">
      <w:start w:val="1"/>
      <w:numFmt w:val="bullet"/>
      <w:lvlText w:val="o"/>
      <w:lvlJc w:val="left"/>
      <w:pPr>
        <w:ind w:left="1440" w:hanging="360"/>
      </w:pPr>
      <w:rPr>
        <w:rFonts w:hint="default" w:ascii="Courier New" w:hAnsi="Courier New"/>
      </w:rPr>
    </w:lvl>
    <w:lvl w:ilvl="2" w:tplc="77C2E7D4">
      <w:start w:val="1"/>
      <w:numFmt w:val="bullet"/>
      <w:lvlText w:val=""/>
      <w:lvlJc w:val="left"/>
      <w:pPr>
        <w:ind w:left="2160" w:hanging="360"/>
      </w:pPr>
      <w:rPr>
        <w:rFonts w:hint="default" w:ascii="Wingdings" w:hAnsi="Wingdings"/>
      </w:rPr>
    </w:lvl>
    <w:lvl w:ilvl="3" w:tplc="6DB425C4">
      <w:start w:val="1"/>
      <w:numFmt w:val="bullet"/>
      <w:lvlText w:val=""/>
      <w:lvlJc w:val="left"/>
      <w:pPr>
        <w:ind w:left="2880" w:hanging="360"/>
      </w:pPr>
      <w:rPr>
        <w:rFonts w:hint="default" w:ascii="Symbol" w:hAnsi="Symbol"/>
      </w:rPr>
    </w:lvl>
    <w:lvl w:ilvl="4" w:tplc="3592AFB4">
      <w:start w:val="1"/>
      <w:numFmt w:val="bullet"/>
      <w:lvlText w:val="o"/>
      <w:lvlJc w:val="left"/>
      <w:pPr>
        <w:ind w:left="3600" w:hanging="360"/>
      </w:pPr>
      <w:rPr>
        <w:rFonts w:hint="default" w:ascii="Courier New" w:hAnsi="Courier New"/>
      </w:rPr>
    </w:lvl>
    <w:lvl w:ilvl="5" w:tplc="221CE91C">
      <w:start w:val="1"/>
      <w:numFmt w:val="bullet"/>
      <w:lvlText w:val=""/>
      <w:lvlJc w:val="left"/>
      <w:pPr>
        <w:ind w:left="4320" w:hanging="360"/>
      </w:pPr>
      <w:rPr>
        <w:rFonts w:hint="default" w:ascii="Wingdings" w:hAnsi="Wingdings"/>
      </w:rPr>
    </w:lvl>
    <w:lvl w:ilvl="6" w:tplc="9F9A6524">
      <w:start w:val="1"/>
      <w:numFmt w:val="bullet"/>
      <w:lvlText w:val=""/>
      <w:lvlJc w:val="left"/>
      <w:pPr>
        <w:ind w:left="5040" w:hanging="360"/>
      </w:pPr>
      <w:rPr>
        <w:rFonts w:hint="default" w:ascii="Symbol" w:hAnsi="Symbol"/>
      </w:rPr>
    </w:lvl>
    <w:lvl w:ilvl="7" w:tplc="A1A0EFC6">
      <w:start w:val="1"/>
      <w:numFmt w:val="bullet"/>
      <w:lvlText w:val="o"/>
      <w:lvlJc w:val="left"/>
      <w:pPr>
        <w:ind w:left="5760" w:hanging="360"/>
      </w:pPr>
      <w:rPr>
        <w:rFonts w:hint="default" w:ascii="Courier New" w:hAnsi="Courier New"/>
      </w:rPr>
    </w:lvl>
    <w:lvl w:ilvl="8" w:tplc="040EC790">
      <w:start w:val="1"/>
      <w:numFmt w:val="bullet"/>
      <w:lvlText w:val=""/>
      <w:lvlJc w:val="left"/>
      <w:pPr>
        <w:ind w:left="6480" w:hanging="360"/>
      </w:pPr>
      <w:rPr>
        <w:rFonts w:hint="default" w:ascii="Wingdings" w:hAnsi="Wingdings"/>
      </w:rPr>
    </w:lvl>
  </w:abstractNum>
  <w:abstractNum w:abstractNumId="12" w15:restartNumberingAfterBreak="0">
    <w:nsid w:val="060B75FD"/>
    <w:multiLevelType w:val="hybridMultilevel"/>
    <w:tmpl w:val="9CCEFB3A"/>
    <w:lvl w:ilvl="0" w:tplc="B6B4AC3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8093E82"/>
    <w:multiLevelType w:val="hybridMultilevel"/>
    <w:tmpl w:val="FFFFFFFF"/>
    <w:lvl w:ilvl="0" w:tplc="2084ED8A">
      <w:start w:val="1"/>
      <w:numFmt w:val="bullet"/>
      <w:lvlText w:val=""/>
      <w:lvlJc w:val="left"/>
      <w:pPr>
        <w:ind w:left="720" w:hanging="360"/>
      </w:pPr>
      <w:rPr>
        <w:rFonts w:hint="default" w:ascii="Symbol" w:hAnsi="Symbol"/>
      </w:rPr>
    </w:lvl>
    <w:lvl w:ilvl="1" w:tplc="5FBE61BA">
      <w:start w:val="1"/>
      <w:numFmt w:val="bullet"/>
      <w:lvlText w:val="o"/>
      <w:lvlJc w:val="left"/>
      <w:pPr>
        <w:ind w:left="1440" w:hanging="360"/>
      </w:pPr>
      <w:rPr>
        <w:rFonts w:hint="default" w:ascii="Courier New" w:hAnsi="Courier New"/>
      </w:rPr>
    </w:lvl>
    <w:lvl w:ilvl="2" w:tplc="802222E4">
      <w:start w:val="1"/>
      <w:numFmt w:val="bullet"/>
      <w:lvlText w:val=""/>
      <w:lvlJc w:val="left"/>
      <w:pPr>
        <w:ind w:left="2160" w:hanging="360"/>
      </w:pPr>
      <w:rPr>
        <w:rFonts w:hint="default" w:ascii="Wingdings" w:hAnsi="Wingdings"/>
      </w:rPr>
    </w:lvl>
    <w:lvl w:ilvl="3" w:tplc="F61E8412">
      <w:start w:val="1"/>
      <w:numFmt w:val="bullet"/>
      <w:lvlText w:val=""/>
      <w:lvlJc w:val="left"/>
      <w:pPr>
        <w:ind w:left="2880" w:hanging="360"/>
      </w:pPr>
      <w:rPr>
        <w:rFonts w:hint="default" w:ascii="Symbol" w:hAnsi="Symbol"/>
      </w:rPr>
    </w:lvl>
    <w:lvl w:ilvl="4" w:tplc="40A8CC04">
      <w:start w:val="1"/>
      <w:numFmt w:val="bullet"/>
      <w:lvlText w:val="o"/>
      <w:lvlJc w:val="left"/>
      <w:pPr>
        <w:ind w:left="3600" w:hanging="360"/>
      </w:pPr>
      <w:rPr>
        <w:rFonts w:hint="default" w:ascii="Courier New" w:hAnsi="Courier New"/>
      </w:rPr>
    </w:lvl>
    <w:lvl w:ilvl="5" w:tplc="5EB6C9A2">
      <w:start w:val="1"/>
      <w:numFmt w:val="bullet"/>
      <w:lvlText w:val=""/>
      <w:lvlJc w:val="left"/>
      <w:pPr>
        <w:ind w:left="4320" w:hanging="360"/>
      </w:pPr>
      <w:rPr>
        <w:rFonts w:hint="default" w:ascii="Wingdings" w:hAnsi="Wingdings"/>
      </w:rPr>
    </w:lvl>
    <w:lvl w:ilvl="6" w:tplc="E61416EA">
      <w:start w:val="1"/>
      <w:numFmt w:val="bullet"/>
      <w:lvlText w:val=""/>
      <w:lvlJc w:val="left"/>
      <w:pPr>
        <w:ind w:left="5040" w:hanging="360"/>
      </w:pPr>
      <w:rPr>
        <w:rFonts w:hint="default" w:ascii="Symbol" w:hAnsi="Symbol"/>
      </w:rPr>
    </w:lvl>
    <w:lvl w:ilvl="7" w:tplc="886AEE56">
      <w:start w:val="1"/>
      <w:numFmt w:val="bullet"/>
      <w:lvlText w:val="o"/>
      <w:lvlJc w:val="left"/>
      <w:pPr>
        <w:ind w:left="5760" w:hanging="360"/>
      </w:pPr>
      <w:rPr>
        <w:rFonts w:hint="default" w:ascii="Courier New" w:hAnsi="Courier New"/>
      </w:rPr>
    </w:lvl>
    <w:lvl w:ilvl="8" w:tplc="115C62E6">
      <w:start w:val="1"/>
      <w:numFmt w:val="bullet"/>
      <w:lvlText w:val=""/>
      <w:lvlJc w:val="left"/>
      <w:pPr>
        <w:ind w:left="6480" w:hanging="360"/>
      </w:pPr>
      <w:rPr>
        <w:rFonts w:hint="default" w:ascii="Wingdings" w:hAnsi="Wingdings"/>
      </w:rPr>
    </w:lvl>
  </w:abstractNum>
  <w:abstractNum w:abstractNumId="14"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2253A04"/>
    <w:multiLevelType w:val="hybridMultilevel"/>
    <w:tmpl w:val="D86A0884"/>
    <w:lvl w:ilvl="0" w:tplc="22E054C8">
      <w:start w:val="6"/>
      <w:numFmt w:val="decimal"/>
      <w:lvlText w:val="%1)"/>
      <w:lvlJc w:val="left"/>
      <w:pPr>
        <w:ind w:left="360" w:hanging="360"/>
      </w:pPr>
      <w:rPr>
        <w:rFonts w:hint="default"/>
        <w:color w:val="FF000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3363506"/>
    <w:multiLevelType w:val="hybridMultilevel"/>
    <w:tmpl w:val="9FEA7CEA"/>
    <w:lvl w:ilvl="0" w:tplc="B722292C">
      <w:start w:val="1"/>
      <w:numFmt w:val="bullet"/>
      <w:pStyle w:val="ListBullet"/>
      <w:lvlText w:val=""/>
      <w:lvlJc w:val="left"/>
      <w:pPr>
        <w:ind w:left="36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FCC786A"/>
    <w:multiLevelType w:val="hybridMultilevel"/>
    <w:tmpl w:val="FFFFFFFF"/>
    <w:lvl w:ilvl="0" w:tplc="76E81B9E">
      <w:start w:val="1"/>
      <w:numFmt w:val="bullet"/>
      <w:lvlText w:val=""/>
      <w:lvlJc w:val="left"/>
      <w:pPr>
        <w:ind w:left="720" w:hanging="360"/>
      </w:pPr>
      <w:rPr>
        <w:rFonts w:hint="default" w:ascii="Symbol" w:hAnsi="Symbol"/>
      </w:rPr>
    </w:lvl>
    <w:lvl w:ilvl="1" w:tplc="C6D6A81E">
      <w:start w:val="1"/>
      <w:numFmt w:val="bullet"/>
      <w:lvlText w:val="o"/>
      <w:lvlJc w:val="left"/>
      <w:pPr>
        <w:ind w:left="1440" w:hanging="360"/>
      </w:pPr>
      <w:rPr>
        <w:rFonts w:hint="default" w:ascii="Courier New" w:hAnsi="Courier New"/>
      </w:rPr>
    </w:lvl>
    <w:lvl w:ilvl="2" w:tplc="15549362">
      <w:start w:val="1"/>
      <w:numFmt w:val="bullet"/>
      <w:lvlText w:val=""/>
      <w:lvlJc w:val="left"/>
      <w:pPr>
        <w:ind w:left="2160" w:hanging="360"/>
      </w:pPr>
      <w:rPr>
        <w:rFonts w:hint="default" w:ascii="Wingdings" w:hAnsi="Wingdings"/>
      </w:rPr>
    </w:lvl>
    <w:lvl w:ilvl="3" w:tplc="AF4A6126">
      <w:start w:val="1"/>
      <w:numFmt w:val="bullet"/>
      <w:lvlText w:val=""/>
      <w:lvlJc w:val="left"/>
      <w:pPr>
        <w:ind w:left="2880" w:hanging="360"/>
      </w:pPr>
      <w:rPr>
        <w:rFonts w:hint="default" w:ascii="Symbol" w:hAnsi="Symbol"/>
      </w:rPr>
    </w:lvl>
    <w:lvl w:ilvl="4" w:tplc="5E3CA236">
      <w:start w:val="1"/>
      <w:numFmt w:val="bullet"/>
      <w:lvlText w:val="o"/>
      <w:lvlJc w:val="left"/>
      <w:pPr>
        <w:ind w:left="3600" w:hanging="360"/>
      </w:pPr>
      <w:rPr>
        <w:rFonts w:hint="default" w:ascii="Courier New" w:hAnsi="Courier New"/>
      </w:rPr>
    </w:lvl>
    <w:lvl w:ilvl="5" w:tplc="61D4711C">
      <w:start w:val="1"/>
      <w:numFmt w:val="bullet"/>
      <w:lvlText w:val=""/>
      <w:lvlJc w:val="left"/>
      <w:pPr>
        <w:ind w:left="4320" w:hanging="360"/>
      </w:pPr>
      <w:rPr>
        <w:rFonts w:hint="default" w:ascii="Wingdings" w:hAnsi="Wingdings"/>
      </w:rPr>
    </w:lvl>
    <w:lvl w:ilvl="6" w:tplc="D55CC570">
      <w:start w:val="1"/>
      <w:numFmt w:val="bullet"/>
      <w:lvlText w:val=""/>
      <w:lvlJc w:val="left"/>
      <w:pPr>
        <w:ind w:left="5040" w:hanging="360"/>
      </w:pPr>
      <w:rPr>
        <w:rFonts w:hint="default" w:ascii="Symbol" w:hAnsi="Symbol"/>
      </w:rPr>
    </w:lvl>
    <w:lvl w:ilvl="7" w:tplc="D8C45D10">
      <w:start w:val="1"/>
      <w:numFmt w:val="bullet"/>
      <w:lvlText w:val="o"/>
      <w:lvlJc w:val="left"/>
      <w:pPr>
        <w:ind w:left="5760" w:hanging="360"/>
      </w:pPr>
      <w:rPr>
        <w:rFonts w:hint="default" w:ascii="Courier New" w:hAnsi="Courier New"/>
      </w:rPr>
    </w:lvl>
    <w:lvl w:ilvl="8" w:tplc="986AB1E8">
      <w:start w:val="1"/>
      <w:numFmt w:val="bullet"/>
      <w:lvlText w:val=""/>
      <w:lvlJc w:val="left"/>
      <w:pPr>
        <w:ind w:left="6480" w:hanging="360"/>
      </w:pPr>
      <w:rPr>
        <w:rFonts w:hint="default" w:ascii="Wingdings" w:hAnsi="Wingdings"/>
      </w:rPr>
    </w:lvl>
  </w:abstractNum>
  <w:abstractNum w:abstractNumId="19" w15:restartNumberingAfterBreak="0">
    <w:nsid w:val="203F5509"/>
    <w:multiLevelType w:val="hybridMultilevel"/>
    <w:tmpl w:val="562ADE4A"/>
    <w:lvl w:ilvl="0" w:tplc="0C090011">
      <w:start w:val="1"/>
      <w:numFmt w:val="decimal"/>
      <w:lvlText w:val="%1)"/>
      <w:lvlJc w:val="left"/>
      <w:pPr>
        <w:ind w:left="360" w:hanging="360"/>
      </w:pPr>
    </w:lvl>
    <w:lvl w:ilvl="1" w:tplc="4B5EBDD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1" w15:restartNumberingAfterBreak="0">
    <w:nsid w:val="35D558EC"/>
    <w:multiLevelType w:val="hybridMultilevel"/>
    <w:tmpl w:val="2D2A32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790B41"/>
    <w:multiLevelType w:val="multilevel"/>
    <w:tmpl w:val="FCB2D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4" w15:restartNumberingAfterBreak="0">
    <w:nsid w:val="43D63C9D"/>
    <w:multiLevelType w:val="multilevel"/>
    <w:tmpl w:val="46FE01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5ED9785F"/>
    <w:multiLevelType w:val="hybridMultilevel"/>
    <w:tmpl w:val="FFFFFFFF"/>
    <w:lvl w:ilvl="0" w:tplc="028C1984">
      <w:start w:val="1"/>
      <w:numFmt w:val="bullet"/>
      <w:lvlText w:val=""/>
      <w:lvlJc w:val="left"/>
      <w:pPr>
        <w:ind w:left="720" w:hanging="360"/>
      </w:pPr>
      <w:rPr>
        <w:rFonts w:hint="default" w:ascii="Symbol" w:hAnsi="Symbol"/>
      </w:rPr>
    </w:lvl>
    <w:lvl w:ilvl="1" w:tplc="2098DEB0">
      <w:start w:val="1"/>
      <w:numFmt w:val="bullet"/>
      <w:lvlText w:val="o"/>
      <w:lvlJc w:val="left"/>
      <w:pPr>
        <w:ind w:left="1440" w:hanging="360"/>
      </w:pPr>
      <w:rPr>
        <w:rFonts w:hint="default" w:ascii="Courier New" w:hAnsi="Courier New"/>
      </w:rPr>
    </w:lvl>
    <w:lvl w:ilvl="2" w:tplc="A8626750">
      <w:start w:val="1"/>
      <w:numFmt w:val="bullet"/>
      <w:lvlText w:val=""/>
      <w:lvlJc w:val="left"/>
      <w:pPr>
        <w:ind w:left="2160" w:hanging="360"/>
      </w:pPr>
      <w:rPr>
        <w:rFonts w:hint="default" w:ascii="Wingdings" w:hAnsi="Wingdings"/>
      </w:rPr>
    </w:lvl>
    <w:lvl w:ilvl="3" w:tplc="E7F093CE">
      <w:start w:val="1"/>
      <w:numFmt w:val="bullet"/>
      <w:lvlText w:val=""/>
      <w:lvlJc w:val="left"/>
      <w:pPr>
        <w:ind w:left="2880" w:hanging="360"/>
      </w:pPr>
      <w:rPr>
        <w:rFonts w:hint="default" w:ascii="Symbol" w:hAnsi="Symbol"/>
      </w:rPr>
    </w:lvl>
    <w:lvl w:ilvl="4" w:tplc="E6389A76">
      <w:start w:val="1"/>
      <w:numFmt w:val="bullet"/>
      <w:lvlText w:val="o"/>
      <w:lvlJc w:val="left"/>
      <w:pPr>
        <w:ind w:left="3600" w:hanging="360"/>
      </w:pPr>
      <w:rPr>
        <w:rFonts w:hint="default" w:ascii="Courier New" w:hAnsi="Courier New"/>
      </w:rPr>
    </w:lvl>
    <w:lvl w:ilvl="5" w:tplc="3F2008B8">
      <w:start w:val="1"/>
      <w:numFmt w:val="bullet"/>
      <w:lvlText w:val=""/>
      <w:lvlJc w:val="left"/>
      <w:pPr>
        <w:ind w:left="4320" w:hanging="360"/>
      </w:pPr>
      <w:rPr>
        <w:rFonts w:hint="default" w:ascii="Wingdings" w:hAnsi="Wingdings"/>
      </w:rPr>
    </w:lvl>
    <w:lvl w:ilvl="6" w:tplc="CA886CB8">
      <w:start w:val="1"/>
      <w:numFmt w:val="bullet"/>
      <w:lvlText w:val=""/>
      <w:lvlJc w:val="left"/>
      <w:pPr>
        <w:ind w:left="5040" w:hanging="360"/>
      </w:pPr>
      <w:rPr>
        <w:rFonts w:hint="default" w:ascii="Symbol" w:hAnsi="Symbol"/>
      </w:rPr>
    </w:lvl>
    <w:lvl w:ilvl="7" w:tplc="35C42D80">
      <w:start w:val="1"/>
      <w:numFmt w:val="bullet"/>
      <w:lvlText w:val="o"/>
      <w:lvlJc w:val="left"/>
      <w:pPr>
        <w:ind w:left="5760" w:hanging="360"/>
      </w:pPr>
      <w:rPr>
        <w:rFonts w:hint="default" w:ascii="Courier New" w:hAnsi="Courier New"/>
      </w:rPr>
    </w:lvl>
    <w:lvl w:ilvl="8" w:tplc="03263F50">
      <w:start w:val="1"/>
      <w:numFmt w:val="bullet"/>
      <w:lvlText w:val=""/>
      <w:lvlJc w:val="left"/>
      <w:pPr>
        <w:ind w:left="6480" w:hanging="360"/>
      </w:pPr>
      <w:rPr>
        <w:rFonts w:hint="default" w:ascii="Wingdings" w:hAnsi="Wingdings"/>
      </w:rPr>
    </w:lvl>
  </w:abstractNum>
  <w:abstractNum w:abstractNumId="28" w15:restartNumberingAfterBreak="0">
    <w:nsid w:val="62F80046"/>
    <w:multiLevelType w:val="hybridMultilevel"/>
    <w:tmpl w:val="562ADE4A"/>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4667C53"/>
    <w:multiLevelType w:val="multilevel"/>
    <w:tmpl w:val="D9681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6B619BA"/>
    <w:multiLevelType w:val="hybridMultilevel"/>
    <w:tmpl w:val="DB6C6A9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6EA7E82"/>
    <w:multiLevelType w:val="hybridMultilevel"/>
    <w:tmpl w:val="387C3F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A44C6632"/>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EAC0371"/>
    <w:multiLevelType w:val="multilevel"/>
    <w:tmpl w:val="7FDC8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3210255"/>
    <w:multiLevelType w:val="hybridMultilevel"/>
    <w:tmpl w:val="9CCEFB3A"/>
    <w:lvl w:ilvl="0" w:tplc="FFFFFFFF">
      <w:start w:val="1"/>
      <w:numFmt w:val="lowerLetter"/>
      <w:lvlText w:val="(%1)"/>
      <w:lvlJc w:val="left"/>
      <w:pPr>
        <w:ind w:left="736" w:hanging="360"/>
      </w:pPr>
      <w:rPr>
        <w:rFonts w:hint="default"/>
      </w:rPr>
    </w:lvl>
    <w:lvl w:ilvl="1" w:tplc="FFFFFFFF">
      <w:start w:val="1"/>
      <w:numFmt w:val="lowerLetter"/>
      <w:lvlText w:val="%2."/>
      <w:lvlJc w:val="left"/>
      <w:pPr>
        <w:ind w:left="1456" w:hanging="360"/>
      </w:pPr>
    </w:lvl>
    <w:lvl w:ilvl="2" w:tplc="FFFFFFFF" w:tentative="1">
      <w:start w:val="1"/>
      <w:numFmt w:val="lowerRoman"/>
      <w:lvlText w:val="%3."/>
      <w:lvlJc w:val="right"/>
      <w:pPr>
        <w:ind w:left="2176" w:hanging="180"/>
      </w:pPr>
    </w:lvl>
    <w:lvl w:ilvl="3" w:tplc="FFFFFFFF" w:tentative="1">
      <w:start w:val="1"/>
      <w:numFmt w:val="decimal"/>
      <w:lvlText w:val="%4."/>
      <w:lvlJc w:val="left"/>
      <w:pPr>
        <w:ind w:left="2896" w:hanging="360"/>
      </w:pPr>
    </w:lvl>
    <w:lvl w:ilvl="4" w:tplc="FFFFFFFF" w:tentative="1">
      <w:start w:val="1"/>
      <w:numFmt w:val="lowerLetter"/>
      <w:lvlText w:val="%5."/>
      <w:lvlJc w:val="left"/>
      <w:pPr>
        <w:ind w:left="3616" w:hanging="360"/>
      </w:pPr>
    </w:lvl>
    <w:lvl w:ilvl="5" w:tplc="FFFFFFFF" w:tentative="1">
      <w:start w:val="1"/>
      <w:numFmt w:val="lowerRoman"/>
      <w:lvlText w:val="%6."/>
      <w:lvlJc w:val="right"/>
      <w:pPr>
        <w:ind w:left="4336" w:hanging="180"/>
      </w:pPr>
    </w:lvl>
    <w:lvl w:ilvl="6" w:tplc="FFFFFFFF" w:tentative="1">
      <w:start w:val="1"/>
      <w:numFmt w:val="decimal"/>
      <w:lvlText w:val="%7."/>
      <w:lvlJc w:val="left"/>
      <w:pPr>
        <w:ind w:left="5056" w:hanging="360"/>
      </w:pPr>
    </w:lvl>
    <w:lvl w:ilvl="7" w:tplc="FFFFFFFF" w:tentative="1">
      <w:start w:val="1"/>
      <w:numFmt w:val="lowerLetter"/>
      <w:lvlText w:val="%8."/>
      <w:lvlJc w:val="left"/>
      <w:pPr>
        <w:ind w:left="5776" w:hanging="360"/>
      </w:pPr>
    </w:lvl>
    <w:lvl w:ilvl="8" w:tplc="FFFFFFFF" w:tentative="1">
      <w:start w:val="1"/>
      <w:numFmt w:val="lowerRoman"/>
      <w:lvlText w:val="%9."/>
      <w:lvlJc w:val="right"/>
      <w:pPr>
        <w:ind w:left="6496" w:hanging="180"/>
      </w:p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16cid:durableId="1428187210">
    <w:abstractNumId w:val="8"/>
  </w:num>
  <w:num w:numId="2" w16cid:durableId="2105878216">
    <w:abstractNumId w:val="26"/>
  </w:num>
  <w:num w:numId="3" w16cid:durableId="671226532">
    <w:abstractNumId w:val="33"/>
  </w:num>
  <w:num w:numId="4" w16cid:durableId="1506937884">
    <w:abstractNumId w:val="9"/>
  </w:num>
  <w:num w:numId="5" w16cid:durableId="1265769880">
    <w:abstractNumId w:val="9"/>
    <w:lvlOverride w:ilvl="0">
      <w:startOverride w:val="1"/>
    </w:lvlOverride>
  </w:num>
  <w:num w:numId="6" w16cid:durableId="1288003406">
    <w:abstractNumId w:val="14"/>
  </w:num>
  <w:num w:numId="7" w16cid:durableId="1551646069">
    <w:abstractNumId w:val="23"/>
  </w:num>
  <w:num w:numId="8" w16cid:durableId="407311294">
    <w:abstractNumId w:val="32"/>
  </w:num>
  <w:num w:numId="9" w16cid:durableId="1855923538">
    <w:abstractNumId w:val="6"/>
  </w:num>
  <w:num w:numId="10" w16cid:durableId="788933602">
    <w:abstractNumId w:val="5"/>
  </w:num>
  <w:num w:numId="11" w16cid:durableId="5327513">
    <w:abstractNumId w:val="4"/>
  </w:num>
  <w:num w:numId="12" w16cid:durableId="344138758">
    <w:abstractNumId w:val="3"/>
  </w:num>
  <w:num w:numId="13" w16cid:durableId="1879080393">
    <w:abstractNumId w:val="7"/>
  </w:num>
  <w:num w:numId="14" w16cid:durableId="1399593633">
    <w:abstractNumId w:val="1"/>
  </w:num>
  <w:num w:numId="15" w16cid:durableId="1336497471">
    <w:abstractNumId w:val="0"/>
  </w:num>
  <w:num w:numId="16" w16cid:durableId="1887570050">
    <w:abstractNumId w:val="36"/>
  </w:num>
  <w:num w:numId="17" w16cid:durableId="803278780">
    <w:abstractNumId w:val="16"/>
  </w:num>
  <w:num w:numId="18" w16cid:durableId="364212072">
    <w:abstractNumId w:val="17"/>
  </w:num>
  <w:num w:numId="19" w16cid:durableId="808983311">
    <w:abstractNumId w:val="20"/>
  </w:num>
  <w:num w:numId="20" w16cid:durableId="1108499705">
    <w:abstractNumId w:val="16"/>
  </w:num>
  <w:num w:numId="21" w16cid:durableId="2135168833">
    <w:abstractNumId w:val="20"/>
  </w:num>
  <w:num w:numId="22" w16cid:durableId="1331519124">
    <w:abstractNumId w:val="36"/>
  </w:num>
  <w:num w:numId="23" w16cid:durableId="768160667">
    <w:abstractNumId w:val="26"/>
  </w:num>
  <w:num w:numId="24" w16cid:durableId="501624301">
    <w:abstractNumId w:val="33"/>
  </w:num>
  <w:num w:numId="25" w16cid:durableId="1331903733">
    <w:abstractNumId w:val="9"/>
  </w:num>
  <w:num w:numId="26" w16cid:durableId="350230098">
    <w:abstractNumId w:val="25"/>
  </w:num>
  <w:num w:numId="27" w16cid:durableId="1048652093">
    <w:abstractNumId w:val="2"/>
  </w:num>
  <w:num w:numId="28" w16cid:durableId="1010910067">
    <w:abstractNumId w:val="30"/>
  </w:num>
  <w:num w:numId="29" w16cid:durableId="866212930">
    <w:abstractNumId w:val="19"/>
  </w:num>
  <w:num w:numId="30" w16cid:durableId="772365867">
    <w:abstractNumId w:val="28"/>
  </w:num>
  <w:num w:numId="31" w16cid:durableId="1245871118">
    <w:abstractNumId w:val="12"/>
  </w:num>
  <w:num w:numId="32" w16cid:durableId="1862471357">
    <w:abstractNumId w:val="15"/>
  </w:num>
  <w:num w:numId="33" w16cid:durableId="1842040100">
    <w:abstractNumId w:val="29"/>
  </w:num>
  <w:num w:numId="34" w16cid:durableId="1082217838">
    <w:abstractNumId w:val="22"/>
  </w:num>
  <w:num w:numId="35" w16cid:durableId="1565094977">
    <w:abstractNumId w:val="24"/>
  </w:num>
  <w:num w:numId="36" w16cid:durableId="760221016">
    <w:abstractNumId w:val="35"/>
  </w:num>
  <w:num w:numId="37" w16cid:durableId="685063072">
    <w:abstractNumId w:val="21"/>
  </w:num>
  <w:num w:numId="38" w16cid:durableId="1344895949">
    <w:abstractNumId w:val="27"/>
  </w:num>
  <w:num w:numId="39" w16cid:durableId="785274963">
    <w:abstractNumId w:val="11"/>
  </w:num>
  <w:num w:numId="40" w16cid:durableId="20253790">
    <w:abstractNumId w:val="18"/>
  </w:num>
  <w:num w:numId="41" w16cid:durableId="1522279319">
    <w:abstractNumId w:val="13"/>
  </w:num>
  <w:num w:numId="42" w16cid:durableId="914822648">
    <w:abstractNumId w:val="10"/>
  </w:num>
  <w:num w:numId="43" w16cid:durableId="340164255">
    <w:abstractNumId w:val="31"/>
  </w:num>
  <w:num w:numId="44" w16cid:durableId="191116676">
    <w:abstractNumId w:val="34"/>
  </w:num>
  <w:num w:numId="45" w16cid:durableId="1416709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66F"/>
    <w:rsid w:val="000009A8"/>
    <w:rsid w:val="000009CF"/>
    <w:rsid w:val="0000135F"/>
    <w:rsid w:val="000013DE"/>
    <w:rsid w:val="000023D3"/>
    <w:rsid w:val="00002505"/>
    <w:rsid w:val="00002919"/>
    <w:rsid w:val="00002AA9"/>
    <w:rsid w:val="00002CD5"/>
    <w:rsid w:val="00003743"/>
    <w:rsid w:val="0000388F"/>
    <w:rsid w:val="00003A83"/>
    <w:rsid w:val="00003D47"/>
    <w:rsid w:val="00003F61"/>
    <w:rsid w:val="0000442B"/>
    <w:rsid w:val="000047B4"/>
    <w:rsid w:val="000047F2"/>
    <w:rsid w:val="00004ACD"/>
    <w:rsid w:val="00004AD6"/>
    <w:rsid w:val="00004AF8"/>
    <w:rsid w:val="00004F76"/>
    <w:rsid w:val="00005712"/>
    <w:rsid w:val="00005FD8"/>
    <w:rsid w:val="0000619B"/>
    <w:rsid w:val="000061D9"/>
    <w:rsid w:val="00006333"/>
    <w:rsid w:val="00006372"/>
    <w:rsid w:val="00006449"/>
    <w:rsid w:val="000064C8"/>
    <w:rsid w:val="00006666"/>
    <w:rsid w:val="00006734"/>
    <w:rsid w:val="00006B5D"/>
    <w:rsid w:val="00006F24"/>
    <w:rsid w:val="00007EBC"/>
    <w:rsid w:val="00007FCB"/>
    <w:rsid w:val="00007FD8"/>
    <w:rsid w:val="000117F8"/>
    <w:rsid w:val="0001299C"/>
    <w:rsid w:val="0001460F"/>
    <w:rsid w:val="00014A62"/>
    <w:rsid w:val="0001510E"/>
    <w:rsid w:val="0001684C"/>
    <w:rsid w:val="000176FC"/>
    <w:rsid w:val="00020969"/>
    <w:rsid w:val="00020F8A"/>
    <w:rsid w:val="00020FAA"/>
    <w:rsid w:val="00021960"/>
    <w:rsid w:val="00021F38"/>
    <w:rsid w:val="0002233A"/>
    <w:rsid w:val="00022629"/>
    <w:rsid w:val="000227A7"/>
    <w:rsid w:val="00022A3E"/>
    <w:rsid w:val="00022B7D"/>
    <w:rsid w:val="00022C56"/>
    <w:rsid w:val="00023D61"/>
    <w:rsid w:val="00024350"/>
    <w:rsid w:val="00024443"/>
    <w:rsid w:val="0002505F"/>
    <w:rsid w:val="000254CA"/>
    <w:rsid w:val="00025B7F"/>
    <w:rsid w:val="00026139"/>
    <w:rsid w:val="000267C9"/>
    <w:rsid w:val="00027395"/>
    <w:rsid w:val="00027601"/>
    <w:rsid w:val="00027EF8"/>
    <w:rsid w:val="000302D6"/>
    <w:rsid w:val="00030876"/>
    <w:rsid w:val="000308D8"/>
    <w:rsid w:val="0003092F"/>
    <w:rsid w:val="00030B29"/>
    <w:rsid w:val="000315CF"/>
    <w:rsid w:val="00031B18"/>
    <w:rsid w:val="00032552"/>
    <w:rsid w:val="0003297E"/>
    <w:rsid w:val="00033321"/>
    <w:rsid w:val="000338E5"/>
    <w:rsid w:val="00033ECC"/>
    <w:rsid w:val="0003422F"/>
    <w:rsid w:val="00034470"/>
    <w:rsid w:val="00034A0D"/>
    <w:rsid w:val="000358F0"/>
    <w:rsid w:val="000359B9"/>
    <w:rsid w:val="00035C09"/>
    <w:rsid w:val="000369FE"/>
    <w:rsid w:val="00037254"/>
    <w:rsid w:val="00037639"/>
    <w:rsid w:val="00037804"/>
    <w:rsid w:val="00037B3B"/>
    <w:rsid w:val="000409E5"/>
    <w:rsid w:val="000413BF"/>
    <w:rsid w:val="000415E6"/>
    <w:rsid w:val="00041702"/>
    <w:rsid w:val="000417C3"/>
    <w:rsid w:val="0004262B"/>
    <w:rsid w:val="00042B6C"/>
    <w:rsid w:val="00042B94"/>
    <w:rsid w:val="000438DB"/>
    <w:rsid w:val="00043FAC"/>
    <w:rsid w:val="0004426F"/>
    <w:rsid w:val="000442CE"/>
    <w:rsid w:val="00044847"/>
    <w:rsid w:val="000449A2"/>
    <w:rsid w:val="00044DED"/>
    <w:rsid w:val="00044E17"/>
    <w:rsid w:val="00044E24"/>
    <w:rsid w:val="00045110"/>
    <w:rsid w:val="000453BB"/>
    <w:rsid w:val="000455AB"/>
    <w:rsid w:val="00045A84"/>
    <w:rsid w:val="00045BC1"/>
    <w:rsid w:val="000465BD"/>
    <w:rsid w:val="00046FF0"/>
    <w:rsid w:val="0004750A"/>
    <w:rsid w:val="000477CD"/>
    <w:rsid w:val="00050176"/>
    <w:rsid w:val="00050342"/>
    <w:rsid w:val="00050555"/>
    <w:rsid w:val="0005187E"/>
    <w:rsid w:val="00052164"/>
    <w:rsid w:val="000522F2"/>
    <w:rsid w:val="0005239F"/>
    <w:rsid w:val="00052554"/>
    <w:rsid w:val="000525AD"/>
    <w:rsid w:val="00052DB2"/>
    <w:rsid w:val="00053931"/>
    <w:rsid w:val="000545A8"/>
    <w:rsid w:val="00054C98"/>
    <w:rsid w:val="00056310"/>
    <w:rsid w:val="0005676B"/>
    <w:rsid w:val="00057302"/>
    <w:rsid w:val="0005737C"/>
    <w:rsid w:val="00057475"/>
    <w:rsid w:val="0005757B"/>
    <w:rsid w:val="00057D1B"/>
    <w:rsid w:val="00057EC6"/>
    <w:rsid w:val="00060C95"/>
    <w:rsid w:val="00060E02"/>
    <w:rsid w:val="00062F44"/>
    <w:rsid w:val="0006328C"/>
    <w:rsid w:val="0006334B"/>
    <w:rsid w:val="00063B95"/>
    <w:rsid w:val="00063CAD"/>
    <w:rsid w:val="0006422E"/>
    <w:rsid w:val="00064D9B"/>
    <w:rsid w:val="00065303"/>
    <w:rsid w:val="0006538C"/>
    <w:rsid w:val="000654D9"/>
    <w:rsid w:val="00066161"/>
    <w:rsid w:val="00066396"/>
    <w:rsid w:val="00066D25"/>
    <w:rsid w:val="00066F7C"/>
    <w:rsid w:val="00067456"/>
    <w:rsid w:val="00067AD5"/>
    <w:rsid w:val="00067F93"/>
    <w:rsid w:val="00070388"/>
    <w:rsid w:val="000705BB"/>
    <w:rsid w:val="00070741"/>
    <w:rsid w:val="000709F8"/>
    <w:rsid w:val="00071506"/>
    <w:rsid w:val="0007154F"/>
    <w:rsid w:val="00071EE8"/>
    <w:rsid w:val="000724BF"/>
    <w:rsid w:val="00072BD1"/>
    <w:rsid w:val="000731D1"/>
    <w:rsid w:val="00073989"/>
    <w:rsid w:val="0007446D"/>
    <w:rsid w:val="00075807"/>
    <w:rsid w:val="000766CA"/>
    <w:rsid w:val="000766F3"/>
    <w:rsid w:val="00076748"/>
    <w:rsid w:val="0007687D"/>
    <w:rsid w:val="0007719E"/>
    <w:rsid w:val="000771FC"/>
    <w:rsid w:val="000772D3"/>
    <w:rsid w:val="0007777C"/>
    <w:rsid w:val="00077954"/>
    <w:rsid w:val="00077E36"/>
    <w:rsid w:val="00080A37"/>
    <w:rsid w:val="00080D21"/>
    <w:rsid w:val="00081AB1"/>
    <w:rsid w:val="00081F3C"/>
    <w:rsid w:val="00082F2D"/>
    <w:rsid w:val="000834C9"/>
    <w:rsid w:val="000836FA"/>
    <w:rsid w:val="000846B8"/>
    <w:rsid w:val="00084C07"/>
    <w:rsid w:val="00084D7A"/>
    <w:rsid w:val="0008591F"/>
    <w:rsid w:val="000859A2"/>
    <w:rsid w:val="00085F42"/>
    <w:rsid w:val="00085F69"/>
    <w:rsid w:val="00090316"/>
    <w:rsid w:val="000913F9"/>
    <w:rsid w:val="000929F2"/>
    <w:rsid w:val="000930E1"/>
    <w:rsid w:val="000934A7"/>
    <w:rsid w:val="00093565"/>
    <w:rsid w:val="00093981"/>
    <w:rsid w:val="000944A3"/>
    <w:rsid w:val="000947FF"/>
    <w:rsid w:val="00094C19"/>
    <w:rsid w:val="00094F7A"/>
    <w:rsid w:val="0009512E"/>
    <w:rsid w:val="0009524E"/>
    <w:rsid w:val="00095276"/>
    <w:rsid w:val="00095465"/>
    <w:rsid w:val="00095BFD"/>
    <w:rsid w:val="00097230"/>
    <w:rsid w:val="000A0229"/>
    <w:rsid w:val="000A2054"/>
    <w:rsid w:val="000A25F0"/>
    <w:rsid w:val="000A33AA"/>
    <w:rsid w:val="000A35EE"/>
    <w:rsid w:val="000A3DDF"/>
    <w:rsid w:val="000A4066"/>
    <w:rsid w:val="000A418A"/>
    <w:rsid w:val="000A44C3"/>
    <w:rsid w:val="000A481F"/>
    <w:rsid w:val="000A4B24"/>
    <w:rsid w:val="000A5E12"/>
    <w:rsid w:val="000A5E38"/>
    <w:rsid w:val="000A5EFD"/>
    <w:rsid w:val="000A6BD0"/>
    <w:rsid w:val="000A7143"/>
    <w:rsid w:val="000A7F95"/>
    <w:rsid w:val="000B011E"/>
    <w:rsid w:val="000B067A"/>
    <w:rsid w:val="000B0924"/>
    <w:rsid w:val="000B1540"/>
    <w:rsid w:val="000B1E53"/>
    <w:rsid w:val="000B2B81"/>
    <w:rsid w:val="000B32C5"/>
    <w:rsid w:val="000B33FD"/>
    <w:rsid w:val="000B3AE5"/>
    <w:rsid w:val="000B3F6D"/>
    <w:rsid w:val="000B4502"/>
    <w:rsid w:val="000B4608"/>
    <w:rsid w:val="000B4ABA"/>
    <w:rsid w:val="000B57DA"/>
    <w:rsid w:val="000B5832"/>
    <w:rsid w:val="000B58A7"/>
    <w:rsid w:val="000B5BCC"/>
    <w:rsid w:val="000B5E2C"/>
    <w:rsid w:val="000B6746"/>
    <w:rsid w:val="000B6CF9"/>
    <w:rsid w:val="000B71F7"/>
    <w:rsid w:val="000B7533"/>
    <w:rsid w:val="000B785F"/>
    <w:rsid w:val="000B7D69"/>
    <w:rsid w:val="000C009C"/>
    <w:rsid w:val="000C226A"/>
    <w:rsid w:val="000C233F"/>
    <w:rsid w:val="000C3659"/>
    <w:rsid w:val="000C4645"/>
    <w:rsid w:val="000C4B16"/>
    <w:rsid w:val="000C4D8E"/>
    <w:rsid w:val="000C50C3"/>
    <w:rsid w:val="000C5132"/>
    <w:rsid w:val="000C53D9"/>
    <w:rsid w:val="000C5E11"/>
    <w:rsid w:val="000C5E14"/>
    <w:rsid w:val="000C5E1D"/>
    <w:rsid w:val="000C6208"/>
    <w:rsid w:val="000C67F7"/>
    <w:rsid w:val="000C6D8F"/>
    <w:rsid w:val="000C7315"/>
    <w:rsid w:val="000C744F"/>
    <w:rsid w:val="000C7787"/>
    <w:rsid w:val="000C7CDB"/>
    <w:rsid w:val="000D02F9"/>
    <w:rsid w:val="000D07AE"/>
    <w:rsid w:val="000D0845"/>
    <w:rsid w:val="000D0A8F"/>
    <w:rsid w:val="000D0C0A"/>
    <w:rsid w:val="000D13F4"/>
    <w:rsid w:val="000D1C81"/>
    <w:rsid w:val="000D21F6"/>
    <w:rsid w:val="000D285B"/>
    <w:rsid w:val="000D3AC3"/>
    <w:rsid w:val="000D4500"/>
    <w:rsid w:val="000D49C5"/>
    <w:rsid w:val="000D4E6B"/>
    <w:rsid w:val="000D541F"/>
    <w:rsid w:val="000D6437"/>
    <w:rsid w:val="000D6D44"/>
    <w:rsid w:val="000D789C"/>
    <w:rsid w:val="000D7AEA"/>
    <w:rsid w:val="000D7F49"/>
    <w:rsid w:val="000E107A"/>
    <w:rsid w:val="000E1090"/>
    <w:rsid w:val="000E10E6"/>
    <w:rsid w:val="000E1BAB"/>
    <w:rsid w:val="000E1DE4"/>
    <w:rsid w:val="000E1E20"/>
    <w:rsid w:val="000E2C66"/>
    <w:rsid w:val="000E2E8D"/>
    <w:rsid w:val="000E3424"/>
    <w:rsid w:val="000E3683"/>
    <w:rsid w:val="000E3B6B"/>
    <w:rsid w:val="000E3D7E"/>
    <w:rsid w:val="000E41B6"/>
    <w:rsid w:val="000E46E8"/>
    <w:rsid w:val="000E4E73"/>
    <w:rsid w:val="000E4FCD"/>
    <w:rsid w:val="000E678D"/>
    <w:rsid w:val="000E7AC3"/>
    <w:rsid w:val="000E7E65"/>
    <w:rsid w:val="000F064D"/>
    <w:rsid w:val="000F10A4"/>
    <w:rsid w:val="000F123C"/>
    <w:rsid w:val="000F169F"/>
    <w:rsid w:val="000F174E"/>
    <w:rsid w:val="000F1EF9"/>
    <w:rsid w:val="000F2750"/>
    <w:rsid w:val="000F2F7B"/>
    <w:rsid w:val="000F2FED"/>
    <w:rsid w:val="000F302D"/>
    <w:rsid w:val="000F3458"/>
    <w:rsid w:val="000F3C6A"/>
    <w:rsid w:val="000F5A3B"/>
    <w:rsid w:val="000F5D50"/>
    <w:rsid w:val="000F5F93"/>
    <w:rsid w:val="000F68D3"/>
    <w:rsid w:val="000F76C2"/>
    <w:rsid w:val="000F7960"/>
    <w:rsid w:val="00101784"/>
    <w:rsid w:val="00101EF0"/>
    <w:rsid w:val="00102812"/>
    <w:rsid w:val="00102969"/>
    <w:rsid w:val="00102BBA"/>
    <w:rsid w:val="001034C1"/>
    <w:rsid w:val="00103ED8"/>
    <w:rsid w:val="0010479C"/>
    <w:rsid w:val="001047B5"/>
    <w:rsid w:val="0010616D"/>
    <w:rsid w:val="00106BFE"/>
    <w:rsid w:val="00106D08"/>
    <w:rsid w:val="00106DBE"/>
    <w:rsid w:val="0010790F"/>
    <w:rsid w:val="00107A0C"/>
    <w:rsid w:val="00107CEB"/>
    <w:rsid w:val="00110478"/>
    <w:rsid w:val="001111B9"/>
    <w:rsid w:val="00111C08"/>
    <w:rsid w:val="00111FC4"/>
    <w:rsid w:val="00113260"/>
    <w:rsid w:val="001132B3"/>
    <w:rsid w:val="00113AFA"/>
    <w:rsid w:val="00114A57"/>
    <w:rsid w:val="00115DCE"/>
    <w:rsid w:val="00116033"/>
    <w:rsid w:val="001160E5"/>
    <w:rsid w:val="0011634E"/>
    <w:rsid w:val="001167E2"/>
    <w:rsid w:val="00116998"/>
    <w:rsid w:val="0011711B"/>
    <w:rsid w:val="00117803"/>
    <w:rsid w:val="00117DF7"/>
    <w:rsid w:val="00117F8A"/>
    <w:rsid w:val="0012045C"/>
    <w:rsid w:val="00120493"/>
    <w:rsid w:val="00120547"/>
    <w:rsid w:val="001209B5"/>
    <w:rsid w:val="00121173"/>
    <w:rsid w:val="00121B9B"/>
    <w:rsid w:val="001223B3"/>
    <w:rsid w:val="001224DB"/>
    <w:rsid w:val="00122ADC"/>
    <w:rsid w:val="00122D2C"/>
    <w:rsid w:val="001239E3"/>
    <w:rsid w:val="0012427E"/>
    <w:rsid w:val="00125311"/>
    <w:rsid w:val="00125725"/>
    <w:rsid w:val="0012631D"/>
    <w:rsid w:val="00126876"/>
    <w:rsid w:val="001272A1"/>
    <w:rsid w:val="00127305"/>
    <w:rsid w:val="001278C1"/>
    <w:rsid w:val="00127D4B"/>
    <w:rsid w:val="00127DBF"/>
    <w:rsid w:val="00127EA0"/>
    <w:rsid w:val="00130045"/>
    <w:rsid w:val="0013038F"/>
    <w:rsid w:val="001303DF"/>
    <w:rsid w:val="00130A4C"/>
    <w:rsid w:val="00130F59"/>
    <w:rsid w:val="0013113D"/>
    <w:rsid w:val="001314C5"/>
    <w:rsid w:val="00131666"/>
    <w:rsid w:val="00131A25"/>
    <w:rsid w:val="001333DC"/>
    <w:rsid w:val="00133EC0"/>
    <w:rsid w:val="00135979"/>
    <w:rsid w:val="0013685F"/>
    <w:rsid w:val="00137B1D"/>
    <w:rsid w:val="001400FA"/>
    <w:rsid w:val="001405B2"/>
    <w:rsid w:val="001414B1"/>
    <w:rsid w:val="00141AC0"/>
    <w:rsid w:val="00141B23"/>
    <w:rsid w:val="00141CE3"/>
    <w:rsid w:val="00141CE5"/>
    <w:rsid w:val="00141EC5"/>
    <w:rsid w:val="0014269A"/>
    <w:rsid w:val="00142C65"/>
    <w:rsid w:val="00143E74"/>
    <w:rsid w:val="00144405"/>
    <w:rsid w:val="00144535"/>
    <w:rsid w:val="0014455B"/>
    <w:rsid w:val="00144908"/>
    <w:rsid w:val="00144998"/>
    <w:rsid w:val="00144D96"/>
    <w:rsid w:val="00144E55"/>
    <w:rsid w:val="00144F7F"/>
    <w:rsid w:val="00145014"/>
    <w:rsid w:val="00145217"/>
    <w:rsid w:val="00145AB6"/>
    <w:rsid w:val="00146399"/>
    <w:rsid w:val="00146842"/>
    <w:rsid w:val="00147CF8"/>
    <w:rsid w:val="0015075B"/>
    <w:rsid w:val="00151221"/>
    <w:rsid w:val="00151419"/>
    <w:rsid w:val="001521CF"/>
    <w:rsid w:val="001528D5"/>
    <w:rsid w:val="00152D4D"/>
    <w:rsid w:val="001534C9"/>
    <w:rsid w:val="00153920"/>
    <w:rsid w:val="001539D1"/>
    <w:rsid w:val="00153CC0"/>
    <w:rsid w:val="00154B65"/>
    <w:rsid w:val="00154FC3"/>
    <w:rsid w:val="0015557A"/>
    <w:rsid w:val="001556E9"/>
    <w:rsid w:val="0015576D"/>
    <w:rsid w:val="00155981"/>
    <w:rsid w:val="00156A43"/>
    <w:rsid w:val="00156D96"/>
    <w:rsid w:val="001571C7"/>
    <w:rsid w:val="001576F4"/>
    <w:rsid w:val="001608D5"/>
    <w:rsid w:val="00160E62"/>
    <w:rsid w:val="00161094"/>
    <w:rsid w:val="00161962"/>
    <w:rsid w:val="00161DCE"/>
    <w:rsid w:val="00161F49"/>
    <w:rsid w:val="0016293C"/>
    <w:rsid w:val="00164046"/>
    <w:rsid w:val="001646D1"/>
    <w:rsid w:val="00164CD8"/>
    <w:rsid w:val="00165C74"/>
    <w:rsid w:val="00166481"/>
    <w:rsid w:val="0016683C"/>
    <w:rsid w:val="0016692F"/>
    <w:rsid w:val="00167253"/>
    <w:rsid w:val="00167283"/>
    <w:rsid w:val="001673B5"/>
    <w:rsid w:val="0016792B"/>
    <w:rsid w:val="00170117"/>
    <w:rsid w:val="00170451"/>
    <w:rsid w:val="001710BA"/>
    <w:rsid w:val="001713A2"/>
    <w:rsid w:val="00171C4B"/>
    <w:rsid w:val="001723F1"/>
    <w:rsid w:val="0017364C"/>
    <w:rsid w:val="001738C5"/>
    <w:rsid w:val="00173BD3"/>
    <w:rsid w:val="00173DF1"/>
    <w:rsid w:val="001748D4"/>
    <w:rsid w:val="00174B16"/>
    <w:rsid w:val="00175856"/>
    <w:rsid w:val="0017665C"/>
    <w:rsid w:val="0017681B"/>
    <w:rsid w:val="00176BDE"/>
    <w:rsid w:val="001770C8"/>
    <w:rsid w:val="0017755B"/>
    <w:rsid w:val="00177AD2"/>
    <w:rsid w:val="00177BEE"/>
    <w:rsid w:val="00180D57"/>
    <w:rsid w:val="001815A8"/>
    <w:rsid w:val="0018192B"/>
    <w:rsid w:val="001840FA"/>
    <w:rsid w:val="001843C2"/>
    <w:rsid w:val="00184D7E"/>
    <w:rsid w:val="00184F90"/>
    <w:rsid w:val="0018622E"/>
    <w:rsid w:val="0018624B"/>
    <w:rsid w:val="00186627"/>
    <w:rsid w:val="00187448"/>
    <w:rsid w:val="00190077"/>
    <w:rsid w:val="00190079"/>
    <w:rsid w:val="00190D8C"/>
    <w:rsid w:val="001917C7"/>
    <w:rsid w:val="00192B10"/>
    <w:rsid w:val="00193A89"/>
    <w:rsid w:val="00193DFB"/>
    <w:rsid w:val="00193F1B"/>
    <w:rsid w:val="00194258"/>
    <w:rsid w:val="0019450C"/>
    <w:rsid w:val="0019484A"/>
    <w:rsid w:val="001951A8"/>
    <w:rsid w:val="00195375"/>
    <w:rsid w:val="00195542"/>
    <w:rsid w:val="0019622E"/>
    <w:rsid w:val="001966A7"/>
    <w:rsid w:val="001969C2"/>
    <w:rsid w:val="001A015B"/>
    <w:rsid w:val="001A0590"/>
    <w:rsid w:val="001A070F"/>
    <w:rsid w:val="001A0F12"/>
    <w:rsid w:val="001A1711"/>
    <w:rsid w:val="001A1800"/>
    <w:rsid w:val="001A2068"/>
    <w:rsid w:val="001A25AA"/>
    <w:rsid w:val="001A44C5"/>
    <w:rsid w:val="001A44D4"/>
    <w:rsid w:val="001A4627"/>
    <w:rsid w:val="001A4979"/>
    <w:rsid w:val="001A5964"/>
    <w:rsid w:val="001A5B0F"/>
    <w:rsid w:val="001A5BB8"/>
    <w:rsid w:val="001A6E9D"/>
    <w:rsid w:val="001A78CA"/>
    <w:rsid w:val="001A7E45"/>
    <w:rsid w:val="001B036E"/>
    <w:rsid w:val="001B03BB"/>
    <w:rsid w:val="001B1166"/>
    <w:rsid w:val="001B15D3"/>
    <w:rsid w:val="001B212C"/>
    <w:rsid w:val="001B24EF"/>
    <w:rsid w:val="001B29D9"/>
    <w:rsid w:val="001B3443"/>
    <w:rsid w:val="001B5CAA"/>
    <w:rsid w:val="001B6183"/>
    <w:rsid w:val="001B6203"/>
    <w:rsid w:val="001B639F"/>
    <w:rsid w:val="001B7EBF"/>
    <w:rsid w:val="001B7F6C"/>
    <w:rsid w:val="001B7FF0"/>
    <w:rsid w:val="001C00CC"/>
    <w:rsid w:val="001C0213"/>
    <w:rsid w:val="001C0326"/>
    <w:rsid w:val="001C0B84"/>
    <w:rsid w:val="001C0BA9"/>
    <w:rsid w:val="001C0D17"/>
    <w:rsid w:val="001C1064"/>
    <w:rsid w:val="001C13E3"/>
    <w:rsid w:val="001C192F"/>
    <w:rsid w:val="001C20C0"/>
    <w:rsid w:val="001C2799"/>
    <w:rsid w:val="001C3146"/>
    <w:rsid w:val="001C37C5"/>
    <w:rsid w:val="001C3C42"/>
    <w:rsid w:val="001C3C49"/>
    <w:rsid w:val="001C44BD"/>
    <w:rsid w:val="001C5CB0"/>
    <w:rsid w:val="001C610C"/>
    <w:rsid w:val="001C6342"/>
    <w:rsid w:val="001C7384"/>
    <w:rsid w:val="001C7569"/>
    <w:rsid w:val="001C7682"/>
    <w:rsid w:val="001C7F67"/>
    <w:rsid w:val="001D042E"/>
    <w:rsid w:val="001D388A"/>
    <w:rsid w:val="001D3DC4"/>
    <w:rsid w:val="001D41DA"/>
    <w:rsid w:val="001D44E5"/>
    <w:rsid w:val="001D4CB7"/>
    <w:rsid w:val="001D572C"/>
    <w:rsid w:val="001D5AA0"/>
    <w:rsid w:val="001D5E82"/>
    <w:rsid w:val="001D6793"/>
    <w:rsid w:val="001D6795"/>
    <w:rsid w:val="001D6919"/>
    <w:rsid w:val="001D73CB"/>
    <w:rsid w:val="001D7869"/>
    <w:rsid w:val="001E0721"/>
    <w:rsid w:val="001E08C4"/>
    <w:rsid w:val="001E0CC5"/>
    <w:rsid w:val="001E187A"/>
    <w:rsid w:val="001E1F9D"/>
    <w:rsid w:val="001E288C"/>
    <w:rsid w:val="001E2B1B"/>
    <w:rsid w:val="001E2BAC"/>
    <w:rsid w:val="001E31CF"/>
    <w:rsid w:val="001E3805"/>
    <w:rsid w:val="001E3C5A"/>
    <w:rsid w:val="001E3D72"/>
    <w:rsid w:val="001E48B0"/>
    <w:rsid w:val="001E5E59"/>
    <w:rsid w:val="001E5F4C"/>
    <w:rsid w:val="001E653E"/>
    <w:rsid w:val="001E6912"/>
    <w:rsid w:val="001E6FEA"/>
    <w:rsid w:val="001E7CD5"/>
    <w:rsid w:val="001F03B4"/>
    <w:rsid w:val="001F0BE3"/>
    <w:rsid w:val="001F0FDD"/>
    <w:rsid w:val="001F1693"/>
    <w:rsid w:val="001F1720"/>
    <w:rsid w:val="001F1BFB"/>
    <w:rsid w:val="001F1F86"/>
    <w:rsid w:val="001F204A"/>
    <w:rsid w:val="001F2430"/>
    <w:rsid w:val="001F25CA"/>
    <w:rsid w:val="001F2ACB"/>
    <w:rsid w:val="001F30C2"/>
    <w:rsid w:val="001F3AFD"/>
    <w:rsid w:val="001F3B0F"/>
    <w:rsid w:val="001F3DED"/>
    <w:rsid w:val="001F5222"/>
    <w:rsid w:val="001F5B4E"/>
    <w:rsid w:val="001F6743"/>
    <w:rsid w:val="001F6AEE"/>
    <w:rsid w:val="001F6DFC"/>
    <w:rsid w:val="001F70CC"/>
    <w:rsid w:val="001F7502"/>
    <w:rsid w:val="001F756E"/>
    <w:rsid w:val="001F7E8F"/>
    <w:rsid w:val="00200884"/>
    <w:rsid w:val="002012AD"/>
    <w:rsid w:val="00201976"/>
    <w:rsid w:val="00201C13"/>
    <w:rsid w:val="00201E98"/>
    <w:rsid w:val="002026CD"/>
    <w:rsid w:val="0020272D"/>
    <w:rsid w:val="0020285D"/>
    <w:rsid w:val="00202ABA"/>
    <w:rsid w:val="002033FC"/>
    <w:rsid w:val="00203F3C"/>
    <w:rsid w:val="002044BB"/>
    <w:rsid w:val="0020496D"/>
    <w:rsid w:val="00204D02"/>
    <w:rsid w:val="00205EBB"/>
    <w:rsid w:val="00206440"/>
    <w:rsid w:val="0020741B"/>
    <w:rsid w:val="00207913"/>
    <w:rsid w:val="00207A95"/>
    <w:rsid w:val="0020C4EB"/>
    <w:rsid w:val="00210B09"/>
    <w:rsid w:val="00210C9E"/>
    <w:rsid w:val="00211840"/>
    <w:rsid w:val="0021191F"/>
    <w:rsid w:val="002119E3"/>
    <w:rsid w:val="00211B9D"/>
    <w:rsid w:val="00211D7C"/>
    <w:rsid w:val="002124F1"/>
    <w:rsid w:val="002128B5"/>
    <w:rsid w:val="00212F04"/>
    <w:rsid w:val="00212F79"/>
    <w:rsid w:val="002130A6"/>
    <w:rsid w:val="00213B65"/>
    <w:rsid w:val="002148F9"/>
    <w:rsid w:val="00215A87"/>
    <w:rsid w:val="0021624C"/>
    <w:rsid w:val="00216611"/>
    <w:rsid w:val="002166A2"/>
    <w:rsid w:val="00216E2A"/>
    <w:rsid w:val="0021721E"/>
    <w:rsid w:val="00217F0E"/>
    <w:rsid w:val="00220E5F"/>
    <w:rsid w:val="002212B5"/>
    <w:rsid w:val="00221CE7"/>
    <w:rsid w:val="0022239D"/>
    <w:rsid w:val="0022243A"/>
    <w:rsid w:val="002234FA"/>
    <w:rsid w:val="00223E70"/>
    <w:rsid w:val="002244FB"/>
    <w:rsid w:val="00224E03"/>
    <w:rsid w:val="0022532B"/>
    <w:rsid w:val="002257DF"/>
    <w:rsid w:val="002258A7"/>
    <w:rsid w:val="00225FD4"/>
    <w:rsid w:val="0022627F"/>
    <w:rsid w:val="00226668"/>
    <w:rsid w:val="00226B9D"/>
    <w:rsid w:val="0022713C"/>
    <w:rsid w:val="00227256"/>
    <w:rsid w:val="00230A64"/>
    <w:rsid w:val="00231802"/>
    <w:rsid w:val="00231C32"/>
    <w:rsid w:val="002329EF"/>
    <w:rsid w:val="002336DD"/>
    <w:rsid w:val="00233809"/>
    <w:rsid w:val="00234437"/>
    <w:rsid w:val="002348FB"/>
    <w:rsid w:val="00234C18"/>
    <w:rsid w:val="002359EF"/>
    <w:rsid w:val="00235C24"/>
    <w:rsid w:val="00236879"/>
    <w:rsid w:val="00236DE9"/>
    <w:rsid w:val="00237124"/>
    <w:rsid w:val="002373E4"/>
    <w:rsid w:val="00240046"/>
    <w:rsid w:val="00240F68"/>
    <w:rsid w:val="00241149"/>
    <w:rsid w:val="00241E98"/>
    <w:rsid w:val="00241E9E"/>
    <w:rsid w:val="0024205F"/>
    <w:rsid w:val="00242777"/>
    <w:rsid w:val="00244212"/>
    <w:rsid w:val="00244A60"/>
    <w:rsid w:val="002458C9"/>
    <w:rsid w:val="00246D0A"/>
    <w:rsid w:val="00246EF4"/>
    <w:rsid w:val="00246FCB"/>
    <w:rsid w:val="00247452"/>
    <w:rsid w:val="002476E1"/>
    <w:rsid w:val="0024797F"/>
    <w:rsid w:val="00247AB5"/>
    <w:rsid w:val="00247FFE"/>
    <w:rsid w:val="0025014D"/>
    <w:rsid w:val="00250B88"/>
    <w:rsid w:val="0025119E"/>
    <w:rsid w:val="00251269"/>
    <w:rsid w:val="00251737"/>
    <w:rsid w:val="00251809"/>
    <w:rsid w:val="00251891"/>
    <w:rsid w:val="00251CB5"/>
    <w:rsid w:val="002527D4"/>
    <w:rsid w:val="002528A9"/>
    <w:rsid w:val="00252EAF"/>
    <w:rsid w:val="002535A7"/>
    <w:rsid w:val="002535C0"/>
    <w:rsid w:val="00253AD5"/>
    <w:rsid w:val="00254642"/>
    <w:rsid w:val="00254A51"/>
    <w:rsid w:val="002552CB"/>
    <w:rsid w:val="00255761"/>
    <w:rsid w:val="00255A1E"/>
    <w:rsid w:val="00255E14"/>
    <w:rsid w:val="002579FE"/>
    <w:rsid w:val="00260552"/>
    <w:rsid w:val="00260E23"/>
    <w:rsid w:val="00261489"/>
    <w:rsid w:val="0026225E"/>
    <w:rsid w:val="002623CE"/>
    <w:rsid w:val="00262F25"/>
    <w:rsid w:val="0026311C"/>
    <w:rsid w:val="00263205"/>
    <w:rsid w:val="00263316"/>
    <w:rsid w:val="00263C02"/>
    <w:rsid w:val="00263D77"/>
    <w:rsid w:val="00265798"/>
    <w:rsid w:val="0026668C"/>
    <w:rsid w:val="00266AC1"/>
    <w:rsid w:val="00267404"/>
    <w:rsid w:val="00267812"/>
    <w:rsid w:val="00270E13"/>
    <w:rsid w:val="00270E61"/>
    <w:rsid w:val="00271246"/>
    <w:rsid w:val="00271301"/>
    <w:rsid w:val="0027178C"/>
    <w:rsid w:val="002719FA"/>
    <w:rsid w:val="00272668"/>
    <w:rsid w:val="002727DA"/>
    <w:rsid w:val="0027285B"/>
    <w:rsid w:val="00272EF2"/>
    <w:rsid w:val="00272FF9"/>
    <w:rsid w:val="0027330B"/>
    <w:rsid w:val="00273AA0"/>
    <w:rsid w:val="00273CE9"/>
    <w:rsid w:val="00273E66"/>
    <w:rsid w:val="00273F01"/>
    <w:rsid w:val="0027406B"/>
    <w:rsid w:val="00275203"/>
    <w:rsid w:val="00275883"/>
    <w:rsid w:val="00276454"/>
    <w:rsid w:val="00276F5A"/>
    <w:rsid w:val="0027738F"/>
    <w:rsid w:val="00277731"/>
    <w:rsid w:val="00277D7E"/>
    <w:rsid w:val="00277F0B"/>
    <w:rsid w:val="00280144"/>
    <w:rsid w:val="002803AD"/>
    <w:rsid w:val="00282052"/>
    <w:rsid w:val="002825D8"/>
    <w:rsid w:val="00282C2A"/>
    <w:rsid w:val="002831A3"/>
    <w:rsid w:val="002835CC"/>
    <w:rsid w:val="0028360D"/>
    <w:rsid w:val="00283735"/>
    <w:rsid w:val="00283EEF"/>
    <w:rsid w:val="0028434B"/>
    <w:rsid w:val="0028438B"/>
    <w:rsid w:val="00284578"/>
    <w:rsid w:val="00284769"/>
    <w:rsid w:val="00284FB3"/>
    <w:rsid w:val="00285072"/>
    <w:rsid w:val="0028519E"/>
    <w:rsid w:val="0028558F"/>
    <w:rsid w:val="002856A5"/>
    <w:rsid w:val="0028595A"/>
    <w:rsid w:val="00286811"/>
    <w:rsid w:val="00286CE4"/>
    <w:rsid w:val="002871E2"/>
    <w:rsid w:val="002872ED"/>
    <w:rsid w:val="00290246"/>
    <w:rsid w:val="0029035A"/>
    <w:rsid w:val="002905C2"/>
    <w:rsid w:val="00290969"/>
    <w:rsid w:val="00290A32"/>
    <w:rsid w:val="00291ADE"/>
    <w:rsid w:val="00291B2E"/>
    <w:rsid w:val="00291B8B"/>
    <w:rsid w:val="0029312A"/>
    <w:rsid w:val="00294CE8"/>
    <w:rsid w:val="0029566D"/>
    <w:rsid w:val="00295AF2"/>
    <w:rsid w:val="00295C91"/>
    <w:rsid w:val="00295F5C"/>
    <w:rsid w:val="00296377"/>
    <w:rsid w:val="00297151"/>
    <w:rsid w:val="0029741B"/>
    <w:rsid w:val="00297FB4"/>
    <w:rsid w:val="002A0DCF"/>
    <w:rsid w:val="002A1B50"/>
    <w:rsid w:val="002A1D64"/>
    <w:rsid w:val="002A1EF4"/>
    <w:rsid w:val="002A2C3B"/>
    <w:rsid w:val="002A2DFA"/>
    <w:rsid w:val="002A3448"/>
    <w:rsid w:val="002A4E3F"/>
    <w:rsid w:val="002A579C"/>
    <w:rsid w:val="002A5867"/>
    <w:rsid w:val="002A760E"/>
    <w:rsid w:val="002A7EDC"/>
    <w:rsid w:val="002B0304"/>
    <w:rsid w:val="002B07F6"/>
    <w:rsid w:val="002B0A2F"/>
    <w:rsid w:val="002B113E"/>
    <w:rsid w:val="002B1792"/>
    <w:rsid w:val="002B18B3"/>
    <w:rsid w:val="002B1EBC"/>
    <w:rsid w:val="002B2076"/>
    <w:rsid w:val="002B20E6"/>
    <w:rsid w:val="002B21A2"/>
    <w:rsid w:val="002B3254"/>
    <w:rsid w:val="002B42A3"/>
    <w:rsid w:val="002B48DC"/>
    <w:rsid w:val="002B492F"/>
    <w:rsid w:val="002B5E51"/>
    <w:rsid w:val="002B68BF"/>
    <w:rsid w:val="002B6C58"/>
    <w:rsid w:val="002B7A3F"/>
    <w:rsid w:val="002B7E2B"/>
    <w:rsid w:val="002C02A3"/>
    <w:rsid w:val="002C07F2"/>
    <w:rsid w:val="002C0CDD"/>
    <w:rsid w:val="002C0DB5"/>
    <w:rsid w:val="002C1238"/>
    <w:rsid w:val="002C1A99"/>
    <w:rsid w:val="002C1D0F"/>
    <w:rsid w:val="002C1D96"/>
    <w:rsid w:val="002C33AD"/>
    <w:rsid w:val="002C38C4"/>
    <w:rsid w:val="002C3B20"/>
    <w:rsid w:val="002C4D95"/>
    <w:rsid w:val="002C5562"/>
    <w:rsid w:val="002C5686"/>
    <w:rsid w:val="002C585A"/>
    <w:rsid w:val="002C62B2"/>
    <w:rsid w:val="002C6542"/>
    <w:rsid w:val="002C6879"/>
    <w:rsid w:val="002C6FFD"/>
    <w:rsid w:val="002D0D77"/>
    <w:rsid w:val="002D0DFB"/>
    <w:rsid w:val="002D1BCD"/>
    <w:rsid w:val="002D248B"/>
    <w:rsid w:val="002D3399"/>
    <w:rsid w:val="002D39D8"/>
    <w:rsid w:val="002D3B53"/>
    <w:rsid w:val="002D44CA"/>
    <w:rsid w:val="002D48DE"/>
    <w:rsid w:val="002D564D"/>
    <w:rsid w:val="002D619C"/>
    <w:rsid w:val="002D6597"/>
    <w:rsid w:val="002D6886"/>
    <w:rsid w:val="002D6ED5"/>
    <w:rsid w:val="002D74A5"/>
    <w:rsid w:val="002E0618"/>
    <w:rsid w:val="002E0B7A"/>
    <w:rsid w:val="002E0CCA"/>
    <w:rsid w:val="002E11B3"/>
    <w:rsid w:val="002E15CE"/>
    <w:rsid w:val="002E15FD"/>
    <w:rsid w:val="002E1A1D"/>
    <w:rsid w:val="002E1B2D"/>
    <w:rsid w:val="002E1C13"/>
    <w:rsid w:val="002E1D9A"/>
    <w:rsid w:val="002E2131"/>
    <w:rsid w:val="002E26ED"/>
    <w:rsid w:val="002E2C15"/>
    <w:rsid w:val="002E2EB9"/>
    <w:rsid w:val="002E355B"/>
    <w:rsid w:val="002E3BC4"/>
    <w:rsid w:val="002E3D56"/>
    <w:rsid w:val="002E4081"/>
    <w:rsid w:val="002E48DD"/>
    <w:rsid w:val="002E502E"/>
    <w:rsid w:val="002E56BB"/>
    <w:rsid w:val="002E5B78"/>
    <w:rsid w:val="002E65E6"/>
    <w:rsid w:val="002E6B50"/>
    <w:rsid w:val="002E7CA0"/>
    <w:rsid w:val="002E7E79"/>
    <w:rsid w:val="002F0DD6"/>
    <w:rsid w:val="002F1A6A"/>
    <w:rsid w:val="002F1BC9"/>
    <w:rsid w:val="002F1BCA"/>
    <w:rsid w:val="002F1CCD"/>
    <w:rsid w:val="002F1EE5"/>
    <w:rsid w:val="002F2436"/>
    <w:rsid w:val="002F263E"/>
    <w:rsid w:val="002F29C1"/>
    <w:rsid w:val="002F35DF"/>
    <w:rsid w:val="002F3AE3"/>
    <w:rsid w:val="002F3CF7"/>
    <w:rsid w:val="002F4C31"/>
    <w:rsid w:val="002F681F"/>
    <w:rsid w:val="002F6F98"/>
    <w:rsid w:val="002F70D8"/>
    <w:rsid w:val="002F7645"/>
    <w:rsid w:val="002F7AC0"/>
    <w:rsid w:val="00300A26"/>
    <w:rsid w:val="003030D2"/>
    <w:rsid w:val="00303981"/>
    <w:rsid w:val="00304022"/>
    <w:rsid w:val="0030457B"/>
    <w:rsid w:val="0030464B"/>
    <w:rsid w:val="00304A55"/>
    <w:rsid w:val="00306E5B"/>
    <w:rsid w:val="0030786C"/>
    <w:rsid w:val="0031054A"/>
    <w:rsid w:val="003107BD"/>
    <w:rsid w:val="00310DA8"/>
    <w:rsid w:val="00310DB8"/>
    <w:rsid w:val="00311335"/>
    <w:rsid w:val="0031181D"/>
    <w:rsid w:val="00312691"/>
    <w:rsid w:val="0031332D"/>
    <w:rsid w:val="00313ACD"/>
    <w:rsid w:val="00313BFC"/>
    <w:rsid w:val="003141D8"/>
    <w:rsid w:val="00314294"/>
    <w:rsid w:val="0031465D"/>
    <w:rsid w:val="00315766"/>
    <w:rsid w:val="00317EDA"/>
    <w:rsid w:val="00320965"/>
    <w:rsid w:val="00320A95"/>
    <w:rsid w:val="00321423"/>
    <w:rsid w:val="003215D0"/>
    <w:rsid w:val="003217E3"/>
    <w:rsid w:val="00321B09"/>
    <w:rsid w:val="00322FF9"/>
    <w:rsid w:val="003233DE"/>
    <w:rsid w:val="0032466B"/>
    <w:rsid w:val="00324C14"/>
    <w:rsid w:val="00325082"/>
    <w:rsid w:val="00325BA4"/>
    <w:rsid w:val="00326122"/>
    <w:rsid w:val="00326700"/>
    <w:rsid w:val="00330FBC"/>
    <w:rsid w:val="00331903"/>
    <w:rsid w:val="003322C5"/>
    <w:rsid w:val="0033236F"/>
    <w:rsid w:val="003330EB"/>
    <w:rsid w:val="00333658"/>
    <w:rsid w:val="00333848"/>
    <w:rsid w:val="00333988"/>
    <w:rsid w:val="003339DD"/>
    <w:rsid w:val="00333B16"/>
    <w:rsid w:val="00334117"/>
    <w:rsid w:val="00335047"/>
    <w:rsid w:val="00335161"/>
    <w:rsid w:val="00336298"/>
    <w:rsid w:val="00336B88"/>
    <w:rsid w:val="00337D8E"/>
    <w:rsid w:val="00340B97"/>
    <w:rsid w:val="00340E36"/>
    <w:rsid w:val="00340F7E"/>
    <w:rsid w:val="00340FD1"/>
    <w:rsid w:val="003415FD"/>
    <w:rsid w:val="00341959"/>
    <w:rsid w:val="00341B24"/>
    <w:rsid w:val="00341D1A"/>
    <w:rsid w:val="00341FA5"/>
    <w:rsid w:val="003423FF"/>
    <w:rsid w:val="003429F0"/>
    <w:rsid w:val="00342D09"/>
    <w:rsid w:val="00342F7A"/>
    <w:rsid w:val="00343393"/>
    <w:rsid w:val="00343B95"/>
    <w:rsid w:val="00343D01"/>
    <w:rsid w:val="003448B4"/>
    <w:rsid w:val="003450BB"/>
    <w:rsid w:val="0034539C"/>
    <w:rsid w:val="00345A82"/>
    <w:rsid w:val="00345DAB"/>
    <w:rsid w:val="00345EAA"/>
    <w:rsid w:val="003461F5"/>
    <w:rsid w:val="00346CDF"/>
    <w:rsid w:val="00347208"/>
    <w:rsid w:val="003473F3"/>
    <w:rsid w:val="00347A34"/>
    <w:rsid w:val="00347B19"/>
    <w:rsid w:val="00347D20"/>
    <w:rsid w:val="003507AD"/>
    <w:rsid w:val="0035097A"/>
    <w:rsid w:val="003521A0"/>
    <w:rsid w:val="003526E5"/>
    <w:rsid w:val="003532F9"/>
    <w:rsid w:val="0035388C"/>
    <w:rsid w:val="003539A4"/>
    <w:rsid w:val="00353EE1"/>
    <w:rsid w:val="003540A4"/>
    <w:rsid w:val="00355D5A"/>
    <w:rsid w:val="00356A6B"/>
    <w:rsid w:val="00357B73"/>
    <w:rsid w:val="00357BBE"/>
    <w:rsid w:val="00357BCC"/>
    <w:rsid w:val="0036047E"/>
    <w:rsid w:val="003609DA"/>
    <w:rsid w:val="00360E4E"/>
    <w:rsid w:val="00360EC7"/>
    <w:rsid w:val="0036282C"/>
    <w:rsid w:val="00362D4B"/>
    <w:rsid w:val="00362F2C"/>
    <w:rsid w:val="00363288"/>
    <w:rsid w:val="003637A8"/>
    <w:rsid w:val="00364046"/>
    <w:rsid w:val="003651F2"/>
    <w:rsid w:val="003654D9"/>
    <w:rsid w:val="00365741"/>
    <w:rsid w:val="003657DD"/>
    <w:rsid w:val="00366843"/>
    <w:rsid w:val="003668F2"/>
    <w:rsid w:val="00366D3F"/>
    <w:rsid w:val="00366F36"/>
    <w:rsid w:val="003702AB"/>
    <w:rsid w:val="0037058E"/>
    <w:rsid w:val="00370AAA"/>
    <w:rsid w:val="00370AB0"/>
    <w:rsid w:val="00370E40"/>
    <w:rsid w:val="003719D6"/>
    <w:rsid w:val="00371F4D"/>
    <w:rsid w:val="003726C2"/>
    <w:rsid w:val="00372B7F"/>
    <w:rsid w:val="00373E4C"/>
    <w:rsid w:val="0037473D"/>
    <w:rsid w:val="00374FDD"/>
    <w:rsid w:val="00374FED"/>
    <w:rsid w:val="00375772"/>
    <w:rsid w:val="00375F77"/>
    <w:rsid w:val="0038065A"/>
    <w:rsid w:val="00380B39"/>
    <w:rsid w:val="00380D00"/>
    <w:rsid w:val="00381AC0"/>
    <w:rsid w:val="00381BBE"/>
    <w:rsid w:val="00382903"/>
    <w:rsid w:val="00383FCB"/>
    <w:rsid w:val="003846FF"/>
    <w:rsid w:val="003857D4"/>
    <w:rsid w:val="00385AD4"/>
    <w:rsid w:val="00385F68"/>
    <w:rsid w:val="003861EF"/>
    <w:rsid w:val="00386ACF"/>
    <w:rsid w:val="00386C88"/>
    <w:rsid w:val="00386EC5"/>
    <w:rsid w:val="00387173"/>
    <w:rsid w:val="0038745C"/>
    <w:rsid w:val="00387924"/>
    <w:rsid w:val="00387B8A"/>
    <w:rsid w:val="0039028D"/>
    <w:rsid w:val="003903AC"/>
    <w:rsid w:val="003903E9"/>
    <w:rsid w:val="00390761"/>
    <w:rsid w:val="00390A5F"/>
    <w:rsid w:val="00390F3A"/>
    <w:rsid w:val="00391410"/>
    <w:rsid w:val="003919D5"/>
    <w:rsid w:val="00391CC5"/>
    <w:rsid w:val="0039263A"/>
    <w:rsid w:val="0039384D"/>
    <w:rsid w:val="0039469C"/>
    <w:rsid w:val="00395C23"/>
    <w:rsid w:val="00395E64"/>
    <w:rsid w:val="003962B8"/>
    <w:rsid w:val="00396F99"/>
    <w:rsid w:val="003A0260"/>
    <w:rsid w:val="003A055F"/>
    <w:rsid w:val="003A2385"/>
    <w:rsid w:val="003A23C7"/>
    <w:rsid w:val="003A2E4F"/>
    <w:rsid w:val="003A3E53"/>
    <w:rsid w:val="003A402C"/>
    <w:rsid w:val="003A431F"/>
    <w:rsid w:val="003A4438"/>
    <w:rsid w:val="003A5013"/>
    <w:rsid w:val="003A5078"/>
    <w:rsid w:val="003A5A31"/>
    <w:rsid w:val="003A62DD"/>
    <w:rsid w:val="003A6E12"/>
    <w:rsid w:val="003A7334"/>
    <w:rsid w:val="003A750B"/>
    <w:rsid w:val="003A7746"/>
    <w:rsid w:val="003A775A"/>
    <w:rsid w:val="003A7C41"/>
    <w:rsid w:val="003B0F59"/>
    <w:rsid w:val="003B117F"/>
    <w:rsid w:val="003B162A"/>
    <w:rsid w:val="003B1F3F"/>
    <w:rsid w:val="003B213A"/>
    <w:rsid w:val="003B376B"/>
    <w:rsid w:val="003B414A"/>
    <w:rsid w:val="003B43AD"/>
    <w:rsid w:val="003B461E"/>
    <w:rsid w:val="003B4649"/>
    <w:rsid w:val="003B4CAC"/>
    <w:rsid w:val="003B5248"/>
    <w:rsid w:val="003B55C7"/>
    <w:rsid w:val="003B55E3"/>
    <w:rsid w:val="003B5F66"/>
    <w:rsid w:val="003B67F8"/>
    <w:rsid w:val="003B68A2"/>
    <w:rsid w:val="003B69FB"/>
    <w:rsid w:val="003B6A8A"/>
    <w:rsid w:val="003B7D9B"/>
    <w:rsid w:val="003B7EAA"/>
    <w:rsid w:val="003C0CB7"/>
    <w:rsid w:val="003C0FEC"/>
    <w:rsid w:val="003C21AC"/>
    <w:rsid w:val="003C27C8"/>
    <w:rsid w:val="003C2970"/>
    <w:rsid w:val="003C2AC8"/>
    <w:rsid w:val="003C3604"/>
    <w:rsid w:val="003C37CD"/>
    <w:rsid w:val="003C37DF"/>
    <w:rsid w:val="003C3D38"/>
    <w:rsid w:val="003C487C"/>
    <w:rsid w:val="003C4E65"/>
    <w:rsid w:val="003C522D"/>
    <w:rsid w:val="003C5243"/>
    <w:rsid w:val="003C5637"/>
    <w:rsid w:val="003C662C"/>
    <w:rsid w:val="003C6A7E"/>
    <w:rsid w:val="003C7C7E"/>
    <w:rsid w:val="003D016D"/>
    <w:rsid w:val="003D033A"/>
    <w:rsid w:val="003D0364"/>
    <w:rsid w:val="003D0886"/>
    <w:rsid w:val="003D1633"/>
    <w:rsid w:val="003D17F9"/>
    <w:rsid w:val="003D2ABE"/>
    <w:rsid w:val="003D2D88"/>
    <w:rsid w:val="003D301D"/>
    <w:rsid w:val="003D3643"/>
    <w:rsid w:val="003D3DEE"/>
    <w:rsid w:val="003D41EA"/>
    <w:rsid w:val="003D4850"/>
    <w:rsid w:val="003D4DF4"/>
    <w:rsid w:val="003D535A"/>
    <w:rsid w:val="003D5FE7"/>
    <w:rsid w:val="003D7A63"/>
    <w:rsid w:val="003D7AB7"/>
    <w:rsid w:val="003D7BCA"/>
    <w:rsid w:val="003D7D83"/>
    <w:rsid w:val="003E02E0"/>
    <w:rsid w:val="003E0829"/>
    <w:rsid w:val="003E0ED7"/>
    <w:rsid w:val="003E0F1C"/>
    <w:rsid w:val="003E1898"/>
    <w:rsid w:val="003E1F6B"/>
    <w:rsid w:val="003E2C69"/>
    <w:rsid w:val="003E3CD9"/>
    <w:rsid w:val="003E500F"/>
    <w:rsid w:val="003E5265"/>
    <w:rsid w:val="003E5B51"/>
    <w:rsid w:val="003E6536"/>
    <w:rsid w:val="003E6815"/>
    <w:rsid w:val="003E782C"/>
    <w:rsid w:val="003E7BEE"/>
    <w:rsid w:val="003E7C47"/>
    <w:rsid w:val="003E7F2A"/>
    <w:rsid w:val="003F0955"/>
    <w:rsid w:val="003F0BDE"/>
    <w:rsid w:val="003F0D8F"/>
    <w:rsid w:val="003F0F98"/>
    <w:rsid w:val="003F112F"/>
    <w:rsid w:val="003F1363"/>
    <w:rsid w:val="003F1DB6"/>
    <w:rsid w:val="003F2417"/>
    <w:rsid w:val="003F2E27"/>
    <w:rsid w:val="003F317D"/>
    <w:rsid w:val="003F3750"/>
    <w:rsid w:val="003F39C3"/>
    <w:rsid w:val="003F3B52"/>
    <w:rsid w:val="003F42A5"/>
    <w:rsid w:val="003F4994"/>
    <w:rsid w:val="003F4E5C"/>
    <w:rsid w:val="003F580D"/>
    <w:rsid w:val="003F5F4D"/>
    <w:rsid w:val="003F646F"/>
    <w:rsid w:val="003F67FE"/>
    <w:rsid w:val="003F7AF1"/>
    <w:rsid w:val="00400C78"/>
    <w:rsid w:val="00400F00"/>
    <w:rsid w:val="00401345"/>
    <w:rsid w:val="00401AD5"/>
    <w:rsid w:val="00401D08"/>
    <w:rsid w:val="00402C70"/>
    <w:rsid w:val="00402C8F"/>
    <w:rsid w:val="0040426A"/>
    <w:rsid w:val="0040497C"/>
    <w:rsid w:val="00404B11"/>
    <w:rsid w:val="00404F8B"/>
    <w:rsid w:val="00405256"/>
    <w:rsid w:val="004059CF"/>
    <w:rsid w:val="00405F44"/>
    <w:rsid w:val="00406370"/>
    <w:rsid w:val="004064F0"/>
    <w:rsid w:val="0040663D"/>
    <w:rsid w:val="00406834"/>
    <w:rsid w:val="00406A0E"/>
    <w:rsid w:val="00407025"/>
    <w:rsid w:val="00407D95"/>
    <w:rsid w:val="00407DEA"/>
    <w:rsid w:val="00410031"/>
    <w:rsid w:val="00410350"/>
    <w:rsid w:val="004116BF"/>
    <w:rsid w:val="004119C9"/>
    <w:rsid w:val="004125F7"/>
    <w:rsid w:val="0041275B"/>
    <w:rsid w:val="00412797"/>
    <w:rsid w:val="00412818"/>
    <w:rsid w:val="004128C4"/>
    <w:rsid w:val="00412D84"/>
    <w:rsid w:val="00413F14"/>
    <w:rsid w:val="0041403F"/>
    <w:rsid w:val="00415098"/>
    <w:rsid w:val="004150CC"/>
    <w:rsid w:val="004154E7"/>
    <w:rsid w:val="00415C81"/>
    <w:rsid w:val="00415C84"/>
    <w:rsid w:val="00416358"/>
    <w:rsid w:val="00416EB1"/>
    <w:rsid w:val="00420133"/>
    <w:rsid w:val="00421096"/>
    <w:rsid w:val="004212F6"/>
    <w:rsid w:val="004216E8"/>
    <w:rsid w:val="00422EF8"/>
    <w:rsid w:val="0042384F"/>
    <w:rsid w:val="00424A94"/>
    <w:rsid w:val="00426AD0"/>
    <w:rsid w:val="00426FE3"/>
    <w:rsid w:val="00427041"/>
    <w:rsid w:val="0043037D"/>
    <w:rsid w:val="00430A10"/>
    <w:rsid w:val="00431052"/>
    <w:rsid w:val="00431112"/>
    <w:rsid w:val="004313DF"/>
    <w:rsid w:val="0043228B"/>
    <w:rsid w:val="00432378"/>
    <w:rsid w:val="00432420"/>
    <w:rsid w:val="004324D7"/>
    <w:rsid w:val="00432ECA"/>
    <w:rsid w:val="004341D0"/>
    <w:rsid w:val="004341DD"/>
    <w:rsid w:val="00434B6D"/>
    <w:rsid w:val="00437556"/>
    <w:rsid w:val="0044019A"/>
    <w:rsid w:val="004404A6"/>
    <w:rsid w:val="0044099F"/>
    <w:rsid w:val="00440A8D"/>
    <w:rsid w:val="00440D65"/>
    <w:rsid w:val="004420E1"/>
    <w:rsid w:val="0044267A"/>
    <w:rsid w:val="00442BCE"/>
    <w:rsid w:val="004435E6"/>
    <w:rsid w:val="00444228"/>
    <w:rsid w:val="0044499A"/>
    <w:rsid w:val="00444FF6"/>
    <w:rsid w:val="00445518"/>
    <w:rsid w:val="00445811"/>
    <w:rsid w:val="00445963"/>
    <w:rsid w:val="00445C16"/>
    <w:rsid w:val="0044608E"/>
    <w:rsid w:val="00446C9D"/>
    <w:rsid w:val="00447E31"/>
    <w:rsid w:val="00451EBB"/>
    <w:rsid w:val="0045248A"/>
    <w:rsid w:val="00452D67"/>
    <w:rsid w:val="004532B8"/>
    <w:rsid w:val="004537E2"/>
    <w:rsid w:val="00453923"/>
    <w:rsid w:val="00453F73"/>
    <w:rsid w:val="00454891"/>
    <w:rsid w:val="00454B2F"/>
    <w:rsid w:val="00454B9B"/>
    <w:rsid w:val="00455D90"/>
    <w:rsid w:val="00455DD7"/>
    <w:rsid w:val="00456A02"/>
    <w:rsid w:val="004570B4"/>
    <w:rsid w:val="00457858"/>
    <w:rsid w:val="004602D8"/>
    <w:rsid w:val="00460B0B"/>
    <w:rsid w:val="00460EA9"/>
    <w:rsid w:val="00461023"/>
    <w:rsid w:val="00461291"/>
    <w:rsid w:val="0046153C"/>
    <w:rsid w:val="00462DB8"/>
    <w:rsid w:val="00462FAC"/>
    <w:rsid w:val="0046408C"/>
    <w:rsid w:val="00464631"/>
    <w:rsid w:val="00464B79"/>
    <w:rsid w:val="00464E46"/>
    <w:rsid w:val="00465113"/>
    <w:rsid w:val="00465268"/>
    <w:rsid w:val="004662B1"/>
    <w:rsid w:val="00467B94"/>
    <w:rsid w:val="00467BBF"/>
    <w:rsid w:val="00470510"/>
    <w:rsid w:val="004705A3"/>
    <w:rsid w:val="004706D4"/>
    <w:rsid w:val="004711E5"/>
    <w:rsid w:val="00471C12"/>
    <w:rsid w:val="004720C5"/>
    <w:rsid w:val="004723DB"/>
    <w:rsid w:val="004724CB"/>
    <w:rsid w:val="00472B0F"/>
    <w:rsid w:val="004730C8"/>
    <w:rsid w:val="0047355F"/>
    <w:rsid w:val="00473B2A"/>
    <w:rsid w:val="00474915"/>
    <w:rsid w:val="004749B5"/>
    <w:rsid w:val="004756CD"/>
    <w:rsid w:val="004756FD"/>
    <w:rsid w:val="004760C3"/>
    <w:rsid w:val="00476FC3"/>
    <w:rsid w:val="0047718B"/>
    <w:rsid w:val="004800A3"/>
    <w:rsid w:val="004800B4"/>
    <w:rsid w:val="004815DF"/>
    <w:rsid w:val="00482496"/>
    <w:rsid w:val="00482C29"/>
    <w:rsid w:val="00482E5F"/>
    <w:rsid w:val="004830E9"/>
    <w:rsid w:val="0048356B"/>
    <w:rsid w:val="00483B93"/>
    <w:rsid w:val="00485925"/>
    <w:rsid w:val="0048593C"/>
    <w:rsid w:val="004867E2"/>
    <w:rsid w:val="004876B4"/>
    <w:rsid w:val="0049011A"/>
    <w:rsid w:val="00491750"/>
    <w:rsid w:val="00491EE1"/>
    <w:rsid w:val="00492987"/>
    <w:rsid w:val="004929A9"/>
    <w:rsid w:val="00492A48"/>
    <w:rsid w:val="00493DE4"/>
    <w:rsid w:val="00494152"/>
    <w:rsid w:val="004944E9"/>
    <w:rsid w:val="0049535C"/>
    <w:rsid w:val="00495449"/>
    <w:rsid w:val="00495755"/>
    <w:rsid w:val="00495A8B"/>
    <w:rsid w:val="0049608D"/>
    <w:rsid w:val="004968DA"/>
    <w:rsid w:val="004969D9"/>
    <w:rsid w:val="00496D20"/>
    <w:rsid w:val="00497BDB"/>
    <w:rsid w:val="004A0435"/>
    <w:rsid w:val="004A08D7"/>
    <w:rsid w:val="004A1E9F"/>
    <w:rsid w:val="004A245D"/>
    <w:rsid w:val="004A35A0"/>
    <w:rsid w:val="004A45F4"/>
    <w:rsid w:val="004A4A59"/>
    <w:rsid w:val="004A579C"/>
    <w:rsid w:val="004A5860"/>
    <w:rsid w:val="004A6F99"/>
    <w:rsid w:val="004A7014"/>
    <w:rsid w:val="004A744C"/>
    <w:rsid w:val="004A7651"/>
    <w:rsid w:val="004A78D9"/>
    <w:rsid w:val="004B034B"/>
    <w:rsid w:val="004B195F"/>
    <w:rsid w:val="004B2015"/>
    <w:rsid w:val="004B240F"/>
    <w:rsid w:val="004B2758"/>
    <w:rsid w:val="004B288D"/>
    <w:rsid w:val="004B320C"/>
    <w:rsid w:val="004B3387"/>
    <w:rsid w:val="004B4366"/>
    <w:rsid w:val="004B4378"/>
    <w:rsid w:val="004B46EB"/>
    <w:rsid w:val="004B586C"/>
    <w:rsid w:val="004B77C7"/>
    <w:rsid w:val="004C01A3"/>
    <w:rsid w:val="004C1148"/>
    <w:rsid w:val="004C12EA"/>
    <w:rsid w:val="004C1BCD"/>
    <w:rsid w:val="004C1DE1"/>
    <w:rsid w:val="004C2B93"/>
    <w:rsid w:val="004C2CCD"/>
    <w:rsid w:val="004C30EE"/>
    <w:rsid w:val="004C3799"/>
    <w:rsid w:val="004C4E1F"/>
    <w:rsid w:val="004C531B"/>
    <w:rsid w:val="004C5A19"/>
    <w:rsid w:val="004C61E8"/>
    <w:rsid w:val="004C66A8"/>
    <w:rsid w:val="004C6BCF"/>
    <w:rsid w:val="004C6BFD"/>
    <w:rsid w:val="004C6D86"/>
    <w:rsid w:val="004C74A1"/>
    <w:rsid w:val="004C78B9"/>
    <w:rsid w:val="004C7979"/>
    <w:rsid w:val="004C7DD5"/>
    <w:rsid w:val="004D103E"/>
    <w:rsid w:val="004D19FC"/>
    <w:rsid w:val="004D22F1"/>
    <w:rsid w:val="004D31D6"/>
    <w:rsid w:val="004D4794"/>
    <w:rsid w:val="004D4D7D"/>
    <w:rsid w:val="004D58BF"/>
    <w:rsid w:val="004D5DD3"/>
    <w:rsid w:val="004D65FC"/>
    <w:rsid w:val="004D7FD0"/>
    <w:rsid w:val="004E0973"/>
    <w:rsid w:val="004E0BF2"/>
    <w:rsid w:val="004E0D18"/>
    <w:rsid w:val="004E18D1"/>
    <w:rsid w:val="004E1F4F"/>
    <w:rsid w:val="004E2588"/>
    <w:rsid w:val="004E3088"/>
    <w:rsid w:val="004E3170"/>
    <w:rsid w:val="004E3F31"/>
    <w:rsid w:val="004E432A"/>
    <w:rsid w:val="004E4335"/>
    <w:rsid w:val="004E46A3"/>
    <w:rsid w:val="004E47D3"/>
    <w:rsid w:val="004E495D"/>
    <w:rsid w:val="004E4BCE"/>
    <w:rsid w:val="004E5919"/>
    <w:rsid w:val="004E69B8"/>
    <w:rsid w:val="004E6E24"/>
    <w:rsid w:val="004E7397"/>
    <w:rsid w:val="004F01CA"/>
    <w:rsid w:val="004F13EE"/>
    <w:rsid w:val="004F1519"/>
    <w:rsid w:val="004F1E01"/>
    <w:rsid w:val="004F2022"/>
    <w:rsid w:val="004F2687"/>
    <w:rsid w:val="004F26F7"/>
    <w:rsid w:val="004F30DB"/>
    <w:rsid w:val="004F33CD"/>
    <w:rsid w:val="004F3946"/>
    <w:rsid w:val="004F47BA"/>
    <w:rsid w:val="004F4863"/>
    <w:rsid w:val="004F4DDE"/>
    <w:rsid w:val="004F4E37"/>
    <w:rsid w:val="004F5307"/>
    <w:rsid w:val="004F6CB8"/>
    <w:rsid w:val="004F7A0E"/>
    <w:rsid w:val="004F7C05"/>
    <w:rsid w:val="005000EF"/>
    <w:rsid w:val="005016CA"/>
    <w:rsid w:val="00501C00"/>
    <w:rsid w:val="00501C94"/>
    <w:rsid w:val="005021AC"/>
    <w:rsid w:val="00502605"/>
    <w:rsid w:val="005032E6"/>
    <w:rsid w:val="005048A6"/>
    <w:rsid w:val="005063E2"/>
    <w:rsid w:val="00506432"/>
    <w:rsid w:val="00506E82"/>
    <w:rsid w:val="00507324"/>
    <w:rsid w:val="005077FE"/>
    <w:rsid w:val="00507A7D"/>
    <w:rsid w:val="00507C49"/>
    <w:rsid w:val="00510149"/>
    <w:rsid w:val="0051076C"/>
    <w:rsid w:val="00511371"/>
    <w:rsid w:val="0051324E"/>
    <w:rsid w:val="00513AED"/>
    <w:rsid w:val="00514415"/>
    <w:rsid w:val="0051454F"/>
    <w:rsid w:val="00514B4B"/>
    <w:rsid w:val="0051523E"/>
    <w:rsid w:val="00516D92"/>
    <w:rsid w:val="005174B9"/>
    <w:rsid w:val="00517663"/>
    <w:rsid w:val="00517A52"/>
    <w:rsid w:val="00517D62"/>
    <w:rsid w:val="00517EEA"/>
    <w:rsid w:val="005201A4"/>
    <w:rsid w:val="0052051D"/>
    <w:rsid w:val="00520A8D"/>
    <w:rsid w:val="005210AD"/>
    <w:rsid w:val="005211A6"/>
    <w:rsid w:val="00522D35"/>
    <w:rsid w:val="00523041"/>
    <w:rsid w:val="0052360C"/>
    <w:rsid w:val="00523797"/>
    <w:rsid w:val="0052454B"/>
    <w:rsid w:val="005249DC"/>
    <w:rsid w:val="0052581D"/>
    <w:rsid w:val="00525EF1"/>
    <w:rsid w:val="00526A76"/>
    <w:rsid w:val="00527388"/>
    <w:rsid w:val="00527761"/>
    <w:rsid w:val="00530110"/>
    <w:rsid w:val="00530701"/>
    <w:rsid w:val="00530D53"/>
    <w:rsid w:val="00531659"/>
    <w:rsid w:val="005332BF"/>
    <w:rsid w:val="0053352E"/>
    <w:rsid w:val="00533563"/>
    <w:rsid w:val="00533C9E"/>
    <w:rsid w:val="00533DB4"/>
    <w:rsid w:val="005342EF"/>
    <w:rsid w:val="00534A41"/>
    <w:rsid w:val="00534C70"/>
    <w:rsid w:val="00535065"/>
    <w:rsid w:val="0053601A"/>
    <w:rsid w:val="00536224"/>
    <w:rsid w:val="00536A0A"/>
    <w:rsid w:val="005370C5"/>
    <w:rsid w:val="00537955"/>
    <w:rsid w:val="00537AB7"/>
    <w:rsid w:val="005405BE"/>
    <w:rsid w:val="005405CC"/>
    <w:rsid w:val="00540D26"/>
    <w:rsid w:val="005411BC"/>
    <w:rsid w:val="005414FE"/>
    <w:rsid w:val="00541579"/>
    <w:rsid w:val="00541CF1"/>
    <w:rsid w:val="00541EC8"/>
    <w:rsid w:val="00541EE2"/>
    <w:rsid w:val="00541FCE"/>
    <w:rsid w:val="0054209E"/>
    <w:rsid w:val="00542240"/>
    <w:rsid w:val="00542A01"/>
    <w:rsid w:val="00542A83"/>
    <w:rsid w:val="00542B45"/>
    <w:rsid w:val="00543656"/>
    <w:rsid w:val="005442F9"/>
    <w:rsid w:val="005443B7"/>
    <w:rsid w:val="005449E8"/>
    <w:rsid w:val="00544C45"/>
    <w:rsid w:val="00545314"/>
    <w:rsid w:val="00545C9B"/>
    <w:rsid w:val="00545EE6"/>
    <w:rsid w:val="0054643F"/>
    <w:rsid w:val="005467E6"/>
    <w:rsid w:val="00547D2F"/>
    <w:rsid w:val="005505AE"/>
    <w:rsid w:val="005506D7"/>
    <w:rsid w:val="00550952"/>
    <w:rsid w:val="0055140E"/>
    <w:rsid w:val="00551933"/>
    <w:rsid w:val="00551947"/>
    <w:rsid w:val="005520C6"/>
    <w:rsid w:val="00552E13"/>
    <w:rsid w:val="00552FEB"/>
    <w:rsid w:val="0055377B"/>
    <w:rsid w:val="00554775"/>
    <w:rsid w:val="00554950"/>
    <w:rsid w:val="00554C53"/>
    <w:rsid w:val="005550E7"/>
    <w:rsid w:val="005551E4"/>
    <w:rsid w:val="005554E4"/>
    <w:rsid w:val="005558A7"/>
    <w:rsid w:val="00555B54"/>
    <w:rsid w:val="00555D29"/>
    <w:rsid w:val="005562E2"/>
    <w:rsid w:val="005564FB"/>
    <w:rsid w:val="005572C7"/>
    <w:rsid w:val="00557310"/>
    <w:rsid w:val="005616DC"/>
    <w:rsid w:val="005619CC"/>
    <w:rsid w:val="0056243D"/>
    <w:rsid w:val="00562568"/>
    <w:rsid w:val="005635E9"/>
    <w:rsid w:val="005639AF"/>
    <w:rsid w:val="00563D9B"/>
    <w:rsid w:val="00564434"/>
    <w:rsid w:val="005650ED"/>
    <w:rsid w:val="00565940"/>
    <w:rsid w:val="00566112"/>
    <w:rsid w:val="00566A1E"/>
    <w:rsid w:val="00566A45"/>
    <w:rsid w:val="00566EF0"/>
    <w:rsid w:val="0056722C"/>
    <w:rsid w:val="005679D7"/>
    <w:rsid w:val="005700A9"/>
    <w:rsid w:val="00571E08"/>
    <w:rsid w:val="005725B9"/>
    <w:rsid w:val="00572DBC"/>
    <w:rsid w:val="00573B2B"/>
    <w:rsid w:val="00575754"/>
    <w:rsid w:val="005759D1"/>
    <w:rsid w:val="00575D6A"/>
    <w:rsid w:val="00575DDD"/>
    <w:rsid w:val="00576090"/>
    <w:rsid w:val="00576187"/>
    <w:rsid w:val="00576ED1"/>
    <w:rsid w:val="0057755D"/>
    <w:rsid w:val="00577AF6"/>
    <w:rsid w:val="00577BD1"/>
    <w:rsid w:val="00580C37"/>
    <w:rsid w:val="00580DB5"/>
    <w:rsid w:val="00580EB5"/>
    <w:rsid w:val="005818D7"/>
    <w:rsid w:val="00581A2A"/>
    <w:rsid w:val="00581C45"/>
    <w:rsid w:val="00581FBA"/>
    <w:rsid w:val="005829D0"/>
    <w:rsid w:val="005842BB"/>
    <w:rsid w:val="0058514F"/>
    <w:rsid w:val="0058555B"/>
    <w:rsid w:val="005855CB"/>
    <w:rsid w:val="00585E49"/>
    <w:rsid w:val="00586003"/>
    <w:rsid w:val="00586E76"/>
    <w:rsid w:val="00587CF0"/>
    <w:rsid w:val="00590CD0"/>
    <w:rsid w:val="00590D46"/>
    <w:rsid w:val="005913FC"/>
    <w:rsid w:val="00591E20"/>
    <w:rsid w:val="00592129"/>
    <w:rsid w:val="0059291F"/>
    <w:rsid w:val="00593C2D"/>
    <w:rsid w:val="005941E3"/>
    <w:rsid w:val="00595333"/>
    <w:rsid w:val="00595408"/>
    <w:rsid w:val="00595E84"/>
    <w:rsid w:val="00597002"/>
    <w:rsid w:val="00597036"/>
    <w:rsid w:val="0059713A"/>
    <w:rsid w:val="005976D6"/>
    <w:rsid w:val="0059774D"/>
    <w:rsid w:val="00597955"/>
    <w:rsid w:val="005A004D"/>
    <w:rsid w:val="005A08DD"/>
    <w:rsid w:val="005A0931"/>
    <w:rsid w:val="005A0AEB"/>
    <w:rsid w:val="005A0C59"/>
    <w:rsid w:val="005A2C51"/>
    <w:rsid w:val="005A2DE9"/>
    <w:rsid w:val="005A4552"/>
    <w:rsid w:val="005A48EB"/>
    <w:rsid w:val="005A5145"/>
    <w:rsid w:val="005A535C"/>
    <w:rsid w:val="005A554B"/>
    <w:rsid w:val="005A658A"/>
    <w:rsid w:val="005A6CFB"/>
    <w:rsid w:val="005A6F12"/>
    <w:rsid w:val="005B0074"/>
    <w:rsid w:val="005B26D7"/>
    <w:rsid w:val="005B28DA"/>
    <w:rsid w:val="005B2D02"/>
    <w:rsid w:val="005B2FCB"/>
    <w:rsid w:val="005B2FDF"/>
    <w:rsid w:val="005B31F9"/>
    <w:rsid w:val="005B39F4"/>
    <w:rsid w:val="005B4FAA"/>
    <w:rsid w:val="005B52D3"/>
    <w:rsid w:val="005B5360"/>
    <w:rsid w:val="005B5ED1"/>
    <w:rsid w:val="005B5FA3"/>
    <w:rsid w:val="005B6184"/>
    <w:rsid w:val="005B6EF4"/>
    <w:rsid w:val="005B7743"/>
    <w:rsid w:val="005B7807"/>
    <w:rsid w:val="005C0EDE"/>
    <w:rsid w:val="005C1105"/>
    <w:rsid w:val="005C2287"/>
    <w:rsid w:val="005C2699"/>
    <w:rsid w:val="005C38B4"/>
    <w:rsid w:val="005C3ED1"/>
    <w:rsid w:val="005C4A67"/>
    <w:rsid w:val="005C5AEB"/>
    <w:rsid w:val="005C6B9F"/>
    <w:rsid w:val="005C7077"/>
    <w:rsid w:val="005D07DD"/>
    <w:rsid w:val="005D0BBE"/>
    <w:rsid w:val="005D200C"/>
    <w:rsid w:val="005D2150"/>
    <w:rsid w:val="005D2E9E"/>
    <w:rsid w:val="005D2FA4"/>
    <w:rsid w:val="005D33EA"/>
    <w:rsid w:val="005D43FB"/>
    <w:rsid w:val="005D5782"/>
    <w:rsid w:val="005D5CBE"/>
    <w:rsid w:val="005D638C"/>
    <w:rsid w:val="005D64D1"/>
    <w:rsid w:val="005D6DE8"/>
    <w:rsid w:val="005D7DDC"/>
    <w:rsid w:val="005E0A3F"/>
    <w:rsid w:val="005E1473"/>
    <w:rsid w:val="005E38BA"/>
    <w:rsid w:val="005E3FFD"/>
    <w:rsid w:val="005E4EA8"/>
    <w:rsid w:val="005E52D2"/>
    <w:rsid w:val="005E5E42"/>
    <w:rsid w:val="005E6883"/>
    <w:rsid w:val="005E7403"/>
    <w:rsid w:val="005E7643"/>
    <w:rsid w:val="005E772F"/>
    <w:rsid w:val="005E7FE8"/>
    <w:rsid w:val="005F0024"/>
    <w:rsid w:val="005F086B"/>
    <w:rsid w:val="005F11E4"/>
    <w:rsid w:val="005F1BDD"/>
    <w:rsid w:val="005F23B5"/>
    <w:rsid w:val="005F2425"/>
    <w:rsid w:val="005F2494"/>
    <w:rsid w:val="005F261E"/>
    <w:rsid w:val="005F28E8"/>
    <w:rsid w:val="005F3CE6"/>
    <w:rsid w:val="005F4525"/>
    <w:rsid w:val="005F48C8"/>
    <w:rsid w:val="005F4ECA"/>
    <w:rsid w:val="005F4F6A"/>
    <w:rsid w:val="005F4FED"/>
    <w:rsid w:val="005F5522"/>
    <w:rsid w:val="005F56DD"/>
    <w:rsid w:val="005F5D00"/>
    <w:rsid w:val="005F7BE3"/>
    <w:rsid w:val="005F7E10"/>
    <w:rsid w:val="005F7EFA"/>
    <w:rsid w:val="00600F2A"/>
    <w:rsid w:val="00601E54"/>
    <w:rsid w:val="00602ED4"/>
    <w:rsid w:val="006041BE"/>
    <w:rsid w:val="006043C7"/>
    <w:rsid w:val="00604D04"/>
    <w:rsid w:val="00604D33"/>
    <w:rsid w:val="00605054"/>
    <w:rsid w:val="0060562D"/>
    <w:rsid w:val="00605E3F"/>
    <w:rsid w:val="006066B7"/>
    <w:rsid w:val="00606722"/>
    <w:rsid w:val="00606881"/>
    <w:rsid w:val="00606BE4"/>
    <w:rsid w:val="006074CF"/>
    <w:rsid w:val="006075B6"/>
    <w:rsid w:val="00607893"/>
    <w:rsid w:val="00607E2A"/>
    <w:rsid w:val="006100FB"/>
    <w:rsid w:val="00610797"/>
    <w:rsid w:val="00610FB0"/>
    <w:rsid w:val="00611109"/>
    <w:rsid w:val="00612BEC"/>
    <w:rsid w:val="00612CED"/>
    <w:rsid w:val="006135EF"/>
    <w:rsid w:val="006137B8"/>
    <w:rsid w:val="00614D94"/>
    <w:rsid w:val="006159D5"/>
    <w:rsid w:val="00616AAB"/>
    <w:rsid w:val="00616FDC"/>
    <w:rsid w:val="00617058"/>
    <w:rsid w:val="006171F0"/>
    <w:rsid w:val="0061747F"/>
    <w:rsid w:val="006200F1"/>
    <w:rsid w:val="00620126"/>
    <w:rsid w:val="006208E9"/>
    <w:rsid w:val="00620DE0"/>
    <w:rsid w:val="00621B18"/>
    <w:rsid w:val="00621E25"/>
    <w:rsid w:val="0062275F"/>
    <w:rsid w:val="00622893"/>
    <w:rsid w:val="00623947"/>
    <w:rsid w:val="00624278"/>
    <w:rsid w:val="00624B52"/>
    <w:rsid w:val="00625357"/>
    <w:rsid w:val="006263B1"/>
    <w:rsid w:val="006266C9"/>
    <w:rsid w:val="00626C45"/>
    <w:rsid w:val="00626EAA"/>
    <w:rsid w:val="00627240"/>
    <w:rsid w:val="0062798C"/>
    <w:rsid w:val="00627A24"/>
    <w:rsid w:val="00630045"/>
    <w:rsid w:val="006303F2"/>
    <w:rsid w:val="00630559"/>
    <w:rsid w:val="00630794"/>
    <w:rsid w:val="006310AE"/>
    <w:rsid w:val="006310BE"/>
    <w:rsid w:val="00631100"/>
    <w:rsid w:val="00631658"/>
    <w:rsid w:val="006316C2"/>
    <w:rsid w:val="00631DF4"/>
    <w:rsid w:val="00631EB7"/>
    <w:rsid w:val="00632197"/>
    <w:rsid w:val="0063330A"/>
    <w:rsid w:val="00633CCE"/>
    <w:rsid w:val="00633F59"/>
    <w:rsid w:val="00634175"/>
    <w:rsid w:val="00634676"/>
    <w:rsid w:val="006348AD"/>
    <w:rsid w:val="00634ED4"/>
    <w:rsid w:val="00635239"/>
    <w:rsid w:val="00635B22"/>
    <w:rsid w:val="00637651"/>
    <w:rsid w:val="00640102"/>
    <w:rsid w:val="006408AC"/>
    <w:rsid w:val="00640AA4"/>
    <w:rsid w:val="00640C1E"/>
    <w:rsid w:val="00640C6B"/>
    <w:rsid w:val="0064125A"/>
    <w:rsid w:val="006414CD"/>
    <w:rsid w:val="0064178A"/>
    <w:rsid w:val="006425A5"/>
    <w:rsid w:val="00643749"/>
    <w:rsid w:val="006437F0"/>
    <w:rsid w:val="00643883"/>
    <w:rsid w:val="00644630"/>
    <w:rsid w:val="00644D79"/>
    <w:rsid w:val="00645257"/>
    <w:rsid w:val="00645346"/>
    <w:rsid w:val="00645473"/>
    <w:rsid w:val="00646692"/>
    <w:rsid w:val="00646DCA"/>
    <w:rsid w:val="0064767E"/>
    <w:rsid w:val="00650185"/>
    <w:rsid w:val="006503F3"/>
    <w:rsid w:val="006511B6"/>
    <w:rsid w:val="00651841"/>
    <w:rsid w:val="006519F1"/>
    <w:rsid w:val="00651A0B"/>
    <w:rsid w:val="00653D2C"/>
    <w:rsid w:val="006546ED"/>
    <w:rsid w:val="00654BD3"/>
    <w:rsid w:val="00654C5B"/>
    <w:rsid w:val="00654D69"/>
    <w:rsid w:val="00654E07"/>
    <w:rsid w:val="00654E2B"/>
    <w:rsid w:val="00654E4E"/>
    <w:rsid w:val="00654FC4"/>
    <w:rsid w:val="00655205"/>
    <w:rsid w:val="006562E1"/>
    <w:rsid w:val="00656672"/>
    <w:rsid w:val="00656919"/>
    <w:rsid w:val="00657416"/>
    <w:rsid w:val="00657AF7"/>
    <w:rsid w:val="00657FF8"/>
    <w:rsid w:val="00660328"/>
    <w:rsid w:val="00660EDD"/>
    <w:rsid w:val="006625E4"/>
    <w:rsid w:val="00662EBD"/>
    <w:rsid w:val="00663151"/>
    <w:rsid w:val="006638CC"/>
    <w:rsid w:val="006640FF"/>
    <w:rsid w:val="00664D78"/>
    <w:rsid w:val="00664E76"/>
    <w:rsid w:val="00665349"/>
    <w:rsid w:val="00665FE5"/>
    <w:rsid w:val="006675A1"/>
    <w:rsid w:val="0066763B"/>
    <w:rsid w:val="00670D99"/>
    <w:rsid w:val="00670E2B"/>
    <w:rsid w:val="0067276B"/>
    <w:rsid w:val="006730F4"/>
    <w:rsid w:val="006732E0"/>
    <w:rsid w:val="006734BB"/>
    <w:rsid w:val="00673CC5"/>
    <w:rsid w:val="00673F83"/>
    <w:rsid w:val="006749C8"/>
    <w:rsid w:val="00674EB4"/>
    <w:rsid w:val="00674F62"/>
    <w:rsid w:val="00675A50"/>
    <w:rsid w:val="00675D12"/>
    <w:rsid w:val="0067613F"/>
    <w:rsid w:val="006762F1"/>
    <w:rsid w:val="00676492"/>
    <w:rsid w:val="006767B4"/>
    <w:rsid w:val="0067697A"/>
    <w:rsid w:val="00676CEB"/>
    <w:rsid w:val="00676F19"/>
    <w:rsid w:val="006777DB"/>
    <w:rsid w:val="00680023"/>
    <w:rsid w:val="00680D2C"/>
    <w:rsid w:val="00681D71"/>
    <w:rsid w:val="006821EB"/>
    <w:rsid w:val="00682681"/>
    <w:rsid w:val="00683B82"/>
    <w:rsid w:val="00684BA2"/>
    <w:rsid w:val="00684C36"/>
    <w:rsid w:val="00684F24"/>
    <w:rsid w:val="00686582"/>
    <w:rsid w:val="0068664D"/>
    <w:rsid w:val="0068789E"/>
    <w:rsid w:val="0068798D"/>
    <w:rsid w:val="00687C27"/>
    <w:rsid w:val="00687D57"/>
    <w:rsid w:val="00687DD4"/>
    <w:rsid w:val="00687E26"/>
    <w:rsid w:val="00690404"/>
    <w:rsid w:val="00690A60"/>
    <w:rsid w:val="006924DF"/>
    <w:rsid w:val="00692596"/>
    <w:rsid w:val="00692BAB"/>
    <w:rsid w:val="00692F8A"/>
    <w:rsid w:val="00693873"/>
    <w:rsid w:val="006939F3"/>
    <w:rsid w:val="00694A18"/>
    <w:rsid w:val="00694E13"/>
    <w:rsid w:val="006958E3"/>
    <w:rsid w:val="00695CF0"/>
    <w:rsid w:val="00695FA8"/>
    <w:rsid w:val="00697447"/>
    <w:rsid w:val="00697BE9"/>
    <w:rsid w:val="006A0122"/>
    <w:rsid w:val="006A088E"/>
    <w:rsid w:val="006A1249"/>
    <w:rsid w:val="006A16D4"/>
    <w:rsid w:val="006A18D1"/>
    <w:rsid w:val="006A1A29"/>
    <w:rsid w:val="006A2688"/>
    <w:rsid w:val="006A2B60"/>
    <w:rsid w:val="006A2FF3"/>
    <w:rsid w:val="006A31AF"/>
    <w:rsid w:val="006A3D29"/>
    <w:rsid w:val="006A4BCE"/>
    <w:rsid w:val="006A5582"/>
    <w:rsid w:val="006A5CA3"/>
    <w:rsid w:val="006A5D8E"/>
    <w:rsid w:val="006A702A"/>
    <w:rsid w:val="006A729D"/>
    <w:rsid w:val="006A75D6"/>
    <w:rsid w:val="006A7FEF"/>
    <w:rsid w:val="006B11CD"/>
    <w:rsid w:val="006B15D0"/>
    <w:rsid w:val="006B1A27"/>
    <w:rsid w:val="006B1BA7"/>
    <w:rsid w:val="006B2023"/>
    <w:rsid w:val="006B2286"/>
    <w:rsid w:val="006B27FE"/>
    <w:rsid w:val="006B2D57"/>
    <w:rsid w:val="006B33DE"/>
    <w:rsid w:val="006B3B0B"/>
    <w:rsid w:val="006B470D"/>
    <w:rsid w:val="006B4A8A"/>
    <w:rsid w:val="006B56BB"/>
    <w:rsid w:val="006B5B56"/>
    <w:rsid w:val="006B5E77"/>
    <w:rsid w:val="006B65A2"/>
    <w:rsid w:val="006B73E4"/>
    <w:rsid w:val="006B7BC5"/>
    <w:rsid w:val="006C03A5"/>
    <w:rsid w:val="006C1C40"/>
    <w:rsid w:val="006C1CD5"/>
    <w:rsid w:val="006C25C7"/>
    <w:rsid w:val="006C3776"/>
    <w:rsid w:val="006C38C6"/>
    <w:rsid w:val="006C4325"/>
    <w:rsid w:val="006C4890"/>
    <w:rsid w:val="006C4C6A"/>
    <w:rsid w:val="006C4D4D"/>
    <w:rsid w:val="006C5051"/>
    <w:rsid w:val="006C514B"/>
    <w:rsid w:val="006C522E"/>
    <w:rsid w:val="006C556C"/>
    <w:rsid w:val="006C6700"/>
    <w:rsid w:val="006C6C9B"/>
    <w:rsid w:val="006C77A8"/>
    <w:rsid w:val="006D00E1"/>
    <w:rsid w:val="006D1050"/>
    <w:rsid w:val="006D1B7C"/>
    <w:rsid w:val="006D2227"/>
    <w:rsid w:val="006D240B"/>
    <w:rsid w:val="006D2AC1"/>
    <w:rsid w:val="006D335E"/>
    <w:rsid w:val="006D3521"/>
    <w:rsid w:val="006D35B2"/>
    <w:rsid w:val="006D3904"/>
    <w:rsid w:val="006D3A40"/>
    <w:rsid w:val="006D3C99"/>
    <w:rsid w:val="006D4098"/>
    <w:rsid w:val="006D4D3D"/>
    <w:rsid w:val="006D59EB"/>
    <w:rsid w:val="006D61AF"/>
    <w:rsid w:val="006D724A"/>
    <w:rsid w:val="006D732B"/>
    <w:rsid w:val="006D7681"/>
    <w:rsid w:val="006D778A"/>
    <w:rsid w:val="006D7B2E"/>
    <w:rsid w:val="006D7C2F"/>
    <w:rsid w:val="006E02EA"/>
    <w:rsid w:val="006E040F"/>
    <w:rsid w:val="006E0968"/>
    <w:rsid w:val="006E0D21"/>
    <w:rsid w:val="006E0F46"/>
    <w:rsid w:val="006E2110"/>
    <w:rsid w:val="006E2AF6"/>
    <w:rsid w:val="006E3686"/>
    <w:rsid w:val="006E4732"/>
    <w:rsid w:val="006E4740"/>
    <w:rsid w:val="006E4FA9"/>
    <w:rsid w:val="006E60EF"/>
    <w:rsid w:val="006E63F9"/>
    <w:rsid w:val="006E76CF"/>
    <w:rsid w:val="006E7C2C"/>
    <w:rsid w:val="006F0936"/>
    <w:rsid w:val="006F0DA6"/>
    <w:rsid w:val="006F110C"/>
    <w:rsid w:val="006F14DD"/>
    <w:rsid w:val="006F176C"/>
    <w:rsid w:val="006F2610"/>
    <w:rsid w:val="006F3933"/>
    <w:rsid w:val="006F457E"/>
    <w:rsid w:val="006F4725"/>
    <w:rsid w:val="006F5DFC"/>
    <w:rsid w:val="006F6AAB"/>
    <w:rsid w:val="006F7184"/>
    <w:rsid w:val="006F79FB"/>
    <w:rsid w:val="007006AD"/>
    <w:rsid w:val="007006FB"/>
    <w:rsid w:val="00700D0C"/>
    <w:rsid w:val="00700F1E"/>
    <w:rsid w:val="00701078"/>
    <w:rsid w:val="00701275"/>
    <w:rsid w:val="0070171A"/>
    <w:rsid w:val="00701DD7"/>
    <w:rsid w:val="007020E8"/>
    <w:rsid w:val="007022A7"/>
    <w:rsid w:val="00702D5F"/>
    <w:rsid w:val="00702EA1"/>
    <w:rsid w:val="0070346B"/>
    <w:rsid w:val="00704913"/>
    <w:rsid w:val="00704C4D"/>
    <w:rsid w:val="00705650"/>
    <w:rsid w:val="0070578A"/>
    <w:rsid w:val="0070579D"/>
    <w:rsid w:val="00705807"/>
    <w:rsid w:val="00705BB4"/>
    <w:rsid w:val="0070652F"/>
    <w:rsid w:val="007065FE"/>
    <w:rsid w:val="00706CCC"/>
    <w:rsid w:val="00707C9B"/>
    <w:rsid w:val="00707F56"/>
    <w:rsid w:val="00711B6D"/>
    <w:rsid w:val="007121B1"/>
    <w:rsid w:val="00712636"/>
    <w:rsid w:val="0071276D"/>
    <w:rsid w:val="00712A98"/>
    <w:rsid w:val="00713036"/>
    <w:rsid w:val="007132A4"/>
    <w:rsid w:val="007132D1"/>
    <w:rsid w:val="00713558"/>
    <w:rsid w:val="00714066"/>
    <w:rsid w:val="0071547A"/>
    <w:rsid w:val="007159DC"/>
    <w:rsid w:val="00715DC5"/>
    <w:rsid w:val="00715EB9"/>
    <w:rsid w:val="00716249"/>
    <w:rsid w:val="00716FC7"/>
    <w:rsid w:val="007171B0"/>
    <w:rsid w:val="00717221"/>
    <w:rsid w:val="0071752F"/>
    <w:rsid w:val="007177FA"/>
    <w:rsid w:val="00717FFB"/>
    <w:rsid w:val="00720408"/>
    <w:rsid w:val="00720B75"/>
    <w:rsid w:val="00720D08"/>
    <w:rsid w:val="007210DD"/>
    <w:rsid w:val="00721CDD"/>
    <w:rsid w:val="00722348"/>
    <w:rsid w:val="00722FC8"/>
    <w:rsid w:val="007240F4"/>
    <w:rsid w:val="00725D62"/>
    <w:rsid w:val="00725F6B"/>
    <w:rsid w:val="007261BD"/>
    <w:rsid w:val="007263B9"/>
    <w:rsid w:val="00726EAB"/>
    <w:rsid w:val="007272FC"/>
    <w:rsid w:val="007275BC"/>
    <w:rsid w:val="00727925"/>
    <w:rsid w:val="00727A74"/>
    <w:rsid w:val="00727A93"/>
    <w:rsid w:val="00730136"/>
    <w:rsid w:val="0073062E"/>
    <w:rsid w:val="007309E0"/>
    <w:rsid w:val="007309E9"/>
    <w:rsid w:val="00731E10"/>
    <w:rsid w:val="00732853"/>
    <w:rsid w:val="00732CB9"/>
    <w:rsid w:val="00732FF1"/>
    <w:rsid w:val="007334F8"/>
    <w:rsid w:val="00733701"/>
    <w:rsid w:val="007339CD"/>
    <w:rsid w:val="00733AB6"/>
    <w:rsid w:val="007349A8"/>
    <w:rsid w:val="00734C2D"/>
    <w:rsid w:val="00734CD5"/>
    <w:rsid w:val="007350EE"/>
    <w:rsid w:val="007359D8"/>
    <w:rsid w:val="007362D4"/>
    <w:rsid w:val="00736BA9"/>
    <w:rsid w:val="00737DA2"/>
    <w:rsid w:val="00737FB7"/>
    <w:rsid w:val="00740DCB"/>
    <w:rsid w:val="007416D4"/>
    <w:rsid w:val="00741DFF"/>
    <w:rsid w:val="00742F3F"/>
    <w:rsid w:val="00743634"/>
    <w:rsid w:val="00743A75"/>
    <w:rsid w:val="00743F03"/>
    <w:rsid w:val="007447D5"/>
    <w:rsid w:val="00744DBD"/>
    <w:rsid w:val="00745F9B"/>
    <w:rsid w:val="00747407"/>
    <w:rsid w:val="0074745F"/>
    <w:rsid w:val="00747890"/>
    <w:rsid w:val="0075080B"/>
    <w:rsid w:val="007508C9"/>
    <w:rsid w:val="00750FAD"/>
    <w:rsid w:val="007518C2"/>
    <w:rsid w:val="0075297F"/>
    <w:rsid w:val="00753559"/>
    <w:rsid w:val="007538BE"/>
    <w:rsid w:val="00753E77"/>
    <w:rsid w:val="00754928"/>
    <w:rsid w:val="00755001"/>
    <w:rsid w:val="00755572"/>
    <w:rsid w:val="007566BA"/>
    <w:rsid w:val="00757358"/>
    <w:rsid w:val="00757AEC"/>
    <w:rsid w:val="0076196E"/>
    <w:rsid w:val="00761F6A"/>
    <w:rsid w:val="007629D7"/>
    <w:rsid w:val="00762F2C"/>
    <w:rsid w:val="00763CA9"/>
    <w:rsid w:val="00763E57"/>
    <w:rsid w:val="00765397"/>
    <w:rsid w:val="0076580E"/>
    <w:rsid w:val="00766163"/>
    <w:rsid w:val="0076672A"/>
    <w:rsid w:val="007670FA"/>
    <w:rsid w:val="007672FD"/>
    <w:rsid w:val="00767DB1"/>
    <w:rsid w:val="00771048"/>
    <w:rsid w:val="007719C8"/>
    <w:rsid w:val="0077347D"/>
    <w:rsid w:val="007737DC"/>
    <w:rsid w:val="007741BC"/>
    <w:rsid w:val="00775428"/>
    <w:rsid w:val="007755C3"/>
    <w:rsid w:val="00775BE1"/>
    <w:rsid w:val="00775C24"/>
    <w:rsid w:val="00775E45"/>
    <w:rsid w:val="00776396"/>
    <w:rsid w:val="007767CA"/>
    <w:rsid w:val="0077683E"/>
    <w:rsid w:val="00776E74"/>
    <w:rsid w:val="007800E3"/>
    <w:rsid w:val="0078027A"/>
    <w:rsid w:val="0078064E"/>
    <w:rsid w:val="00780852"/>
    <w:rsid w:val="007817AC"/>
    <w:rsid w:val="007817CC"/>
    <w:rsid w:val="00781AAC"/>
    <w:rsid w:val="00781E88"/>
    <w:rsid w:val="00782D25"/>
    <w:rsid w:val="007844F8"/>
    <w:rsid w:val="00784650"/>
    <w:rsid w:val="00784A2A"/>
    <w:rsid w:val="00784F00"/>
    <w:rsid w:val="00785169"/>
    <w:rsid w:val="007854CF"/>
    <w:rsid w:val="007858AD"/>
    <w:rsid w:val="007873AB"/>
    <w:rsid w:val="007878B3"/>
    <w:rsid w:val="0079070B"/>
    <w:rsid w:val="00790781"/>
    <w:rsid w:val="00790A81"/>
    <w:rsid w:val="007923B3"/>
    <w:rsid w:val="00792BCE"/>
    <w:rsid w:val="00792D63"/>
    <w:rsid w:val="007937A4"/>
    <w:rsid w:val="00793E40"/>
    <w:rsid w:val="00794473"/>
    <w:rsid w:val="0079507C"/>
    <w:rsid w:val="00795423"/>
    <w:rsid w:val="007954AB"/>
    <w:rsid w:val="00795A10"/>
    <w:rsid w:val="007968ED"/>
    <w:rsid w:val="00796EF0"/>
    <w:rsid w:val="007A03AC"/>
    <w:rsid w:val="007A0A1F"/>
    <w:rsid w:val="007A14C5"/>
    <w:rsid w:val="007A17E8"/>
    <w:rsid w:val="007A26CE"/>
    <w:rsid w:val="007A3084"/>
    <w:rsid w:val="007A3F58"/>
    <w:rsid w:val="007A4196"/>
    <w:rsid w:val="007A4947"/>
    <w:rsid w:val="007A4A10"/>
    <w:rsid w:val="007A663F"/>
    <w:rsid w:val="007A70CE"/>
    <w:rsid w:val="007A7C79"/>
    <w:rsid w:val="007A7E95"/>
    <w:rsid w:val="007B02C0"/>
    <w:rsid w:val="007B045A"/>
    <w:rsid w:val="007B1760"/>
    <w:rsid w:val="007B197A"/>
    <w:rsid w:val="007B225C"/>
    <w:rsid w:val="007B39D1"/>
    <w:rsid w:val="007B594A"/>
    <w:rsid w:val="007B6E0B"/>
    <w:rsid w:val="007B7130"/>
    <w:rsid w:val="007B7551"/>
    <w:rsid w:val="007B7846"/>
    <w:rsid w:val="007C0EA8"/>
    <w:rsid w:val="007C12AB"/>
    <w:rsid w:val="007C1FDC"/>
    <w:rsid w:val="007C27B1"/>
    <w:rsid w:val="007C3647"/>
    <w:rsid w:val="007C37FB"/>
    <w:rsid w:val="007C3D87"/>
    <w:rsid w:val="007C4140"/>
    <w:rsid w:val="007C46C0"/>
    <w:rsid w:val="007C49FD"/>
    <w:rsid w:val="007C4ED1"/>
    <w:rsid w:val="007C4F39"/>
    <w:rsid w:val="007C5EED"/>
    <w:rsid w:val="007C6D9C"/>
    <w:rsid w:val="007C6EA1"/>
    <w:rsid w:val="007C72B2"/>
    <w:rsid w:val="007C7DDB"/>
    <w:rsid w:val="007C7EEE"/>
    <w:rsid w:val="007D0046"/>
    <w:rsid w:val="007D0288"/>
    <w:rsid w:val="007D16EE"/>
    <w:rsid w:val="007D2866"/>
    <w:rsid w:val="007D2CC7"/>
    <w:rsid w:val="007D4070"/>
    <w:rsid w:val="007D4439"/>
    <w:rsid w:val="007D446C"/>
    <w:rsid w:val="007D4F8E"/>
    <w:rsid w:val="007D5A47"/>
    <w:rsid w:val="007D6149"/>
    <w:rsid w:val="007D6499"/>
    <w:rsid w:val="007D673D"/>
    <w:rsid w:val="007D6B35"/>
    <w:rsid w:val="007D76DB"/>
    <w:rsid w:val="007E044C"/>
    <w:rsid w:val="007E0C4D"/>
    <w:rsid w:val="007E0FB8"/>
    <w:rsid w:val="007E1769"/>
    <w:rsid w:val="007E1C71"/>
    <w:rsid w:val="007E2A2C"/>
    <w:rsid w:val="007E45FF"/>
    <w:rsid w:val="007E492A"/>
    <w:rsid w:val="007E4D09"/>
    <w:rsid w:val="007E4DD2"/>
    <w:rsid w:val="007E6309"/>
    <w:rsid w:val="007E6638"/>
    <w:rsid w:val="007E6A5E"/>
    <w:rsid w:val="007E6CE0"/>
    <w:rsid w:val="007F09C7"/>
    <w:rsid w:val="007F125E"/>
    <w:rsid w:val="007F1473"/>
    <w:rsid w:val="007F18AB"/>
    <w:rsid w:val="007F1940"/>
    <w:rsid w:val="007F2220"/>
    <w:rsid w:val="007F23D6"/>
    <w:rsid w:val="007F2B0F"/>
    <w:rsid w:val="007F2F2E"/>
    <w:rsid w:val="007F39F7"/>
    <w:rsid w:val="007F439B"/>
    <w:rsid w:val="007F4401"/>
    <w:rsid w:val="007F4AD7"/>
    <w:rsid w:val="007F4B3E"/>
    <w:rsid w:val="007F55F9"/>
    <w:rsid w:val="007F5AF5"/>
    <w:rsid w:val="007F679F"/>
    <w:rsid w:val="007F6823"/>
    <w:rsid w:val="007F682D"/>
    <w:rsid w:val="007F69AE"/>
    <w:rsid w:val="007F7817"/>
    <w:rsid w:val="007F7CBD"/>
    <w:rsid w:val="007F7CD2"/>
    <w:rsid w:val="007F7FC2"/>
    <w:rsid w:val="00801096"/>
    <w:rsid w:val="00801869"/>
    <w:rsid w:val="00802091"/>
    <w:rsid w:val="00803014"/>
    <w:rsid w:val="00803E72"/>
    <w:rsid w:val="0080421F"/>
    <w:rsid w:val="00804AD8"/>
    <w:rsid w:val="008050AA"/>
    <w:rsid w:val="0080533F"/>
    <w:rsid w:val="008064D1"/>
    <w:rsid w:val="00806B7A"/>
    <w:rsid w:val="008104A4"/>
    <w:rsid w:val="00810F51"/>
    <w:rsid w:val="008111C0"/>
    <w:rsid w:val="00811231"/>
    <w:rsid w:val="00811485"/>
    <w:rsid w:val="0081198D"/>
    <w:rsid w:val="00811B53"/>
    <w:rsid w:val="00811D35"/>
    <w:rsid w:val="008127AF"/>
    <w:rsid w:val="00812B46"/>
    <w:rsid w:val="00812DDB"/>
    <w:rsid w:val="00813989"/>
    <w:rsid w:val="00814BCE"/>
    <w:rsid w:val="00815700"/>
    <w:rsid w:val="00815BF5"/>
    <w:rsid w:val="00816466"/>
    <w:rsid w:val="008166D5"/>
    <w:rsid w:val="00817C73"/>
    <w:rsid w:val="00820C11"/>
    <w:rsid w:val="00820C9D"/>
    <w:rsid w:val="00821238"/>
    <w:rsid w:val="008213B5"/>
    <w:rsid w:val="00822314"/>
    <w:rsid w:val="0082246B"/>
    <w:rsid w:val="00822CD7"/>
    <w:rsid w:val="008230AA"/>
    <w:rsid w:val="0082348B"/>
    <w:rsid w:val="00823532"/>
    <w:rsid w:val="00824681"/>
    <w:rsid w:val="00825AFC"/>
    <w:rsid w:val="00826392"/>
    <w:rsid w:val="00826427"/>
    <w:rsid w:val="008264EB"/>
    <w:rsid w:val="008268FD"/>
    <w:rsid w:val="00826B8F"/>
    <w:rsid w:val="00826DF3"/>
    <w:rsid w:val="0082754B"/>
    <w:rsid w:val="008279B3"/>
    <w:rsid w:val="008309F2"/>
    <w:rsid w:val="008311FA"/>
    <w:rsid w:val="0083184D"/>
    <w:rsid w:val="00831E8A"/>
    <w:rsid w:val="00832C5C"/>
    <w:rsid w:val="00833602"/>
    <w:rsid w:val="00833BED"/>
    <w:rsid w:val="00833C0A"/>
    <w:rsid w:val="0083450C"/>
    <w:rsid w:val="0083485E"/>
    <w:rsid w:val="0083557C"/>
    <w:rsid w:val="00835C76"/>
    <w:rsid w:val="008376E2"/>
    <w:rsid w:val="008378D0"/>
    <w:rsid w:val="00837F74"/>
    <w:rsid w:val="00840004"/>
    <w:rsid w:val="008401C1"/>
    <w:rsid w:val="00840FCD"/>
    <w:rsid w:val="008410BE"/>
    <w:rsid w:val="00841587"/>
    <w:rsid w:val="008417A4"/>
    <w:rsid w:val="00841B71"/>
    <w:rsid w:val="00842423"/>
    <w:rsid w:val="00842811"/>
    <w:rsid w:val="00843049"/>
    <w:rsid w:val="008430E2"/>
    <w:rsid w:val="00843881"/>
    <w:rsid w:val="00843D4F"/>
    <w:rsid w:val="00844BD1"/>
    <w:rsid w:val="0084516C"/>
    <w:rsid w:val="0084529F"/>
    <w:rsid w:val="00845A67"/>
    <w:rsid w:val="00846091"/>
    <w:rsid w:val="00847577"/>
    <w:rsid w:val="00847EB2"/>
    <w:rsid w:val="00851F2D"/>
    <w:rsid w:val="0085209B"/>
    <w:rsid w:val="00852438"/>
    <w:rsid w:val="0085245C"/>
    <w:rsid w:val="008533F3"/>
    <w:rsid w:val="0085348D"/>
    <w:rsid w:val="00854802"/>
    <w:rsid w:val="0085503E"/>
    <w:rsid w:val="008551C5"/>
    <w:rsid w:val="008554B2"/>
    <w:rsid w:val="008563EC"/>
    <w:rsid w:val="00856B66"/>
    <w:rsid w:val="00857325"/>
    <w:rsid w:val="00857478"/>
    <w:rsid w:val="0085761C"/>
    <w:rsid w:val="008576D2"/>
    <w:rsid w:val="008578B3"/>
    <w:rsid w:val="00857BBF"/>
    <w:rsid w:val="008601AC"/>
    <w:rsid w:val="00860D6F"/>
    <w:rsid w:val="008613C5"/>
    <w:rsid w:val="00861A5F"/>
    <w:rsid w:val="0086211F"/>
    <w:rsid w:val="0086276C"/>
    <w:rsid w:val="00862815"/>
    <w:rsid w:val="0086289B"/>
    <w:rsid w:val="00862B07"/>
    <w:rsid w:val="0086329D"/>
    <w:rsid w:val="00864146"/>
    <w:rsid w:val="008644AD"/>
    <w:rsid w:val="00864B61"/>
    <w:rsid w:val="00864D66"/>
    <w:rsid w:val="00864F80"/>
    <w:rsid w:val="00865735"/>
    <w:rsid w:val="00865DDB"/>
    <w:rsid w:val="00865E12"/>
    <w:rsid w:val="0086681D"/>
    <w:rsid w:val="00867538"/>
    <w:rsid w:val="0086785C"/>
    <w:rsid w:val="00867C8E"/>
    <w:rsid w:val="00867D8A"/>
    <w:rsid w:val="00867F71"/>
    <w:rsid w:val="008707D7"/>
    <w:rsid w:val="008709EB"/>
    <w:rsid w:val="00872B58"/>
    <w:rsid w:val="00872F8E"/>
    <w:rsid w:val="00873808"/>
    <w:rsid w:val="00873D90"/>
    <w:rsid w:val="00873FC8"/>
    <w:rsid w:val="00875237"/>
    <w:rsid w:val="00875240"/>
    <w:rsid w:val="008754BE"/>
    <w:rsid w:val="00875658"/>
    <w:rsid w:val="008762D3"/>
    <w:rsid w:val="00876B0D"/>
    <w:rsid w:val="00876D35"/>
    <w:rsid w:val="0087780F"/>
    <w:rsid w:val="00877A11"/>
    <w:rsid w:val="00880081"/>
    <w:rsid w:val="008809B7"/>
    <w:rsid w:val="00880C1C"/>
    <w:rsid w:val="00880E58"/>
    <w:rsid w:val="00881139"/>
    <w:rsid w:val="008816E5"/>
    <w:rsid w:val="008816F7"/>
    <w:rsid w:val="00881C17"/>
    <w:rsid w:val="00881C32"/>
    <w:rsid w:val="00882228"/>
    <w:rsid w:val="008829C2"/>
    <w:rsid w:val="0088464C"/>
    <w:rsid w:val="00884C63"/>
    <w:rsid w:val="00885258"/>
    <w:rsid w:val="00885748"/>
    <w:rsid w:val="00885908"/>
    <w:rsid w:val="00885C92"/>
    <w:rsid w:val="00885F1D"/>
    <w:rsid w:val="008864B7"/>
    <w:rsid w:val="00886F00"/>
    <w:rsid w:val="008874BF"/>
    <w:rsid w:val="00887806"/>
    <w:rsid w:val="00890688"/>
    <w:rsid w:val="008914D2"/>
    <w:rsid w:val="00891895"/>
    <w:rsid w:val="0089204D"/>
    <w:rsid w:val="00892131"/>
    <w:rsid w:val="008927A8"/>
    <w:rsid w:val="00893966"/>
    <w:rsid w:val="00893FB5"/>
    <w:rsid w:val="00894346"/>
    <w:rsid w:val="008950DF"/>
    <w:rsid w:val="00895217"/>
    <w:rsid w:val="008954C8"/>
    <w:rsid w:val="008956F0"/>
    <w:rsid w:val="0089677E"/>
    <w:rsid w:val="008969AA"/>
    <w:rsid w:val="008969ED"/>
    <w:rsid w:val="008972AE"/>
    <w:rsid w:val="008A0369"/>
    <w:rsid w:val="008A071D"/>
    <w:rsid w:val="008A10A4"/>
    <w:rsid w:val="008A1203"/>
    <w:rsid w:val="008A1552"/>
    <w:rsid w:val="008A1564"/>
    <w:rsid w:val="008A1AF3"/>
    <w:rsid w:val="008A29BF"/>
    <w:rsid w:val="008A2DA7"/>
    <w:rsid w:val="008A3638"/>
    <w:rsid w:val="008A4BEC"/>
    <w:rsid w:val="008A5558"/>
    <w:rsid w:val="008A59AF"/>
    <w:rsid w:val="008A6072"/>
    <w:rsid w:val="008A629B"/>
    <w:rsid w:val="008A7438"/>
    <w:rsid w:val="008A7DA9"/>
    <w:rsid w:val="008B06C4"/>
    <w:rsid w:val="008B0D73"/>
    <w:rsid w:val="008B1334"/>
    <w:rsid w:val="008B13A8"/>
    <w:rsid w:val="008B15D9"/>
    <w:rsid w:val="008B187F"/>
    <w:rsid w:val="008B25C7"/>
    <w:rsid w:val="008B2729"/>
    <w:rsid w:val="008B2B4E"/>
    <w:rsid w:val="008B315E"/>
    <w:rsid w:val="008B373C"/>
    <w:rsid w:val="008B3933"/>
    <w:rsid w:val="008B40D5"/>
    <w:rsid w:val="008B43B1"/>
    <w:rsid w:val="008B4876"/>
    <w:rsid w:val="008B4A89"/>
    <w:rsid w:val="008B4CE2"/>
    <w:rsid w:val="008B4F49"/>
    <w:rsid w:val="008B509E"/>
    <w:rsid w:val="008B66C9"/>
    <w:rsid w:val="008B66F4"/>
    <w:rsid w:val="008C0278"/>
    <w:rsid w:val="008C04DC"/>
    <w:rsid w:val="008C10F3"/>
    <w:rsid w:val="008C137B"/>
    <w:rsid w:val="008C1CC8"/>
    <w:rsid w:val="008C24E9"/>
    <w:rsid w:val="008C342B"/>
    <w:rsid w:val="008C53B2"/>
    <w:rsid w:val="008C6867"/>
    <w:rsid w:val="008C6ADE"/>
    <w:rsid w:val="008C6AF7"/>
    <w:rsid w:val="008C73A7"/>
    <w:rsid w:val="008C7E66"/>
    <w:rsid w:val="008D0005"/>
    <w:rsid w:val="008D0533"/>
    <w:rsid w:val="008D0E4C"/>
    <w:rsid w:val="008D0FED"/>
    <w:rsid w:val="008D10AE"/>
    <w:rsid w:val="008D1328"/>
    <w:rsid w:val="008D1606"/>
    <w:rsid w:val="008D1861"/>
    <w:rsid w:val="008D27BD"/>
    <w:rsid w:val="008D2DC4"/>
    <w:rsid w:val="008D302D"/>
    <w:rsid w:val="008D35D1"/>
    <w:rsid w:val="008D375D"/>
    <w:rsid w:val="008D3DAE"/>
    <w:rsid w:val="008D42CB"/>
    <w:rsid w:val="008D48C9"/>
    <w:rsid w:val="008D6096"/>
    <w:rsid w:val="008D6381"/>
    <w:rsid w:val="008D6659"/>
    <w:rsid w:val="008D7344"/>
    <w:rsid w:val="008D76EC"/>
    <w:rsid w:val="008D7E0D"/>
    <w:rsid w:val="008E0B90"/>
    <w:rsid w:val="008E0BDE"/>
    <w:rsid w:val="008E0C77"/>
    <w:rsid w:val="008E0CDE"/>
    <w:rsid w:val="008E12A7"/>
    <w:rsid w:val="008E1CBD"/>
    <w:rsid w:val="008E3590"/>
    <w:rsid w:val="008E3714"/>
    <w:rsid w:val="008E42BB"/>
    <w:rsid w:val="008E44EC"/>
    <w:rsid w:val="008E5193"/>
    <w:rsid w:val="008E5275"/>
    <w:rsid w:val="008E5C2D"/>
    <w:rsid w:val="008E625F"/>
    <w:rsid w:val="008E724D"/>
    <w:rsid w:val="008E7A14"/>
    <w:rsid w:val="008F13B6"/>
    <w:rsid w:val="008F264D"/>
    <w:rsid w:val="008F2A61"/>
    <w:rsid w:val="008F2C59"/>
    <w:rsid w:val="008F2F4E"/>
    <w:rsid w:val="008F308D"/>
    <w:rsid w:val="008F3538"/>
    <w:rsid w:val="008F39F7"/>
    <w:rsid w:val="008F3ADA"/>
    <w:rsid w:val="008F40B9"/>
    <w:rsid w:val="008F484D"/>
    <w:rsid w:val="008F4BE7"/>
    <w:rsid w:val="008F4D71"/>
    <w:rsid w:val="008F5369"/>
    <w:rsid w:val="008F55CB"/>
    <w:rsid w:val="008F58BB"/>
    <w:rsid w:val="008F659C"/>
    <w:rsid w:val="008F6A20"/>
    <w:rsid w:val="008F75A5"/>
    <w:rsid w:val="008F784C"/>
    <w:rsid w:val="00900720"/>
    <w:rsid w:val="009009DE"/>
    <w:rsid w:val="009009FA"/>
    <w:rsid w:val="00900DE5"/>
    <w:rsid w:val="00901B6A"/>
    <w:rsid w:val="00902CBB"/>
    <w:rsid w:val="00902E83"/>
    <w:rsid w:val="00902EC3"/>
    <w:rsid w:val="009033AF"/>
    <w:rsid w:val="009040E9"/>
    <w:rsid w:val="00904869"/>
    <w:rsid w:val="009049A4"/>
    <w:rsid w:val="00904FC4"/>
    <w:rsid w:val="009050E0"/>
    <w:rsid w:val="00905724"/>
    <w:rsid w:val="0090590F"/>
    <w:rsid w:val="00905947"/>
    <w:rsid w:val="009060FB"/>
    <w:rsid w:val="009066BA"/>
    <w:rsid w:val="009074E1"/>
    <w:rsid w:val="009102CD"/>
    <w:rsid w:val="00910391"/>
    <w:rsid w:val="009112F7"/>
    <w:rsid w:val="009122AF"/>
    <w:rsid w:val="00912545"/>
    <w:rsid w:val="0091281B"/>
    <w:rsid w:val="00912D54"/>
    <w:rsid w:val="00913697"/>
    <w:rsid w:val="0091389F"/>
    <w:rsid w:val="00914562"/>
    <w:rsid w:val="009157FD"/>
    <w:rsid w:val="00916300"/>
    <w:rsid w:val="00916F87"/>
    <w:rsid w:val="00917496"/>
    <w:rsid w:val="00917C83"/>
    <w:rsid w:val="009205A0"/>
    <w:rsid w:val="009208F7"/>
    <w:rsid w:val="00920CAA"/>
    <w:rsid w:val="00921381"/>
    <w:rsid w:val="00921649"/>
    <w:rsid w:val="00922517"/>
    <w:rsid w:val="00922722"/>
    <w:rsid w:val="00923473"/>
    <w:rsid w:val="00923F61"/>
    <w:rsid w:val="0092442E"/>
    <w:rsid w:val="00924B92"/>
    <w:rsid w:val="00925FA9"/>
    <w:rsid w:val="009261B7"/>
    <w:rsid w:val="009261E6"/>
    <w:rsid w:val="009265E7"/>
    <w:rsid w:val="009268E1"/>
    <w:rsid w:val="009271EE"/>
    <w:rsid w:val="0092724F"/>
    <w:rsid w:val="00927B8C"/>
    <w:rsid w:val="00927F53"/>
    <w:rsid w:val="009306FE"/>
    <w:rsid w:val="009310DC"/>
    <w:rsid w:val="009328C7"/>
    <w:rsid w:val="00932A9C"/>
    <w:rsid w:val="00932BD6"/>
    <w:rsid w:val="00932CF6"/>
    <w:rsid w:val="009333A6"/>
    <w:rsid w:val="0093367A"/>
    <w:rsid w:val="009344AE"/>
    <w:rsid w:val="009344DE"/>
    <w:rsid w:val="0093470A"/>
    <w:rsid w:val="00934F99"/>
    <w:rsid w:val="009350DF"/>
    <w:rsid w:val="009353D0"/>
    <w:rsid w:val="0093677F"/>
    <w:rsid w:val="00937AF8"/>
    <w:rsid w:val="00940B27"/>
    <w:rsid w:val="00940DC6"/>
    <w:rsid w:val="00940E83"/>
    <w:rsid w:val="00940F45"/>
    <w:rsid w:val="00941371"/>
    <w:rsid w:val="00941836"/>
    <w:rsid w:val="00941A10"/>
    <w:rsid w:val="00941F8A"/>
    <w:rsid w:val="0094233A"/>
    <w:rsid w:val="00942548"/>
    <w:rsid w:val="009426DF"/>
    <w:rsid w:val="00943453"/>
    <w:rsid w:val="009434DF"/>
    <w:rsid w:val="00943DAE"/>
    <w:rsid w:val="00943DFF"/>
    <w:rsid w:val="009447C5"/>
    <w:rsid w:val="00944ADE"/>
    <w:rsid w:val="009455BC"/>
    <w:rsid w:val="00945C22"/>
    <w:rsid w:val="00945E7F"/>
    <w:rsid w:val="00945FC7"/>
    <w:rsid w:val="00946C9B"/>
    <w:rsid w:val="00946EE4"/>
    <w:rsid w:val="00946FA9"/>
    <w:rsid w:val="0094756F"/>
    <w:rsid w:val="00951779"/>
    <w:rsid w:val="00952007"/>
    <w:rsid w:val="009523FE"/>
    <w:rsid w:val="0095252E"/>
    <w:rsid w:val="00952A1B"/>
    <w:rsid w:val="00952D46"/>
    <w:rsid w:val="00953B38"/>
    <w:rsid w:val="00953FDC"/>
    <w:rsid w:val="00954C9B"/>
    <w:rsid w:val="009551C5"/>
    <w:rsid w:val="009554E0"/>
    <w:rsid w:val="009557C1"/>
    <w:rsid w:val="009559C3"/>
    <w:rsid w:val="0095666F"/>
    <w:rsid w:val="00956807"/>
    <w:rsid w:val="00956867"/>
    <w:rsid w:val="009609FB"/>
    <w:rsid w:val="00960D6E"/>
    <w:rsid w:val="009612B0"/>
    <w:rsid w:val="00961AF3"/>
    <w:rsid w:val="00961BEE"/>
    <w:rsid w:val="00962663"/>
    <w:rsid w:val="00963594"/>
    <w:rsid w:val="00963707"/>
    <w:rsid w:val="0096457E"/>
    <w:rsid w:val="00964985"/>
    <w:rsid w:val="00965775"/>
    <w:rsid w:val="009658E7"/>
    <w:rsid w:val="00965BEF"/>
    <w:rsid w:val="00967683"/>
    <w:rsid w:val="009679F8"/>
    <w:rsid w:val="00970E0D"/>
    <w:rsid w:val="00971F9D"/>
    <w:rsid w:val="00972152"/>
    <w:rsid w:val="00972524"/>
    <w:rsid w:val="00973D34"/>
    <w:rsid w:val="00973EEC"/>
    <w:rsid w:val="00974B59"/>
    <w:rsid w:val="00975311"/>
    <w:rsid w:val="00975864"/>
    <w:rsid w:val="00975E2F"/>
    <w:rsid w:val="009763FA"/>
    <w:rsid w:val="00976B2B"/>
    <w:rsid w:val="00977439"/>
    <w:rsid w:val="00977473"/>
    <w:rsid w:val="009775B4"/>
    <w:rsid w:val="00980341"/>
    <w:rsid w:val="009811EB"/>
    <w:rsid w:val="00981820"/>
    <w:rsid w:val="00981A45"/>
    <w:rsid w:val="00982046"/>
    <w:rsid w:val="0098340B"/>
    <w:rsid w:val="009848A0"/>
    <w:rsid w:val="00985217"/>
    <w:rsid w:val="009852DE"/>
    <w:rsid w:val="009861DC"/>
    <w:rsid w:val="009861E3"/>
    <w:rsid w:val="0098641D"/>
    <w:rsid w:val="009867B9"/>
    <w:rsid w:val="00986830"/>
    <w:rsid w:val="00990260"/>
    <w:rsid w:val="00990A95"/>
    <w:rsid w:val="00990B5D"/>
    <w:rsid w:val="00990DAD"/>
    <w:rsid w:val="009924C3"/>
    <w:rsid w:val="009925A2"/>
    <w:rsid w:val="009925FA"/>
    <w:rsid w:val="00993102"/>
    <w:rsid w:val="00993CBE"/>
    <w:rsid w:val="00994E87"/>
    <w:rsid w:val="0099540A"/>
    <w:rsid w:val="00995B29"/>
    <w:rsid w:val="00995B6C"/>
    <w:rsid w:val="00995E42"/>
    <w:rsid w:val="00995FFF"/>
    <w:rsid w:val="009962E7"/>
    <w:rsid w:val="00997D84"/>
    <w:rsid w:val="009A01A1"/>
    <w:rsid w:val="009A042D"/>
    <w:rsid w:val="009A20AA"/>
    <w:rsid w:val="009A28A5"/>
    <w:rsid w:val="009A37C4"/>
    <w:rsid w:val="009A3A6D"/>
    <w:rsid w:val="009A3ADB"/>
    <w:rsid w:val="009A3CE5"/>
    <w:rsid w:val="009A4784"/>
    <w:rsid w:val="009A594A"/>
    <w:rsid w:val="009A6C29"/>
    <w:rsid w:val="009A6C73"/>
    <w:rsid w:val="009B1570"/>
    <w:rsid w:val="009B1743"/>
    <w:rsid w:val="009B18E5"/>
    <w:rsid w:val="009B1DE2"/>
    <w:rsid w:val="009B24A3"/>
    <w:rsid w:val="009B25FA"/>
    <w:rsid w:val="009B26A1"/>
    <w:rsid w:val="009B3CB5"/>
    <w:rsid w:val="009B4844"/>
    <w:rsid w:val="009B58DA"/>
    <w:rsid w:val="009B5BE1"/>
    <w:rsid w:val="009B5E4F"/>
    <w:rsid w:val="009B6195"/>
    <w:rsid w:val="009B620D"/>
    <w:rsid w:val="009B6892"/>
    <w:rsid w:val="009B715C"/>
    <w:rsid w:val="009B74B2"/>
    <w:rsid w:val="009C0EBA"/>
    <w:rsid w:val="009C1B29"/>
    <w:rsid w:val="009C1FA0"/>
    <w:rsid w:val="009C228C"/>
    <w:rsid w:val="009C3C25"/>
    <w:rsid w:val="009C414A"/>
    <w:rsid w:val="009C4273"/>
    <w:rsid w:val="009C479F"/>
    <w:rsid w:val="009C6026"/>
    <w:rsid w:val="009C6B4E"/>
    <w:rsid w:val="009C6C9C"/>
    <w:rsid w:val="009C6F10"/>
    <w:rsid w:val="009C7BFD"/>
    <w:rsid w:val="009D061F"/>
    <w:rsid w:val="009D105C"/>
    <w:rsid w:val="009D148F"/>
    <w:rsid w:val="009D18EC"/>
    <w:rsid w:val="009D1C0E"/>
    <w:rsid w:val="009D1C86"/>
    <w:rsid w:val="009D2095"/>
    <w:rsid w:val="009D2CBC"/>
    <w:rsid w:val="009D2DAA"/>
    <w:rsid w:val="009D3228"/>
    <w:rsid w:val="009D32AB"/>
    <w:rsid w:val="009D3D70"/>
    <w:rsid w:val="009D53D1"/>
    <w:rsid w:val="009D5C7D"/>
    <w:rsid w:val="009D6416"/>
    <w:rsid w:val="009D6B07"/>
    <w:rsid w:val="009D7129"/>
    <w:rsid w:val="009D7CB3"/>
    <w:rsid w:val="009E0C40"/>
    <w:rsid w:val="009E0CCA"/>
    <w:rsid w:val="009E0D4A"/>
    <w:rsid w:val="009E1AC4"/>
    <w:rsid w:val="009E209B"/>
    <w:rsid w:val="009E23D2"/>
    <w:rsid w:val="009E2731"/>
    <w:rsid w:val="009E2AAF"/>
    <w:rsid w:val="009E2DB5"/>
    <w:rsid w:val="009E35EF"/>
    <w:rsid w:val="009E45F2"/>
    <w:rsid w:val="009E464F"/>
    <w:rsid w:val="009E4DAC"/>
    <w:rsid w:val="009E53B5"/>
    <w:rsid w:val="009E66FA"/>
    <w:rsid w:val="009E6A65"/>
    <w:rsid w:val="009E6F7E"/>
    <w:rsid w:val="009E71D9"/>
    <w:rsid w:val="009E7509"/>
    <w:rsid w:val="009E75BD"/>
    <w:rsid w:val="009E7A44"/>
    <w:rsid w:val="009E7A57"/>
    <w:rsid w:val="009F04C9"/>
    <w:rsid w:val="009F0BFF"/>
    <w:rsid w:val="009F1178"/>
    <w:rsid w:val="009F12AE"/>
    <w:rsid w:val="009F1F94"/>
    <w:rsid w:val="009F2A9D"/>
    <w:rsid w:val="009F30AE"/>
    <w:rsid w:val="009F3444"/>
    <w:rsid w:val="009F3979"/>
    <w:rsid w:val="009F3AA7"/>
    <w:rsid w:val="009F45F6"/>
    <w:rsid w:val="009F4803"/>
    <w:rsid w:val="009F48B5"/>
    <w:rsid w:val="009F499A"/>
    <w:rsid w:val="009F4F6A"/>
    <w:rsid w:val="009F5111"/>
    <w:rsid w:val="009F5640"/>
    <w:rsid w:val="009F6708"/>
    <w:rsid w:val="009F6F72"/>
    <w:rsid w:val="009F7358"/>
    <w:rsid w:val="009F776A"/>
    <w:rsid w:val="00A00393"/>
    <w:rsid w:val="00A00551"/>
    <w:rsid w:val="00A00D5C"/>
    <w:rsid w:val="00A010F9"/>
    <w:rsid w:val="00A0120E"/>
    <w:rsid w:val="00A01F14"/>
    <w:rsid w:val="00A028C3"/>
    <w:rsid w:val="00A0298C"/>
    <w:rsid w:val="00A02997"/>
    <w:rsid w:val="00A02AB7"/>
    <w:rsid w:val="00A02B85"/>
    <w:rsid w:val="00A02E48"/>
    <w:rsid w:val="00A0338C"/>
    <w:rsid w:val="00A03C29"/>
    <w:rsid w:val="00A03CDF"/>
    <w:rsid w:val="00A05B6F"/>
    <w:rsid w:val="00A06189"/>
    <w:rsid w:val="00A066E4"/>
    <w:rsid w:val="00A07995"/>
    <w:rsid w:val="00A07C49"/>
    <w:rsid w:val="00A10117"/>
    <w:rsid w:val="00A11422"/>
    <w:rsid w:val="00A11750"/>
    <w:rsid w:val="00A11931"/>
    <w:rsid w:val="00A11D64"/>
    <w:rsid w:val="00A12734"/>
    <w:rsid w:val="00A128F4"/>
    <w:rsid w:val="00A12A99"/>
    <w:rsid w:val="00A1377C"/>
    <w:rsid w:val="00A138DB"/>
    <w:rsid w:val="00A13EB5"/>
    <w:rsid w:val="00A15615"/>
    <w:rsid w:val="00A15743"/>
    <w:rsid w:val="00A158A4"/>
    <w:rsid w:val="00A15BE8"/>
    <w:rsid w:val="00A1618D"/>
    <w:rsid w:val="00A161EF"/>
    <w:rsid w:val="00A16377"/>
    <w:rsid w:val="00A16E36"/>
    <w:rsid w:val="00A17661"/>
    <w:rsid w:val="00A20158"/>
    <w:rsid w:val="00A20686"/>
    <w:rsid w:val="00A20AA3"/>
    <w:rsid w:val="00A211C5"/>
    <w:rsid w:val="00A21247"/>
    <w:rsid w:val="00A21D65"/>
    <w:rsid w:val="00A2266F"/>
    <w:rsid w:val="00A2291C"/>
    <w:rsid w:val="00A23CCA"/>
    <w:rsid w:val="00A24718"/>
    <w:rsid w:val="00A24961"/>
    <w:rsid w:val="00A24A24"/>
    <w:rsid w:val="00A24B10"/>
    <w:rsid w:val="00A24CC6"/>
    <w:rsid w:val="00A2644B"/>
    <w:rsid w:val="00A26A45"/>
    <w:rsid w:val="00A277EF"/>
    <w:rsid w:val="00A27921"/>
    <w:rsid w:val="00A27937"/>
    <w:rsid w:val="00A305BB"/>
    <w:rsid w:val="00A309D5"/>
    <w:rsid w:val="00A30E9B"/>
    <w:rsid w:val="00A32063"/>
    <w:rsid w:val="00A3215E"/>
    <w:rsid w:val="00A32D82"/>
    <w:rsid w:val="00A32E31"/>
    <w:rsid w:val="00A34605"/>
    <w:rsid w:val="00A34629"/>
    <w:rsid w:val="00A34DD9"/>
    <w:rsid w:val="00A3633B"/>
    <w:rsid w:val="00A363C4"/>
    <w:rsid w:val="00A36755"/>
    <w:rsid w:val="00A36FC9"/>
    <w:rsid w:val="00A3721B"/>
    <w:rsid w:val="00A37EA7"/>
    <w:rsid w:val="00A413E0"/>
    <w:rsid w:val="00A416F1"/>
    <w:rsid w:val="00A42216"/>
    <w:rsid w:val="00A43039"/>
    <w:rsid w:val="00A430D1"/>
    <w:rsid w:val="00A431DC"/>
    <w:rsid w:val="00A440BD"/>
    <w:rsid w:val="00A443B6"/>
    <w:rsid w:val="00A44586"/>
    <w:rsid w:val="00A44A7F"/>
    <w:rsid w:val="00A4512D"/>
    <w:rsid w:val="00A462B6"/>
    <w:rsid w:val="00A465CA"/>
    <w:rsid w:val="00A47278"/>
    <w:rsid w:val="00A47F96"/>
    <w:rsid w:val="00A50244"/>
    <w:rsid w:val="00A504F0"/>
    <w:rsid w:val="00A50901"/>
    <w:rsid w:val="00A52357"/>
    <w:rsid w:val="00A53018"/>
    <w:rsid w:val="00A538B2"/>
    <w:rsid w:val="00A53A57"/>
    <w:rsid w:val="00A53BE4"/>
    <w:rsid w:val="00A53E74"/>
    <w:rsid w:val="00A5449E"/>
    <w:rsid w:val="00A545EA"/>
    <w:rsid w:val="00A54A97"/>
    <w:rsid w:val="00A54B07"/>
    <w:rsid w:val="00A55AAC"/>
    <w:rsid w:val="00A571B5"/>
    <w:rsid w:val="00A578C0"/>
    <w:rsid w:val="00A57A8F"/>
    <w:rsid w:val="00A57EBA"/>
    <w:rsid w:val="00A601AD"/>
    <w:rsid w:val="00A6080C"/>
    <w:rsid w:val="00A60CEE"/>
    <w:rsid w:val="00A60D9D"/>
    <w:rsid w:val="00A61009"/>
    <w:rsid w:val="00A612EC"/>
    <w:rsid w:val="00A627D7"/>
    <w:rsid w:val="00A62874"/>
    <w:rsid w:val="00A62B38"/>
    <w:rsid w:val="00A62ECD"/>
    <w:rsid w:val="00A64DBE"/>
    <w:rsid w:val="00A656C7"/>
    <w:rsid w:val="00A6634C"/>
    <w:rsid w:val="00A675DF"/>
    <w:rsid w:val="00A679B0"/>
    <w:rsid w:val="00A67D94"/>
    <w:rsid w:val="00A705AF"/>
    <w:rsid w:val="00A70E59"/>
    <w:rsid w:val="00A70F97"/>
    <w:rsid w:val="00A719F6"/>
    <w:rsid w:val="00A72016"/>
    <w:rsid w:val="00A72351"/>
    <w:rsid w:val="00A72454"/>
    <w:rsid w:val="00A740F6"/>
    <w:rsid w:val="00A75A57"/>
    <w:rsid w:val="00A765AF"/>
    <w:rsid w:val="00A76D4C"/>
    <w:rsid w:val="00A7703F"/>
    <w:rsid w:val="00A77696"/>
    <w:rsid w:val="00A8048E"/>
    <w:rsid w:val="00A80557"/>
    <w:rsid w:val="00A80E8E"/>
    <w:rsid w:val="00A81797"/>
    <w:rsid w:val="00A81D33"/>
    <w:rsid w:val="00A82281"/>
    <w:rsid w:val="00A8341C"/>
    <w:rsid w:val="00A838D2"/>
    <w:rsid w:val="00A8396C"/>
    <w:rsid w:val="00A83BFF"/>
    <w:rsid w:val="00A83FAD"/>
    <w:rsid w:val="00A84FF8"/>
    <w:rsid w:val="00A8591A"/>
    <w:rsid w:val="00A860E1"/>
    <w:rsid w:val="00A86A5B"/>
    <w:rsid w:val="00A9024C"/>
    <w:rsid w:val="00A90BDD"/>
    <w:rsid w:val="00A90F2E"/>
    <w:rsid w:val="00A914F6"/>
    <w:rsid w:val="00A9168E"/>
    <w:rsid w:val="00A91BF2"/>
    <w:rsid w:val="00A91BF6"/>
    <w:rsid w:val="00A91C25"/>
    <w:rsid w:val="00A9258E"/>
    <w:rsid w:val="00A930AE"/>
    <w:rsid w:val="00A936EC"/>
    <w:rsid w:val="00A9484F"/>
    <w:rsid w:val="00A94973"/>
    <w:rsid w:val="00A94B82"/>
    <w:rsid w:val="00A95C4E"/>
    <w:rsid w:val="00A9777C"/>
    <w:rsid w:val="00AA06B1"/>
    <w:rsid w:val="00AA07EE"/>
    <w:rsid w:val="00AA0A3F"/>
    <w:rsid w:val="00AA0B4A"/>
    <w:rsid w:val="00AA0D20"/>
    <w:rsid w:val="00AA0D73"/>
    <w:rsid w:val="00AA0F3E"/>
    <w:rsid w:val="00AA1A95"/>
    <w:rsid w:val="00AA260F"/>
    <w:rsid w:val="00AA27A4"/>
    <w:rsid w:val="00AA2C06"/>
    <w:rsid w:val="00AA2D75"/>
    <w:rsid w:val="00AA32AE"/>
    <w:rsid w:val="00AA340E"/>
    <w:rsid w:val="00AA3C9C"/>
    <w:rsid w:val="00AA476F"/>
    <w:rsid w:val="00AA4FED"/>
    <w:rsid w:val="00AA51D9"/>
    <w:rsid w:val="00AA5B66"/>
    <w:rsid w:val="00AA6029"/>
    <w:rsid w:val="00AA6A83"/>
    <w:rsid w:val="00AA6FF4"/>
    <w:rsid w:val="00AA7CB4"/>
    <w:rsid w:val="00AB06C4"/>
    <w:rsid w:val="00AB0989"/>
    <w:rsid w:val="00AB0BE1"/>
    <w:rsid w:val="00AB1EE7"/>
    <w:rsid w:val="00AB2C82"/>
    <w:rsid w:val="00AB3206"/>
    <w:rsid w:val="00AB322E"/>
    <w:rsid w:val="00AB4B37"/>
    <w:rsid w:val="00AB52B1"/>
    <w:rsid w:val="00AB5702"/>
    <w:rsid w:val="00AB5762"/>
    <w:rsid w:val="00AB61AE"/>
    <w:rsid w:val="00AB7597"/>
    <w:rsid w:val="00AB762C"/>
    <w:rsid w:val="00AC063A"/>
    <w:rsid w:val="00AC0E4C"/>
    <w:rsid w:val="00AC12E8"/>
    <w:rsid w:val="00AC1B16"/>
    <w:rsid w:val="00AC2598"/>
    <w:rsid w:val="00AC2679"/>
    <w:rsid w:val="00AC2C30"/>
    <w:rsid w:val="00AC37E4"/>
    <w:rsid w:val="00AC413E"/>
    <w:rsid w:val="00AC4298"/>
    <w:rsid w:val="00AC4932"/>
    <w:rsid w:val="00AC4BE4"/>
    <w:rsid w:val="00AC6373"/>
    <w:rsid w:val="00AC7546"/>
    <w:rsid w:val="00AC7F1E"/>
    <w:rsid w:val="00AD0234"/>
    <w:rsid w:val="00AD05E6"/>
    <w:rsid w:val="00AD0D3F"/>
    <w:rsid w:val="00AD114D"/>
    <w:rsid w:val="00AD15CC"/>
    <w:rsid w:val="00AD1B35"/>
    <w:rsid w:val="00AD1F31"/>
    <w:rsid w:val="00AD2639"/>
    <w:rsid w:val="00AD275B"/>
    <w:rsid w:val="00AD281B"/>
    <w:rsid w:val="00AD29F2"/>
    <w:rsid w:val="00AD2E09"/>
    <w:rsid w:val="00AD3095"/>
    <w:rsid w:val="00AD3781"/>
    <w:rsid w:val="00AD49EC"/>
    <w:rsid w:val="00AD4CA7"/>
    <w:rsid w:val="00AD58DC"/>
    <w:rsid w:val="00AD5EE1"/>
    <w:rsid w:val="00AD65F0"/>
    <w:rsid w:val="00AD680A"/>
    <w:rsid w:val="00AD74BD"/>
    <w:rsid w:val="00AD74D4"/>
    <w:rsid w:val="00AD77FB"/>
    <w:rsid w:val="00AD79B5"/>
    <w:rsid w:val="00AD7AD3"/>
    <w:rsid w:val="00AD7BB8"/>
    <w:rsid w:val="00AE0978"/>
    <w:rsid w:val="00AE0DD5"/>
    <w:rsid w:val="00AE1210"/>
    <w:rsid w:val="00AE18D4"/>
    <w:rsid w:val="00AE1D7D"/>
    <w:rsid w:val="00AE1E92"/>
    <w:rsid w:val="00AE26FC"/>
    <w:rsid w:val="00AE2A3D"/>
    <w:rsid w:val="00AE2A8B"/>
    <w:rsid w:val="00AE3F64"/>
    <w:rsid w:val="00AE4183"/>
    <w:rsid w:val="00AE47EA"/>
    <w:rsid w:val="00AE4E92"/>
    <w:rsid w:val="00AE4FB5"/>
    <w:rsid w:val="00AE555D"/>
    <w:rsid w:val="00AE556C"/>
    <w:rsid w:val="00AE59DA"/>
    <w:rsid w:val="00AE5D05"/>
    <w:rsid w:val="00AE6598"/>
    <w:rsid w:val="00AE71B7"/>
    <w:rsid w:val="00AE7CA0"/>
    <w:rsid w:val="00AF01AD"/>
    <w:rsid w:val="00AF0266"/>
    <w:rsid w:val="00AF07CC"/>
    <w:rsid w:val="00AF0F94"/>
    <w:rsid w:val="00AF19C9"/>
    <w:rsid w:val="00AF2C62"/>
    <w:rsid w:val="00AF2DD6"/>
    <w:rsid w:val="00AF5877"/>
    <w:rsid w:val="00AF5D1E"/>
    <w:rsid w:val="00AF7386"/>
    <w:rsid w:val="00AF7934"/>
    <w:rsid w:val="00AF7D59"/>
    <w:rsid w:val="00B006B8"/>
    <w:rsid w:val="00B00A48"/>
    <w:rsid w:val="00B00B81"/>
    <w:rsid w:val="00B01773"/>
    <w:rsid w:val="00B01AF2"/>
    <w:rsid w:val="00B0289E"/>
    <w:rsid w:val="00B032FA"/>
    <w:rsid w:val="00B0384F"/>
    <w:rsid w:val="00B0399C"/>
    <w:rsid w:val="00B04580"/>
    <w:rsid w:val="00B04B09"/>
    <w:rsid w:val="00B04B21"/>
    <w:rsid w:val="00B04C57"/>
    <w:rsid w:val="00B05CC2"/>
    <w:rsid w:val="00B05DFF"/>
    <w:rsid w:val="00B06926"/>
    <w:rsid w:val="00B07403"/>
    <w:rsid w:val="00B0758F"/>
    <w:rsid w:val="00B07D92"/>
    <w:rsid w:val="00B07ED1"/>
    <w:rsid w:val="00B11A53"/>
    <w:rsid w:val="00B152FD"/>
    <w:rsid w:val="00B15EB7"/>
    <w:rsid w:val="00B16575"/>
    <w:rsid w:val="00B16A51"/>
    <w:rsid w:val="00B17733"/>
    <w:rsid w:val="00B2042B"/>
    <w:rsid w:val="00B2071B"/>
    <w:rsid w:val="00B22058"/>
    <w:rsid w:val="00B237F4"/>
    <w:rsid w:val="00B23EDC"/>
    <w:rsid w:val="00B24C2E"/>
    <w:rsid w:val="00B24F62"/>
    <w:rsid w:val="00B24FD1"/>
    <w:rsid w:val="00B2600A"/>
    <w:rsid w:val="00B26874"/>
    <w:rsid w:val="00B26D13"/>
    <w:rsid w:val="00B276FA"/>
    <w:rsid w:val="00B27951"/>
    <w:rsid w:val="00B301F2"/>
    <w:rsid w:val="00B305F1"/>
    <w:rsid w:val="00B30C6D"/>
    <w:rsid w:val="00B31A55"/>
    <w:rsid w:val="00B31D44"/>
    <w:rsid w:val="00B3203C"/>
    <w:rsid w:val="00B32222"/>
    <w:rsid w:val="00B325C9"/>
    <w:rsid w:val="00B33DF9"/>
    <w:rsid w:val="00B349A9"/>
    <w:rsid w:val="00B360F8"/>
    <w:rsid w:val="00B3618D"/>
    <w:rsid w:val="00B36233"/>
    <w:rsid w:val="00B36B72"/>
    <w:rsid w:val="00B36C26"/>
    <w:rsid w:val="00B37355"/>
    <w:rsid w:val="00B3745D"/>
    <w:rsid w:val="00B4069B"/>
    <w:rsid w:val="00B40DC6"/>
    <w:rsid w:val="00B41518"/>
    <w:rsid w:val="00B42205"/>
    <w:rsid w:val="00B42851"/>
    <w:rsid w:val="00B431B7"/>
    <w:rsid w:val="00B43211"/>
    <w:rsid w:val="00B441B6"/>
    <w:rsid w:val="00B443D6"/>
    <w:rsid w:val="00B44431"/>
    <w:rsid w:val="00B44C11"/>
    <w:rsid w:val="00B45301"/>
    <w:rsid w:val="00B45AC7"/>
    <w:rsid w:val="00B45C99"/>
    <w:rsid w:val="00B45D38"/>
    <w:rsid w:val="00B467B0"/>
    <w:rsid w:val="00B47D8F"/>
    <w:rsid w:val="00B51A25"/>
    <w:rsid w:val="00B525CA"/>
    <w:rsid w:val="00B52B7C"/>
    <w:rsid w:val="00B5302D"/>
    <w:rsid w:val="00B5308A"/>
    <w:rsid w:val="00B5372F"/>
    <w:rsid w:val="00B53987"/>
    <w:rsid w:val="00B54C95"/>
    <w:rsid w:val="00B55CCF"/>
    <w:rsid w:val="00B55CEC"/>
    <w:rsid w:val="00B56A1B"/>
    <w:rsid w:val="00B579A2"/>
    <w:rsid w:val="00B57EA8"/>
    <w:rsid w:val="00B6017E"/>
    <w:rsid w:val="00B607B1"/>
    <w:rsid w:val="00B60B6A"/>
    <w:rsid w:val="00B610B6"/>
    <w:rsid w:val="00B61129"/>
    <w:rsid w:val="00B61DA1"/>
    <w:rsid w:val="00B634B2"/>
    <w:rsid w:val="00B6392D"/>
    <w:rsid w:val="00B63ED5"/>
    <w:rsid w:val="00B6449D"/>
    <w:rsid w:val="00B6470F"/>
    <w:rsid w:val="00B6492A"/>
    <w:rsid w:val="00B64A78"/>
    <w:rsid w:val="00B657F3"/>
    <w:rsid w:val="00B65F2A"/>
    <w:rsid w:val="00B66D90"/>
    <w:rsid w:val="00B677F8"/>
    <w:rsid w:val="00B67E7F"/>
    <w:rsid w:val="00B702BB"/>
    <w:rsid w:val="00B702D5"/>
    <w:rsid w:val="00B70D4D"/>
    <w:rsid w:val="00B70F40"/>
    <w:rsid w:val="00B712CC"/>
    <w:rsid w:val="00B71652"/>
    <w:rsid w:val="00B73A07"/>
    <w:rsid w:val="00B73E05"/>
    <w:rsid w:val="00B746FE"/>
    <w:rsid w:val="00B74D81"/>
    <w:rsid w:val="00B74E85"/>
    <w:rsid w:val="00B750BD"/>
    <w:rsid w:val="00B7594F"/>
    <w:rsid w:val="00B77765"/>
    <w:rsid w:val="00B77CB2"/>
    <w:rsid w:val="00B77E34"/>
    <w:rsid w:val="00B801E7"/>
    <w:rsid w:val="00B805B8"/>
    <w:rsid w:val="00B80BB4"/>
    <w:rsid w:val="00B81376"/>
    <w:rsid w:val="00B816F2"/>
    <w:rsid w:val="00B8259D"/>
    <w:rsid w:val="00B82D74"/>
    <w:rsid w:val="00B830E2"/>
    <w:rsid w:val="00B8329E"/>
    <w:rsid w:val="00B839B2"/>
    <w:rsid w:val="00B83BD6"/>
    <w:rsid w:val="00B83DEF"/>
    <w:rsid w:val="00B83EBB"/>
    <w:rsid w:val="00B84712"/>
    <w:rsid w:val="00B847AD"/>
    <w:rsid w:val="00B84D86"/>
    <w:rsid w:val="00B8507A"/>
    <w:rsid w:val="00B85965"/>
    <w:rsid w:val="00B86553"/>
    <w:rsid w:val="00B90FBC"/>
    <w:rsid w:val="00B91EB2"/>
    <w:rsid w:val="00B9240E"/>
    <w:rsid w:val="00B92FD8"/>
    <w:rsid w:val="00B93598"/>
    <w:rsid w:val="00B94252"/>
    <w:rsid w:val="00B9485A"/>
    <w:rsid w:val="00B95586"/>
    <w:rsid w:val="00B95FA1"/>
    <w:rsid w:val="00B964AB"/>
    <w:rsid w:val="00B96606"/>
    <w:rsid w:val="00B96AF9"/>
    <w:rsid w:val="00B9715A"/>
    <w:rsid w:val="00B971A7"/>
    <w:rsid w:val="00B97AC4"/>
    <w:rsid w:val="00B97AD5"/>
    <w:rsid w:val="00BA0C70"/>
    <w:rsid w:val="00BA0D98"/>
    <w:rsid w:val="00BA0EF0"/>
    <w:rsid w:val="00BA14BE"/>
    <w:rsid w:val="00BA1D57"/>
    <w:rsid w:val="00BA2732"/>
    <w:rsid w:val="00BA293D"/>
    <w:rsid w:val="00BA2D9C"/>
    <w:rsid w:val="00BA33D7"/>
    <w:rsid w:val="00BA3748"/>
    <w:rsid w:val="00BA3B7A"/>
    <w:rsid w:val="00BA3C7E"/>
    <w:rsid w:val="00BA49BC"/>
    <w:rsid w:val="00BA56B7"/>
    <w:rsid w:val="00BA5938"/>
    <w:rsid w:val="00BA69FF"/>
    <w:rsid w:val="00BA6FDC"/>
    <w:rsid w:val="00BA71C0"/>
    <w:rsid w:val="00BA7A1E"/>
    <w:rsid w:val="00BA7FC7"/>
    <w:rsid w:val="00BB027B"/>
    <w:rsid w:val="00BB0BCC"/>
    <w:rsid w:val="00BB1223"/>
    <w:rsid w:val="00BB1E51"/>
    <w:rsid w:val="00BB2348"/>
    <w:rsid w:val="00BB2F6C"/>
    <w:rsid w:val="00BB3533"/>
    <w:rsid w:val="00BB3875"/>
    <w:rsid w:val="00BB4BC0"/>
    <w:rsid w:val="00BB5860"/>
    <w:rsid w:val="00BB6999"/>
    <w:rsid w:val="00BB6AAD"/>
    <w:rsid w:val="00BB6BEF"/>
    <w:rsid w:val="00BB73A3"/>
    <w:rsid w:val="00BB74C5"/>
    <w:rsid w:val="00BB7ABB"/>
    <w:rsid w:val="00BC0E3F"/>
    <w:rsid w:val="00BC172B"/>
    <w:rsid w:val="00BC2A29"/>
    <w:rsid w:val="00BC388B"/>
    <w:rsid w:val="00BC38AF"/>
    <w:rsid w:val="00BC4819"/>
    <w:rsid w:val="00BC4A19"/>
    <w:rsid w:val="00BC4E6D"/>
    <w:rsid w:val="00BC5D12"/>
    <w:rsid w:val="00BC6C30"/>
    <w:rsid w:val="00BD000F"/>
    <w:rsid w:val="00BD0617"/>
    <w:rsid w:val="00BD0AF7"/>
    <w:rsid w:val="00BD0B26"/>
    <w:rsid w:val="00BD0D68"/>
    <w:rsid w:val="00BD1027"/>
    <w:rsid w:val="00BD185C"/>
    <w:rsid w:val="00BD1BA5"/>
    <w:rsid w:val="00BD2805"/>
    <w:rsid w:val="00BD2E9B"/>
    <w:rsid w:val="00BD3EBE"/>
    <w:rsid w:val="00BD4834"/>
    <w:rsid w:val="00BD5B1B"/>
    <w:rsid w:val="00BD5BDA"/>
    <w:rsid w:val="00BD5CAB"/>
    <w:rsid w:val="00BD5F2D"/>
    <w:rsid w:val="00BD6425"/>
    <w:rsid w:val="00BD664D"/>
    <w:rsid w:val="00BD6B2E"/>
    <w:rsid w:val="00BD7255"/>
    <w:rsid w:val="00BD7630"/>
    <w:rsid w:val="00BD7FB2"/>
    <w:rsid w:val="00BE128E"/>
    <w:rsid w:val="00BE1955"/>
    <w:rsid w:val="00BE1EF9"/>
    <w:rsid w:val="00BE215E"/>
    <w:rsid w:val="00BE23D4"/>
    <w:rsid w:val="00BE2690"/>
    <w:rsid w:val="00BE3370"/>
    <w:rsid w:val="00BE392B"/>
    <w:rsid w:val="00BE3C96"/>
    <w:rsid w:val="00BE3CC6"/>
    <w:rsid w:val="00BE4E30"/>
    <w:rsid w:val="00BE5FC8"/>
    <w:rsid w:val="00BE6180"/>
    <w:rsid w:val="00BE6320"/>
    <w:rsid w:val="00BE6EBB"/>
    <w:rsid w:val="00BE74B5"/>
    <w:rsid w:val="00BE757B"/>
    <w:rsid w:val="00BE7D0B"/>
    <w:rsid w:val="00BF01A6"/>
    <w:rsid w:val="00BF09D0"/>
    <w:rsid w:val="00BF224B"/>
    <w:rsid w:val="00BF25A7"/>
    <w:rsid w:val="00BF3788"/>
    <w:rsid w:val="00BF440B"/>
    <w:rsid w:val="00BF498E"/>
    <w:rsid w:val="00BF611A"/>
    <w:rsid w:val="00BF66B1"/>
    <w:rsid w:val="00BF6F81"/>
    <w:rsid w:val="00BF761D"/>
    <w:rsid w:val="00C00009"/>
    <w:rsid w:val="00C00930"/>
    <w:rsid w:val="00C00A31"/>
    <w:rsid w:val="00C010FD"/>
    <w:rsid w:val="00C0144C"/>
    <w:rsid w:val="00C016CD"/>
    <w:rsid w:val="00C01880"/>
    <w:rsid w:val="00C01BAE"/>
    <w:rsid w:val="00C01F0E"/>
    <w:rsid w:val="00C02795"/>
    <w:rsid w:val="00C02C83"/>
    <w:rsid w:val="00C02F28"/>
    <w:rsid w:val="00C03DAA"/>
    <w:rsid w:val="00C04026"/>
    <w:rsid w:val="00C040C5"/>
    <w:rsid w:val="00C04951"/>
    <w:rsid w:val="00C052CA"/>
    <w:rsid w:val="00C056E8"/>
    <w:rsid w:val="00C05E00"/>
    <w:rsid w:val="00C060AD"/>
    <w:rsid w:val="00C066DB"/>
    <w:rsid w:val="00C07BCB"/>
    <w:rsid w:val="00C101EE"/>
    <w:rsid w:val="00C10B88"/>
    <w:rsid w:val="00C113BF"/>
    <w:rsid w:val="00C11517"/>
    <w:rsid w:val="00C125A3"/>
    <w:rsid w:val="00C127F4"/>
    <w:rsid w:val="00C13F87"/>
    <w:rsid w:val="00C142F0"/>
    <w:rsid w:val="00C144A7"/>
    <w:rsid w:val="00C148B9"/>
    <w:rsid w:val="00C149E7"/>
    <w:rsid w:val="00C15652"/>
    <w:rsid w:val="00C15CB7"/>
    <w:rsid w:val="00C15F3B"/>
    <w:rsid w:val="00C17C3F"/>
    <w:rsid w:val="00C17DF5"/>
    <w:rsid w:val="00C200A6"/>
    <w:rsid w:val="00C20353"/>
    <w:rsid w:val="00C2060B"/>
    <w:rsid w:val="00C206D6"/>
    <w:rsid w:val="00C20719"/>
    <w:rsid w:val="00C208F7"/>
    <w:rsid w:val="00C2176E"/>
    <w:rsid w:val="00C2177A"/>
    <w:rsid w:val="00C2238A"/>
    <w:rsid w:val="00C22D75"/>
    <w:rsid w:val="00C22EB2"/>
    <w:rsid w:val="00C23144"/>
    <w:rsid w:val="00C2316C"/>
    <w:rsid w:val="00C2342E"/>
    <w:rsid w:val="00C23430"/>
    <w:rsid w:val="00C23C8A"/>
    <w:rsid w:val="00C24527"/>
    <w:rsid w:val="00C26074"/>
    <w:rsid w:val="00C26493"/>
    <w:rsid w:val="00C26D75"/>
    <w:rsid w:val="00C27413"/>
    <w:rsid w:val="00C27D67"/>
    <w:rsid w:val="00C27E27"/>
    <w:rsid w:val="00C30313"/>
    <w:rsid w:val="00C30B62"/>
    <w:rsid w:val="00C30BF0"/>
    <w:rsid w:val="00C3137B"/>
    <w:rsid w:val="00C323E5"/>
    <w:rsid w:val="00C32659"/>
    <w:rsid w:val="00C331A6"/>
    <w:rsid w:val="00C33FB5"/>
    <w:rsid w:val="00C34512"/>
    <w:rsid w:val="00C34796"/>
    <w:rsid w:val="00C35717"/>
    <w:rsid w:val="00C3644C"/>
    <w:rsid w:val="00C36472"/>
    <w:rsid w:val="00C366A4"/>
    <w:rsid w:val="00C36CBE"/>
    <w:rsid w:val="00C3700F"/>
    <w:rsid w:val="00C37C2D"/>
    <w:rsid w:val="00C37D36"/>
    <w:rsid w:val="00C405CC"/>
    <w:rsid w:val="00C406F0"/>
    <w:rsid w:val="00C41492"/>
    <w:rsid w:val="00C422B1"/>
    <w:rsid w:val="00C4243B"/>
    <w:rsid w:val="00C42E18"/>
    <w:rsid w:val="00C442B9"/>
    <w:rsid w:val="00C44782"/>
    <w:rsid w:val="00C44F43"/>
    <w:rsid w:val="00C452B7"/>
    <w:rsid w:val="00C45B77"/>
    <w:rsid w:val="00C4608C"/>
    <w:rsid w:val="00C46196"/>
    <w:rsid w:val="00C4631F"/>
    <w:rsid w:val="00C46467"/>
    <w:rsid w:val="00C4684B"/>
    <w:rsid w:val="00C46958"/>
    <w:rsid w:val="00C46E83"/>
    <w:rsid w:val="00C47CDE"/>
    <w:rsid w:val="00C47F3F"/>
    <w:rsid w:val="00C50914"/>
    <w:rsid w:val="00C50E16"/>
    <w:rsid w:val="00C51350"/>
    <w:rsid w:val="00C5357F"/>
    <w:rsid w:val="00C53D1C"/>
    <w:rsid w:val="00C54493"/>
    <w:rsid w:val="00C54790"/>
    <w:rsid w:val="00C54BB0"/>
    <w:rsid w:val="00C54EDE"/>
    <w:rsid w:val="00C55258"/>
    <w:rsid w:val="00C56613"/>
    <w:rsid w:val="00C568DD"/>
    <w:rsid w:val="00C57597"/>
    <w:rsid w:val="00C57808"/>
    <w:rsid w:val="00C57C27"/>
    <w:rsid w:val="00C601D6"/>
    <w:rsid w:val="00C60BBA"/>
    <w:rsid w:val="00C61774"/>
    <w:rsid w:val="00C6249F"/>
    <w:rsid w:val="00C63D7F"/>
    <w:rsid w:val="00C63EB7"/>
    <w:rsid w:val="00C64014"/>
    <w:rsid w:val="00C643F6"/>
    <w:rsid w:val="00C6466C"/>
    <w:rsid w:val="00C64AA8"/>
    <w:rsid w:val="00C65B87"/>
    <w:rsid w:val="00C66250"/>
    <w:rsid w:val="00C66306"/>
    <w:rsid w:val="00C666B6"/>
    <w:rsid w:val="00C703D8"/>
    <w:rsid w:val="00C70E60"/>
    <w:rsid w:val="00C70E99"/>
    <w:rsid w:val="00C720FB"/>
    <w:rsid w:val="00C7250F"/>
    <w:rsid w:val="00C72655"/>
    <w:rsid w:val="00C726DC"/>
    <w:rsid w:val="00C7286C"/>
    <w:rsid w:val="00C73994"/>
    <w:rsid w:val="00C7453A"/>
    <w:rsid w:val="00C74603"/>
    <w:rsid w:val="00C74B04"/>
    <w:rsid w:val="00C7698E"/>
    <w:rsid w:val="00C80D49"/>
    <w:rsid w:val="00C8104A"/>
    <w:rsid w:val="00C81B1D"/>
    <w:rsid w:val="00C824A6"/>
    <w:rsid w:val="00C826CC"/>
    <w:rsid w:val="00C827ED"/>
    <w:rsid w:val="00C82DCE"/>
    <w:rsid w:val="00C82EEB"/>
    <w:rsid w:val="00C832AF"/>
    <w:rsid w:val="00C8361C"/>
    <w:rsid w:val="00C83886"/>
    <w:rsid w:val="00C838DF"/>
    <w:rsid w:val="00C839D6"/>
    <w:rsid w:val="00C83C25"/>
    <w:rsid w:val="00C849EF"/>
    <w:rsid w:val="00C85288"/>
    <w:rsid w:val="00C86266"/>
    <w:rsid w:val="00C87331"/>
    <w:rsid w:val="00C91E88"/>
    <w:rsid w:val="00C9246E"/>
    <w:rsid w:val="00C92C4E"/>
    <w:rsid w:val="00C931EB"/>
    <w:rsid w:val="00C93260"/>
    <w:rsid w:val="00C93F55"/>
    <w:rsid w:val="00C94DD1"/>
    <w:rsid w:val="00C95254"/>
    <w:rsid w:val="00C9599C"/>
    <w:rsid w:val="00C95DEF"/>
    <w:rsid w:val="00C961C2"/>
    <w:rsid w:val="00C969C3"/>
    <w:rsid w:val="00C96B39"/>
    <w:rsid w:val="00C96C08"/>
    <w:rsid w:val="00C96F2C"/>
    <w:rsid w:val="00C971DC"/>
    <w:rsid w:val="00C972EB"/>
    <w:rsid w:val="00C97540"/>
    <w:rsid w:val="00CA0A70"/>
    <w:rsid w:val="00CA16B7"/>
    <w:rsid w:val="00CA1A14"/>
    <w:rsid w:val="00CA20EF"/>
    <w:rsid w:val="00CA25DC"/>
    <w:rsid w:val="00CA282D"/>
    <w:rsid w:val="00CA3023"/>
    <w:rsid w:val="00CA3247"/>
    <w:rsid w:val="00CA33BC"/>
    <w:rsid w:val="00CA3EC6"/>
    <w:rsid w:val="00CA51C5"/>
    <w:rsid w:val="00CA62AE"/>
    <w:rsid w:val="00CA6E3A"/>
    <w:rsid w:val="00CA73C9"/>
    <w:rsid w:val="00CB03A1"/>
    <w:rsid w:val="00CB14E4"/>
    <w:rsid w:val="00CB1FF2"/>
    <w:rsid w:val="00CB21B7"/>
    <w:rsid w:val="00CB3429"/>
    <w:rsid w:val="00CB37E2"/>
    <w:rsid w:val="00CB39DC"/>
    <w:rsid w:val="00CB3C21"/>
    <w:rsid w:val="00CB4961"/>
    <w:rsid w:val="00CB5134"/>
    <w:rsid w:val="00CB59F9"/>
    <w:rsid w:val="00CB5B1A"/>
    <w:rsid w:val="00CB5C1B"/>
    <w:rsid w:val="00CB6049"/>
    <w:rsid w:val="00CB648C"/>
    <w:rsid w:val="00CB6E07"/>
    <w:rsid w:val="00CB6FB9"/>
    <w:rsid w:val="00CB70D2"/>
    <w:rsid w:val="00CB755A"/>
    <w:rsid w:val="00CC06FC"/>
    <w:rsid w:val="00CC0868"/>
    <w:rsid w:val="00CC1F82"/>
    <w:rsid w:val="00CC220B"/>
    <w:rsid w:val="00CC39DB"/>
    <w:rsid w:val="00CC3AC4"/>
    <w:rsid w:val="00CC3B51"/>
    <w:rsid w:val="00CC3BD5"/>
    <w:rsid w:val="00CC3E02"/>
    <w:rsid w:val="00CC4FAA"/>
    <w:rsid w:val="00CC5C43"/>
    <w:rsid w:val="00CC5DCD"/>
    <w:rsid w:val="00CC6BB2"/>
    <w:rsid w:val="00CC6BF2"/>
    <w:rsid w:val="00CC796A"/>
    <w:rsid w:val="00CD02AE"/>
    <w:rsid w:val="00CD04AB"/>
    <w:rsid w:val="00CD07BC"/>
    <w:rsid w:val="00CD11B3"/>
    <w:rsid w:val="00CD14DA"/>
    <w:rsid w:val="00CD1860"/>
    <w:rsid w:val="00CD1EAE"/>
    <w:rsid w:val="00CD2A4F"/>
    <w:rsid w:val="00CD2C6B"/>
    <w:rsid w:val="00CD2E6E"/>
    <w:rsid w:val="00CD389A"/>
    <w:rsid w:val="00CD3F15"/>
    <w:rsid w:val="00CD4014"/>
    <w:rsid w:val="00CD4476"/>
    <w:rsid w:val="00CD4CAE"/>
    <w:rsid w:val="00CD505C"/>
    <w:rsid w:val="00CD55EC"/>
    <w:rsid w:val="00CD6323"/>
    <w:rsid w:val="00CD678F"/>
    <w:rsid w:val="00CE00B6"/>
    <w:rsid w:val="00CE03CA"/>
    <w:rsid w:val="00CE058C"/>
    <w:rsid w:val="00CE1071"/>
    <w:rsid w:val="00CE1333"/>
    <w:rsid w:val="00CE1D5B"/>
    <w:rsid w:val="00CE20B7"/>
    <w:rsid w:val="00CE22F1"/>
    <w:rsid w:val="00CE24E0"/>
    <w:rsid w:val="00CE252B"/>
    <w:rsid w:val="00CE2A37"/>
    <w:rsid w:val="00CE2AF1"/>
    <w:rsid w:val="00CE339B"/>
    <w:rsid w:val="00CE3AE6"/>
    <w:rsid w:val="00CE4493"/>
    <w:rsid w:val="00CE4D88"/>
    <w:rsid w:val="00CE4EB3"/>
    <w:rsid w:val="00CE50F2"/>
    <w:rsid w:val="00CE55C7"/>
    <w:rsid w:val="00CE5779"/>
    <w:rsid w:val="00CE5C20"/>
    <w:rsid w:val="00CE6502"/>
    <w:rsid w:val="00CE6F34"/>
    <w:rsid w:val="00CE7210"/>
    <w:rsid w:val="00CE7E1D"/>
    <w:rsid w:val="00CE7F04"/>
    <w:rsid w:val="00CF0BDD"/>
    <w:rsid w:val="00CF0E3B"/>
    <w:rsid w:val="00CF1BC3"/>
    <w:rsid w:val="00CF353E"/>
    <w:rsid w:val="00CF387F"/>
    <w:rsid w:val="00CF3EB4"/>
    <w:rsid w:val="00CF4A48"/>
    <w:rsid w:val="00CF59DF"/>
    <w:rsid w:val="00CF5D34"/>
    <w:rsid w:val="00CF5F8E"/>
    <w:rsid w:val="00CF5FCB"/>
    <w:rsid w:val="00CF643A"/>
    <w:rsid w:val="00CF6751"/>
    <w:rsid w:val="00CF6BDA"/>
    <w:rsid w:val="00CF7D3C"/>
    <w:rsid w:val="00CF7DF9"/>
    <w:rsid w:val="00D01B08"/>
    <w:rsid w:val="00D01C56"/>
    <w:rsid w:val="00D01F09"/>
    <w:rsid w:val="00D01F81"/>
    <w:rsid w:val="00D02478"/>
    <w:rsid w:val="00D02853"/>
    <w:rsid w:val="00D03B8B"/>
    <w:rsid w:val="00D03E6C"/>
    <w:rsid w:val="00D04299"/>
    <w:rsid w:val="00D04C0E"/>
    <w:rsid w:val="00D04ECB"/>
    <w:rsid w:val="00D051CC"/>
    <w:rsid w:val="00D0593B"/>
    <w:rsid w:val="00D05DCB"/>
    <w:rsid w:val="00D063E9"/>
    <w:rsid w:val="00D06A49"/>
    <w:rsid w:val="00D07172"/>
    <w:rsid w:val="00D077A1"/>
    <w:rsid w:val="00D07AB1"/>
    <w:rsid w:val="00D07CE2"/>
    <w:rsid w:val="00D109EA"/>
    <w:rsid w:val="00D11FC6"/>
    <w:rsid w:val="00D13389"/>
    <w:rsid w:val="00D13522"/>
    <w:rsid w:val="00D13DCD"/>
    <w:rsid w:val="00D147EB"/>
    <w:rsid w:val="00D14F74"/>
    <w:rsid w:val="00D15A24"/>
    <w:rsid w:val="00D15DE5"/>
    <w:rsid w:val="00D1681F"/>
    <w:rsid w:val="00D168EF"/>
    <w:rsid w:val="00D17639"/>
    <w:rsid w:val="00D17CC2"/>
    <w:rsid w:val="00D20A86"/>
    <w:rsid w:val="00D21AA3"/>
    <w:rsid w:val="00D2220C"/>
    <w:rsid w:val="00D22902"/>
    <w:rsid w:val="00D22C9B"/>
    <w:rsid w:val="00D22E3B"/>
    <w:rsid w:val="00D23253"/>
    <w:rsid w:val="00D235F5"/>
    <w:rsid w:val="00D24107"/>
    <w:rsid w:val="00D24942"/>
    <w:rsid w:val="00D25805"/>
    <w:rsid w:val="00D26330"/>
    <w:rsid w:val="00D266C3"/>
    <w:rsid w:val="00D2773E"/>
    <w:rsid w:val="00D278C5"/>
    <w:rsid w:val="00D3037D"/>
    <w:rsid w:val="00D30867"/>
    <w:rsid w:val="00D32F50"/>
    <w:rsid w:val="00D33320"/>
    <w:rsid w:val="00D34667"/>
    <w:rsid w:val="00D348FC"/>
    <w:rsid w:val="00D35207"/>
    <w:rsid w:val="00D36097"/>
    <w:rsid w:val="00D36878"/>
    <w:rsid w:val="00D36D22"/>
    <w:rsid w:val="00D36FD9"/>
    <w:rsid w:val="00D379DC"/>
    <w:rsid w:val="00D379DF"/>
    <w:rsid w:val="00D401E1"/>
    <w:rsid w:val="00D40275"/>
    <w:rsid w:val="00D405DC"/>
    <w:rsid w:val="00D408B4"/>
    <w:rsid w:val="00D40B92"/>
    <w:rsid w:val="00D41151"/>
    <w:rsid w:val="00D411D6"/>
    <w:rsid w:val="00D41420"/>
    <w:rsid w:val="00D41CC1"/>
    <w:rsid w:val="00D42089"/>
    <w:rsid w:val="00D42608"/>
    <w:rsid w:val="00D4262E"/>
    <w:rsid w:val="00D4337F"/>
    <w:rsid w:val="00D43B1A"/>
    <w:rsid w:val="00D440EC"/>
    <w:rsid w:val="00D44330"/>
    <w:rsid w:val="00D444C4"/>
    <w:rsid w:val="00D44F32"/>
    <w:rsid w:val="00D45823"/>
    <w:rsid w:val="00D45F1D"/>
    <w:rsid w:val="00D46455"/>
    <w:rsid w:val="00D4663B"/>
    <w:rsid w:val="00D50C50"/>
    <w:rsid w:val="00D5122E"/>
    <w:rsid w:val="00D513A3"/>
    <w:rsid w:val="00D515BE"/>
    <w:rsid w:val="00D52027"/>
    <w:rsid w:val="00D5243D"/>
    <w:rsid w:val="00D524C8"/>
    <w:rsid w:val="00D52981"/>
    <w:rsid w:val="00D52FF4"/>
    <w:rsid w:val="00D540DF"/>
    <w:rsid w:val="00D54B63"/>
    <w:rsid w:val="00D54B9A"/>
    <w:rsid w:val="00D54D5F"/>
    <w:rsid w:val="00D551AE"/>
    <w:rsid w:val="00D555A6"/>
    <w:rsid w:val="00D559E3"/>
    <w:rsid w:val="00D56E44"/>
    <w:rsid w:val="00D57239"/>
    <w:rsid w:val="00D609AC"/>
    <w:rsid w:val="00D60F97"/>
    <w:rsid w:val="00D61054"/>
    <w:rsid w:val="00D611CF"/>
    <w:rsid w:val="00D61308"/>
    <w:rsid w:val="00D62829"/>
    <w:rsid w:val="00D63721"/>
    <w:rsid w:val="00D63ECC"/>
    <w:rsid w:val="00D649CE"/>
    <w:rsid w:val="00D64A27"/>
    <w:rsid w:val="00D64B14"/>
    <w:rsid w:val="00D64BE7"/>
    <w:rsid w:val="00D6529C"/>
    <w:rsid w:val="00D659D4"/>
    <w:rsid w:val="00D663F0"/>
    <w:rsid w:val="00D6640D"/>
    <w:rsid w:val="00D66912"/>
    <w:rsid w:val="00D679AC"/>
    <w:rsid w:val="00D70E24"/>
    <w:rsid w:val="00D70E2F"/>
    <w:rsid w:val="00D71D49"/>
    <w:rsid w:val="00D72255"/>
    <w:rsid w:val="00D725FB"/>
    <w:rsid w:val="00D72B61"/>
    <w:rsid w:val="00D736C2"/>
    <w:rsid w:val="00D7416C"/>
    <w:rsid w:val="00D74487"/>
    <w:rsid w:val="00D7466C"/>
    <w:rsid w:val="00D7619C"/>
    <w:rsid w:val="00D7727C"/>
    <w:rsid w:val="00D77454"/>
    <w:rsid w:val="00D80321"/>
    <w:rsid w:val="00D80BC1"/>
    <w:rsid w:val="00D80DAA"/>
    <w:rsid w:val="00D81D99"/>
    <w:rsid w:val="00D83C5F"/>
    <w:rsid w:val="00D84469"/>
    <w:rsid w:val="00D867F3"/>
    <w:rsid w:val="00D90056"/>
    <w:rsid w:val="00D900BC"/>
    <w:rsid w:val="00D90D47"/>
    <w:rsid w:val="00D90DF1"/>
    <w:rsid w:val="00D91FC6"/>
    <w:rsid w:val="00D93071"/>
    <w:rsid w:val="00D93AA2"/>
    <w:rsid w:val="00D9484C"/>
    <w:rsid w:val="00D948CE"/>
    <w:rsid w:val="00DA0724"/>
    <w:rsid w:val="00DA0F1C"/>
    <w:rsid w:val="00DA1087"/>
    <w:rsid w:val="00DA14D6"/>
    <w:rsid w:val="00DA1578"/>
    <w:rsid w:val="00DA303C"/>
    <w:rsid w:val="00DA326E"/>
    <w:rsid w:val="00DA33C7"/>
    <w:rsid w:val="00DA3C44"/>
    <w:rsid w:val="00DA3D1D"/>
    <w:rsid w:val="00DA5273"/>
    <w:rsid w:val="00DA613A"/>
    <w:rsid w:val="00DA6D70"/>
    <w:rsid w:val="00DA75C7"/>
    <w:rsid w:val="00DB09EB"/>
    <w:rsid w:val="00DB1302"/>
    <w:rsid w:val="00DB1723"/>
    <w:rsid w:val="00DB1936"/>
    <w:rsid w:val="00DB2220"/>
    <w:rsid w:val="00DB24E1"/>
    <w:rsid w:val="00DB344E"/>
    <w:rsid w:val="00DB37A1"/>
    <w:rsid w:val="00DB44FD"/>
    <w:rsid w:val="00DB4552"/>
    <w:rsid w:val="00DB5776"/>
    <w:rsid w:val="00DB6286"/>
    <w:rsid w:val="00DB645F"/>
    <w:rsid w:val="00DB6B6A"/>
    <w:rsid w:val="00DB7678"/>
    <w:rsid w:val="00DB76E9"/>
    <w:rsid w:val="00DB7C69"/>
    <w:rsid w:val="00DBE516"/>
    <w:rsid w:val="00DC0392"/>
    <w:rsid w:val="00DC0A67"/>
    <w:rsid w:val="00DC10E1"/>
    <w:rsid w:val="00DC1D5E"/>
    <w:rsid w:val="00DC20FB"/>
    <w:rsid w:val="00DC22B5"/>
    <w:rsid w:val="00DC2A8C"/>
    <w:rsid w:val="00DC32C4"/>
    <w:rsid w:val="00DC34D9"/>
    <w:rsid w:val="00DC3AC5"/>
    <w:rsid w:val="00DC3DDC"/>
    <w:rsid w:val="00DC453A"/>
    <w:rsid w:val="00DC45FC"/>
    <w:rsid w:val="00DC46A1"/>
    <w:rsid w:val="00DC4750"/>
    <w:rsid w:val="00DC5220"/>
    <w:rsid w:val="00DC618F"/>
    <w:rsid w:val="00DC64E8"/>
    <w:rsid w:val="00DC6F48"/>
    <w:rsid w:val="00DC7446"/>
    <w:rsid w:val="00DD01D7"/>
    <w:rsid w:val="00DD0B81"/>
    <w:rsid w:val="00DD0C35"/>
    <w:rsid w:val="00DD144D"/>
    <w:rsid w:val="00DD16E7"/>
    <w:rsid w:val="00DD1E50"/>
    <w:rsid w:val="00DD2061"/>
    <w:rsid w:val="00DD26C3"/>
    <w:rsid w:val="00DD27A1"/>
    <w:rsid w:val="00DD2EEE"/>
    <w:rsid w:val="00DD2EF3"/>
    <w:rsid w:val="00DD30C1"/>
    <w:rsid w:val="00DD37BD"/>
    <w:rsid w:val="00DD3A71"/>
    <w:rsid w:val="00DD4216"/>
    <w:rsid w:val="00DD4680"/>
    <w:rsid w:val="00DD5C00"/>
    <w:rsid w:val="00DD676A"/>
    <w:rsid w:val="00DD68A5"/>
    <w:rsid w:val="00DD6D17"/>
    <w:rsid w:val="00DD7DAB"/>
    <w:rsid w:val="00DD7E1B"/>
    <w:rsid w:val="00DE026C"/>
    <w:rsid w:val="00DE02E6"/>
    <w:rsid w:val="00DE0747"/>
    <w:rsid w:val="00DE0A3F"/>
    <w:rsid w:val="00DE0F71"/>
    <w:rsid w:val="00DE15E6"/>
    <w:rsid w:val="00DE226C"/>
    <w:rsid w:val="00DE3355"/>
    <w:rsid w:val="00DE3497"/>
    <w:rsid w:val="00DE3C21"/>
    <w:rsid w:val="00DE49AF"/>
    <w:rsid w:val="00DE50B7"/>
    <w:rsid w:val="00DE563F"/>
    <w:rsid w:val="00DE5C2D"/>
    <w:rsid w:val="00DF0A54"/>
    <w:rsid w:val="00DF0C60"/>
    <w:rsid w:val="00DF2B10"/>
    <w:rsid w:val="00DF3B66"/>
    <w:rsid w:val="00DF3ED3"/>
    <w:rsid w:val="00DF486F"/>
    <w:rsid w:val="00DF4C49"/>
    <w:rsid w:val="00DF4D06"/>
    <w:rsid w:val="00DF55D7"/>
    <w:rsid w:val="00DF5B5B"/>
    <w:rsid w:val="00DF657E"/>
    <w:rsid w:val="00DF660E"/>
    <w:rsid w:val="00DF6C76"/>
    <w:rsid w:val="00DF6DDC"/>
    <w:rsid w:val="00DF7088"/>
    <w:rsid w:val="00DF713A"/>
    <w:rsid w:val="00DF7619"/>
    <w:rsid w:val="00DF78A7"/>
    <w:rsid w:val="00E0122B"/>
    <w:rsid w:val="00E01307"/>
    <w:rsid w:val="00E01A60"/>
    <w:rsid w:val="00E02C6B"/>
    <w:rsid w:val="00E042D8"/>
    <w:rsid w:val="00E0433F"/>
    <w:rsid w:val="00E04705"/>
    <w:rsid w:val="00E04907"/>
    <w:rsid w:val="00E04DF4"/>
    <w:rsid w:val="00E05156"/>
    <w:rsid w:val="00E06132"/>
    <w:rsid w:val="00E06472"/>
    <w:rsid w:val="00E0693E"/>
    <w:rsid w:val="00E06A0C"/>
    <w:rsid w:val="00E06C2C"/>
    <w:rsid w:val="00E06FC9"/>
    <w:rsid w:val="00E0701B"/>
    <w:rsid w:val="00E07EE7"/>
    <w:rsid w:val="00E07F55"/>
    <w:rsid w:val="00E1103B"/>
    <w:rsid w:val="00E11940"/>
    <w:rsid w:val="00E11C38"/>
    <w:rsid w:val="00E1213D"/>
    <w:rsid w:val="00E129D5"/>
    <w:rsid w:val="00E12E33"/>
    <w:rsid w:val="00E12F34"/>
    <w:rsid w:val="00E148F5"/>
    <w:rsid w:val="00E14ECB"/>
    <w:rsid w:val="00E1508C"/>
    <w:rsid w:val="00E152D5"/>
    <w:rsid w:val="00E15A21"/>
    <w:rsid w:val="00E15D1E"/>
    <w:rsid w:val="00E17B44"/>
    <w:rsid w:val="00E17DC0"/>
    <w:rsid w:val="00E20F27"/>
    <w:rsid w:val="00E21CF4"/>
    <w:rsid w:val="00E22443"/>
    <w:rsid w:val="00E22498"/>
    <w:rsid w:val="00E2347C"/>
    <w:rsid w:val="00E23CF0"/>
    <w:rsid w:val="00E23DA9"/>
    <w:rsid w:val="00E24668"/>
    <w:rsid w:val="00E24A61"/>
    <w:rsid w:val="00E24C57"/>
    <w:rsid w:val="00E24D17"/>
    <w:rsid w:val="00E25B1F"/>
    <w:rsid w:val="00E26943"/>
    <w:rsid w:val="00E26E36"/>
    <w:rsid w:val="00E27A1B"/>
    <w:rsid w:val="00E27FEA"/>
    <w:rsid w:val="00E30DF4"/>
    <w:rsid w:val="00E3147A"/>
    <w:rsid w:val="00E31847"/>
    <w:rsid w:val="00E31A72"/>
    <w:rsid w:val="00E32552"/>
    <w:rsid w:val="00E33125"/>
    <w:rsid w:val="00E33BC5"/>
    <w:rsid w:val="00E3410D"/>
    <w:rsid w:val="00E34BA6"/>
    <w:rsid w:val="00E3516F"/>
    <w:rsid w:val="00E35E76"/>
    <w:rsid w:val="00E37D40"/>
    <w:rsid w:val="00E403D5"/>
    <w:rsid w:val="00E406E0"/>
    <w:rsid w:val="00E4086F"/>
    <w:rsid w:val="00E4165D"/>
    <w:rsid w:val="00E42481"/>
    <w:rsid w:val="00E42E25"/>
    <w:rsid w:val="00E430B8"/>
    <w:rsid w:val="00E4380D"/>
    <w:rsid w:val="00E43B3C"/>
    <w:rsid w:val="00E44855"/>
    <w:rsid w:val="00E44A06"/>
    <w:rsid w:val="00E46CC4"/>
    <w:rsid w:val="00E46CC7"/>
    <w:rsid w:val="00E4705F"/>
    <w:rsid w:val="00E472A1"/>
    <w:rsid w:val="00E47310"/>
    <w:rsid w:val="00E473C3"/>
    <w:rsid w:val="00E50177"/>
    <w:rsid w:val="00E50188"/>
    <w:rsid w:val="00E5078B"/>
    <w:rsid w:val="00E50BB3"/>
    <w:rsid w:val="00E51071"/>
    <w:rsid w:val="00E51539"/>
    <w:rsid w:val="00E515CB"/>
    <w:rsid w:val="00E51CB3"/>
    <w:rsid w:val="00E52260"/>
    <w:rsid w:val="00E5229E"/>
    <w:rsid w:val="00E525AB"/>
    <w:rsid w:val="00E52A9A"/>
    <w:rsid w:val="00E53C34"/>
    <w:rsid w:val="00E54370"/>
    <w:rsid w:val="00E54CB2"/>
    <w:rsid w:val="00E55162"/>
    <w:rsid w:val="00E5555B"/>
    <w:rsid w:val="00E55F1C"/>
    <w:rsid w:val="00E56990"/>
    <w:rsid w:val="00E56DB4"/>
    <w:rsid w:val="00E56E36"/>
    <w:rsid w:val="00E57007"/>
    <w:rsid w:val="00E57791"/>
    <w:rsid w:val="00E57C40"/>
    <w:rsid w:val="00E60378"/>
    <w:rsid w:val="00E60650"/>
    <w:rsid w:val="00E60D0E"/>
    <w:rsid w:val="00E612B2"/>
    <w:rsid w:val="00E6143B"/>
    <w:rsid w:val="00E61F3F"/>
    <w:rsid w:val="00E6275F"/>
    <w:rsid w:val="00E62B57"/>
    <w:rsid w:val="00E632E9"/>
    <w:rsid w:val="00E637E2"/>
    <w:rsid w:val="00E639B6"/>
    <w:rsid w:val="00E6434B"/>
    <w:rsid w:val="00E6463D"/>
    <w:rsid w:val="00E6573C"/>
    <w:rsid w:val="00E65880"/>
    <w:rsid w:val="00E659D2"/>
    <w:rsid w:val="00E66658"/>
    <w:rsid w:val="00E672A3"/>
    <w:rsid w:val="00E67313"/>
    <w:rsid w:val="00E6733C"/>
    <w:rsid w:val="00E67A5E"/>
    <w:rsid w:val="00E67B96"/>
    <w:rsid w:val="00E7086C"/>
    <w:rsid w:val="00E70958"/>
    <w:rsid w:val="00E7168B"/>
    <w:rsid w:val="00E72548"/>
    <w:rsid w:val="00E72E9B"/>
    <w:rsid w:val="00E72F2C"/>
    <w:rsid w:val="00E73066"/>
    <w:rsid w:val="00E73653"/>
    <w:rsid w:val="00E7442D"/>
    <w:rsid w:val="00E74B17"/>
    <w:rsid w:val="00E764B8"/>
    <w:rsid w:val="00E76779"/>
    <w:rsid w:val="00E7692E"/>
    <w:rsid w:val="00E7698E"/>
    <w:rsid w:val="00E76A39"/>
    <w:rsid w:val="00E77544"/>
    <w:rsid w:val="00E776A2"/>
    <w:rsid w:val="00E776AF"/>
    <w:rsid w:val="00E77D27"/>
    <w:rsid w:val="00E81502"/>
    <w:rsid w:val="00E8164B"/>
    <w:rsid w:val="00E81A53"/>
    <w:rsid w:val="00E82778"/>
    <w:rsid w:val="00E82EA8"/>
    <w:rsid w:val="00E83C68"/>
    <w:rsid w:val="00E83CE0"/>
    <w:rsid w:val="00E840B6"/>
    <w:rsid w:val="00E84273"/>
    <w:rsid w:val="00E8477F"/>
    <w:rsid w:val="00E847C7"/>
    <w:rsid w:val="00E847F0"/>
    <w:rsid w:val="00E848E2"/>
    <w:rsid w:val="00E849DA"/>
    <w:rsid w:val="00E84AA3"/>
    <w:rsid w:val="00E850C3"/>
    <w:rsid w:val="00E868ED"/>
    <w:rsid w:val="00E86F91"/>
    <w:rsid w:val="00E873F8"/>
    <w:rsid w:val="00E87DF2"/>
    <w:rsid w:val="00E9067A"/>
    <w:rsid w:val="00E90D1D"/>
    <w:rsid w:val="00E925C3"/>
    <w:rsid w:val="00E92D1A"/>
    <w:rsid w:val="00E9462E"/>
    <w:rsid w:val="00E95879"/>
    <w:rsid w:val="00E95A84"/>
    <w:rsid w:val="00E95E3C"/>
    <w:rsid w:val="00E9672C"/>
    <w:rsid w:val="00E96BE4"/>
    <w:rsid w:val="00E97492"/>
    <w:rsid w:val="00E97E43"/>
    <w:rsid w:val="00EA020B"/>
    <w:rsid w:val="00EA0E40"/>
    <w:rsid w:val="00EA0FDF"/>
    <w:rsid w:val="00EA14EF"/>
    <w:rsid w:val="00EA1753"/>
    <w:rsid w:val="00EA2008"/>
    <w:rsid w:val="00EA29F2"/>
    <w:rsid w:val="00EA3232"/>
    <w:rsid w:val="00EA43B2"/>
    <w:rsid w:val="00EA470E"/>
    <w:rsid w:val="00EA47A7"/>
    <w:rsid w:val="00EA486A"/>
    <w:rsid w:val="00EA511A"/>
    <w:rsid w:val="00EA5245"/>
    <w:rsid w:val="00EA57A6"/>
    <w:rsid w:val="00EA57EB"/>
    <w:rsid w:val="00EA6784"/>
    <w:rsid w:val="00EA7EEF"/>
    <w:rsid w:val="00EB06D4"/>
    <w:rsid w:val="00EB0ABE"/>
    <w:rsid w:val="00EB0CF5"/>
    <w:rsid w:val="00EB0E72"/>
    <w:rsid w:val="00EB13B9"/>
    <w:rsid w:val="00EB1B1B"/>
    <w:rsid w:val="00EB1CCB"/>
    <w:rsid w:val="00EB1E3C"/>
    <w:rsid w:val="00EB231A"/>
    <w:rsid w:val="00EB3226"/>
    <w:rsid w:val="00EB4305"/>
    <w:rsid w:val="00EB4C1A"/>
    <w:rsid w:val="00EB4C69"/>
    <w:rsid w:val="00EB4EB2"/>
    <w:rsid w:val="00EB5462"/>
    <w:rsid w:val="00EB58E1"/>
    <w:rsid w:val="00EB5902"/>
    <w:rsid w:val="00EB67B1"/>
    <w:rsid w:val="00EB7123"/>
    <w:rsid w:val="00EB7CB2"/>
    <w:rsid w:val="00EC072F"/>
    <w:rsid w:val="00EC08F6"/>
    <w:rsid w:val="00EC11C7"/>
    <w:rsid w:val="00EC136F"/>
    <w:rsid w:val="00EC14FE"/>
    <w:rsid w:val="00EC1A9D"/>
    <w:rsid w:val="00EC1DE2"/>
    <w:rsid w:val="00EC213A"/>
    <w:rsid w:val="00EC2918"/>
    <w:rsid w:val="00EC2988"/>
    <w:rsid w:val="00EC3152"/>
    <w:rsid w:val="00EC3730"/>
    <w:rsid w:val="00EC3F31"/>
    <w:rsid w:val="00EC4142"/>
    <w:rsid w:val="00EC5436"/>
    <w:rsid w:val="00EC5E61"/>
    <w:rsid w:val="00EC7744"/>
    <w:rsid w:val="00EC7931"/>
    <w:rsid w:val="00EC793F"/>
    <w:rsid w:val="00EC7D90"/>
    <w:rsid w:val="00ED0B27"/>
    <w:rsid w:val="00ED0BBC"/>
    <w:rsid w:val="00ED0DAD"/>
    <w:rsid w:val="00ED0F46"/>
    <w:rsid w:val="00ED171C"/>
    <w:rsid w:val="00ED2373"/>
    <w:rsid w:val="00ED25A8"/>
    <w:rsid w:val="00ED2A62"/>
    <w:rsid w:val="00ED2D0C"/>
    <w:rsid w:val="00ED2E14"/>
    <w:rsid w:val="00ED30BF"/>
    <w:rsid w:val="00ED32C6"/>
    <w:rsid w:val="00ED4A6D"/>
    <w:rsid w:val="00ED4F02"/>
    <w:rsid w:val="00ED6557"/>
    <w:rsid w:val="00ED6FB2"/>
    <w:rsid w:val="00ED7134"/>
    <w:rsid w:val="00ED729E"/>
    <w:rsid w:val="00ED77AD"/>
    <w:rsid w:val="00ED7AB5"/>
    <w:rsid w:val="00ED7CA9"/>
    <w:rsid w:val="00EE005C"/>
    <w:rsid w:val="00EE023F"/>
    <w:rsid w:val="00EE025E"/>
    <w:rsid w:val="00EE0D92"/>
    <w:rsid w:val="00EE1E40"/>
    <w:rsid w:val="00EE2BD3"/>
    <w:rsid w:val="00EE3218"/>
    <w:rsid w:val="00EE3412"/>
    <w:rsid w:val="00EE3E8A"/>
    <w:rsid w:val="00EE5061"/>
    <w:rsid w:val="00EE5334"/>
    <w:rsid w:val="00EE56BF"/>
    <w:rsid w:val="00EE6402"/>
    <w:rsid w:val="00EE6588"/>
    <w:rsid w:val="00EE6E0F"/>
    <w:rsid w:val="00EF0067"/>
    <w:rsid w:val="00EF01B7"/>
    <w:rsid w:val="00EF0463"/>
    <w:rsid w:val="00EF2894"/>
    <w:rsid w:val="00EF3815"/>
    <w:rsid w:val="00EF3BD0"/>
    <w:rsid w:val="00EF40A1"/>
    <w:rsid w:val="00EF4D52"/>
    <w:rsid w:val="00EF569A"/>
    <w:rsid w:val="00EF58B8"/>
    <w:rsid w:val="00EF58DA"/>
    <w:rsid w:val="00EF5E55"/>
    <w:rsid w:val="00EF6709"/>
    <w:rsid w:val="00EF6ECA"/>
    <w:rsid w:val="00EF738B"/>
    <w:rsid w:val="00F0036E"/>
    <w:rsid w:val="00F005CE"/>
    <w:rsid w:val="00F011FD"/>
    <w:rsid w:val="00F01675"/>
    <w:rsid w:val="00F01979"/>
    <w:rsid w:val="00F024E1"/>
    <w:rsid w:val="00F02575"/>
    <w:rsid w:val="00F02BD5"/>
    <w:rsid w:val="00F02E9A"/>
    <w:rsid w:val="00F03506"/>
    <w:rsid w:val="00F037FE"/>
    <w:rsid w:val="00F044D5"/>
    <w:rsid w:val="00F04749"/>
    <w:rsid w:val="00F04DC9"/>
    <w:rsid w:val="00F052FD"/>
    <w:rsid w:val="00F056AE"/>
    <w:rsid w:val="00F05BD0"/>
    <w:rsid w:val="00F06187"/>
    <w:rsid w:val="00F066C1"/>
    <w:rsid w:val="00F06A57"/>
    <w:rsid w:val="00F06C10"/>
    <w:rsid w:val="00F07427"/>
    <w:rsid w:val="00F07D4C"/>
    <w:rsid w:val="00F1040D"/>
    <w:rsid w:val="00F1096F"/>
    <w:rsid w:val="00F110E5"/>
    <w:rsid w:val="00F11834"/>
    <w:rsid w:val="00F11C2A"/>
    <w:rsid w:val="00F12589"/>
    <w:rsid w:val="00F12595"/>
    <w:rsid w:val="00F1288E"/>
    <w:rsid w:val="00F134D9"/>
    <w:rsid w:val="00F135B2"/>
    <w:rsid w:val="00F13778"/>
    <w:rsid w:val="00F1392A"/>
    <w:rsid w:val="00F13F9E"/>
    <w:rsid w:val="00F1403D"/>
    <w:rsid w:val="00F145A4"/>
    <w:rsid w:val="00F1463F"/>
    <w:rsid w:val="00F14BC1"/>
    <w:rsid w:val="00F15C73"/>
    <w:rsid w:val="00F1617F"/>
    <w:rsid w:val="00F16F19"/>
    <w:rsid w:val="00F17CE2"/>
    <w:rsid w:val="00F17FA8"/>
    <w:rsid w:val="00F17FED"/>
    <w:rsid w:val="00F21302"/>
    <w:rsid w:val="00F23C1B"/>
    <w:rsid w:val="00F23C77"/>
    <w:rsid w:val="00F2430D"/>
    <w:rsid w:val="00F243F2"/>
    <w:rsid w:val="00F24DCE"/>
    <w:rsid w:val="00F25330"/>
    <w:rsid w:val="00F25716"/>
    <w:rsid w:val="00F25E02"/>
    <w:rsid w:val="00F26264"/>
    <w:rsid w:val="00F266B2"/>
    <w:rsid w:val="00F27477"/>
    <w:rsid w:val="00F2771C"/>
    <w:rsid w:val="00F30460"/>
    <w:rsid w:val="00F30A91"/>
    <w:rsid w:val="00F3114E"/>
    <w:rsid w:val="00F31C55"/>
    <w:rsid w:val="00F321DE"/>
    <w:rsid w:val="00F3225D"/>
    <w:rsid w:val="00F33777"/>
    <w:rsid w:val="00F340C8"/>
    <w:rsid w:val="00F34797"/>
    <w:rsid w:val="00F34B73"/>
    <w:rsid w:val="00F359AF"/>
    <w:rsid w:val="00F368AB"/>
    <w:rsid w:val="00F36B14"/>
    <w:rsid w:val="00F36C8D"/>
    <w:rsid w:val="00F36FEB"/>
    <w:rsid w:val="00F375B6"/>
    <w:rsid w:val="00F3790A"/>
    <w:rsid w:val="00F37F9C"/>
    <w:rsid w:val="00F4014C"/>
    <w:rsid w:val="00F40648"/>
    <w:rsid w:val="00F406AC"/>
    <w:rsid w:val="00F40FE6"/>
    <w:rsid w:val="00F41506"/>
    <w:rsid w:val="00F418C3"/>
    <w:rsid w:val="00F41C6F"/>
    <w:rsid w:val="00F421A4"/>
    <w:rsid w:val="00F42804"/>
    <w:rsid w:val="00F42D54"/>
    <w:rsid w:val="00F43D23"/>
    <w:rsid w:val="00F44F47"/>
    <w:rsid w:val="00F44F64"/>
    <w:rsid w:val="00F451C4"/>
    <w:rsid w:val="00F4684E"/>
    <w:rsid w:val="00F47DA2"/>
    <w:rsid w:val="00F5078C"/>
    <w:rsid w:val="00F508C5"/>
    <w:rsid w:val="00F50C46"/>
    <w:rsid w:val="00F519DA"/>
    <w:rsid w:val="00F519FC"/>
    <w:rsid w:val="00F52B49"/>
    <w:rsid w:val="00F532A1"/>
    <w:rsid w:val="00F53489"/>
    <w:rsid w:val="00F535AE"/>
    <w:rsid w:val="00F5375A"/>
    <w:rsid w:val="00F53E1F"/>
    <w:rsid w:val="00F53FC5"/>
    <w:rsid w:val="00F548A2"/>
    <w:rsid w:val="00F54DBF"/>
    <w:rsid w:val="00F5673D"/>
    <w:rsid w:val="00F604EA"/>
    <w:rsid w:val="00F605AB"/>
    <w:rsid w:val="00F61C33"/>
    <w:rsid w:val="00F6239D"/>
    <w:rsid w:val="00F62754"/>
    <w:rsid w:val="00F62E80"/>
    <w:rsid w:val="00F631A6"/>
    <w:rsid w:val="00F6396D"/>
    <w:rsid w:val="00F647C3"/>
    <w:rsid w:val="00F64F5B"/>
    <w:rsid w:val="00F65B05"/>
    <w:rsid w:val="00F67C1D"/>
    <w:rsid w:val="00F70C29"/>
    <w:rsid w:val="00F713C3"/>
    <w:rsid w:val="00F715D2"/>
    <w:rsid w:val="00F718C9"/>
    <w:rsid w:val="00F7274F"/>
    <w:rsid w:val="00F72FB5"/>
    <w:rsid w:val="00F7312B"/>
    <w:rsid w:val="00F73898"/>
    <w:rsid w:val="00F73B9D"/>
    <w:rsid w:val="00F73F3E"/>
    <w:rsid w:val="00F7423F"/>
    <w:rsid w:val="00F74D87"/>
    <w:rsid w:val="00F74E84"/>
    <w:rsid w:val="00F76C1B"/>
    <w:rsid w:val="00F76E28"/>
    <w:rsid w:val="00F76FA8"/>
    <w:rsid w:val="00F77199"/>
    <w:rsid w:val="00F8097F"/>
    <w:rsid w:val="00F81FA0"/>
    <w:rsid w:val="00F8359B"/>
    <w:rsid w:val="00F8433E"/>
    <w:rsid w:val="00F84D1B"/>
    <w:rsid w:val="00F8503D"/>
    <w:rsid w:val="00F859D1"/>
    <w:rsid w:val="00F86E32"/>
    <w:rsid w:val="00F875C2"/>
    <w:rsid w:val="00F8799E"/>
    <w:rsid w:val="00F90002"/>
    <w:rsid w:val="00F908A1"/>
    <w:rsid w:val="00F91E41"/>
    <w:rsid w:val="00F92269"/>
    <w:rsid w:val="00F937AA"/>
    <w:rsid w:val="00F93E8E"/>
    <w:rsid w:val="00F93F08"/>
    <w:rsid w:val="00F941F1"/>
    <w:rsid w:val="00F9451B"/>
    <w:rsid w:val="00F94614"/>
    <w:rsid w:val="00F94CED"/>
    <w:rsid w:val="00F9537F"/>
    <w:rsid w:val="00F9731F"/>
    <w:rsid w:val="00F978A7"/>
    <w:rsid w:val="00F97CE3"/>
    <w:rsid w:val="00FA02BB"/>
    <w:rsid w:val="00FA0835"/>
    <w:rsid w:val="00FA0A7A"/>
    <w:rsid w:val="00FA1BBF"/>
    <w:rsid w:val="00FA26DB"/>
    <w:rsid w:val="00FA2CEE"/>
    <w:rsid w:val="00FA318C"/>
    <w:rsid w:val="00FA3940"/>
    <w:rsid w:val="00FA447C"/>
    <w:rsid w:val="00FA4B3C"/>
    <w:rsid w:val="00FA4B3F"/>
    <w:rsid w:val="00FA4BF9"/>
    <w:rsid w:val="00FA59C2"/>
    <w:rsid w:val="00FA6B23"/>
    <w:rsid w:val="00FA6D72"/>
    <w:rsid w:val="00FB00E5"/>
    <w:rsid w:val="00FB03D5"/>
    <w:rsid w:val="00FB07AD"/>
    <w:rsid w:val="00FB0DA6"/>
    <w:rsid w:val="00FB0EAE"/>
    <w:rsid w:val="00FB11A8"/>
    <w:rsid w:val="00FB18EF"/>
    <w:rsid w:val="00FB19B2"/>
    <w:rsid w:val="00FB46AD"/>
    <w:rsid w:val="00FB494A"/>
    <w:rsid w:val="00FB4CDE"/>
    <w:rsid w:val="00FB4EAD"/>
    <w:rsid w:val="00FB5C80"/>
    <w:rsid w:val="00FB6ACD"/>
    <w:rsid w:val="00FB6EE5"/>
    <w:rsid w:val="00FB6F92"/>
    <w:rsid w:val="00FB7591"/>
    <w:rsid w:val="00FB772D"/>
    <w:rsid w:val="00FC026E"/>
    <w:rsid w:val="00FC1216"/>
    <w:rsid w:val="00FC15B6"/>
    <w:rsid w:val="00FC2D2E"/>
    <w:rsid w:val="00FC3128"/>
    <w:rsid w:val="00FC3A22"/>
    <w:rsid w:val="00FC49A0"/>
    <w:rsid w:val="00FC5124"/>
    <w:rsid w:val="00FC5881"/>
    <w:rsid w:val="00FC69F5"/>
    <w:rsid w:val="00FC7212"/>
    <w:rsid w:val="00FC7E94"/>
    <w:rsid w:val="00FD0A3C"/>
    <w:rsid w:val="00FD0D3B"/>
    <w:rsid w:val="00FD1004"/>
    <w:rsid w:val="00FD1DC8"/>
    <w:rsid w:val="00FD282C"/>
    <w:rsid w:val="00FD383A"/>
    <w:rsid w:val="00FD4046"/>
    <w:rsid w:val="00FD4731"/>
    <w:rsid w:val="00FD4915"/>
    <w:rsid w:val="00FD5982"/>
    <w:rsid w:val="00FD6768"/>
    <w:rsid w:val="00FE0969"/>
    <w:rsid w:val="00FE0CD3"/>
    <w:rsid w:val="00FE0F5F"/>
    <w:rsid w:val="00FE135C"/>
    <w:rsid w:val="00FE1533"/>
    <w:rsid w:val="00FE1AC3"/>
    <w:rsid w:val="00FE1EDD"/>
    <w:rsid w:val="00FE2091"/>
    <w:rsid w:val="00FE2503"/>
    <w:rsid w:val="00FE393D"/>
    <w:rsid w:val="00FE44D5"/>
    <w:rsid w:val="00FE49CE"/>
    <w:rsid w:val="00FE5BB9"/>
    <w:rsid w:val="00FE67F4"/>
    <w:rsid w:val="00FE6993"/>
    <w:rsid w:val="00FE6AAA"/>
    <w:rsid w:val="00FE7256"/>
    <w:rsid w:val="00FE7C7C"/>
    <w:rsid w:val="00FF0680"/>
    <w:rsid w:val="00FF0AB0"/>
    <w:rsid w:val="00FF0B72"/>
    <w:rsid w:val="00FF0EC5"/>
    <w:rsid w:val="00FF10DC"/>
    <w:rsid w:val="00FF1F12"/>
    <w:rsid w:val="00FF2005"/>
    <w:rsid w:val="00FF213B"/>
    <w:rsid w:val="00FF28AC"/>
    <w:rsid w:val="00FF28D4"/>
    <w:rsid w:val="00FF2A77"/>
    <w:rsid w:val="00FF2C30"/>
    <w:rsid w:val="00FF2FA2"/>
    <w:rsid w:val="00FF3761"/>
    <w:rsid w:val="00FF3DE9"/>
    <w:rsid w:val="00FF3F3F"/>
    <w:rsid w:val="00FF4043"/>
    <w:rsid w:val="00FF40A1"/>
    <w:rsid w:val="00FF46BD"/>
    <w:rsid w:val="00FF4808"/>
    <w:rsid w:val="00FF4A1F"/>
    <w:rsid w:val="00FF4A5B"/>
    <w:rsid w:val="00FF4EFB"/>
    <w:rsid w:val="00FF50B7"/>
    <w:rsid w:val="00FF58FA"/>
    <w:rsid w:val="00FF5BF1"/>
    <w:rsid w:val="00FF5F08"/>
    <w:rsid w:val="00FF682F"/>
    <w:rsid w:val="00FF7714"/>
    <w:rsid w:val="00FF777D"/>
    <w:rsid w:val="00FF7F62"/>
    <w:rsid w:val="0100523B"/>
    <w:rsid w:val="0138AC72"/>
    <w:rsid w:val="013DA29C"/>
    <w:rsid w:val="01B534D7"/>
    <w:rsid w:val="01C61E4F"/>
    <w:rsid w:val="01DA8C4C"/>
    <w:rsid w:val="01EA94F5"/>
    <w:rsid w:val="01F31F2F"/>
    <w:rsid w:val="022057C2"/>
    <w:rsid w:val="0222E758"/>
    <w:rsid w:val="0277E803"/>
    <w:rsid w:val="0290B089"/>
    <w:rsid w:val="02B0248A"/>
    <w:rsid w:val="02BDCC71"/>
    <w:rsid w:val="02D34B5E"/>
    <w:rsid w:val="02FD202E"/>
    <w:rsid w:val="03726ACD"/>
    <w:rsid w:val="037A7C3E"/>
    <w:rsid w:val="03EF36B1"/>
    <w:rsid w:val="04487160"/>
    <w:rsid w:val="04752B27"/>
    <w:rsid w:val="048461CC"/>
    <w:rsid w:val="04863493"/>
    <w:rsid w:val="0489B4F7"/>
    <w:rsid w:val="0492CF21"/>
    <w:rsid w:val="04F25772"/>
    <w:rsid w:val="04F43346"/>
    <w:rsid w:val="050841A2"/>
    <w:rsid w:val="05345C84"/>
    <w:rsid w:val="056C47B8"/>
    <w:rsid w:val="05CA82BD"/>
    <w:rsid w:val="05E1BA16"/>
    <w:rsid w:val="05EF56FE"/>
    <w:rsid w:val="0682321D"/>
    <w:rsid w:val="06AF3315"/>
    <w:rsid w:val="06CD1221"/>
    <w:rsid w:val="06F39064"/>
    <w:rsid w:val="078267DD"/>
    <w:rsid w:val="07EBC1AA"/>
    <w:rsid w:val="080EEE28"/>
    <w:rsid w:val="0820E25F"/>
    <w:rsid w:val="0865EBD4"/>
    <w:rsid w:val="08786F9D"/>
    <w:rsid w:val="08ACCCED"/>
    <w:rsid w:val="08B9D7D9"/>
    <w:rsid w:val="08CB923B"/>
    <w:rsid w:val="08DEBCA3"/>
    <w:rsid w:val="08DED0E2"/>
    <w:rsid w:val="08F63BAA"/>
    <w:rsid w:val="0909E50C"/>
    <w:rsid w:val="0922E6D3"/>
    <w:rsid w:val="09311058"/>
    <w:rsid w:val="09512B83"/>
    <w:rsid w:val="0A283D03"/>
    <w:rsid w:val="0A865C8B"/>
    <w:rsid w:val="0AB0B84B"/>
    <w:rsid w:val="0B4150CA"/>
    <w:rsid w:val="0B75F946"/>
    <w:rsid w:val="0B837835"/>
    <w:rsid w:val="0B94D23B"/>
    <w:rsid w:val="0BE72642"/>
    <w:rsid w:val="0C070515"/>
    <w:rsid w:val="0C1BA705"/>
    <w:rsid w:val="0C2E813E"/>
    <w:rsid w:val="0C8B504F"/>
    <w:rsid w:val="0C8FB401"/>
    <w:rsid w:val="0CAFCCBA"/>
    <w:rsid w:val="0CB41612"/>
    <w:rsid w:val="0CD6245F"/>
    <w:rsid w:val="0CF55699"/>
    <w:rsid w:val="0D038249"/>
    <w:rsid w:val="0D172852"/>
    <w:rsid w:val="0D231EE8"/>
    <w:rsid w:val="0DD34E75"/>
    <w:rsid w:val="0DF624E9"/>
    <w:rsid w:val="0E42D1C7"/>
    <w:rsid w:val="0E440CCE"/>
    <w:rsid w:val="0E6416CA"/>
    <w:rsid w:val="0ED1AAD8"/>
    <w:rsid w:val="0EFF54A2"/>
    <w:rsid w:val="0F166AAA"/>
    <w:rsid w:val="0F871A46"/>
    <w:rsid w:val="0F88D173"/>
    <w:rsid w:val="0F9E93B8"/>
    <w:rsid w:val="0FC03AD5"/>
    <w:rsid w:val="0FD9B020"/>
    <w:rsid w:val="0FEA4BA0"/>
    <w:rsid w:val="0FEB155B"/>
    <w:rsid w:val="10314609"/>
    <w:rsid w:val="103886E8"/>
    <w:rsid w:val="109371F2"/>
    <w:rsid w:val="10AADD12"/>
    <w:rsid w:val="10D054F2"/>
    <w:rsid w:val="10DFDF8F"/>
    <w:rsid w:val="1143824C"/>
    <w:rsid w:val="115BA709"/>
    <w:rsid w:val="11683772"/>
    <w:rsid w:val="11ABD572"/>
    <w:rsid w:val="1282AABA"/>
    <w:rsid w:val="128B80AA"/>
    <w:rsid w:val="129C2027"/>
    <w:rsid w:val="12D77E06"/>
    <w:rsid w:val="12EC397F"/>
    <w:rsid w:val="12F0B662"/>
    <w:rsid w:val="12FE826B"/>
    <w:rsid w:val="13739CB3"/>
    <w:rsid w:val="13838F5C"/>
    <w:rsid w:val="13904149"/>
    <w:rsid w:val="13CD9539"/>
    <w:rsid w:val="141C86B6"/>
    <w:rsid w:val="142B4AAE"/>
    <w:rsid w:val="144B6A00"/>
    <w:rsid w:val="14D541F5"/>
    <w:rsid w:val="14F8F44D"/>
    <w:rsid w:val="151BA3EC"/>
    <w:rsid w:val="1532A4B0"/>
    <w:rsid w:val="154EB48D"/>
    <w:rsid w:val="15507E4A"/>
    <w:rsid w:val="15554A17"/>
    <w:rsid w:val="159128CB"/>
    <w:rsid w:val="15B74840"/>
    <w:rsid w:val="16046A8C"/>
    <w:rsid w:val="160BA039"/>
    <w:rsid w:val="164170F6"/>
    <w:rsid w:val="16A6A930"/>
    <w:rsid w:val="16B50F2D"/>
    <w:rsid w:val="16FA4F5B"/>
    <w:rsid w:val="1708E0A5"/>
    <w:rsid w:val="170D7C8B"/>
    <w:rsid w:val="1730C6C8"/>
    <w:rsid w:val="176A5467"/>
    <w:rsid w:val="1785E5A7"/>
    <w:rsid w:val="184A37E4"/>
    <w:rsid w:val="185389F3"/>
    <w:rsid w:val="185E59A1"/>
    <w:rsid w:val="186A19BB"/>
    <w:rsid w:val="186E3E94"/>
    <w:rsid w:val="1871DE4E"/>
    <w:rsid w:val="188EB336"/>
    <w:rsid w:val="189092E2"/>
    <w:rsid w:val="18D3A3F9"/>
    <w:rsid w:val="19140CAF"/>
    <w:rsid w:val="192C1F2D"/>
    <w:rsid w:val="194C4070"/>
    <w:rsid w:val="1982418F"/>
    <w:rsid w:val="1983F16D"/>
    <w:rsid w:val="19D58A5A"/>
    <w:rsid w:val="19DD759F"/>
    <w:rsid w:val="1A6CAE7F"/>
    <w:rsid w:val="1A919034"/>
    <w:rsid w:val="1AC44A04"/>
    <w:rsid w:val="1AD61686"/>
    <w:rsid w:val="1B177487"/>
    <w:rsid w:val="1B19D7F9"/>
    <w:rsid w:val="1BFA0E6F"/>
    <w:rsid w:val="1C10FDAE"/>
    <w:rsid w:val="1CA55F41"/>
    <w:rsid w:val="1CA7F20F"/>
    <w:rsid w:val="1CAAD2CE"/>
    <w:rsid w:val="1CB1BCFD"/>
    <w:rsid w:val="1CFF20C8"/>
    <w:rsid w:val="1D0A2A80"/>
    <w:rsid w:val="1D3A01C5"/>
    <w:rsid w:val="1D6BA4D8"/>
    <w:rsid w:val="1D81FA02"/>
    <w:rsid w:val="1D8F9280"/>
    <w:rsid w:val="1DA1B609"/>
    <w:rsid w:val="1DD36FAD"/>
    <w:rsid w:val="1DD887A5"/>
    <w:rsid w:val="1DE8392C"/>
    <w:rsid w:val="1DE90AA8"/>
    <w:rsid w:val="1DFE8A37"/>
    <w:rsid w:val="1E0359E8"/>
    <w:rsid w:val="1E03F67A"/>
    <w:rsid w:val="1E2C57AA"/>
    <w:rsid w:val="1E356156"/>
    <w:rsid w:val="1E9763DD"/>
    <w:rsid w:val="1E9A134B"/>
    <w:rsid w:val="1ECB5903"/>
    <w:rsid w:val="1F1DFA32"/>
    <w:rsid w:val="1F38EE0B"/>
    <w:rsid w:val="1F5CEBC3"/>
    <w:rsid w:val="1F5EB68F"/>
    <w:rsid w:val="1FA71E3E"/>
    <w:rsid w:val="1FE92768"/>
    <w:rsid w:val="201B3F80"/>
    <w:rsid w:val="203154F3"/>
    <w:rsid w:val="2040A97D"/>
    <w:rsid w:val="205573DD"/>
    <w:rsid w:val="20693910"/>
    <w:rsid w:val="2094D17D"/>
    <w:rsid w:val="20C55A9A"/>
    <w:rsid w:val="20EF13EF"/>
    <w:rsid w:val="20EFB7DC"/>
    <w:rsid w:val="2101315B"/>
    <w:rsid w:val="21775DB0"/>
    <w:rsid w:val="219BF7AE"/>
    <w:rsid w:val="22426769"/>
    <w:rsid w:val="2243143C"/>
    <w:rsid w:val="224B9C39"/>
    <w:rsid w:val="2264DE01"/>
    <w:rsid w:val="22B23833"/>
    <w:rsid w:val="22B59883"/>
    <w:rsid w:val="23103793"/>
    <w:rsid w:val="231B19A4"/>
    <w:rsid w:val="2321989D"/>
    <w:rsid w:val="23295480"/>
    <w:rsid w:val="232CC6A9"/>
    <w:rsid w:val="23424A7A"/>
    <w:rsid w:val="236AE421"/>
    <w:rsid w:val="236B96B0"/>
    <w:rsid w:val="23965ADE"/>
    <w:rsid w:val="23C0BCD7"/>
    <w:rsid w:val="23F5334B"/>
    <w:rsid w:val="2417E936"/>
    <w:rsid w:val="245F8BBF"/>
    <w:rsid w:val="2484EB12"/>
    <w:rsid w:val="249256E5"/>
    <w:rsid w:val="24A4F543"/>
    <w:rsid w:val="24DFBF9B"/>
    <w:rsid w:val="24E162BB"/>
    <w:rsid w:val="256E9A23"/>
    <w:rsid w:val="25DF8AEB"/>
    <w:rsid w:val="26015C22"/>
    <w:rsid w:val="2654B645"/>
    <w:rsid w:val="265F93C1"/>
    <w:rsid w:val="266641BD"/>
    <w:rsid w:val="26750A1C"/>
    <w:rsid w:val="26C76DD2"/>
    <w:rsid w:val="2728FD39"/>
    <w:rsid w:val="278661E1"/>
    <w:rsid w:val="27B7182F"/>
    <w:rsid w:val="27C5E6AA"/>
    <w:rsid w:val="280F4FFC"/>
    <w:rsid w:val="28393F40"/>
    <w:rsid w:val="2841B55B"/>
    <w:rsid w:val="2844983C"/>
    <w:rsid w:val="28B9B35B"/>
    <w:rsid w:val="292FB821"/>
    <w:rsid w:val="29422DE6"/>
    <w:rsid w:val="295AD413"/>
    <w:rsid w:val="2968C03F"/>
    <w:rsid w:val="29B99079"/>
    <w:rsid w:val="29CE57D5"/>
    <w:rsid w:val="29ED146B"/>
    <w:rsid w:val="2A0F87E0"/>
    <w:rsid w:val="2A10EABC"/>
    <w:rsid w:val="2A24C92C"/>
    <w:rsid w:val="2AA1E9F1"/>
    <w:rsid w:val="2ADC800F"/>
    <w:rsid w:val="2B02EDF2"/>
    <w:rsid w:val="2B482211"/>
    <w:rsid w:val="2B69BE4C"/>
    <w:rsid w:val="2BC54DD4"/>
    <w:rsid w:val="2BC7C6A5"/>
    <w:rsid w:val="2C0896C5"/>
    <w:rsid w:val="2C3343EF"/>
    <w:rsid w:val="2C7FF375"/>
    <w:rsid w:val="2C8AEE97"/>
    <w:rsid w:val="2C9A5326"/>
    <w:rsid w:val="2C9B5A3C"/>
    <w:rsid w:val="2C9BB5C7"/>
    <w:rsid w:val="2CB6C3B4"/>
    <w:rsid w:val="2CCC02D9"/>
    <w:rsid w:val="2D18964D"/>
    <w:rsid w:val="2D4FBAC5"/>
    <w:rsid w:val="2D642D8A"/>
    <w:rsid w:val="2D6808BD"/>
    <w:rsid w:val="2DDC4B1B"/>
    <w:rsid w:val="2E19B8EE"/>
    <w:rsid w:val="2EF05B14"/>
    <w:rsid w:val="2F3ACA5B"/>
    <w:rsid w:val="2F63413E"/>
    <w:rsid w:val="2F973C07"/>
    <w:rsid w:val="2FD19E3D"/>
    <w:rsid w:val="2FEEE076"/>
    <w:rsid w:val="30680DC3"/>
    <w:rsid w:val="30842716"/>
    <w:rsid w:val="30BBF230"/>
    <w:rsid w:val="30C5E56E"/>
    <w:rsid w:val="30DEE928"/>
    <w:rsid w:val="30E20B93"/>
    <w:rsid w:val="30EEC938"/>
    <w:rsid w:val="3135BC91"/>
    <w:rsid w:val="318532E9"/>
    <w:rsid w:val="31998836"/>
    <w:rsid w:val="31A2F16D"/>
    <w:rsid w:val="31BCF0C7"/>
    <w:rsid w:val="3203EF28"/>
    <w:rsid w:val="32116CEB"/>
    <w:rsid w:val="322686D2"/>
    <w:rsid w:val="32312365"/>
    <w:rsid w:val="32431C0F"/>
    <w:rsid w:val="3293B9E1"/>
    <w:rsid w:val="329B6E67"/>
    <w:rsid w:val="32F1C8BE"/>
    <w:rsid w:val="3347D366"/>
    <w:rsid w:val="335AA344"/>
    <w:rsid w:val="33A2A356"/>
    <w:rsid w:val="33B07CDF"/>
    <w:rsid w:val="33E75E7F"/>
    <w:rsid w:val="348F3246"/>
    <w:rsid w:val="348FAD78"/>
    <w:rsid w:val="34B788CF"/>
    <w:rsid w:val="34D68DBF"/>
    <w:rsid w:val="34F11FAD"/>
    <w:rsid w:val="350A9838"/>
    <w:rsid w:val="350C4CCF"/>
    <w:rsid w:val="352A3073"/>
    <w:rsid w:val="3532C079"/>
    <w:rsid w:val="3554A382"/>
    <w:rsid w:val="356E5ED4"/>
    <w:rsid w:val="357D958A"/>
    <w:rsid w:val="3588062A"/>
    <w:rsid w:val="35E24596"/>
    <w:rsid w:val="366E925C"/>
    <w:rsid w:val="3690759E"/>
    <w:rsid w:val="36B36489"/>
    <w:rsid w:val="36BD34FF"/>
    <w:rsid w:val="36D8D43D"/>
    <w:rsid w:val="36DA3943"/>
    <w:rsid w:val="36E14836"/>
    <w:rsid w:val="3705BAFE"/>
    <w:rsid w:val="370C0131"/>
    <w:rsid w:val="3733F8D1"/>
    <w:rsid w:val="37395821"/>
    <w:rsid w:val="376C0CA5"/>
    <w:rsid w:val="37D3309A"/>
    <w:rsid w:val="37ED5942"/>
    <w:rsid w:val="38330312"/>
    <w:rsid w:val="383B1C81"/>
    <w:rsid w:val="3881C259"/>
    <w:rsid w:val="388BB7DC"/>
    <w:rsid w:val="38A14020"/>
    <w:rsid w:val="38C32704"/>
    <w:rsid w:val="38E72CD6"/>
    <w:rsid w:val="394545EC"/>
    <w:rsid w:val="395820E3"/>
    <w:rsid w:val="39801254"/>
    <w:rsid w:val="39A80C32"/>
    <w:rsid w:val="39EE2D75"/>
    <w:rsid w:val="39F1CBCF"/>
    <w:rsid w:val="3A2B9F12"/>
    <w:rsid w:val="3A579499"/>
    <w:rsid w:val="3AB6788A"/>
    <w:rsid w:val="3ACF0728"/>
    <w:rsid w:val="3ADD232C"/>
    <w:rsid w:val="3AE9D2AA"/>
    <w:rsid w:val="3B0B271E"/>
    <w:rsid w:val="3B184D55"/>
    <w:rsid w:val="3B27DA35"/>
    <w:rsid w:val="3B51DE00"/>
    <w:rsid w:val="3B7C2982"/>
    <w:rsid w:val="3BAE3759"/>
    <w:rsid w:val="3BB01661"/>
    <w:rsid w:val="3C2CDC08"/>
    <w:rsid w:val="3C6A1648"/>
    <w:rsid w:val="3C6A9538"/>
    <w:rsid w:val="3C78B9A1"/>
    <w:rsid w:val="3C81E04C"/>
    <w:rsid w:val="3CA692D6"/>
    <w:rsid w:val="3CE407DC"/>
    <w:rsid w:val="3D951F98"/>
    <w:rsid w:val="3D95FDFD"/>
    <w:rsid w:val="3DEC8F6D"/>
    <w:rsid w:val="3E1431B8"/>
    <w:rsid w:val="3E5319DD"/>
    <w:rsid w:val="3E977493"/>
    <w:rsid w:val="3EC69F7F"/>
    <w:rsid w:val="3F134EDF"/>
    <w:rsid w:val="3F1464BD"/>
    <w:rsid w:val="3F43C9B0"/>
    <w:rsid w:val="3F46D7DD"/>
    <w:rsid w:val="3F951FFE"/>
    <w:rsid w:val="3FAF9252"/>
    <w:rsid w:val="3FD5AF10"/>
    <w:rsid w:val="3FF0D96E"/>
    <w:rsid w:val="4006BC1E"/>
    <w:rsid w:val="403892CC"/>
    <w:rsid w:val="406BA100"/>
    <w:rsid w:val="40906934"/>
    <w:rsid w:val="40BF831A"/>
    <w:rsid w:val="40CCFF8C"/>
    <w:rsid w:val="40F9F2EC"/>
    <w:rsid w:val="40FB3FA4"/>
    <w:rsid w:val="40FB6A0D"/>
    <w:rsid w:val="4108CC3C"/>
    <w:rsid w:val="412A5EBD"/>
    <w:rsid w:val="4137AEAE"/>
    <w:rsid w:val="413935BF"/>
    <w:rsid w:val="413E8266"/>
    <w:rsid w:val="4143CA57"/>
    <w:rsid w:val="414FAEDA"/>
    <w:rsid w:val="415651ED"/>
    <w:rsid w:val="415A56AC"/>
    <w:rsid w:val="416EDFA8"/>
    <w:rsid w:val="41ACAA56"/>
    <w:rsid w:val="41AED053"/>
    <w:rsid w:val="41EF230E"/>
    <w:rsid w:val="41F93DE0"/>
    <w:rsid w:val="4208DA12"/>
    <w:rsid w:val="4224B111"/>
    <w:rsid w:val="42523D11"/>
    <w:rsid w:val="42F53700"/>
    <w:rsid w:val="4341F53D"/>
    <w:rsid w:val="4364EE1A"/>
    <w:rsid w:val="438B70B1"/>
    <w:rsid w:val="4396E591"/>
    <w:rsid w:val="43A37E06"/>
    <w:rsid w:val="43D00041"/>
    <w:rsid w:val="43DEA62D"/>
    <w:rsid w:val="43E1887C"/>
    <w:rsid w:val="4400CC98"/>
    <w:rsid w:val="4402B6E3"/>
    <w:rsid w:val="441D8635"/>
    <w:rsid w:val="445501EC"/>
    <w:rsid w:val="4467652B"/>
    <w:rsid w:val="44DB2086"/>
    <w:rsid w:val="45378AD9"/>
    <w:rsid w:val="45970B9D"/>
    <w:rsid w:val="45C79468"/>
    <w:rsid w:val="4625D380"/>
    <w:rsid w:val="46296C53"/>
    <w:rsid w:val="46ACA516"/>
    <w:rsid w:val="474BDCF9"/>
    <w:rsid w:val="477E0467"/>
    <w:rsid w:val="47B11A75"/>
    <w:rsid w:val="47B165CA"/>
    <w:rsid w:val="47C370D2"/>
    <w:rsid w:val="47CFA457"/>
    <w:rsid w:val="48314A33"/>
    <w:rsid w:val="484188BD"/>
    <w:rsid w:val="4849A4E7"/>
    <w:rsid w:val="484F9D34"/>
    <w:rsid w:val="48AEBA74"/>
    <w:rsid w:val="491C9F71"/>
    <w:rsid w:val="492E8880"/>
    <w:rsid w:val="493CB53C"/>
    <w:rsid w:val="494686F3"/>
    <w:rsid w:val="496066A5"/>
    <w:rsid w:val="496D725C"/>
    <w:rsid w:val="4976950D"/>
    <w:rsid w:val="49798786"/>
    <w:rsid w:val="49C1778B"/>
    <w:rsid w:val="49C5F3B8"/>
    <w:rsid w:val="49D7D1B0"/>
    <w:rsid w:val="49E31F40"/>
    <w:rsid w:val="49FE416D"/>
    <w:rsid w:val="4A31007B"/>
    <w:rsid w:val="4A791084"/>
    <w:rsid w:val="4AD8CCAD"/>
    <w:rsid w:val="4B8F6347"/>
    <w:rsid w:val="4B979DA2"/>
    <w:rsid w:val="4BA49A42"/>
    <w:rsid w:val="4BC24BBC"/>
    <w:rsid w:val="4BCA1E2C"/>
    <w:rsid w:val="4BDD279E"/>
    <w:rsid w:val="4BEE4D64"/>
    <w:rsid w:val="4BFAD8AA"/>
    <w:rsid w:val="4CB7A547"/>
    <w:rsid w:val="4D0F8DB7"/>
    <w:rsid w:val="4D10DCE3"/>
    <w:rsid w:val="4D1CAE4D"/>
    <w:rsid w:val="4D3C9038"/>
    <w:rsid w:val="4D54BEEC"/>
    <w:rsid w:val="4D8E7EB7"/>
    <w:rsid w:val="4D916DF1"/>
    <w:rsid w:val="4DDD3923"/>
    <w:rsid w:val="4DED12E1"/>
    <w:rsid w:val="4E61989A"/>
    <w:rsid w:val="4E717FF8"/>
    <w:rsid w:val="4E794510"/>
    <w:rsid w:val="4EBAA502"/>
    <w:rsid w:val="4ED0C7B5"/>
    <w:rsid w:val="4F2E5EA9"/>
    <w:rsid w:val="4F58EADC"/>
    <w:rsid w:val="4F6B47D9"/>
    <w:rsid w:val="4F96E5DA"/>
    <w:rsid w:val="4FA63F7F"/>
    <w:rsid w:val="4FCAAD1D"/>
    <w:rsid w:val="4FE72A79"/>
    <w:rsid w:val="4FEC4C95"/>
    <w:rsid w:val="50243657"/>
    <w:rsid w:val="502BFEA4"/>
    <w:rsid w:val="502F4CE0"/>
    <w:rsid w:val="5092EDD6"/>
    <w:rsid w:val="50A52C93"/>
    <w:rsid w:val="50AB19D4"/>
    <w:rsid w:val="50D964EE"/>
    <w:rsid w:val="50DA0D85"/>
    <w:rsid w:val="50F5DC3F"/>
    <w:rsid w:val="5101B34D"/>
    <w:rsid w:val="510494C0"/>
    <w:rsid w:val="5104B8A5"/>
    <w:rsid w:val="51198B06"/>
    <w:rsid w:val="51367182"/>
    <w:rsid w:val="5142DF20"/>
    <w:rsid w:val="51695FA0"/>
    <w:rsid w:val="51AA017A"/>
    <w:rsid w:val="51BE4DEA"/>
    <w:rsid w:val="51C1F02E"/>
    <w:rsid w:val="51D4EAF8"/>
    <w:rsid w:val="524E9A87"/>
    <w:rsid w:val="5251986D"/>
    <w:rsid w:val="526A8AC5"/>
    <w:rsid w:val="52AFABDA"/>
    <w:rsid w:val="52C797B9"/>
    <w:rsid w:val="52CB91EB"/>
    <w:rsid w:val="52D6D920"/>
    <w:rsid w:val="53272E0A"/>
    <w:rsid w:val="536CBEA9"/>
    <w:rsid w:val="538AB5DC"/>
    <w:rsid w:val="538EC621"/>
    <w:rsid w:val="538F7BEB"/>
    <w:rsid w:val="539C557D"/>
    <w:rsid w:val="53CFC299"/>
    <w:rsid w:val="542EA485"/>
    <w:rsid w:val="543EEAE4"/>
    <w:rsid w:val="546F0643"/>
    <w:rsid w:val="54BA1B4E"/>
    <w:rsid w:val="54E2BB20"/>
    <w:rsid w:val="54E36BCF"/>
    <w:rsid w:val="54FD784F"/>
    <w:rsid w:val="55BC7482"/>
    <w:rsid w:val="563D0737"/>
    <w:rsid w:val="56442785"/>
    <w:rsid w:val="5696D0F1"/>
    <w:rsid w:val="572AA0B7"/>
    <w:rsid w:val="57715C91"/>
    <w:rsid w:val="57EF63F8"/>
    <w:rsid w:val="583013C8"/>
    <w:rsid w:val="58653D8D"/>
    <w:rsid w:val="5893EF47"/>
    <w:rsid w:val="58B9B0EA"/>
    <w:rsid w:val="58E08D8A"/>
    <w:rsid w:val="59031554"/>
    <w:rsid w:val="5908E7F2"/>
    <w:rsid w:val="5944DD84"/>
    <w:rsid w:val="59707BFE"/>
    <w:rsid w:val="59785940"/>
    <w:rsid w:val="5983FC7F"/>
    <w:rsid w:val="599A6B02"/>
    <w:rsid w:val="59C29CDC"/>
    <w:rsid w:val="59C5BFE9"/>
    <w:rsid w:val="59DF44D5"/>
    <w:rsid w:val="5A042851"/>
    <w:rsid w:val="5A1513DB"/>
    <w:rsid w:val="5A1BBCDD"/>
    <w:rsid w:val="5A70D994"/>
    <w:rsid w:val="5A9F26B4"/>
    <w:rsid w:val="5AAD4062"/>
    <w:rsid w:val="5AB6DD6A"/>
    <w:rsid w:val="5AD48431"/>
    <w:rsid w:val="5AE93318"/>
    <w:rsid w:val="5B0986BD"/>
    <w:rsid w:val="5B09CF05"/>
    <w:rsid w:val="5B0C284E"/>
    <w:rsid w:val="5B2BAB70"/>
    <w:rsid w:val="5B5AC960"/>
    <w:rsid w:val="5BA55045"/>
    <w:rsid w:val="5BB37D3B"/>
    <w:rsid w:val="5BBAC38B"/>
    <w:rsid w:val="5C25447F"/>
    <w:rsid w:val="5C4555C3"/>
    <w:rsid w:val="5C462410"/>
    <w:rsid w:val="5C5B9782"/>
    <w:rsid w:val="5C5C7C8D"/>
    <w:rsid w:val="5C7F00B3"/>
    <w:rsid w:val="5C8FA608"/>
    <w:rsid w:val="5CC62E3F"/>
    <w:rsid w:val="5D545059"/>
    <w:rsid w:val="5DE68A94"/>
    <w:rsid w:val="5DF698A6"/>
    <w:rsid w:val="5E610DDD"/>
    <w:rsid w:val="5E7EE70A"/>
    <w:rsid w:val="5E93FB2E"/>
    <w:rsid w:val="5EA3A883"/>
    <w:rsid w:val="5EBFA6D0"/>
    <w:rsid w:val="5EDB8911"/>
    <w:rsid w:val="5F1BB02B"/>
    <w:rsid w:val="5F241362"/>
    <w:rsid w:val="5F5A88B6"/>
    <w:rsid w:val="5F921137"/>
    <w:rsid w:val="5FA1F7AB"/>
    <w:rsid w:val="5FF10DFD"/>
    <w:rsid w:val="5FFDB503"/>
    <w:rsid w:val="601527F1"/>
    <w:rsid w:val="601C5B95"/>
    <w:rsid w:val="607D369D"/>
    <w:rsid w:val="60D9FD7D"/>
    <w:rsid w:val="60DB749A"/>
    <w:rsid w:val="60F00165"/>
    <w:rsid w:val="6118AC61"/>
    <w:rsid w:val="611FD0FE"/>
    <w:rsid w:val="6135932D"/>
    <w:rsid w:val="620006A6"/>
    <w:rsid w:val="620F3FEE"/>
    <w:rsid w:val="6223443A"/>
    <w:rsid w:val="6289DD95"/>
    <w:rsid w:val="628FCF53"/>
    <w:rsid w:val="629BC971"/>
    <w:rsid w:val="62C180A7"/>
    <w:rsid w:val="62DB590C"/>
    <w:rsid w:val="62EBE7CE"/>
    <w:rsid w:val="63033C0C"/>
    <w:rsid w:val="63035401"/>
    <w:rsid w:val="63465043"/>
    <w:rsid w:val="6357A87E"/>
    <w:rsid w:val="636E7BF1"/>
    <w:rsid w:val="636EA77C"/>
    <w:rsid w:val="63B7452A"/>
    <w:rsid w:val="6404BA39"/>
    <w:rsid w:val="6417ABB7"/>
    <w:rsid w:val="646421F2"/>
    <w:rsid w:val="64C60B31"/>
    <w:rsid w:val="64F559EA"/>
    <w:rsid w:val="650B196F"/>
    <w:rsid w:val="651C9978"/>
    <w:rsid w:val="6549C35A"/>
    <w:rsid w:val="659121E1"/>
    <w:rsid w:val="65D822B5"/>
    <w:rsid w:val="65FABAE6"/>
    <w:rsid w:val="65FD8F86"/>
    <w:rsid w:val="662AB9C9"/>
    <w:rsid w:val="6657A54B"/>
    <w:rsid w:val="6694CFA4"/>
    <w:rsid w:val="66A2ABD5"/>
    <w:rsid w:val="66A6DE14"/>
    <w:rsid w:val="66AD9F2F"/>
    <w:rsid w:val="66ECF4A0"/>
    <w:rsid w:val="66F3BFF5"/>
    <w:rsid w:val="6702849E"/>
    <w:rsid w:val="67259440"/>
    <w:rsid w:val="674F4A79"/>
    <w:rsid w:val="675B929B"/>
    <w:rsid w:val="67C24093"/>
    <w:rsid w:val="67CA3B76"/>
    <w:rsid w:val="67CD90EF"/>
    <w:rsid w:val="6821004C"/>
    <w:rsid w:val="68240323"/>
    <w:rsid w:val="682A4953"/>
    <w:rsid w:val="683E3412"/>
    <w:rsid w:val="686EB8DD"/>
    <w:rsid w:val="687319AB"/>
    <w:rsid w:val="6884CF8D"/>
    <w:rsid w:val="68DDCF90"/>
    <w:rsid w:val="6902FEA8"/>
    <w:rsid w:val="694DD61F"/>
    <w:rsid w:val="6955BA2A"/>
    <w:rsid w:val="6985205B"/>
    <w:rsid w:val="69C2F2D1"/>
    <w:rsid w:val="69DF1ADD"/>
    <w:rsid w:val="6A3E5A3C"/>
    <w:rsid w:val="6A61331F"/>
    <w:rsid w:val="6A906DA2"/>
    <w:rsid w:val="6A93E95E"/>
    <w:rsid w:val="6AA7052F"/>
    <w:rsid w:val="6AD45F1D"/>
    <w:rsid w:val="6B23BA7E"/>
    <w:rsid w:val="6B36839B"/>
    <w:rsid w:val="6B42AC22"/>
    <w:rsid w:val="6B68EE87"/>
    <w:rsid w:val="6B844035"/>
    <w:rsid w:val="6BA5D28E"/>
    <w:rsid w:val="6BAD4D4E"/>
    <w:rsid w:val="6BBD6BE3"/>
    <w:rsid w:val="6BF63EB1"/>
    <w:rsid w:val="6C196678"/>
    <w:rsid w:val="6C6A00FF"/>
    <w:rsid w:val="6C796AC8"/>
    <w:rsid w:val="6C7C7484"/>
    <w:rsid w:val="6C8B0541"/>
    <w:rsid w:val="6CA7A2E0"/>
    <w:rsid w:val="6CAC70B6"/>
    <w:rsid w:val="6CE6EECD"/>
    <w:rsid w:val="6CFABF39"/>
    <w:rsid w:val="6D3AD65E"/>
    <w:rsid w:val="6D5B2355"/>
    <w:rsid w:val="6E9A6F8D"/>
    <w:rsid w:val="6EA3EB61"/>
    <w:rsid w:val="6EC52E6B"/>
    <w:rsid w:val="6F233EB5"/>
    <w:rsid w:val="6F5E9BE3"/>
    <w:rsid w:val="6F73356C"/>
    <w:rsid w:val="6FBD7EE3"/>
    <w:rsid w:val="7091F98A"/>
    <w:rsid w:val="7092E33D"/>
    <w:rsid w:val="70BEC055"/>
    <w:rsid w:val="70DB1537"/>
    <w:rsid w:val="70DFE6F7"/>
    <w:rsid w:val="7159D406"/>
    <w:rsid w:val="715DACD2"/>
    <w:rsid w:val="71A8C38C"/>
    <w:rsid w:val="71B40612"/>
    <w:rsid w:val="71C3C29D"/>
    <w:rsid w:val="71D44EBE"/>
    <w:rsid w:val="71ED1B67"/>
    <w:rsid w:val="7262C355"/>
    <w:rsid w:val="728A3D62"/>
    <w:rsid w:val="7294927E"/>
    <w:rsid w:val="72C8FEB8"/>
    <w:rsid w:val="72E7D489"/>
    <w:rsid w:val="734BFE51"/>
    <w:rsid w:val="73E580FB"/>
    <w:rsid w:val="74343613"/>
    <w:rsid w:val="746E785B"/>
    <w:rsid w:val="748909A4"/>
    <w:rsid w:val="749E50D0"/>
    <w:rsid w:val="74AE54B5"/>
    <w:rsid w:val="74D12C23"/>
    <w:rsid w:val="74D46DE5"/>
    <w:rsid w:val="74E6FA71"/>
    <w:rsid w:val="74FB0BD4"/>
    <w:rsid w:val="7505FAFE"/>
    <w:rsid w:val="75298666"/>
    <w:rsid w:val="754879BC"/>
    <w:rsid w:val="754F3082"/>
    <w:rsid w:val="75A12848"/>
    <w:rsid w:val="75CC1B80"/>
    <w:rsid w:val="75DAFE08"/>
    <w:rsid w:val="75DF8729"/>
    <w:rsid w:val="760EEFBD"/>
    <w:rsid w:val="76189EA0"/>
    <w:rsid w:val="763AEE82"/>
    <w:rsid w:val="7645052E"/>
    <w:rsid w:val="768F843D"/>
    <w:rsid w:val="76B8C479"/>
    <w:rsid w:val="76F5CBD2"/>
    <w:rsid w:val="7702270D"/>
    <w:rsid w:val="770686BB"/>
    <w:rsid w:val="7708BD78"/>
    <w:rsid w:val="776D3A51"/>
    <w:rsid w:val="7772212F"/>
    <w:rsid w:val="7794FF0F"/>
    <w:rsid w:val="77A4A26E"/>
    <w:rsid w:val="77B8755B"/>
    <w:rsid w:val="77E0D8EF"/>
    <w:rsid w:val="783F1E29"/>
    <w:rsid w:val="78623B96"/>
    <w:rsid w:val="78C31CC2"/>
    <w:rsid w:val="78D27CD6"/>
    <w:rsid w:val="78D4959E"/>
    <w:rsid w:val="793CAD21"/>
    <w:rsid w:val="7956ECE8"/>
    <w:rsid w:val="7964A26B"/>
    <w:rsid w:val="79C2ABE8"/>
    <w:rsid w:val="79C47593"/>
    <w:rsid w:val="79D62226"/>
    <w:rsid w:val="79FFBEFD"/>
    <w:rsid w:val="7A15A911"/>
    <w:rsid w:val="7A65A159"/>
    <w:rsid w:val="7A76BB90"/>
    <w:rsid w:val="7A9E9FFB"/>
    <w:rsid w:val="7AA2A5AD"/>
    <w:rsid w:val="7AE7F878"/>
    <w:rsid w:val="7AF50F9A"/>
    <w:rsid w:val="7B77DA63"/>
    <w:rsid w:val="7B7C7FCD"/>
    <w:rsid w:val="7B91297F"/>
    <w:rsid w:val="7BC8AE66"/>
    <w:rsid w:val="7C3AB028"/>
    <w:rsid w:val="7C7B1B72"/>
    <w:rsid w:val="7CD8B31D"/>
    <w:rsid w:val="7CF21928"/>
    <w:rsid w:val="7D4FE919"/>
    <w:rsid w:val="7D635E5D"/>
    <w:rsid w:val="7E46BACB"/>
    <w:rsid w:val="7E6D54CB"/>
    <w:rsid w:val="7EA7F8DA"/>
    <w:rsid w:val="7ED4B572"/>
    <w:rsid w:val="7EF9001B"/>
    <w:rsid w:val="7EFA494F"/>
    <w:rsid w:val="7F0370C5"/>
    <w:rsid w:val="7F6EF69F"/>
    <w:rsid w:val="7F9812FB"/>
    <w:rsid w:val="7FDAE087"/>
    <w:rsid w:val="7FFB30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AD6AB64D-C9E5-4446-8111-FA0311CA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hAnsi="Arial" w:eastAsiaTheme="majorEastAsia" w:cstheme="majorBidi"/>
      <w:b/>
      <w:i/>
      <w:iCs/>
      <w:color w:val="1F243A" w:themeColor="accent1" w:themeShade="7F"/>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hAnsi="Arial" w:eastAsiaTheme="majorEastAsia" w:cstheme="majorBidi"/>
      <w:iCs/>
      <w:color w:val="3F4A75"/>
      <w:spacing w:val="15"/>
      <w:sz w:val="40"/>
      <w:szCs w:val="24"/>
      <w:lang w:eastAsia="en-US"/>
    </w:rPr>
  </w:style>
  <w:style w:type="character" w:styleId="SubtitleChar" w:customStyle="1">
    <w:name w:val="Subtitle Char"/>
    <w:basedOn w:val="DefaultParagraphFont"/>
    <w:link w:val="Subtitle"/>
    <w:rsid w:val="00A719F6"/>
    <w:rPr>
      <w:rFonts w:ascii="Arial" w:hAnsi="Arial" w:eastAsiaTheme="majorEastAsia"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hAnsi="Arial" w:eastAsiaTheme="majorEastAsia" w:cstheme="majorBidi"/>
      <w:b/>
      <w:color w:val="3F4A75"/>
      <w:kern w:val="28"/>
      <w:sz w:val="48"/>
      <w:szCs w:val="52"/>
      <w:lang w:eastAsia="en-US"/>
    </w:rPr>
  </w:style>
  <w:style w:type="character" w:styleId="TitleChar" w:customStyle="1">
    <w:name w:val="Title Char"/>
    <w:basedOn w:val="DefaultParagraphFont"/>
    <w:link w:val="Title"/>
    <w:rsid w:val="00A719F6"/>
    <w:rPr>
      <w:rFonts w:ascii="Arial" w:hAnsi="Arial" w:eastAsiaTheme="majorEastAsia" w:cstheme="majorBidi"/>
      <w:b/>
      <w:color w:val="3F4A75"/>
      <w:kern w:val="28"/>
      <w:sz w:val="48"/>
      <w:szCs w:val="52"/>
      <w:lang w:eastAsia="en-US"/>
    </w:rPr>
  </w:style>
  <w:style w:type="paragraph" w:styleId="Boxheading" w:customStyle="1">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color="3F4A75" w:themeColor="accent1" w:sz="4" w:space="4"/>
      </w:pBdr>
      <w:spacing w:before="200" w:after="280"/>
      <w:ind w:left="936" w:right="936"/>
    </w:pPr>
    <w:rPr>
      <w:rFonts w:ascii="Arial" w:hAnsi="Arial"/>
      <w:b/>
      <w:bCs/>
      <w:i/>
      <w:iCs/>
      <w:color w:val="3F4A75" w:themeColor="accent1"/>
      <w:sz w:val="22"/>
      <w:szCs w:val="24"/>
      <w:lang w:eastAsia="en-US"/>
    </w:rPr>
  </w:style>
  <w:style w:type="character" w:styleId="IntenseQuoteChar" w:customStyle="1">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styleId="ImageTitle" w:customStyle="1">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styleId="BodyTextChar" w:customStyle="1">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A719F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A719F6"/>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A719F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A719F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A719F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styleId="HeaderChar" w:customStyle="1">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styleId="FooterChar" w:customStyle="1">
    <w:name w:val="Footer Char"/>
    <w:basedOn w:val="DefaultParagraphFont"/>
    <w:link w:val="Footer"/>
    <w:uiPriority w:val="99"/>
    <w:rsid w:val="00A719F6"/>
    <w:rPr>
      <w:rFonts w:ascii="Arial" w:hAnsi="Arial"/>
      <w:szCs w:val="24"/>
      <w:lang w:eastAsia="en-US"/>
    </w:rPr>
  </w:style>
  <w:style w:type="paragraph" w:styleId="TableHeaderWhite" w:customStyle="1">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A719F6"/>
    <w:pPr>
      <w:spacing w:before="60"/>
    </w:pPr>
    <w:rPr>
      <w:rFonts w:cs="Arial"/>
      <w:b/>
      <w:sz w:val="20"/>
    </w:rPr>
  </w:style>
  <w:style w:type="paragraph" w:styleId="FigureTitle" w:customStyle="1">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styleId="Headertext" w:customStyle="1">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styleId="PHNGreyTable" w:customStyle="1">
    <w:name w:val="PHN Grey Table"/>
    <w:basedOn w:val="TableNormal"/>
    <w:uiPriority w:val="99"/>
    <w:rsid w:val="00A719F6"/>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left"/>
    <w:qFormat/>
    <w:rsid w:val="00A719F6"/>
    <w:pPr>
      <w:numPr>
        <w:numId w:val="24"/>
      </w:numPr>
    </w:pPr>
    <w:rPr>
      <w:szCs w:val="20"/>
    </w:rPr>
  </w:style>
  <w:style w:type="paragraph" w:styleId="Tablelistnumber" w:customStyle="1">
    <w:name w:val="Table list number"/>
    <w:basedOn w:val="Tabletextleft"/>
    <w:qFormat/>
    <w:rsid w:val="00A719F6"/>
    <w:pPr>
      <w:numPr>
        <w:numId w:val="25"/>
      </w:numPr>
    </w:pPr>
    <w:rPr>
      <w:bCs/>
      <w14:numSpacing w14:val="proportional"/>
    </w:rPr>
  </w:style>
  <w:style w:type="paragraph" w:styleId="TableHeader" w:customStyle="1">
    <w:name w:val="Table Header"/>
    <w:basedOn w:val="Normal"/>
    <w:next w:val="Tabletextleft"/>
    <w:qFormat/>
    <w:rsid w:val="00A719F6"/>
    <w:pPr>
      <w:spacing w:before="80" w:after="80"/>
    </w:pPr>
    <w:rPr>
      <w:rFonts w:eastAsia="Cambria"/>
      <w:b/>
      <w:color w:val="FFFFFF" w:themeColor="background1"/>
      <w:szCs w:val="22"/>
      <w:lang w:val="en-US"/>
    </w:rPr>
  </w:style>
  <w:style w:type="paragraph" w:styleId="SectionHeading" w:customStyle="1">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styleId="FootnoteTextChar" w:customStyle="1">
    <w:name w:val="Footnote Text Char"/>
    <w:basedOn w:val="DefaultParagraphFont"/>
    <w:link w:val="FootnoteText"/>
    <w:rsid w:val="00A719F6"/>
    <w:rPr>
      <w:rFonts w:ascii="Arial" w:hAnsi="Arial"/>
      <w:lang w:eastAsia="en-US"/>
    </w:rPr>
  </w:style>
  <w:style w:type="paragraph" w:styleId="VisionBox" w:customStyle="1">
    <w:name w:val="VisionBox"/>
    <w:basedOn w:val="Normal"/>
    <w:qFormat/>
    <w:rsid w:val="00A719F6"/>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A719F6"/>
    <w:pPr>
      <w:pBdr>
        <w:top w:val="single" w:color="358189" w:sz="6" w:space="20"/>
        <w:left w:val="single" w:color="358189" w:sz="6" w:space="10"/>
        <w:bottom w:val="single" w:color="358189" w:sz="6" w:space="10"/>
        <w:right w:val="single" w:color="358189" w:sz="6" w:space="10"/>
      </w:pBdr>
      <w:spacing w:after="240" w:line="276" w:lineRule="auto"/>
      <w:ind w:left="227" w:right="227"/>
    </w:pPr>
    <w:rPr>
      <w:rFonts w:ascii="Arial" w:hAnsi="Arial" w:cs="Arial"/>
      <w:color w:val="000000" w:themeColor="text1"/>
      <w:sz w:val="22"/>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A719F6"/>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style>
  <w:style w:type="paragraph" w:styleId="IntroPara" w:customStyle="1">
    <w:name w:val="Intro Para"/>
    <w:basedOn w:val="Normal"/>
    <w:next w:val="Normal"/>
    <w:qFormat/>
    <w:rsid w:val="00A719F6"/>
    <w:pPr>
      <w:spacing w:before="480" w:line="400" w:lineRule="exact"/>
    </w:pPr>
    <w:rPr>
      <w:color w:val="358189"/>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A719F6"/>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rPr>
      <w:b/>
      <w:bCs/>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autoRedefine/>
    <w:qFormat/>
    <w:rsid w:val="00A719F6"/>
    <w:pPr>
      <w:spacing w:before="60" w:after="60"/>
    </w:pPr>
    <w:rPr>
      <w:rFonts w:ascii="Arial" w:hAnsi="Arial"/>
      <w:color w:val="000000" w:themeColor="text1"/>
      <w:sz w:val="21"/>
      <w:szCs w:val="24"/>
      <w:lang w:eastAsia="en-US"/>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styleId="BalloonTextChar" w:customStyle="1">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styleId="Footerrightpage" w:customStyle="1">
    <w:name w:val="Footer right page"/>
    <w:basedOn w:val="Footer"/>
    <w:rsid w:val="00A719F6"/>
  </w:style>
  <w:style w:type="character" w:styleId="Heading7Char" w:customStyle="1">
    <w:name w:val="Heading 7 Char"/>
    <w:basedOn w:val="DefaultParagraphFont"/>
    <w:link w:val="Heading7"/>
    <w:semiHidden/>
    <w:rsid w:val="00A719F6"/>
    <w:rPr>
      <w:rFonts w:ascii="Arial" w:hAnsi="Arial" w:eastAsiaTheme="majorEastAsia"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styleId="Style1" w:customStyle="1">
    <w:name w:val="Style1"/>
    <w:next w:val="Normal"/>
    <w:rsid w:val="00A719F6"/>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paragraph" w:styleId="Tabletextcentre" w:customStyle="1">
    <w:name w:val="Table text centre"/>
    <w:basedOn w:val="Tabletextleft"/>
    <w:rsid w:val="00A719F6"/>
    <w:pPr>
      <w:jc w:val="center"/>
    </w:pPr>
  </w:style>
  <w:style w:type="paragraph" w:styleId="TableTextright1" w:customStyle="1">
    <w:name w:val="Table Text right"/>
    <w:basedOn w:val="Tabletextleft"/>
    <w:rsid w:val="00A719F6"/>
    <w:pPr>
      <w:jc w:val="right"/>
    </w:pPr>
  </w:style>
  <w:style w:type="character" w:styleId="TableTitleChar" w:customStyle="1">
    <w:name w:val="Table Title Char"/>
    <w:basedOn w:val="DefaultParagraphFont"/>
    <w:link w:val="TableTitle"/>
    <w:rsid w:val="00A719F6"/>
    <w:rPr>
      <w:rFonts w:ascii="Arial" w:hAnsi="Arial"/>
      <w:b/>
      <w:color w:val="000000" w:themeColor="text1"/>
      <w:sz w:val="22"/>
      <w:szCs w:val="24"/>
      <w:lang w:val="en-US" w:eastAsia="en-US"/>
    </w:rPr>
  </w:style>
  <w:style w:type="paragraph" w:styleId="URL" w:customStyle="1">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37254"/>
    <w:pPr>
      <w:spacing w:line="240" w:lineRule="auto"/>
    </w:pPr>
    <w:rPr>
      <w:sz w:val="20"/>
      <w:szCs w:val="20"/>
    </w:rPr>
  </w:style>
  <w:style w:type="character" w:styleId="CommentTextChar" w:customStyle="1">
    <w:name w:val="Comment Text Char"/>
    <w:basedOn w:val="DefaultParagraphFont"/>
    <w:link w:val="CommentText"/>
    <w:uiPriority w:val="99"/>
    <w:rsid w:val="00037254"/>
    <w:rPr>
      <w:rFonts w:ascii="Arial" w:hAnsi="Arial"/>
      <w:color w:val="000000" w:themeColor="text1"/>
      <w:lang w:eastAsia="en-US"/>
    </w:rPr>
  </w:style>
  <w:style w:type="character" w:styleId="CommentReference">
    <w:name w:val="annotation reference"/>
    <w:basedOn w:val="DefaultParagraphFont"/>
    <w:uiPriority w:val="99"/>
    <w:semiHidden/>
    <w:unhideWhenUsed/>
    <w:rsid w:val="00037254"/>
    <w:rPr>
      <w:sz w:val="16"/>
      <w:szCs w:val="16"/>
    </w:rPr>
  </w:style>
  <w:style w:type="paragraph" w:styleId="CommentSubject">
    <w:name w:val="annotation subject"/>
    <w:basedOn w:val="CommentText"/>
    <w:next w:val="CommentText"/>
    <w:link w:val="CommentSubjectChar"/>
    <w:semiHidden/>
    <w:unhideWhenUsed/>
    <w:rsid w:val="000D7F49"/>
    <w:rPr>
      <w:b/>
      <w:bCs/>
    </w:rPr>
  </w:style>
  <w:style w:type="character" w:styleId="CommentSubjectChar" w:customStyle="1">
    <w:name w:val="Comment Subject Char"/>
    <w:basedOn w:val="CommentTextChar"/>
    <w:link w:val="CommentSubject"/>
    <w:semiHidden/>
    <w:rsid w:val="000D7F49"/>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B96AF9"/>
    <w:rPr>
      <w:color w:val="605E5C"/>
      <w:shd w:val="clear" w:color="auto" w:fill="E1DFDD"/>
    </w:rPr>
  </w:style>
  <w:style w:type="paragraph" w:styleId="Revision">
    <w:name w:val="Revision"/>
    <w:hidden/>
    <w:uiPriority w:val="99"/>
    <w:semiHidden/>
    <w:rsid w:val="00815BF5"/>
    <w:rPr>
      <w:rFonts w:ascii="Arial" w:hAnsi="Arial"/>
      <w:color w:val="000000" w:themeColor="text1"/>
      <w:sz w:val="22"/>
      <w:szCs w:val="24"/>
      <w:lang w:eastAsia="en-US"/>
    </w:rPr>
  </w:style>
  <w:style w:type="character" w:styleId="ListParagraphChar" w:customStyle="1">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30B62"/>
    <w:rPr>
      <w:rFonts w:ascii="Arial" w:hAnsi="Arial"/>
      <w:color w:val="000000" w:themeColor="text1"/>
      <w:sz w:val="22"/>
      <w:szCs w:val="24"/>
      <w:lang w:eastAsia="en-US"/>
    </w:rPr>
  </w:style>
  <w:style w:type="character" w:styleId="Mention">
    <w:name w:val="Mention"/>
    <w:basedOn w:val="DefaultParagraphFont"/>
    <w:uiPriority w:val="99"/>
    <w:unhideWhenUsed/>
    <w:rsid w:val="001C20C0"/>
    <w:rPr>
      <w:color w:val="2B579A"/>
      <w:shd w:val="clear" w:color="auto" w:fill="E1DFDD"/>
    </w:rPr>
  </w:style>
  <w:style w:type="character" w:styleId="FollowedHyperlink">
    <w:name w:val="FollowedHyperlink"/>
    <w:basedOn w:val="DefaultParagraphFont"/>
    <w:semiHidden/>
    <w:unhideWhenUsed/>
    <w:rsid w:val="00D24942"/>
    <w:rPr>
      <w:color w:val="800080" w:themeColor="followedHyperlink"/>
      <w:u w:val="single"/>
    </w:rPr>
  </w:style>
  <w:style w:type="paragraph" w:styleId="Paragraphtext" w:customStyle="1">
    <w:name w:val="Paragraph text"/>
    <w:basedOn w:val="Normal"/>
    <w:qFormat/>
    <w:rsid w:val="00990A95"/>
    <w:pPr>
      <w:spacing w:after="6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287">
      <w:bodyDiv w:val="1"/>
      <w:marLeft w:val="0"/>
      <w:marRight w:val="0"/>
      <w:marTop w:val="0"/>
      <w:marBottom w:val="0"/>
      <w:divBdr>
        <w:top w:val="none" w:sz="0" w:space="0" w:color="auto"/>
        <w:left w:val="none" w:sz="0" w:space="0" w:color="auto"/>
        <w:bottom w:val="none" w:sz="0" w:space="0" w:color="auto"/>
        <w:right w:val="none" w:sz="0" w:space="0" w:color="auto"/>
      </w:divBdr>
      <w:divsChild>
        <w:div w:id="140470315">
          <w:marLeft w:val="0"/>
          <w:marRight w:val="0"/>
          <w:marTop w:val="0"/>
          <w:marBottom w:val="0"/>
          <w:divBdr>
            <w:top w:val="none" w:sz="0" w:space="0" w:color="auto"/>
            <w:left w:val="none" w:sz="0" w:space="0" w:color="auto"/>
            <w:bottom w:val="none" w:sz="0" w:space="0" w:color="auto"/>
            <w:right w:val="none" w:sz="0" w:space="0" w:color="auto"/>
          </w:divBdr>
          <w:divsChild>
            <w:div w:id="35593555">
              <w:marLeft w:val="0"/>
              <w:marRight w:val="0"/>
              <w:marTop w:val="0"/>
              <w:marBottom w:val="0"/>
              <w:divBdr>
                <w:top w:val="none" w:sz="0" w:space="0" w:color="auto"/>
                <w:left w:val="none" w:sz="0" w:space="0" w:color="auto"/>
                <w:bottom w:val="none" w:sz="0" w:space="0" w:color="auto"/>
                <w:right w:val="none" w:sz="0" w:space="0" w:color="auto"/>
              </w:divBdr>
            </w:div>
            <w:div w:id="43675418">
              <w:marLeft w:val="0"/>
              <w:marRight w:val="0"/>
              <w:marTop w:val="0"/>
              <w:marBottom w:val="0"/>
              <w:divBdr>
                <w:top w:val="none" w:sz="0" w:space="0" w:color="auto"/>
                <w:left w:val="none" w:sz="0" w:space="0" w:color="auto"/>
                <w:bottom w:val="none" w:sz="0" w:space="0" w:color="auto"/>
                <w:right w:val="none" w:sz="0" w:space="0" w:color="auto"/>
              </w:divBdr>
            </w:div>
            <w:div w:id="116989391">
              <w:marLeft w:val="0"/>
              <w:marRight w:val="0"/>
              <w:marTop w:val="0"/>
              <w:marBottom w:val="0"/>
              <w:divBdr>
                <w:top w:val="none" w:sz="0" w:space="0" w:color="auto"/>
                <w:left w:val="none" w:sz="0" w:space="0" w:color="auto"/>
                <w:bottom w:val="none" w:sz="0" w:space="0" w:color="auto"/>
                <w:right w:val="none" w:sz="0" w:space="0" w:color="auto"/>
              </w:divBdr>
            </w:div>
            <w:div w:id="743794738">
              <w:marLeft w:val="0"/>
              <w:marRight w:val="0"/>
              <w:marTop w:val="0"/>
              <w:marBottom w:val="0"/>
              <w:divBdr>
                <w:top w:val="none" w:sz="0" w:space="0" w:color="auto"/>
                <w:left w:val="none" w:sz="0" w:space="0" w:color="auto"/>
                <w:bottom w:val="none" w:sz="0" w:space="0" w:color="auto"/>
                <w:right w:val="none" w:sz="0" w:space="0" w:color="auto"/>
              </w:divBdr>
            </w:div>
            <w:div w:id="1293706264">
              <w:marLeft w:val="0"/>
              <w:marRight w:val="0"/>
              <w:marTop w:val="0"/>
              <w:marBottom w:val="0"/>
              <w:divBdr>
                <w:top w:val="none" w:sz="0" w:space="0" w:color="auto"/>
                <w:left w:val="none" w:sz="0" w:space="0" w:color="auto"/>
                <w:bottom w:val="none" w:sz="0" w:space="0" w:color="auto"/>
                <w:right w:val="none" w:sz="0" w:space="0" w:color="auto"/>
              </w:divBdr>
            </w:div>
            <w:div w:id="1518541666">
              <w:marLeft w:val="0"/>
              <w:marRight w:val="0"/>
              <w:marTop w:val="0"/>
              <w:marBottom w:val="0"/>
              <w:divBdr>
                <w:top w:val="none" w:sz="0" w:space="0" w:color="auto"/>
                <w:left w:val="none" w:sz="0" w:space="0" w:color="auto"/>
                <w:bottom w:val="none" w:sz="0" w:space="0" w:color="auto"/>
                <w:right w:val="none" w:sz="0" w:space="0" w:color="auto"/>
              </w:divBdr>
            </w:div>
            <w:div w:id="1882402035">
              <w:marLeft w:val="0"/>
              <w:marRight w:val="0"/>
              <w:marTop w:val="0"/>
              <w:marBottom w:val="0"/>
              <w:divBdr>
                <w:top w:val="none" w:sz="0" w:space="0" w:color="auto"/>
                <w:left w:val="none" w:sz="0" w:space="0" w:color="auto"/>
                <w:bottom w:val="none" w:sz="0" w:space="0" w:color="auto"/>
                <w:right w:val="none" w:sz="0" w:space="0" w:color="auto"/>
              </w:divBdr>
            </w:div>
            <w:div w:id="1940333740">
              <w:marLeft w:val="0"/>
              <w:marRight w:val="0"/>
              <w:marTop w:val="0"/>
              <w:marBottom w:val="0"/>
              <w:divBdr>
                <w:top w:val="none" w:sz="0" w:space="0" w:color="auto"/>
                <w:left w:val="none" w:sz="0" w:space="0" w:color="auto"/>
                <w:bottom w:val="none" w:sz="0" w:space="0" w:color="auto"/>
                <w:right w:val="none" w:sz="0" w:space="0" w:color="auto"/>
              </w:divBdr>
            </w:div>
          </w:divsChild>
        </w:div>
        <w:div w:id="437413645">
          <w:marLeft w:val="0"/>
          <w:marRight w:val="0"/>
          <w:marTop w:val="0"/>
          <w:marBottom w:val="0"/>
          <w:divBdr>
            <w:top w:val="none" w:sz="0" w:space="0" w:color="auto"/>
            <w:left w:val="none" w:sz="0" w:space="0" w:color="auto"/>
            <w:bottom w:val="none" w:sz="0" w:space="0" w:color="auto"/>
            <w:right w:val="none" w:sz="0" w:space="0" w:color="auto"/>
          </w:divBdr>
          <w:divsChild>
            <w:div w:id="1247957725">
              <w:marLeft w:val="0"/>
              <w:marRight w:val="0"/>
              <w:marTop w:val="0"/>
              <w:marBottom w:val="0"/>
              <w:divBdr>
                <w:top w:val="none" w:sz="0" w:space="0" w:color="auto"/>
                <w:left w:val="none" w:sz="0" w:space="0" w:color="auto"/>
                <w:bottom w:val="none" w:sz="0" w:space="0" w:color="auto"/>
                <w:right w:val="none" w:sz="0" w:space="0" w:color="auto"/>
              </w:divBdr>
            </w:div>
          </w:divsChild>
        </w:div>
        <w:div w:id="488441521">
          <w:marLeft w:val="0"/>
          <w:marRight w:val="0"/>
          <w:marTop w:val="0"/>
          <w:marBottom w:val="0"/>
          <w:divBdr>
            <w:top w:val="none" w:sz="0" w:space="0" w:color="auto"/>
            <w:left w:val="none" w:sz="0" w:space="0" w:color="auto"/>
            <w:bottom w:val="none" w:sz="0" w:space="0" w:color="auto"/>
            <w:right w:val="none" w:sz="0" w:space="0" w:color="auto"/>
          </w:divBdr>
          <w:divsChild>
            <w:div w:id="390159952">
              <w:marLeft w:val="0"/>
              <w:marRight w:val="0"/>
              <w:marTop w:val="0"/>
              <w:marBottom w:val="0"/>
              <w:divBdr>
                <w:top w:val="none" w:sz="0" w:space="0" w:color="auto"/>
                <w:left w:val="none" w:sz="0" w:space="0" w:color="auto"/>
                <w:bottom w:val="none" w:sz="0" w:space="0" w:color="auto"/>
                <w:right w:val="none" w:sz="0" w:space="0" w:color="auto"/>
              </w:divBdr>
            </w:div>
            <w:div w:id="882836144">
              <w:marLeft w:val="0"/>
              <w:marRight w:val="0"/>
              <w:marTop w:val="0"/>
              <w:marBottom w:val="0"/>
              <w:divBdr>
                <w:top w:val="none" w:sz="0" w:space="0" w:color="auto"/>
                <w:left w:val="none" w:sz="0" w:space="0" w:color="auto"/>
                <w:bottom w:val="none" w:sz="0" w:space="0" w:color="auto"/>
                <w:right w:val="none" w:sz="0" w:space="0" w:color="auto"/>
              </w:divBdr>
            </w:div>
          </w:divsChild>
        </w:div>
        <w:div w:id="594939154">
          <w:marLeft w:val="0"/>
          <w:marRight w:val="0"/>
          <w:marTop w:val="0"/>
          <w:marBottom w:val="0"/>
          <w:divBdr>
            <w:top w:val="none" w:sz="0" w:space="0" w:color="auto"/>
            <w:left w:val="none" w:sz="0" w:space="0" w:color="auto"/>
            <w:bottom w:val="none" w:sz="0" w:space="0" w:color="auto"/>
            <w:right w:val="none" w:sz="0" w:space="0" w:color="auto"/>
          </w:divBdr>
          <w:divsChild>
            <w:div w:id="372731649">
              <w:marLeft w:val="0"/>
              <w:marRight w:val="0"/>
              <w:marTop w:val="0"/>
              <w:marBottom w:val="0"/>
              <w:divBdr>
                <w:top w:val="none" w:sz="0" w:space="0" w:color="auto"/>
                <w:left w:val="none" w:sz="0" w:space="0" w:color="auto"/>
                <w:bottom w:val="none" w:sz="0" w:space="0" w:color="auto"/>
                <w:right w:val="none" w:sz="0" w:space="0" w:color="auto"/>
              </w:divBdr>
            </w:div>
            <w:div w:id="387218535">
              <w:marLeft w:val="0"/>
              <w:marRight w:val="0"/>
              <w:marTop w:val="0"/>
              <w:marBottom w:val="0"/>
              <w:divBdr>
                <w:top w:val="none" w:sz="0" w:space="0" w:color="auto"/>
                <w:left w:val="none" w:sz="0" w:space="0" w:color="auto"/>
                <w:bottom w:val="none" w:sz="0" w:space="0" w:color="auto"/>
                <w:right w:val="none" w:sz="0" w:space="0" w:color="auto"/>
              </w:divBdr>
            </w:div>
            <w:div w:id="586696526">
              <w:marLeft w:val="0"/>
              <w:marRight w:val="0"/>
              <w:marTop w:val="0"/>
              <w:marBottom w:val="0"/>
              <w:divBdr>
                <w:top w:val="none" w:sz="0" w:space="0" w:color="auto"/>
                <w:left w:val="none" w:sz="0" w:space="0" w:color="auto"/>
                <w:bottom w:val="none" w:sz="0" w:space="0" w:color="auto"/>
                <w:right w:val="none" w:sz="0" w:space="0" w:color="auto"/>
              </w:divBdr>
            </w:div>
            <w:div w:id="644356432">
              <w:marLeft w:val="0"/>
              <w:marRight w:val="0"/>
              <w:marTop w:val="0"/>
              <w:marBottom w:val="0"/>
              <w:divBdr>
                <w:top w:val="none" w:sz="0" w:space="0" w:color="auto"/>
                <w:left w:val="none" w:sz="0" w:space="0" w:color="auto"/>
                <w:bottom w:val="none" w:sz="0" w:space="0" w:color="auto"/>
                <w:right w:val="none" w:sz="0" w:space="0" w:color="auto"/>
              </w:divBdr>
            </w:div>
            <w:div w:id="1302418562">
              <w:marLeft w:val="0"/>
              <w:marRight w:val="0"/>
              <w:marTop w:val="0"/>
              <w:marBottom w:val="0"/>
              <w:divBdr>
                <w:top w:val="none" w:sz="0" w:space="0" w:color="auto"/>
                <w:left w:val="none" w:sz="0" w:space="0" w:color="auto"/>
                <w:bottom w:val="none" w:sz="0" w:space="0" w:color="auto"/>
                <w:right w:val="none" w:sz="0" w:space="0" w:color="auto"/>
              </w:divBdr>
            </w:div>
          </w:divsChild>
        </w:div>
        <w:div w:id="1470785595">
          <w:marLeft w:val="0"/>
          <w:marRight w:val="0"/>
          <w:marTop w:val="0"/>
          <w:marBottom w:val="0"/>
          <w:divBdr>
            <w:top w:val="none" w:sz="0" w:space="0" w:color="auto"/>
            <w:left w:val="none" w:sz="0" w:space="0" w:color="auto"/>
            <w:bottom w:val="none" w:sz="0" w:space="0" w:color="auto"/>
            <w:right w:val="none" w:sz="0" w:space="0" w:color="auto"/>
          </w:divBdr>
          <w:divsChild>
            <w:div w:id="2120683870">
              <w:marLeft w:val="0"/>
              <w:marRight w:val="0"/>
              <w:marTop w:val="0"/>
              <w:marBottom w:val="0"/>
              <w:divBdr>
                <w:top w:val="none" w:sz="0" w:space="0" w:color="auto"/>
                <w:left w:val="none" w:sz="0" w:space="0" w:color="auto"/>
                <w:bottom w:val="none" w:sz="0" w:space="0" w:color="auto"/>
                <w:right w:val="none" w:sz="0" w:space="0" w:color="auto"/>
              </w:divBdr>
            </w:div>
          </w:divsChild>
        </w:div>
        <w:div w:id="1513641069">
          <w:marLeft w:val="0"/>
          <w:marRight w:val="0"/>
          <w:marTop w:val="0"/>
          <w:marBottom w:val="0"/>
          <w:divBdr>
            <w:top w:val="none" w:sz="0" w:space="0" w:color="auto"/>
            <w:left w:val="none" w:sz="0" w:space="0" w:color="auto"/>
            <w:bottom w:val="none" w:sz="0" w:space="0" w:color="auto"/>
            <w:right w:val="none" w:sz="0" w:space="0" w:color="auto"/>
          </w:divBdr>
          <w:divsChild>
            <w:div w:id="132917615">
              <w:marLeft w:val="0"/>
              <w:marRight w:val="0"/>
              <w:marTop w:val="0"/>
              <w:marBottom w:val="0"/>
              <w:divBdr>
                <w:top w:val="none" w:sz="0" w:space="0" w:color="auto"/>
                <w:left w:val="none" w:sz="0" w:space="0" w:color="auto"/>
                <w:bottom w:val="none" w:sz="0" w:space="0" w:color="auto"/>
                <w:right w:val="none" w:sz="0" w:space="0" w:color="auto"/>
              </w:divBdr>
            </w:div>
            <w:div w:id="171187811">
              <w:marLeft w:val="0"/>
              <w:marRight w:val="0"/>
              <w:marTop w:val="0"/>
              <w:marBottom w:val="0"/>
              <w:divBdr>
                <w:top w:val="none" w:sz="0" w:space="0" w:color="auto"/>
                <w:left w:val="none" w:sz="0" w:space="0" w:color="auto"/>
                <w:bottom w:val="none" w:sz="0" w:space="0" w:color="auto"/>
                <w:right w:val="none" w:sz="0" w:space="0" w:color="auto"/>
              </w:divBdr>
            </w:div>
            <w:div w:id="185605368">
              <w:marLeft w:val="0"/>
              <w:marRight w:val="0"/>
              <w:marTop w:val="0"/>
              <w:marBottom w:val="0"/>
              <w:divBdr>
                <w:top w:val="none" w:sz="0" w:space="0" w:color="auto"/>
                <w:left w:val="none" w:sz="0" w:space="0" w:color="auto"/>
                <w:bottom w:val="none" w:sz="0" w:space="0" w:color="auto"/>
                <w:right w:val="none" w:sz="0" w:space="0" w:color="auto"/>
              </w:divBdr>
            </w:div>
            <w:div w:id="235016674">
              <w:marLeft w:val="0"/>
              <w:marRight w:val="0"/>
              <w:marTop w:val="0"/>
              <w:marBottom w:val="0"/>
              <w:divBdr>
                <w:top w:val="none" w:sz="0" w:space="0" w:color="auto"/>
                <w:left w:val="none" w:sz="0" w:space="0" w:color="auto"/>
                <w:bottom w:val="none" w:sz="0" w:space="0" w:color="auto"/>
                <w:right w:val="none" w:sz="0" w:space="0" w:color="auto"/>
              </w:divBdr>
            </w:div>
            <w:div w:id="563570958">
              <w:marLeft w:val="0"/>
              <w:marRight w:val="0"/>
              <w:marTop w:val="0"/>
              <w:marBottom w:val="0"/>
              <w:divBdr>
                <w:top w:val="none" w:sz="0" w:space="0" w:color="auto"/>
                <w:left w:val="none" w:sz="0" w:space="0" w:color="auto"/>
                <w:bottom w:val="none" w:sz="0" w:space="0" w:color="auto"/>
                <w:right w:val="none" w:sz="0" w:space="0" w:color="auto"/>
              </w:divBdr>
            </w:div>
            <w:div w:id="974214372">
              <w:marLeft w:val="0"/>
              <w:marRight w:val="0"/>
              <w:marTop w:val="0"/>
              <w:marBottom w:val="0"/>
              <w:divBdr>
                <w:top w:val="none" w:sz="0" w:space="0" w:color="auto"/>
                <w:left w:val="none" w:sz="0" w:space="0" w:color="auto"/>
                <w:bottom w:val="none" w:sz="0" w:space="0" w:color="auto"/>
                <w:right w:val="none" w:sz="0" w:space="0" w:color="auto"/>
              </w:divBdr>
            </w:div>
            <w:div w:id="1380739497">
              <w:marLeft w:val="0"/>
              <w:marRight w:val="0"/>
              <w:marTop w:val="0"/>
              <w:marBottom w:val="0"/>
              <w:divBdr>
                <w:top w:val="none" w:sz="0" w:space="0" w:color="auto"/>
                <w:left w:val="none" w:sz="0" w:space="0" w:color="auto"/>
                <w:bottom w:val="none" w:sz="0" w:space="0" w:color="auto"/>
                <w:right w:val="none" w:sz="0" w:space="0" w:color="auto"/>
              </w:divBdr>
            </w:div>
            <w:div w:id="1789422635">
              <w:marLeft w:val="0"/>
              <w:marRight w:val="0"/>
              <w:marTop w:val="0"/>
              <w:marBottom w:val="0"/>
              <w:divBdr>
                <w:top w:val="none" w:sz="0" w:space="0" w:color="auto"/>
                <w:left w:val="none" w:sz="0" w:space="0" w:color="auto"/>
                <w:bottom w:val="none" w:sz="0" w:space="0" w:color="auto"/>
                <w:right w:val="none" w:sz="0" w:space="0" w:color="auto"/>
              </w:divBdr>
            </w:div>
            <w:div w:id="1975940671">
              <w:marLeft w:val="0"/>
              <w:marRight w:val="0"/>
              <w:marTop w:val="0"/>
              <w:marBottom w:val="0"/>
              <w:divBdr>
                <w:top w:val="none" w:sz="0" w:space="0" w:color="auto"/>
                <w:left w:val="none" w:sz="0" w:space="0" w:color="auto"/>
                <w:bottom w:val="none" w:sz="0" w:space="0" w:color="auto"/>
                <w:right w:val="none" w:sz="0" w:space="0" w:color="auto"/>
              </w:divBdr>
            </w:div>
            <w:div w:id="2024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82657">
      <w:bodyDiv w:val="1"/>
      <w:marLeft w:val="0"/>
      <w:marRight w:val="0"/>
      <w:marTop w:val="0"/>
      <w:marBottom w:val="0"/>
      <w:divBdr>
        <w:top w:val="none" w:sz="0" w:space="0" w:color="auto"/>
        <w:left w:val="none" w:sz="0" w:space="0" w:color="auto"/>
        <w:bottom w:val="none" w:sz="0" w:space="0" w:color="auto"/>
        <w:right w:val="none" w:sz="0" w:space="0" w:color="auto"/>
      </w:divBdr>
      <w:divsChild>
        <w:div w:id="92167072">
          <w:marLeft w:val="0"/>
          <w:marRight w:val="0"/>
          <w:marTop w:val="0"/>
          <w:marBottom w:val="0"/>
          <w:divBdr>
            <w:top w:val="none" w:sz="0" w:space="0" w:color="auto"/>
            <w:left w:val="none" w:sz="0" w:space="0" w:color="auto"/>
            <w:bottom w:val="none" w:sz="0" w:space="0" w:color="auto"/>
            <w:right w:val="none" w:sz="0" w:space="0" w:color="auto"/>
          </w:divBdr>
          <w:divsChild>
            <w:div w:id="186607387">
              <w:marLeft w:val="0"/>
              <w:marRight w:val="0"/>
              <w:marTop w:val="0"/>
              <w:marBottom w:val="0"/>
              <w:divBdr>
                <w:top w:val="none" w:sz="0" w:space="0" w:color="auto"/>
                <w:left w:val="none" w:sz="0" w:space="0" w:color="auto"/>
                <w:bottom w:val="none" w:sz="0" w:space="0" w:color="auto"/>
                <w:right w:val="none" w:sz="0" w:space="0" w:color="auto"/>
              </w:divBdr>
            </w:div>
            <w:div w:id="297339901">
              <w:marLeft w:val="0"/>
              <w:marRight w:val="0"/>
              <w:marTop w:val="0"/>
              <w:marBottom w:val="0"/>
              <w:divBdr>
                <w:top w:val="none" w:sz="0" w:space="0" w:color="auto"/>
                <w:left w:val="none" w:sz="0" w:space="0" w:color="auto"/>
                <w:bottom w:val="none" w:sz="0" w:space="0" w:color="auto"/>
                <w:right w:val="none" w:sz="0" w:space="0" w:color="auto"/>
              </w:divBdr>
            </w:div>
            <w:div w:id="390931796">
              <w:marLeft w:val="0"/>
              <w:marRight w:val="0"/>
              <w:marTop w:val="0"/>
              <w:marBottom w:val="0"/>
              <w:divBdr>
                <w:top w:val="none" w:sz="0" w:space="0" w:color="auto"/>
                <w:left w:val="none" w:sz="0" w:space="0" w:color="auto"/>
                <w:bottom w:val="none" w:sz="0" w:space="0" w:color="auto"/>
                <w:right w:val="none" w:sz="0" w:space="0" w:color="auto"/>
              </w:divBdr>
            </w:div>
            <w:div w:id="1273168058">
              <w:marLeft w:val="0"/>
              <w:marRight w:val="0"/>
              <w:marTop w:val="0"/>
              <w:marBottom w:val="0"/>
              <w:divBdr>
                <w:top w:val="none" w:sz="0" w:space="0" w:color="auto"/>
                <w:left w:val="none" w:sz="0" w:space="0" w:color="auto"/>
                <w:bottom w:val="none" w:sz="0" w:space="0" w:color="auto"/>
                <w:right w:val="none" w:sz="0" w:space="0" w:color="auto"/>
              </w:divBdr>
            </w:div>
            <w:div w:id="1598056502">
              <w:marLeft w:val="0"/>
              <w:marRight w:val="0"/>
              <w:marTop w:val="0"/>
              <w:marBottom w:val="0"/>
              <w:divBdr>
                <w:top w:val="none" w:sz="0" w:space="0" w:color="auto"/>
                <w:left w:val="none" w:sz="0" w:space="0" w:color="auto"/>
                <w:bottom w:val="none" w:sz="0" w:space="0" w:color="auto"/>
                <w:right w:val="none" w:sz="0" w:space="0" w:color="auto"/>
              </w:divBdr>
            </w:div>
          </w:divsChild>
        </w:div>
        <w:div w:id="751319830">
          <w:marLeft w:val="0"/>
          <w:marRight w:val="0"/>
          <w:marTop w:val="0"/>
          <w:marBottom w:val="0"/>
          <w:divBdr>
            <w:top w:val="none" w:sz="0" w:space="0" w:color="auto"/>
            <w:left w:val="none" w:sz="0" w:space="0" w:color="auto"/>
            <w:bottom w:val="none" w:sz="0" w:space="0" w:color="auto"/>
            <w:right w:val="none" w:sz="0" w:space="0" w:color="auto"/>
          </w:divBdr>
          <w:divsChild>
            <w:div w:id="178469821">
              <w:marLeft w:val="0"/>
              <w:marRight w:val="0"/>
              <w:marTop w:val="0"/>
              <w:marBottom w:val="0"/>
              <w:divBdr>
                <w:top w:val="none" w:sz="0" w:space="0" w:color="auto"/>
                <w:left w:val="none" w:sz="0" w:space="0" w:color="auto"/>
                <w:bottom w:val="none" w:sz="0" w:space="0" w:color="auto"/>
                <w:right w:val="none" w:sz="0" w:space="0" w:color="auto"/>
              </w:divBdr>
            </w:div>
            <w:div w:id="471169849">
              <w:marLeft w:val="0"/>
              <w:marRight w:val="0"/>
              <w:marTop w:val="0"/>
              <w:marBottom w:val="0"/>
              <w:divBdr>
                <w:top w:val="none" w:sz="0" w:space="0" w:color="auto"/>
                <w:left w:val="none" w:sz="0" w:space="0" w:color="auto"/>
                <w:bottom w:val="none" w:sz="0" w:space="0" w:color="auto"/>
                <w:right w:val="none" w:sz="0" w:space="0" w:color="auto"/>
              </w:divBdr>
            </w:div>
            <w:div w:id="565458245">
              <w:marLeft w:val="0"/>
              <w:marRight w:val="0"/>
              <w:marTop w:val="0"/>
              <w:marBottom w:val="0"/>
              <w:divBdr>
                <w:top w:val="none" w:sz="0" w:space="0" w:color="auto"/>
                <w:left w:val="none" w:sz="0" w:space="0" w:color="auto"/>
                <w:bottom w:val="none" w:sz="0" w:space="0" w:color="auto"/>
                <w:right w:val="none" w:sz="0" w:space="0" w:color="auto"/>
              </w:divBdr>
            </w:div>
            <w:div w:id="916092995">
              <w:marLeft w:val="0"/>
              <w:marRight w:val="0"/>
              <w:marTop w:val="0"/>
              <w:marBottom w:val="0"/>
              <w:divBdr>
                <w:top w:val="none" w:sz="0" w:space="0" w:color="auto"/>
                <w:left w:val="none" w:sz="0" w:space="0" w:color="auto"/>
                <w:bottom w:val="none" w:sz="0" w:space="0" w:color="auto"/>
                <w:right w:val="none" w:sz="0" w:space="0" w:color="auto"/>
              </w:divBdr>
            </w:div>
            <w:div w:id="916327260">
              <w:marLeft w:val="0"/>
              <w:marRight w:val="0"/>
              <w:marTop w:val="0"/>
              <w:marBottom w:val="0"/>
              <w:divBdr>
                <w:top w:val="none" w:sz="0" w:space="0" w:color="auto"/>
                <w:left w:val="none" w:sz="0" w:space="0" w:color="auto"/>
                <w:bottom w:val="none" w:sz="0" w:space="0" w:color="auto"/>
                <w:right w:val="none" w:sz="0" w:space="0" w:color="auto"/>
              </w:divBdr>
            </w:div>
            <w:div w:id="1241871195">
              <w:marLeft w:val="0"/>
              <w:marRight w:val="0"/>
              <w:marTop w:val="0"/>
              <w:marBottom w:val="0"/>
              <w:divBdr>
                <w:top w:val="none" w:sz="0" w:space="0" w:color="auto"/>
                <w:left w:val="none" w:sz="0" w:space="0" w:color="auto"/>
                <w:bottom w:val="none" w:sz="0" w:space="0" w:color="auto"/>
                <w:right w:val="none" w:sz="0" w:space="0" w:color="auto"/>
              </w:divBdr>
            </w:div>
            <w:div w:id="1617367198">
              <w:marLeft w:val="0"/>
              <w:marRight w:val="0"/>
              <w:marTop w:val="0"/>
              <w:marBottom w:val="0"/>
              <w:divBdr>
                <w:top w:val="none" w:sz="0" w:space="0" w:color="auto"/>
                <w:left w:val="none" w:sz="0" w:space="0" w:color="auto"/>
                <w:bottom w:val="none" w:sz="0" w:space="0" w:color="auto"/>
                <w:right w:val="none" w:sz="0" w:space="0" w:color="auto"/>
              </w:divBdr>
            </w:div>
            <w:div w:id="1664121572">
              <w:marLeft w:val="0"/>
              <w:marRight w:val="0"/>
              <w:marTop w:val="0"/>
              <w:marBottom w:val="0"/>
              <w:divBdr>
                <w:top w:val="none" w:sz="0" w:space="0" w:color="auto"/>
                <w:left w:val="none" w:sz="0" w:space="0" w:color="auto"/>
                <w:bottom w:val="none" w:sz="0" w:space="0" w:color="auto"/>
                <w:right w:val="none" w:sz="0" w:space="0" w:color="auto"/>
              </w:divBdr>
            </w:div>
          </w:divsChild>
        </w:div>
        <w:div w:id="759331588">
          <w:marLeft w:val="0"/>
          <w:marRight w:val="0"/>
          <w:marTop w:val="0"/>
          <w:marBottom w:val="0"/>
          <w:divBdr>
            <w:top w:val="none" w:sz="0" w:space="0" w:color="auto"/>
            <w:left w:val="none" w:sz="0" w:space="0" w:color="auto"/>
            <w:bottom w:val="none" w:sz="0" w:space="0" w:color="auto"/>
            <w:right w:val="none" w:sz="0" w:space="0" w:color="auto"/>
          </w:divBdr>
          <w:divsChild>
            <w:div w:id="527305049">
              <w:marLeft w:val="0"/>
              <w:marRight w:val="0"/>
              <w:marTop w:val="0"/>
              <w:marBottom w:val="0"/>
              <w:divBdr>
                <w:top w:val="none" w:sz="0" w:space="0" w:color="auto"/>
                <w:left w:val="none" w:sz="0" w:space="0" w:color="auto"/>
                <w:bottom w:val="none" w:sz="0" w:space="0" w:color="auto"/>
                <w:right w:val="none" w:sz="0" w:space="0" w:color="auto"/>
              </w:divBdr>
            </w:div>
          </w:divsChild>
        </w:div>
        <w:div w:id="1412385860">
          <w:marLeft w:val="0"/>
          <w:marRight w:val="0"/>
          <w:marTop w:val="0"/>
          <w:marBottom w:val="0"/>
          <w:divBdr>
            <w:top w:val="none" w:sz="0" w:space="0" w:color="auto"/>
            <w:left w:val="none" w:sz="0" w:space="0" w:color="auto"/>
            <w:bottom w:val="none" w:sz="0" w:space="0" w:color="auto"/>
            <w:right w:val="none" w:sz="0" w:space="0" w:color="auto"/>
          </w:divBdr>
          <w:divsChild>
            <w:div w:id="310527076">
              <w:marLeft w:val="0"/>
              <w:marRight w:val="0"/>
              <w:marTop w:val="0"/>
              <w:marBottom w:val="0"/>
              <w:divBdr>
                <w:top w:val="none" w:sz="0" w:space="0" w:color="auto"/>
                <w:left w:val="none" w:sz="0" w:space="0" w:color="auto"/>
                <w:bottom w:val="none" w:sz="0" w:space="0" w:color="auto"/>
                <w:right w:val="none" w:sz="0" w:space="0" w:color="auto"/>
              </w:divBdr>
            </w:div>
            <w:div w:id="624196967">
              <w:marLeft w:val="0"/>
              <w:marRight w:val="0"/>
              <w:marTop w:val="0"/>
              <w:marBottom w:val="0"/>
              <w:divBdr>
                <w:top w:val="none" w:sz="0" w:space="0" w:color="auto"/>
                <w:left w:val="none" w:sz="0" w:space="0" w:color="auto"/>
                <w:bottom w:val="none" w:sz="0" w:space="0" w:color="auto"/>
                <w:right w:val="none" w:sz="0" w:space="0" w:color="auto"/>
              </w:divBdr>
            </w:div>
          </w:divsChild>
        </w:div>
        <w:div w:id="1903978572">
          <w:marLeft w:val="0"/>
          <w:marRight w:val="0"/>
          <w:marTop w:val="0"/>
          <w:marBottom w:val="0"/>
          <w:divBdr>
            <w:top w:val="none" w:sz="0" w:space="0" w:color="auto"/>
            <w:left w:val="none" w:sz="0" w:space="0" w:color="auto"/>
            <w:bottom w:val="none" w:sz="0" w:space="0" w:color="auto"/>
            <w:right w:val="none" w:sz="0" w:space="0" w:color="auto"/>
          </w:divBdr>
          <w:divsChild>
            <w:div w:id="386295076">
              <w:marLeft w:val="0"/>
              <w:marRight w:val="0"/>
              <w:marTop w:val="0"/>
              <w:marBottom w:val="0"/>
              <w:divBdr>
                <w:top w:val="none" w:sz="0" w:space="0" w:color="auto"/>
                <w:left w:val="none" w:sz="0" w:space="0" w:color="auto"/>
                <w:bottom w:val="none" w:sz="0" w:space="0" w:color="auto"/>
                <w:right w:val="none" w:sz="0" w:space="0" w:color="auto"/>
              </w:divBdr>
            </w:div>
            <w:div w:id="433747757">
              <w:marLeft w:val="0"/>
              <w:marRight w:val="0"/>
              <w:marTop w:val="0"/>
              <w:marBottom w:val="0"/>
              <w:divBdr>
                <w:top w:val="none" w:sz="0" w:space="0" w:color="auto"/>
                <w:left w:val="none" w:sz="0" w:space="0" w:color="auto"/>
                <w:bottom w:val="none" w:sz="0" w:space="0" w:color="auto"/>
                <w:right w:val="none" w:sz="0" w:space="0" w:color="auto"/>
              </w:divBdr>
            </w:div>
            <w:div w:id="532691769">
              <w:marLeft w:val="0"/>
              <w:marRight w:val="0"/>
              <w:marTop w:val="0"/>
              <w:marBottom w:val="0"/>
              <w:divBdr>
                <w:top w:val="none" w:sz="0" w:space="0" w:color="auto"/>
                <w:left w:val="none" w:sz="0" w:space="0" w:color="auto"/>
                <w:bottom w:val="none" w:sz="0" w:space="0" w:color="auto"/>
                <w:right w:val="none" w:sz="0" w:space="0" w:color="auto"/>
              </w:divBdr>
            </w:div>
            <w:div w:id="552235607">
              <w:marLeft w:val="0"/>
              <w:marRight w:val="0"/>
              <w:marTop w:val="0"/>
              <w:marBottom w:val="0"/>
              <w:divBdr>
                <w:top w:val="none" w:sz="0" w:space="0" w:color="auto"/>
                <w:left w:val="none" w:sz="0" w:space="0" w:color="auto"/>
                <w:bottom w:val="none" w:sz="0" w:space="0" w:color="auto"/>
                <w:right w:val="none" w:sz="0" w:space="0" w:color="auto"/>
              </w:divBdr>
            </w:div>
            <w:div w:id="920944131">
              <w:marLeft w:val="0"/>
              <w:marRight w:val="0"/>
              <w:marTop w:val="0"/>
              <w:marBottom w:val="0"/>
              <w:divBdr>
                <w:top w:val="none" w:sz="0" w:space="0" w:color="auto"/>
                <w:left w:val="none" w:sz="0" w:space="0" w:color="auto"/>
                <w:bottom w:val="none" w:sz="0" w:space="0" w:color="auto"/>
                <w:right w:val="none" w:sz="0" w:space="0" w:color="auto"/>
              </w:divBdr>
            </w:div>
            <w:div w:id="1026298515">
              <w:marLeft w:val="0"/>
              <w:marRight w:val="0"/>
              <w:marTop w:val="0"/>
              <w:marBottom w:val="0"/>
              <w:divBdr>
                <w:top w:val="none" w:sz="0" w:space="0" w:color="auto"/>
                <w:left w:val="none" w:sz="0" w:space="0" w:color="auto"/>
                <w:bottom w:val="none" w:sz="0" w:space="0" w:color="auto"/>
                <w:right w:val="none" w:sz="0" w:space="0" w:color="auto"/>
              </w:divBdr>
            </w:div>
            <w:div w:id="1149175550">
              <w:marLeft w:val="0"/>
              <w:marRight w:val="0"/>
              <w:marTop w:val="0"/>
              <w:marBottom w:val="0"/>
              <w:divBdr>
                <w:top w:val="none" w:sz="0" w:space="0" w:color="auto"/>
                <w:left w:val="none" w:sz="0" w:space="0" w:color="auto"/>
                <w:bottom w:val="none" w:sz="0" w:space="0" w:color="auto"/>
                <w:right w:val="none" w:sz="0" w:space="0" w:color="auto"/>
              </w:divBdr>
            </w:div>
            <w:div w:id="1183323671">
              <w:marLeft w:val="0"/>
              <w:marRight w:val="0"/>
              <w:marTop w:val="0"/>
              <w:marBottom w:val="0"/>
              <w:divBdr>
                <w:top w:val="none" w:sz="0" w:space="0" w:color="auto"/>
                <w:left w:val="none" w:sz="0" w:space="0" w:color="auto"/>
                <w:bottom w:val="none" w:sz="0" w:space="0" w:color="auto"/>
                <w:right w:val="none" w:sz="0" w:space="0" w:color="auto"/>
              </w:divBdr>
            </w:div>
            <w:div w:id="1799684712">
              <w:marLeft w:val="0"/>
              <w:marRight w:val="0"/>
              <w:marTop w:val="0"/>
              <w:marBottom w:val="0"/>
              <w:divBdr>
                <w:top w:val="none" w:sz="0" w:space="0" w:color="auto"/>
                <w:left w:val="none" w:sz="0" w:space="0" w:color="auto"/>
                <w:bottom w:val="none" w:sz="0" w:space="0" w:color="auto"/>
                <w:right w:val="none" w:sz="0" w:space="0" w:color="auto"/>
              </w:divBdr>
            </w:div>
            <w:div w:id="2029939572">
              <w:marLeft w:val="0"/>
              <w:marRight w:val="0"/>
              <w:marTop w:val="0"/>
              <w:marBottom w:val="0"/>
              <w:divBdr>
                <w:top w:val="none" w:sz="0" w:space="0" w:color="auto"/>
                <w:left w:val="none" w:sz="0" w:space="0" w:color="auto"/>
                <w:bottom w:val="none" w:sz="0" w:space="0" w:color="auto"/>
                <w:right w:val="none" w:sz="0" w:space="0" w:color="auto"/>
              </w:divBdr>
            </w:div>
          </w:divsChild>
        </w:div>
        <w:div w:id="1916167273">
          <w:marLeft w:val="0"/>
          <w:marRight w:val="0"/>
          <w:marTop w:val="0"/>
          <w:marBottom w:val="0"/>
          <w:divBdr>
            <w:top w:val="none" w:sz="0" w:space="0" w:color="auto"/>
            <w:left w:val="none" w:sz="0" w:space="0" w:color="auto"/>
            <w:bottom w:val="none" w:sz="0" w:space="0" w:color="auto"/>
            <w:right w:val="none" w:sz="0" w:space="0" w:color="auto"/>
          </w:divBdr>
          <w:divsChild>
            <w:div w:id="17264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parlinfo.aph.gov.au/parlInfo/search/display/display.w3p;query=Id%3A%22legislation%2Fbillhome%2Fr7238%22" TargetMode="Externa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hyperlink" Target="https://agedcareengagement.health.gov.au/blog/feedback-on-the-aged-care-service-list/"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parlinfo.aph.gov.au/parlInfo/search/display/display.w3p;query=Id:%22legislation/bills/r7238_aspassed/0000%22" TargetMode="External" Id="rId17" /><Relationship Type="http://schemas.microsoft.com/office/2011/relationships/commentsExtended" Target="commentsExtended.xml" Id="rId25" /><Relationship Type="http://schemas.openxmlformats.org/officeDocument/2006/relationships/footer" Target="footer5.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health.gov.au/resources/publications/new-aged-care-act-rules-consultation-release-1-service-list"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6.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health.gov.au/resources/publications/new-aged-care-act-rules-consultation-release-2b-funding-for-other-aged-care-programs?language=en" TargetMode="External" Id="rId23" /><Relationship Type="http://schemas.openxmlformats.org/officeDocument/2006/relationships/hyperlink" Target="https://www.health.gov.au/our-work/new-model-for-regulating-aged-care/how-it-works"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health.gov.au/resources/publications/aged-care-rules-consultation-topics-by-release" TargetMode="Externa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health.gov.au/resources/publications/new-aged-care-act-rules-consultation-release-2a-funding-for-support-at-home-program?language=en" TargetMode="External" Id="rId22" /><Relationship Type="http://schemas.openxmlformats.org/officeDocument/2006/relationships/header" Target="header5.xml" Id="rId30" /><Relationship Type="http://schemas.microsoft.com/office/2011/relationships/people" Target="people.xml" Id="rId35" /><Relationship Type="http://schemas.openxmlformats.org/officeDocument/2006/relationships/webSettings" Target="webSettings.xml" Id="rId8" /><Relationship Type="http://schemas.openxmlformats.org/officeDocument/2006/relationships/hyperlink" Target="https://www.health.gov.au/resources/publications/new-aged-care-act-rules-consultation-release-3-provider-obligations" TargetMode="External" Id="Rda3e33ecc8344842" /><Relationship Type="http://schemas.openxmlformats.org/officeDocument/2006/relationships/hyperlink" Target="https://www.health.gov.au/resources/publications/strengthened-aged-care-quality-standards-february-2025" TargetMode="External" Id="R49c0d452c49c496f"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a9ef87-d8af-44ae-9cec-12903b7d44be">
      <Terms xmlns="http://schemas.microsoft.com/office/infopath/2007/PartnerControls"/>
    </lcf76f155ced4ddcb4097134ff3c332f>
    <TaxCatchAll xmlns="ada466a5-717a-405b-b423-19a5a40db0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4" ma:contentTypeDescription="Create a new document." ma:contentTypeScope="" ma:versionID="d300ca163d1d17a05850dc2d7b1cadce">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b36c0144b391142a460afc0abe307fe0"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6a9ef87-d8af-44ae-9cec-12903b7d44be"/>
    <ds:schemaRef ds:uri="ada466a5-717a-405b-b423-19a5a40db057"/>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A3DBBD0-9C98-484A-85B4-9817BF8F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9ef87-d8af-44ae-9cec-12903b7d44be"/>
    <ds:schemaRef ds:uri="ada466a5-717a-405b-b423-19a5a40d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Fact sheet template (teal)</dc:title>
  <dc:subject/>
  <dc:creator>Australian Government Department of Health and Aged Care</dc:creator>
  <keywords/>
  <lastModifiedBy>BURGESS-LIMERICK, Grace</lastModifiedBy>
  <revision>22</revision>
  <dcterms:created xsi:type="dcterms:W3CDTF">2025-02-05T00:05:00.0000000Z</dcterms:created>
  <dcterms:modified xsi:type="dcterms:W3CDTF">2025-02-13T22:31:22.0204059Z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0x0101005B6FE5B7DA2DB847AF67914BBD466BBF</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45;#Factsheet|e6399178-8246-423e-9818-2fbb787c959a;#4;#visual identity|a54ebda2-a0fd-45ec-8fc0-1cf31001b526</vt:lpwstr>
  </property>
  <property fmtid="{D5CDD505-2E9C-101B-9397-08002B2CF9AE}" pid="23" name="lcf76f155ced4ddcb4097134ff3c332f">
    <vt:lpwstr/>
  </property>
</Properties>
</file>